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As filed with the Securities and Exchange Commission on October 10, 2025</w:t>
      </w:r>
    </w:p>
    <w:p>
      <w:pPr>
        <w:ind w:left="2660"/>
        <w:spacing w:after="0" w:line="181" w:lineRule="auto"/>
        <w:rPr>
          <w:sz w:val="20"/>
          <w:szCs w:val="20"/>
          <w:color w:val="auto"/>
        </w:rPr>
      </w:pPr>
      <w:r>
        <w:rPr>
          <w:rFonts w:ascii="Arial" w:cs="Arial" w:eastAsia="Arial" w:hAnsi="Arial"/>
          <w:sz w:val="11"/>
          <w:szCs w:val="11"/>
          <w:b w:val="1"/>
          <w:bCs w:val="1"/>
          <w:color w:val="auto"/>
        </w:rPr>
        <w:t>.</w:t>
      </w:r>
    </w:p>
    <w:p>
      <w:pPr>
        <w:ind w:left="6900"/>
        <w:spacing w:after="0"/>
        <w:rPr>
          <w:sz w:val="20"/>
          <w:szCs w:val="20"/>
          <w:color w:val="auto"/>
        </w:rPr>
      </w:pPr>
      <w:r>
        <w:rPr>
          <w:rFonts w:ascii="Arial" w:cs="Arial" w:eastAsia="Arial" w:hAnsi="Arial"/>
          <w:sz w:val="11"/>
          <w:szCs w:val="11"/>
          <w:b w:val="1"/>
          <w:bCs w:val="1"/>
          <w:color w:val="auto"/>
        </w:rPr>
        <w:t>Registration No. 333-290396</w:t>
      </w:r>
    </w:p>
    <w:p>
      <w:pPr>
        <w:spacing w:after="0" w:line="11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UNITED STATES</w:t>
      </w:r>
    </w:p>
    <w:p>
      <w:pPr>
        <w:spacing w:after="0" w:line="39" w:lineRule="exact"/>
        <w:rPr>
          <w:sz w:val="24"/>
          <w:szCs w:val="24"/>
          <w:color w:val="auto"/>
        </w:rPr>
      </w:pPr>
    </w:p>
    <w:p>
      <w:pPr>
        <w:jc w:val="center"/>
        <w:ind w:right="80"/>
        <w:spacing w:after="0"/>
        <w:rPr>
          <w:sz w:val="20"/>
          <w:szCs w:val="20"/>
          <w:color w:val="auto"/>
        </w:rPr>
      </w:pPr>
      <w:r>
        <w:rPr>
          <w:rFonts w:ascii="Arial" w:cs="Arial" w:eastAsia="Arial" w:hAnsi="Arial"/>
          <w:sz w:val="20"/>
          <w:szCs w:val="20"/>
          <w:b w:val="1"/>
          <w:bCs w:val="1"/>
          <w:color w:val="auto"/>
        </w:rPr>
        <w:t>SECURITIES AND EXCHANGE COMMISSION</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2"/>
          <w:szCs w:val="12"/>
          <w:b w:val="1"/>
          <w:bCs w:val="1"/>
          <w:color w:val="auto"/>
        </w:rPr>
        <w:t>Washington, D.C. 20549</w:t>
      </w:r>
    </w:p>
    <w:p>
      <w:pPr>
        <w:spacing w:after="0" w:line="98"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AMENDMENT NO. 1 TO</w:t>
      </w:r>
    </w:p>
    <w:p>
      <w:pPr>
        <w:spacing w:after="0" w:line="95"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S-1</w:t>
      </w:r>
    </w:p>
    <w:p>
      <w:pPr>
        <w:spacing w:after="0" w:line="134" w:lineRule="exact"/>
        <w:rPr>
          <w:sz w:val="24"/>
          <w:szCs w:val="24"/>
          <w:color w:val="auto"/>
        </w:rPr>
      </w:pPr>
    </w:p>
    <w:p>
      <w:pPr>
        <w:jc w:val="center"/>
        <w:ind w:right="60"/>
        <w:spacing w:after="0"/>
        <w:rPr>
          <w:sz w:val="20"/>
          <w:szCs w:val="20"/>
          <w:color w:val="auto"/>
        </w:rPr>
      </w:pPr>
      <w:r>
        <w:rPr>
          <w:rFonts w:ascii="Arial" w:cs="Arial" w:eastAsia="Arial" w:hAnsi="Arial"/>
          <w:sz w:val="20"/>
          <w:szCs w:val="20"/>
          <w:b w:val="1"/>
          <w:bCs w:val="1"/>
          <w:color w:val="auto"/>
        </w:rPr>
        <w:t>REGISTRATION STATEMENT</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UNDER</w:t>
      </w:r>
    </w:p>
    <w:p>
      <w:pPr>
        <w:spacing w:after="0" w:line="15" w:lineRule="exact"/>
        <w:rPr>
          <w:sz w:val="24"/>
          <w:szCs w:val="24"/>
          <w:color w:val="auto"/>
        </w:rPr>
      </w:pPr>
    </w:p>
    <w:p>
      <w:pPr>
        <w:jc w:val="center"/>
        <w:ind w:right="60"/>
        <w:spacing w:after="0"/>
        <w:rPr>
          <w:sz w:val="20"/>
          <w:szCs w:val="20"/>
          <w:color w:val="auto"/>
        </w:rPr>
      </w:pPr>
      <w:r>
        <w:rPr>
          <w:rFonts w:ascii="Arial" w:cs="Arial" w:eastAsia="Arial" w:hAnsi="Arial"/>
          <w:sz w:val="12"/>
          <w:szCs w:val="12"/>
          <w:b w:val="1"/>
          <w:bCs w:val="1"/>
          <w:color w:val="auto"/>
        </w:rPr>
        <w:t>THE SECURITIES ACT OF 1933</w:t>
      </w:r>
    </w:p>
    <w:p>
      <w:pPr>
        <w:spacing w:after="0" w:line="98"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NAVAN, INC.</w:t>
      </w:r>
    </w:p>
    <w:p>
      <w:pPr>
        <w:spacing w:after="0" w:line="46" w:lineRule="exact"/>
        <w:rPr>
          <w:sz w:val="24"/>
          <w:szCs w:val="24"/>
          <w:color w:val="auto"/>
        </w:rPr>
      </w:pPr>
    </w:p>
    <w:tbl>
      <w:tblPr>
        <w:tblLayout w:type="fixed"/>
        <w:tblInd w:w="1340" w:type="dxa"/>
        <w:tblCellMar>
          <w:top w:w="0" w:type="dxa"/>
          <w:left w:w="0" w:type="dxa"/>
          <w:bottom w:w="0" w:type="dxa"/>
          <w:right w:w="0" w:type="dxa"/>
        </w:tblCellMar>
      </w:tblPr>
      <w:tr>
        <w:trPr>
          <w:trHeight w:val="171"/>
        </w:trPr>
        <w:tc>
          <w:tcPr>
            <w:tcW w:w="1400" w:type="dxa"/>
            <w:vAlign w:val="bottom"/>
          </w:tcPr>
          <w:p>
            <w:pPr>
              <w:spacing w:after="0"/>
              <w:rPr>
                <w:sz w:val="14"/>
                <w:szCs w:val="14"/>
                <w:color w:val="auto"/>
              </w:rPr>
            </w:pPr>
          </w:p>
        </w:tc>
        <w:tc>
          <w:tcPr>
            <w:tcW w:w="3540" w:type="dxa"/>
            <w:vAlign w:val="bottom"/>
          </w:tcPr>
          <w:p>
            <w:pPr>
              <w:ind w:left="180"/>
              <w:spacing w:after="0"/>
              <w:rPr>
                <w:sz w:val="20"/>
                <w:szCs w:val="20"/>
                <w:color w:val="auto"/>
              </w:rPr>
            </w:pPr>
            <w:r>
              <w:rPr>
                <w:rFonts w:ascii="Arial" w:cs="Arial" w:eastAsia="Arial" w:hAnsi="Arial"/>
                <w:sz w:val="12"/>
                <w:szCs w:val="12"/>
                <w:b w:val="1"/>
                <w:bCs w:val="1"/>
                <w:color w:val="auto"/>
              </w:rPr>
              <w:t>(Exact name of registrant as specified in its charter)</w:t>
            </w:r>
          </w:p>
        </w:tc>
        <w:tc>
          <w:tcPr>
            <w:tcW w:w="1180" w:type="dxa"/>
            <w:vAlign w:val="bottom"/>
          </w:tcPr>
          <w:p>
            <w:pPr>
              <w:spacing w:after="0"/>
              <w:rPr>
                <w:sz w:val="14"/>
                <w:szCs w:val="14"/>
                <w:color w:val="auto"/>
              </w:rPr>
            </w:pPr>
          </w:p>
        </w:tc>
      </w:tr>
      <w:tr>
        <w:trPr>
          <w:trHeight w:val="289"/>
        </w:trPr>
        <w:tc>
          <w:tcPr>
            <w:tcW w:w="1400" w:type="dxa"/>
            <w:vAlign w:val="bottom"/>
          </w:tcPr>
          <w:p>
            <w:pPr>
              <w:jc w:val="center"/>
              <w:ind w:right="91"/>
              <w:spacing w:after="0"/>
              <w:rPr>
                <w:sz w:val="20"/>
                <w:szCs w:val="20"/>
                <w:color w:val="auto"/>
              </w:rPr>
            </w:pPr>
            <w:r>
              <w:rPr>
                <w:rFonts w:ascii="Arial" w:cs="Arial" w:eastAsia="Arial" w:hAnsi="Arial"/>
                <w:sz w:val="12"/>
                <w:szCs w:val="12"/>
                <w:b w:val="1"/>
                <w:bCs w:val="1"/>
                <w:color w:val="auto"/>
              </w:rPr>
              <w:t>Delaware</w:t>
            </w:r>
          </w:p>
        </w:tc>
        <w:tc>
          <w:tcPr>
            <w:tcW w:w="3540" w:type="dxa"/>
            <w:vAlign w:val="bottom"/>
          </w:tcPr>
          <w:p>
            <w:pPr>
              <w:jc w:val="right"/>
              <w:ind w:right="1587"/>
              <w:spacing w:after="0"/>
              <w:rPr>
                <w:sz w:val="20"/>
                <w:szCs w:val="20"/>
                <w:color w:val="auto"/>
              </w:rPr>
            </w:pPr>
            <w:r>
              <w:rPr>
                <w:rFonts w:ascii="Arial" w:cs="Arial" w:eastAsia="Arial" w:hAnsi="Arial"/>
                <w:sz w:val="12"/>
                <w:szCs w:val="12"/>
                <w:b w:val="1"/>
                <w:bCs w:val="1"/>
                <w:color w:val="auto"/>
              </w:rPr>
              <w:t>7372</w:t>
            </w:r>
          </w:p>
        </w:tc>
        <w:tc>
          <w:tcPr>
            <w:tcW w:w="1180" w:type="dxa"/>
            <w:vAlign w:val="bottom"/>
          </w:tcPr>
          <w:p>
            <w:pPr>
              <w:jc w:val="center"/>
              <w:ind w:left="251"/>
              <w:spacing w:after="0"/>
              <w:rPr>
                <w:sz w:val="20"/>
                <w:szCs w:val="20"/>
                <w:color w:val="auto"/>
              </w:rPr>
            </w:pPr>
            <w:r>
              <w:rPr>
                <w:rFonts w:ascii="Arial" w:cs="Arial" w:eastAsia="Arial" w:hAnsi="Arial"/>
                <w:sz w:val="12"/>
                <w:szCs w:val="12"/>
                <w:b w:val="1"/>
                <w:bCs w:val="1"/>
                <w:color w:val="auto"/>
              </w:rPr>
              <w:t>47-3424780</w:t>
            </w:r>
          </w:p>
        </w:tc>
      </w:tr>
      <w:tr>
        <w:trPr>
          <w:trHeight w:val="126"/>
        </w:trPr>
        <w:tc>
          <w:tcPr>
            <w:tcW w:w="1400" w:type="dxa"/>
            <w:vAlign w:val="bottom"/>
          </w:tcPr>
          <w:p>
            <w:pPr>
              <w:jc w:val="center"/>
              <w:ind w:right="131"/>
              <w:spacing w:after="0"/>
              <w:rPr>
                <w:sz w:val="20"/>
                <w:szCs w:val="20"/>
                <w:color w:val="auto"/>
              </w:rPr>
            </w:pPr>
            <w:r>
              <w:rPr>
                <w:rFonts w:ascii="Arial" w:cs="Arial" w:eastAsia="Arial" w:hAnsi="Arial"/>
                <w:sz w:val="9"/>
                <w:szCs w:val="9"/>
                <w:b w:val="1"/>
                <w:bCs w:val="1"/>
                <w:color w:val="auto"/>
                <w:w w:val="95"/>
              </w:rPr>
              <w:t>(State or other jurisdiction of</w:t>
            </w:r>
          </w:p>
        </w:tc>
        <w:tc>
          <w:tcPr>
            <w:tcW w:w="3540" w:type="dxa"/>
            <w:vAlign w:val="bottom"/>
          </w:tcPr>
          <w:p>
            <w:pPr>
              <w:ind w:left="1160"/>
              <w:spacing w:after="0"/>
              <w:rPr>
                <w:sz w:val="20"/>
                <w:szCs w:val="20"/>
                <w:color w:val="auto"/>
              </w:rPr>
            </w:pPr>
            <w:r>
              <w:rPr>
                <w:rFonts w:ascii="Arial" w:cs="Arial" w:eastAsia="Arial" w:hAnsi="Arial"/>
                <w:sz w:val="9"/>
                <w:szCs w:val="9"/>
                <w:b w:val="1"/>
                <w:bCs w:val="1"/>
                <w:color w:val="auto"/>
              </w:rPr>
              <w:t>(Primary Standard Industrial</w:t>
            </w:r>
          </w:p>
        </w:tc>
        <w:tc>
          <w:tcPr>
            <w:tcW w:w="1180" w:type="dxa"/>
            <w:vAlign w:val="bottom"/>
          </w:tcPr>
          <w:p>
            <w:pPr>
              <w:jc w:val="center"/>
              <w:ind w:left="231"/>
              <w:spacing w:after="0"/>
              <w:rPr>
                <w:sz w:val="20"/>
                <w:szCs w:val="20"/>
                <w:color w:val="auto"/>
              </w:rPr>
            </w:pPr>
            <w:r>
              <w:rPr>
                <w:rFonts w:ascii="Arial" w:cs="Arial" w:eastAsia="Arial" w:hAnsi="Arial"/>
                <w:sz w:val="9"/>
                <w:szCs w:val="9"/>
                <w:b w:val="1"/>
                <w:bCs w:val="1"/>
                <w:color w:val="auto"/>
                <w:w w:val="95"/>
              </w:rPr>
              <w:t>(I.R.S. Employer</w:t>
            </w:r>
          </w:p>
        </w:tc>
      </w:tr>
      <w:tr>
        <w:trPr>
          <w:trHeight w:val="118"/>
        </w:trPr>
        <w:tc>
          <w:tcPr>
            <w:tcW w:w="1400" w:type="dxa"/>
            <w:vAlign w:val="bottom"/>
          </w:tcPr>
          <w:p>
            <w:pPr>
              <w:jc w:val="center"/>
              <w:ind w:right="131"/>
              <w:spacing w:after="0"/>
              <w:rPr>
                <w:sz w:val="20"/>
                <w:szCs w:val="20"/>
                <w:color w:val="auto"/>
              </w:rPr>
            </w:pPr>
            <w:r>
              <w:rPr>
                <w:rFonts w:ascii="Arial" w:cs="Arial" w:eastAsia="Arial" w:hAnsi="Arial"/>
                <w:sz w:val="9"/>
                <w:szCs w:val="9"/>
                <w:b w:val="1"/>
                <w:bCs w:val="1"/>
                <w:color w:val="auto"/>
                <w:w w:val="94"/>
              </w:rPr>
              <w:t>incorporation or organization)</w:t>
            </w:r>
          </w:p>
        </w:tc>
        <w:tc>
          <w:tcPr>
            <w:tcW w:w="3540" w:type="dxa"/>
            <w:vAlign w:val="bottom"/>
          </w:tcPr>
          <w:p>
            <w:pPr>
              <w:ind w:left="1160"/>
              <w:spacing w:after="0"/>
              <w:rPr>
                <w:sz w:val="20"/>
                <w:szCs w:val="20"/>
                <w:color w:val="auto"/>
              </w:rPr>
            </w:pPr>
            <w:r>
              <w:rPr>
                <w:rFonts w:ascii="Arial" w:cs="Arial" w:eastAsia="Arial" w:hAnsi="Arial"/>
                <w:sz w:val="9"/>
                <w:szCs w:val="9"/>
                <w:b w:val="1"/>
                <w:bCs w:val="1"/>
                <w:color w:val="auto"/>
              </w:rPr>
              <w:t>Classification Code Number)</w:t>
            </w:r>
          </w:p>
        </w:tc>
        <w:tc>
          <w:tcPr>
            <w:tcW w:w="1180" w:type="dxa"/>
            <w:vAlign w:val="bottom"/>
          </w:tcPr>
          <w:p>
            <w:pPr>
              <w:jc w:val="center"/>
              <w:ind w:left="231"/>
              <w:spacing w:after="0"/>
              <w:rPr>
                <w:sz w:val="20"/>
                <w:szCs w:val="20"/>
                <w:color w:val="auto"/>
              </w:rPr>
            </w:pPr>
            <w:r>
              <w:rPr>
                <w:rFonts w:ascii="Arial" w:cs="Arial" w:eastAsia="Arial" w:hAnsi="Arial"/>
                <w:sz w:val="9"/>
                <w:szCs w:val="9"/>
                <w:b w:val="1"/>
                <w:bCs w:val="1"/>
                <w:color w:val="auto"/>
                <w:w w:val="94"/>
              </w:rPr>
              <w:t>Identification Number)</w:t>
            </w:r>
          </w:p>
        </w:tc>
      </w:tr>
    </w:tbl>
    <w:p>
      <w:pPr>
        <w:spacing w:after="0" w:line="112" w:lineRule="exact"/>
        <w:rPr>
          <w:sz w:val="24"/>
          <w:szCs w:val="24"/>
          <w:color w:val="auto"/>
        </w:rPr>
      </w:pPr>
    </w:p>
    <w:p>
      <w:pPr>
        <w:ind w:left="4000"/>
        <w:spacing w:after="0"/>
        <w:rPr>
          <w:sz w:val="20"/>
          <w:szCs w:val="20"/>
          <w:color w:val="auto"/>
        </w:rPr>
      </w:pPr>
      <w:r>
        <w:rPr>
          <w:rFonts w:ascii="Arial" w:cs="Arial" w:eastAsia="Arial" w:hAnsi="Arial"/>
          <w:sz w:val="11"/>
          <w:szCs w:val="11"/>
          <w:b w:val="1"/>
          <w:bCs w:val="1"/>
          <w:color w:val="auto"/>
        </w:rPr>
        <w:t>3045 Park Boulevard</w:t>
      </w:r>
    </w:p>
    <w:p>
      <w:pPr>
        <w:spacing w:after="0" w:line="6" w:lineRule="exact"/>
        <w:rPr>
          <w:sz w:val="24"/>
          <w:szCs w:val="24"/>
          <w:color w:val="auto"/>
        </w:rPr>
      </w:pPr>
    </w:p>
    <w:p>
      <w:pPr>
        <w:ind w:left="3860"/>
        <w:spacing w:after="0"/>
        <w:rPr>
          <w:sz w:val="20"/>
          <w:szCs w:val="20"/>
          <w:color w:val="auto"/>
        </w:rPr>
      </w:pPr>
      <w:r>
        <w:rPr>
          <w:rFonts w:ascii="Arial" w:cs="Arial" w:eastAsia="Arial" w:hAnsi="Arial"/>
          <w:sz w:val="11"/>
          <w:szCs w:val="11"/>
          <w:b w:val="1"/>
          <w:bCs w:val="1"/>
          <w:color w:val="auto"/>
        </w:rPr>
        <w:t>Palo Alto, California 94306</w:t>
      </w:r>
    </w:p>
    <w:p>
      <w:pPr>
        <w:ind w:left="4160"/>
        <w:spacing w:after="0"/>
        <w:rPr>
          <w:sz w:val="20"/>
          <w:szCs w:val="20"/>
          <w:color w:val="auto"/>
        </w:rPr>
      </w:pPr>
      <w:r>
        <w:rPr>
          <w:rFonts w:ascii="Arial" w:cs="Arial" w:eastAsia="Arial" w:hAnsi="Arial"/>
          <w:sz w:val="11"/>
          <w:szCs w:val="11"/>
          <w:b w:val="1"/>
          <w:bCs w:val="1"/>
          <w:color w:val="auto"/>
        </w:rPr>
        <w:t>(888) 505-8747</w:t>
      </w:r>
    </w:p>
    <w:p>
      <w:pPr>
        <w:spacing w:after="0" w:line="7" w:lineRule="exact"/>
        <w:rPr>
          <w:sz w:val="24"/>
          <w:szCs w:val="24"/>
          <w:color w:val="auto"/>
        </w:rPr>
      </w:pPr>
    </w:p>
    <w:p>
      <w:pPr>
        <w:jc w:val="center"/>
        <w:ind w:right="200"/>
        <w:spacing w:after="0"/>
        <w:rPr>
          <w:sz w:val="20"/>
          <w:szCs w:val="20"/>
          <w:color w:val="auto"/>
        </w:rPr>
      </w:pPr>
      <w:r>
        <w:rPr>
          <w:rFonts w:ascii="Arial" w:cs="Arial" w:eastAsia="Arial" w:hAnsi="Arial"/>
          <w:sz w:val="9"/>
          <w:szCs w:val="9"/>
          <w:b w:val="1"/>
          <w:bCs w:val="1"/>
          <w:color w:val="auto"/>
        </w:rPr>
        <w:t>(Address, including zip code, and telephone number, including area code, of registrant’s principal executive offices)</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1"/>
          <w:szCs w:val="11"/>
          <w:b w:val="1"/>
          <w:bCs w:val="1"/>
          <w:color w:val="auto"/>
        </w:rPr>
        <w:t>Ariel Cohe</w:t>
      </w:r>
    </w:p>
    <w:p>
      <w:pPr>
        <w:ind w:left="4220"/>
        <w:spacing w:after="0" w:line="199" w:lineRule="auto"/>
        <w:rPr>
          <w:sz w:val="20"/>
          <w:szCs w:val="20"/>
          <w:color w:val="auto"/>
        </w:rPr>
      </w:pPr>
      <w:r>
        <w:rPr>
          <w:rFonts w:ascii="Arial" w:cs="Arial" w:eastAsia="Arial" w:hAnsi="Arial"/>
          <w:sz w:val="6"/>
          <w:szCs w:val="6"/>
          <w:b w:val="1"/>
          <w:bCs w:val="1"/>
          <w:color w:val="auto"/>
        </w:rPr>
        <w:t>n</w:t>
      </w:r>
    </w:p>
    <w:p>
      <w:pPr>
        <w:jc w:val="center"/>
        <w:ind w:right="-39"/>
        <w:spacing w:after="0" w:line="200" w:lineRule="auto"/>
        <w:rPr>
          <w:sz w:val="20"/>
          <w:szCs w:val="20"/>
          <w:color w:val="auto"/>
        </w:rPr>
      </w:pPr>
      <w:r>
        <w:rPr>
          <w:rFonts w:ascii="Arial" w:cs="Arial" w:eastAsia="Arial" w:hAnsi="Arial"/>
          <w:sz w:val="7"/>
          <w:szCs w:val="7"/>
          <w:b w:val="1"/>
          <w:bCs w:val="1"/>
          <w:color w:val="auto"/>
        </w:rPr>
        <w:t>Chairperson of the Board of Directors and Chief Executive Office</w:t>
      </w:r>
    </w:p>
    <w:p>
      <w:pPr>
        <w:spacing w:after="0" w:line="48" w:lineRule="exact"/>
        <w:rPr>
          <w:sz w:val="24"/>
          <w:szCs w:val="24"/>
          <w:color w:val="auto"/>
        </w:rPr>
      </w:pPr>
    </w:p>
    <w:p>
      <w:pPr>
        <w:jc w:val="center"/>
        <w:ind w:left="4000" w:right="3980" w:hanging="1090"/>
        <w:spacing w:after="0" w:line="192" w:lineRule="auto"/>
        <w:tabs>
          <w:tab w:leader="none" w:pos="4230" w:val="left"/>
        </w:tabs>
        <w:numPr>
          <w:ilvl w:val="0"/>
          <w:numId w:val="1"/>
        </w:numPr>
        <w:rPr>
          <w:rFonts w:ascii="Arial" w:cs="Arial" w:eastAsia="Arial" w:hAnsi="Arial"/>
          <w:sz w:val="18"/>
          <w:szCs w:val="18"/>
          <w:b w:val="1"/>
          <w:bCs w:val="1"/>
          <w:color w:val="auto"/>
          <w:vertAlign w:val="superscript"/>
        </w:rPr>
      </w:pPr>
      <w:r>
        <w:rPr>
          <w:rFonts w:ascii="Arial" w:cs="Arial" w:eastAsia="Arial" w:hAnsi="Arial"/>
          <w:sz w:val="9"/>
          <w:szCs w:val="9"/>
          <w:b w:val="1"/>
          <w:bCs w:val="1"/>
          <w:color w:val="auto"/>
        </w:rPr>
        <w:t>Navan, Inc. 3045 Park Boulevard</w:t>
      </w:r>
    </w:p>
    <w:p>
      <w:pPr>
        <w:jc w:val="center"/>
        <w:ind w:right="-39"/>
        <w:spacing w:after="0" w:line="237" w:lineRule="auto"/>
        <w:rPr>
          <w:sz w:val="20"/>
          <w:szCs w:val="20"/>
          <w:color w:val="auto"/>
        </w:rPr>
      </w:pPr>
      <w:r>
        <w:rPr>
          <w:rFonts w:ascii="Arial" w:cs="Arial" w:eastAsia="Arial" w:hAnsi="Arial"/>
          <w:sz w:val="11"/>
          <w:szCs w:val="11"/>
          <w:b w:val="1"/>
          <w:bCs w:val="1"/>
          <w:color w:val="auto"/>
        </w:rPr>
        <w:t>Palo Alto, California 94306</w:t>
      </w:r>
    </w:p>
    <w:p>
      <w:pPr>
        <w:jc w:val="center"/>
        <w:spacing w:after="0"/>
        <w:rPr>
          <w:sz w:val="20"/>
          <w:szCs w:val="20"/>
          <w:color w:val="auto"/>
        </w:rPr>
      </w:pPr>
      <w:r>
        <w:rPr>
          <w:rFonts w:ascii="Arial" w:cs="Arial" w:eastAsia="Arial" w:hAnsi="Arial"/>
          <w:sz w:val="11"/>
          <w:szCs w:val="11"/>
          <w:b w:val="1"/>
          <w:bCs w:val="1"/>
          <w:color w:val="auto"/>
        </w:rPr>
        <w:t>(888) 505-8747</w:t>
      </w:r>
    </w:p>
    <w:p>
      <w:pPr>
        <w:spacing w:after="0" w:line="7" w:lineRule="exact"/>
        <w:rPr>
          <w:sz w:val="24"/>
          <w:szCs w:val="24"/>
          <w:color w:val="auto"/>
        </w:rPr>
      </w:pPr>
    </w:p>
    <w:p>
      <w:pPr>
        <w:jc w:val="center"/>
        <w:ind w:right="180"/>
        <w:spacing w:after="0"/>
        <w:rPr>
          <w:sz w:val="20"/>
          <w:szCs w:val="20"/>
          <w:color w:val="auto"/>
        </w:rPr>
      </w:pPr>
      <w:r>
        <w:rPr>
          <w:rFonts w:ascii="Arial" w:cs="Arial" w:eastAsia="Arial" w:hAnsi="Arial"/>
          <w:sz w:val="9"/>
          <w:szCs w:val="9"/>
          <w:b w:val="1"/>
          <w:bCs w:val="1"/>
          <w:color w:val="auto"/>
        </w:rPr>
        <w:t>(Name, address, including zip code, and telephone number, including area code, of agent for service)</w:t>
      </w:r>
    </w:p>
    <w:p>
      <w:pPr>
        <w:spacing w:after="0" w:line="105" w:lineRule="exact"/>
        <w:rPr>
          <w:sz w:val="24"/>
          <w:szCs w:val="24"/>
          <w:color w:val="auto"/>
        </w:rPr>
      </w:pPr>
    </w:p>
    <w:tbl>
      <w:tblPr>
        <w:tblLayout w:type="fixed"/>
        <w:tblInd w:w="1340" w:type="dxa"/>
        <w:tblCellMar>
          <w:top w:w="0" w:type="dxa"/>
          <w:left w:w="0" w:type="dxa"/>
          <w:bottom w:w="0" w:type="dxa"/>
          <w:right w:w="0" w:type="dxa"/>
        </w:tblCellMar>
      </w:tblPr>
      <w:tr>
        <w:trPr>
          <w:trHeight w:val="126"/>
        </w:trPr>
        <w:tc>
          <w:tcPr>
            <w:tcW w:w="1440" w:type="dxa"/>
            <w:vAlign w:val="bottom"/>
          </w:tcPr>
          <w:p>
            <w:pPr>
              <w:jc w:val="center"/>
              <w:ind w:right="87"/>
              <w:spacing w:after="0"/>
              <w:rPr>
                <w:sz w:val="20"/>
                <w:szCs w:val="20"/>
                <w:color w:val="auto"/>
              </w:rPr>
            </w:pPr>
            <w:r>
              <w:rPr>
                <w:rFonts w:ascii="Arial" w:cs="Arial" w:eastAsia="Arial" w:hAnsi="Arial"/>
                <w:sz w:val="11"/>
                <w:szCs w:val="11"/>
                <w:b w:val="1"/>
                <w:bCs w:val="1"/>
                <w:color w:val="auto"/>
                <w:w w:val="94"/>
              </w:rPr>
              <w:t>John T. McKenna</w:t>
            </w:r>
          </w:p>
        </w:tc>
        <w:tc>
          <w:tcPr>
            <w:tcW w:w="3340" w:type="dxa"/>
            <w:vAlign w:val="bottom"/>
          </w:tcPr>
          <w:p>
            <w:pPr>
              <w:ind w:left="1420"/>
              <w:spacing w:after="0"/>
              <w:rPr>
                <w:sz w:val="20"/>
                <w:szCs w:val="20"/>
                <w:color w:val="auto"/>
              </w:rPr>
            </w:pPr>
            <w:r>
              <w:rPr>
                <w:rFonts w:ascii="Arial" w:cs="Arial" w:eastAsia="Arial" w:hAnsi="Arial"/>
                <w:sz w:val="11"/>
                <w:szCs w:val="11"/>
                <w:b w:val="1"/>
                <w:bCs w:val="1"/>
                <w:color w:val="auto"/>
              </w:rPr>
              <w:t>Howard Bai</w:t>
            </w:r>
          </w:p>
        </w:tc>
        <w:tc>
          <w:tcPr>
            <w:tcW w:w="1720" w:type="dxa"/>
            <w:vAlign w:val="bottom"/>
          </w:tcPr>
          <w:p>
            <w:pPr>
              <w:jc w:val="center"/>
              <w:ind w:left="73"/>
              <w:spacing w:after="0"/>
              <w:rPr>
                <w:sz w:val="20"/>
                <w:szCs w:val="20"/>
                <w:color w:val="auto"/>
              </w:rPr>
            </w:pPr>
            <w:r>
              <w:rPr>
                <w:rFonts w:ascii="Arial" w:cs="Arial" w:eastAsia="Arial" w:hAnsi="Arial"/>
                <w:sz w:val="11"/>
                <w:szCs w:val="11"/>
                <w:b w:val="1"/>
                <w:bCs w:val="1"/>
                <w:color w:val="auto"/>
                <w:w w:val="93"/>
              </w:rPr>
              <w:t>Ran D. Ben-Tzur</w:t>
            </w:r>
          </w:p>
        </w:tc>
        <w:tc>
          <w:tcPr>
            <w:tcW w:w="0" w:type="dxa"/>
            <w:vAlign w:val="bottom"/>
          </w:tcPr>
          <w:p>
            <w:pPr>
              <w:spacing w:after="0"/>
              <w:rPr>
                <w:sz w:val="1"/>
                <w:szCs w:val="1"/>
                <w:color w:val="auto"/>
              </w:rPr>
            </w:pPr>
          </w:p>
        </w:tc>
      </w:tr>
      <w:tr>
        <w:trPr>
          <w:trHeight w:val="67"/>
        </w:trPr>
        <w:tc>
          <w:tcPr>
            <w:tcW w:w="1440" w:type="dxa"/>
            <w:vAlign w:val="bottom"/>
            <w:vMerge w:val="restart"/>
          </w:tcPr>
          <w:p>
            <w:pPr>
              <w:jc w:val="center"/>
              <w:ind w:right="107"/>
              <w:spacing w:after="0" w:line="105" w:lineRule="exact"/>
              <w:rPr>
                <w:sz w:val="20"/>
                <w:szCs w:val="20"/>
                <w:color w:val="auto"/>
              </w:rPr>
            </w:pPr>
            <w:r>
              <w:rPr>
                <w:rFonts w:ascii="Arial" w:cs="Arial" w:eastAsia="Arial" w:hAnsi="Arial"/>
                <w:sz w:val="11"/>
                <w:szCs w:val="11"/>
                <w:b w:val="1"/>
                <w:bCs w:val="1"/>
                <w:color w:val="auto"/>
                <w:w w:val="95"/>
              </w:rPr>
              <w:t>Rachel Proffitt</w:t>
            </w:r>
          </w:p>
        </w:tc>
        <w:tc>
          <w:tcPr>
            <w:tcW w:w="3340" w:type="dxa"/>
            <w:vAlign w:val="bottom"/>
          </w:tcPr>
          <w:p>
            <w:pPr>
              <w:ind w:left="1420"/>
              <w:spacing w:after="0" w:line="67" w:lineRule="exact"/>
              <w:rPr>
                <w:sz w:val="20"/>
                <w:szCs w:val="20"/>
                <w:color w:val="auto"/>
              </w:rPr>
            </w:pPr>
            <w:r>
              <w:rPr>
                <w:rFonts w:ascii="Arial" w:cs="Arial" w:eastAsia="Arial" w:hAnsi="Arial"/>
                <w:sz w:val="7"/>
                <w:szCs w:val="7"/>
                <w:b w:val="1"/>
                <w:bCs w:val="1"/>
                <w:color w:val="auto"/>
              </w:rPr>
              <w:t>k</w:t>
            </w:r>
          </w:p>
        </w:tc>
        <w:tc>
          <w:tcPr>
            <w:tcW w:w="1720" w:type="dxa"/>
            <w:vAlign w:val="bottom"/>
            <w:vMerge w:val="restart"/>
          </w:tcPr>
          <w:p>
            <w:pPr>
              <w:ind w:left="520"/>
              <w:spacing w:after="0" w:line="105" w:lineRule="exact"/>
              <w:rPr>
                <w:sz w:val="20"/>
                <w:szCs w:val="20"/>
                <w:color w:val="auto"/>
              </w:rPr>
            </w:pPr>
            <w:r>
              <w:rPr>
                <w:rFonts w:ascii="Arial" w:cs="Arial" w:eastAsia="Arial" w:hAnsi="Arial"/>
                <w:sz w:val="11"/>
                <w:szCs w:val="11"/>
                <w:b w:val="1"/>
                <w:bCs w:val="1"/>
                <w:color w:val="auto"/>
              </w:rPr>
              <w:t>Cynthia C. Hes</w:t>
            </w:r>
          </w:p>
        </w:tc>
        <w:tc>
          <w:tcPr>
            <w:tcW w:w="0" w:type="dxa"/>
            <w:vAlign w:val="bottom"/>
          </w:tcPr>
          <w:p>
            <w:pPr>
              <w:spacing w:after="0"/>
              <w:rPr>
                <w:sz w:val="1"/>
                <w:szCs w:val="1"/>
                <w:color w:val="auto"/>
              </w:rPr>
            </w:pPr>
          </w:p>
        </w:tc>
      </w:tr>
      <w:tr>
        <w:trPr>
          <w:trHeight w:val="38"/>
        </w:trPr>
        <w:tc>
          <w:tcPr>
            <w:tcW w:w="1440" w:type="dxa"/>
            <w:vAlign w:val="bottom"/>
            <w:vMerge w:val="continue"/>
          </w:tcPr>
          <w:p>
            <w:pPr>
              <w:spacing w:after="0"/>
              <w:rPr>
                <w:sz w:val="3"/>
                <w:szCs w:val="3"/>
                <w:color w:val="auto"/>
              </w:rPr>
            </w:pPr>
          </w:p>
        </w:tc>
        <w:tc>
          <w:tcPr>
            <w:tcW w:w="3340" w:type="dxa"/>
            <w:vAlign w:val="bottom"/>
          </w:tcPr>
          <w:p>
            <w:pPr>
              <w:jc w:val="center"/>
              <w:ind w:left="95"/>
              <w:spacing w:after="0" w:line="39" w:lineRule="exact"/>
              <w:rPr>
                <w:sz w:val="20"/>
                <w:szCs w:val="20"/>
                <w:color w:val="auto"/>
              </w:rPr>
            </w:pPr>
            <w:r>
              <w:rPr>
                <w:rFonts w:ascii="Arial" w:cs="Arial" w:eastAsia="Arial" w:hAnsi="Arial"/>
                <w:sz w:val="4"/>
                <w:szCs w:val="4"/>
                <w:b w:val="1"/>
                <w:bCs w:val="1"/>
                <w:color w:val="auto"/>
              </w:rPr>
              <w:t>General Counsel and Secretary</w:t>
            </w:r>
          </w:p>
        </w:tc>
        <w:tc>
          <w:tcPr>
            <w:tcW w:w="1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7"/>
        </w:trPr>
        <w:tc>
          <w:tcPr>
            <w:tcW w:w="1440" w:type="dxa"/>
            <w:vAlign w:val="bottom"/>
            <w:vMerge w:val="restart"/>
          </w:tcPr>
          <w:p>
            <w:pPr>
              <w:jc w:val="center"/>
              <w:ind w:right="107"/>
              <w:spacing w:after="0" w:line="96" w:lineRule="exact"/>
              <w:rPr>
                <w:sz w:val="20"/>
                <w:szCs w:val="20"/>
                <w:color w:val="auto"/>
              </w:rPr>
            </w:pPr>
            <w:r>
              <w:rPr>
                <w:rFonts w:ascii="Arial" w:cs="Arial" w:eastAsia="Arial" w:hAnsi="Arial"/>
                <w:sz w:val="11"/>
                <w:szCs w:val="11"/>
                <w:b w:val="1"/>
                <w:bCs w:val="1"/>
                <w:color w:val="auto"/>
                <w:w w:val="95"/>
              </w:rPr>
              <w:t>Jon C. Avina</w:t>
            </w:r>
          </w:p>
        </w:tc>
        <w:tc>
          <w:tcPr>
            <w:tcW w:w="3340" w:type="dxa"/>
            <w:vAlign w:val="bottom"/>
            <w:vMerge w:val="restart"/>
          </w:tcPr>
          <w:p>
            <w:pPr>
              <w:jc w:val="center"/>
              <w:ind w:left="75"/>
              <w:spacing w:after="0" w:line="96" w:lineRule="exact"/>
              <w:rPr>
                <w:sz w:val="20"/>
                <w:szCs w:val="20"/>
                <w:color w:val="auto"/>
              </w:rPr>
            </w:pPr>
            <w:r>
              <w:rPr>
                <w:rFonts w:ascii="Arial" w:cs="Arial" w:eastAsia="Arial" w:hAnsi="Arial"/>
                <w:sz w:val="11"/>
                <w:szCs w:val="11"/>
                <w:b w:val="1"/>
                <w:bCs w:val="1"/>
                <w:color w:val="auto"/>
                <w:w w:val="92"/>
              </w:rPr>
              <w:t>Navan, Inc.</w:t>
            </w:r>
          </w:p>
        </w:tc>
        <w:tc>
          <w:tcPr>
            <w:tcW w:w="1720" w:type="dxa"/>
            <w:vAlign w:val="bottom"/>
          </w:tcPr>
          <w:p>
            <w:pPr>
              <w:ind w:left="520"/>
              <w:spacing w:after="0" w:line="67" w:lineRule="exact"/>
              <w:rPr>
                <w:sz w:val="20"/>
                <w:szCs w:val="20"/>
                <w:color w:val="auto"/>
              </w:rPr>
            </w:pPr>
            <w:r>
              <w:rPr>
                <w:rFonts w:ascii="Arial" w:cs="Arial" w:eastAsia="Arial" w:hAnsi="Arial"/>
                <w:sz w:val="7"/>
                <w:szCs w:val="7"/>
                <w:b w:val="1"/>
                <w:bCs w:val="1"/>
                <w:color w:val="auto"/>
              </w:rPr>
              <w:t>s</w:t>
            </w:r>
          </w:p>
        </w:tc>
        <w:tc>
          <w:tcPr>
            <w:tcW w:w="0" w:type="dxa"/>
            <w:vAlign w:val="bottom"/>
          </w:tcPr>
          <w:p>
            <w:pPr>
              <w:spacing w:after="0"/>
              <w:rPr>
                <w:sz w:val="1"/>
                <w:szCs w:val="1"/>
                <w:color w:val="auto"/>
              </w:rPr>
            </w:pPr>
          </w:p>
        </w:tc>
      </w:tr>
      <w:tr>
        <w:trPr>
          <w:trHeight w:val="29"/>
        </w:trPr>
        <w:tc>
          <w:tcPr>
            <w:tcW w:w="1440" w:type="dxa"/>
            <w:vAlign w:val="bottom"/>
            <w:vMerge w:val="continue"/>
          </w:tcPr>
          <w:p>
            <w:pPr>
              <w:spacing w:after="0"/>
              <w:rPr>
                <w:sz w:val="2"/>
                <w:szCs w:val="2"/>
                <w:color w:val="auto"/>
              </w:rPr>
            </w:pPr>
          </w:p>
        </w:tc>
        <w:tc>
          <w:tcPr>
            <w:tcW w:w="3340" w:type="dxa"/>
            <w:vAlign w:val="bottom"/>
            <w:vMerge w:val="continue"/>
          </w:tcPr>
          <w:p>
            <w:pPr>
              <w:spacing w:after="0"/>
              <w:rPr>
                <w:sz w:val="2"/>
                <w:szCs w:val="2"/>
                <w:color w:val="auto"/>
              </w:rPr>
            </w:pPr>
          </w:p>
        </w:tc>
        <w:tc>
          <w:tcPr>
            <w:tcW w:w="1720" w:type="dxa"/>
            <w:vAlign w:val="bottom"/>
          </w:tcPr>
          <w:p>
            <w:pPr>
              <w:jc w:val="center"/>
              <w:ind w:left="93"/>
              <w:spacing w:after="0" w:line="29" w:lineRule="exact"/>
              <w:rPr>
                <w:sz w:val="20"/>
                <w:szCs w:val="20"/>
                <w:color w:val="auto"/>
              </w:rPr>
            </w:pPr>
            <w:r>
              <w:rPr>
                <w:rFonts w:ascii="Arial" w:cs="Arial" w:eastAsia="Arial" w:hAnsi="Arial"/>
                <w:sz w:val="3"/>
                <w:szCs w:val="3"/>
                <w:b w:val="1"/>
                <w:bCs w:val="1"/>
                <w:color w:val="auto"/>
              </w:rPr>
              <w:t>Jennifer J. Hitchcock</w:t>
            </w:r>
          </w:p>
        </w:tc>
        <w:tc>
          <w:tcPr>
            <w:tcW w:w="0" w:type="dxa"/>
            <w:vAlign w:val="bottom"/>
          </w:tcPr>
          <w:p>
            <w:pPr>
              <w:spacing w:after="0" w:line="20" w:lineRule="exact"/>
              <w:rPr>
                <w:sz w:val="1"/>
                <w:szCs w:val="1"/>
                <w:color w:val="auto"/>
              </w:rPr>
            </w:pPr>
          </w:p>
        </w:tc>
      </w:tr>
      <w:tr>
        <w:trPr>
          <w:trHeight w:val="105"/>
        </w:trPr>
        <w:tc>
          <w:tcPr>
            <w:tcW w:w="1440" w:type="dxa"/>
            <w:vAlign w:val="bottom"/>
          </w:tcPr>
          <w:p>
            <w:pPr>
              <w:jc w:val="center"/>
              <w:ind w:right="87"/>
              <w:spacing w:after="0" w:line="105" w:lineRule="exact"/>
              <w:rPr>
                <w:sz w:val="20"/>
                <w:szCs w:val="20"/>
                <w:color w:val="auto"/>
              </w:rPr>
            </w:pPr>
            <w:r>
              <w:rPr>
                <w:rFonts w:ascii="Arial" w:cs="Arial" w:eastAsia="Arial" w:hAnsi="Arial"/>
                <w:sz w:val="11"/>
                <w:szCs w:val="11"/>
                <w:b w:val="1"/>
                <w:bCs w:val="1"/>
                <w:color w:val="auto"/>
                <w:w w:val="93"/>
              </w:rPr>
              <w:t>Milson C. Yu</w:t>
            </w:r>
          </w:p>
        </w:tc>
        <w:tc>
          <w:tcPr>
            <w:tcW w:w="3340" w:type="dxa"/>
            <w:vAlign w:val="bottom"/>
          </w:tcPr>
          <w:p>
            <w:pPr>
              <w:jc w:val="center"/>
              <w:ind w:left="95"/>
              <w:spacing w:after="0" w:line="105" w:lineRule="exact"/>
              <w:rPr>
                <w:sz w:val="20"/>
                <w:szCs w:val="20"/>
                <w:color w:val="auto"/>
              </w:rPr>
            </w:pPr>
            <w:r>
              <w:rPr>
                <w:rFonts w:ascii="Arial" w:cs="Arial" w:eastAsia="Arial" w:hAnsi="Arial"/>
                <w:sz w:val="11"/>
                <w:szCs w:val="11"/>
                <w:b w:val="1"/>
                <w:bCs w:val="1"/>
                <w:color w:val="auto"/>
                <w:w w:val="96"/>
              </w:rPr>
              <w:t>3045 Park Boulevard</w:t>
            </w:r>
          </w:p>
        </w:tc>
        <w:tc>
          <w:tcPr>
            <w:tcW w:w="1720" w:type="dxa"/>
            <w:vAlign w:val="bottom"/>
          </w:tcPr>
          <w:p>
            <w:pPr>
              <w:jc w:val="center"/>
              <w:ind w:left="93"/>
              <w:spacing w:after="0" w:line="105" w:lineRule="exact"/>
              <w:rPr>
                <w:sz w:val="20"/>
                <w:szCs w:val="20"/>
                <w:color w:val="auto"/>
              </w:rPr>
            </w:pPr>
            <w:r>
              <w:rPr>
                <w:rFonts w:ascii="Arial" w:cs="Arial" w:eastAsia="Arial" w:hAnsi="Arial"/>
                <w:sz w:val="11"/>
                <w:szCs w:val="11"/>
                <w:b w:val="1"/>
                <w:bCs w:val="1"/>
                <w:color w:val="auto"/>
                <w:w w:val="94"/>
              </w:rPr>
              <w:t>Aman D. Singh</w:t>
            </w:r>
          </w:p>
        </w:tc>
        <w:tc>
          <w:tcPr>
            <w:tcW w:w="0" w:type="dxa"/>
            <w:vAlign w:val="bottom"/>
          </w:tcPr>
          <w:p>
            <w:pPr>
              <w:spacing w:after="0"/>
              <w:rPr>
                <w:sz w:val="1"/>
                <w:szCs w:val="1"/>
                <w:color w:val="auto"/>
              </w:rPr>
            </w:pPr>
          </w:p>
        </w:tc>
      </w:tr>
      <w:tr>
        <w:trPr>
          <w:trHeight w:val="105"/>
        </w:trPr>
        <w:tc>
          <w:tcPr>
            <w:tcW w:w="1440" w:type="dxa"/>
            <w:vAlign w:val="bottom"/>
          </w:tcPr>
          <w:p>
            <w:pPr>
              <w:jc w:val="center"/>
              <w:ind w:right="107"/>
              <w:spacing w:after="0" w:line="105" w:lineRule="exact"/>
              <w:rPr>
                <w:sz w:val="20"/>
                <w:szCs w:val="20"/>
                <w:color w:val="auto"/>
              </w:rPr>
            </w:pPr>
            <w:r>
              <w:rPr>
                <w:rFonts w:ascii="Arial" w:cs="Arial" w:eastAsia="Arial" w:hAnsi="Arial"/>
                <w:sz w:val="11"/>
                <w:szCs w:val="11"/>
                <w:b w:val="1"/>
                <w:bCs w:val="1"/>
                <w:color w:val="auto"/>
                <w:w w:val="92"/>
              </w:rPr>
              <w:t>Jean Park</w:t>
            </w:r>
          </w:p>
        </w:tc>
        <w:tc>
          <w:tcPr>
            <w:tcW w:w="3340" w:type="dxa"/>
            <w:vAlign w:val="bottom"/>
          </w:tcPr>
          <w:p>
            <w:pPr>
              <w:jc w:val="center"/>
              <w:ind w:left="95"/>
              <w:spacing w:after="0" w:line="105" w:lineRule="exact"/>
              <w:rPr>
                <w:sz w:val="20"/>
                <w:szCs w:val="20"/>
                <w:color w:val="auto"/>
              </w:rPr>
            </w:pPr>
            <w:r>
              <w:rPr>
                <w:rFonts w:ascii="Arial" w:cs="Arial" w:eastAsia="Arial" w:hAnsi="Arial"/>
                <w:sz w:val="11"/>
                <w:szCs w:val="11"/>
                <w:b w:val="1"/>
                <w:bCs w:val="1"/>
                <w:color w:val="auto"/>
                <w:w w:val="95"/>
              </w:rPr>
              <w:t>Palo Alto, California 94306</w:t>
            </w:r>
          </w:p>
        </w:tc>
        <w:tc>
          <w:tcPr>
            <w:tcW w:w="1720" w:type="dxa"/>
            <w:vAlign w:val="bottom"/>
          </w:tcPr>
          <w:p>
            <w:pPr>
              <w:jc w:val="center"/>
              <w:ind w:left="73"/>
              <w:spacing w:after="0" w:line="105" w:lineRule="exact"/>
              <w:rPr>
                <w:sz w:val="20"/>
                <w:szCs w:val="20"/>
                <w:color w:val="auto"/>
              </w:rPr>
            </w:pPr>
            <w:r>
              <w:rPr>
                <w:rFonts w:ascii="Arial" w:cs="Arial" w:eastAsia="Arial" w:hAnsi="Arial"/>
                <w:sz w:val="11"/>
                <w:szCs w:val="11"/>
                <w:b w:val="1"/>
                <w:bCs w:val="1"/>
                <w:color w:val="auto"/>
                <w:w w:val="96"/>
              </w:rPr>
              <w:t>Fenwick &amp; West LLP</w:t>
            </w:r>
          </w:p>
        </w:tc>
        <w:tc>
          <w:tcPr>
            <w:tcW w:w="0" w:type="dxa"/>
            <w:vAlign w:val="bottom"/>
          </w:tcPr>
          <w:p>
            <w:pPr>
              <w:spacing w:after="0"/>
              <w:rPr>
                <w:sz w:val="1"/>
                <w:szCs w:val="1"/>
                <w:color w:val="auto"/>
              </w:rPr>
            </w:pPr>
          </w:p>
        </w:tc>
      </w:tr>
      <w:tr>
        <w:trPr>
          <w:trHeight w:val="96"/>
        </w:trPr>
        <w:tc>
          <w:tcPr>
            <w:tcW w:w="1440" w:type="dxa"/>
            <w:vAlign w:val="bottom"/>
          </w:tcPr>
          <w:p>
            <w:pPr>
              <w:jc w:val="center"/>
              <w:ind w:right="87"/>
              <w:spacing w:after="0" w:line="96" w:lineRule="exact"/>
              <w:rPr>
                <w:sz w:val="20"/>
                <w:szCs w:val="20"/>
                <w:color w:val="auto"/>
              </w:rPr>
            </w:pPr>
            <w:r>
              <w:rPr>
                <w:rFonts w:ascii="Arial" w:cs="Arial" w:eastAsia="Arial" w:hAnsi="Arial"/>
                <w:sz w:val="11"/>
                <w:szCs w:val="11"/>
                <w:b w:val="1"/>
                <w:bCs w:val="1"/>
                <w:color w:val="auto"/>
                <w:w w:val="95"/>
              </w:rPr>
              <w:t>Cooley LLP</w:t>
            </w:r>
          </w:p>
        </w:tc>
        <w:tc>
          <w:tcPr>
            <w:tcW w:w="3340" w:type="dxa"/>
            <w:vAlign w:val="bottom"/>
          </w:tcPr>
          <w:p>
            <w:pPr>
              <w:jc w:val="center"/>
              <w:ind w:left="95"/>
              <w:spacing w:after="0" w:line="96" w:lineRule="exact"/>
              <w:rPr>
                <w:sz w:val="20"/>
                <w:szCs w:val="20"/>
                <w:color w:val="auto"/>
              </w:rPr>
            </w:pPr>
            <w:r>
              <w:rPr>
                <w:rFonts w:ascii="Arial" w:cs="Arial" w:eastAsia="Arial" w:hAnsi="Arial"/>
                <w:sz w:val="11"/>
                <w:szCs w:val="11"/>
                <w:b w:val="1"/>
                <w:bCs w:val="1"/>
                <w:color w:val="auto"/>
                <w:w w:val="95"/>
              </w:rPr>
              <w:t>(888) 505-8747</w:t>
            </w:r>
          </w:p>
        </w:tc>
        <w:tc>
          <w:tcPr>
            <w:tcW w:w="1720" w:type="dxa"/>
            <w:vAlign w:val="bottom"/>
          </w:tcPr>
          <w:p>
            <w:pPr>
              <w:jc w:val="center"/>
              <w:ind w:left="93"/>
              <w:spacing w:after="0" w:line="96" w:lineRule="exact"/>
              <w:rPr>
                <w:sz w:val="20"/>
                <w:szCs w:val="20"/>
                <w:color w:val="auto"/>
              </w:rPr>
            </w:pPr>
            <w:r>
              <w:rPr>
                <w:rFonts w:ascii="Arial" w:cs="Arial" w:eastAsia="Arial" w:hAnsi="Arial"/>
                <w:sz w:val="11"/>
                <w:szCs w:val="11"/>
                <w:b w:val="1"/>
                <w:bCs w:val="1"/>
                <w:color w:val="auto"/>
                <w:w w:val="95"/>
              </w:rPr>
              <w:t>801 California Street</w:t>
            </w:r>
          </w:p>
        </w:tc>
        <w:tc>
          <w:tcPr>
            <w:tcW w:w="0" w:type="dxa"/>
            <w:vAlign w:val="bottom"/>
          </w:tcPr>
          <w:p>
            <w:pPr>
              <w:spacing w:after="0"/>
              <w:rPr>
                <w:sz w:val="1"/>
                <w:szCs w:val="1"/>
                <w:color w:val="auto"/>
              </w:rPr>
            </w:pPr>
          </w:p>
        </w:tc>
      </w:tr>
      <w:tr>
        <w:trPr>
          <w:trHeight w:val="105"/>
        </w:trPr>
        <w:tc>
          <w:tcPr>
            <w:tcW w:w="1440" w:type="dxa"/>
            <w:vAlign w:val="bottom"/>
          </w:tcPr>
          <w:p>
            <w:pPr>
              <w:jc w:val="center"/>
              <w:ind w:right="87"/>
              <w:spacing w:after="0" w:line="105" w:lineRule="exact"/>
              <w:rPr>
                <w:sz w:val="20"/>
                <w:szCs w:val="20"/>
                <w:color w:val="auto"/>
              </w:rPr>
            </w:pPr>
            <w:r>
              <w:rPr>
                <w:rFonts w:ascii="Arial" w:cs="Arial" w:eastAsia="Arial" w:hAnsi="Arial"/>
                <w:sz w:val="11"/>
                <w:szCs w:val="11"/>
                <w:b w:val="1"/>
                <w:bCs w:val="1"/>
                <w:color w:val="auto"/>
                <w:w w:val="96"/>
              </w:rPr>
              <w:t>3175 Hanover Street</w:t>
            </w:r>
          </w:p>
        </w:tc>
        <w:tc>
          <w:tcPr>
            <w:tcW w:w="3340" w:type="dxa"/>
            <w:vAlign w:val="bottom"/>
          </w:tcPr>
          <w:p>
            <w:pPr>
              <w:spacing w:after="0"/>
              <w:rPr>
                <w:sz w:val="9"/>
                <w:szCs w:val="9"/>
                <w:color w:val="auto"/>
              </w:rPr>
            </w:pPr>
          </w:p>
        </w:tc>
        <w:tc>
          <w:tcPr>
            <w:tcW w:w="1720" w:type="dxa"/>
            <w:vAlign w:val="bottom"/>
          </w:tcPr>
          <w:p>
            <w:pPr>
              <w:jc w:val="center"/>
              <w:ind w:left="73"/>
              <w:spacing w:after="0" w:line="105" w:lineRule="exact"/>
              <w:rPr>
                <w:sz w:val="20"/>
                <w:szCs w:val="20"/>
                <w:color w:val="auto"/>
              </w:rPr>
            </w:pPr>
            <w:r>
              <w:rPr>
                <w:rFonts w:ascii="Arial" w:cs="Arial" w:eastAsia="Arial" w:hAnsi="Arial"/>
                <w:sz w:val="11"/>
                <w:szCs w:val="11"/>
                <w:b w:val="1"/>
                <w:bCs w:val="1"/>
                <w:color w:val="auto"/>
                <w:w w:val="95"/>
              </w:rPr>
              <w:t>Mountain View, California 94041</w:t>
            </w:r>
          </w:p>
        </w:tc>
        <w:tc>
          <w:tcPr>
            <w:tcW w:w="0" w:type="dxa"/>
            <w:vAlign w:val="bottom"/>
          </w:tcPr>
          <w:p>
            <w:pPr>
              <w:spacing w:after="0"/>
              <w:rPr>
                <w:sz w:val="1"/>
                <w:szCs w:val="1"/>
                <w:color w:val="auto"/>
              </w:rPr>
            </w:pPr>
          </w:p>
        </w:tc>
      </w:tr>
      <w:tr>
        <w:trPr>
          <w:trHeight w:val="105"/>
        </w:trPr>
        <w:tc>
          <w:tcPr>
            <w:tcW w:w="1440" w:type="dxa"/>
            <w:vAlign w:val="bottom"/>
          </w:tcPr>
          <w:p>
            <w:pPr>
              <w:jc w:val="center"/>
              <w:ind w:right="67"/>
              <w:spacing w:after="0" w:line="105" w:lineRule="exact"/>
              <w:rPr>
                <w:sz w:val="20"/>
                <w:szCs w:val="20"/>
                <w:color w:val="auto"/>
              </w:rPr>
            </w:pPr>
            <w:r>
              <w:rPr>
                <w:rFonts w:ascii="Arial" w:cs="Arial" w:eastAsia="Arial" w:hAnsi="Arial"/>
                <w:sz w:val="11"/>
                <w:szCs w:val="11"/>
                <w:b w:val="1"/>
                <w:bCs w:val="1"/>
                <w:color w:val="auto"/>
                <w:w w:val="95"/>
              </w:rPr>
              <w:t>Palo Alto, California 94304</w:t>
            </w:r>
          </w:p>
        </w:tc>
        <w:tc>
          <w:tcPr>
            <w:tcW w:w="3340" w:type="dxa"/>
            <w:vAlign w:val="bottom"/>
          </w:tcPr>
          <w:p>
            <w:pPr>
              <w:spacing w:after="0"/>
              <w:rPr>
                <w:sz w:val="9"/>
                <w:szCs w:val="9"/>
                <w:color w:val="auto"/>
              </w:rPr>
            </w:pPr>
          </w:p>
        </w:tc>
        <w:tc>
          <w:tcPr>
            <w:tcW w:w="1720" w:type="dxa"/>
            <w:vAlign w:val="bottom"/>
          </w:tcPr>
          <w:p>
            <w:pPr>
              <w:jc w:val="center"/>
              <w:ind w:left="73"/>
              <w:spacing w:after="0" w:line="105" w:lineRule="exact"/>
              <w:rPr>
                <w:sz w:val="20"/>
                <w:szCs w:val="20"/>
                <w:color w:val="auto"/>
              </w:rPr>
            </w:pPr>
            <w:r>
              <w:rPr>
                <w:rFonts w:ascii="Arial" w:cs="Arial" w:eastAsia="Arial" w:hAnsi="Arial"/>
                <w:sz w:val="11"/>
                <w:szCs w:val="11"/>
                <w:b w:val="1"/>
                <w:bCs w:val="1"/>
                <w:color w:val="auto"/>
                <w:w w:val="95"/>
              </w:rPr>
              <w:t>(650) 988-8500</w:t>
            </w:r>
          </w:p>
        </w:tc>
        <w:tc>
          <w:tcPr>
            <w:tcW w:w="0" w:type="dxa"/>
            <w:vAlign w:val="bottom"/>
          </w:tcPr>
          <w:p>
            <w:pPr>
              <w:spacing w:after="0"/>
              <w:rPr>
                <w:sz w:val="1"/>
                <w:szCs w:val="1"/>
                <w:color w:val="auto"/>
              </w:rPr>
            </w:pPr>
          </w:p>
        </w:tc>
      </w:tr>
      <w:tr>
        <w:trPr>
          <w:trHeight w:val="143"/>
        </w:trPr>
        <w:tc>
          <w:tcPr>
            <w:tcW w:w="1440" w:type="dxa"/>
            <w:vAlign w:val="bottom"/>
          </w:tcPr>
          <w:p>
            <w:pPr>
              <w:jc w:val="center"/>
              <w:ind w:right="107"/>
              <w:spacing w:after="0"/>
              <w:rPr>
                <w:sz w:val="20"/>
                <w:szCs w:val="20"/>
                <w:color w:val="auto"/>
              </w:rPr>
            </w:pPr>
            <w:r>
              <w:rPr>
                <w:rFonts w:ascii="Arial" w:cs="Arial" w:eastAsia="Arial" w:hAnsi="Arial"/>
                <w:sz w:val="11"/>
                <w:szCs w:val="11"/>
                <w:b w:val="1"/>
                <w:bCs w:val="1"/>
                <w:color w:val="auto"/>
                <w:w w:val="95"/>
              </w:rPr>
              <w:t>(650) 843-5000</w:t>
            </w:r>
          </w:p>
        </w:tc>
        <w:tc>
          <w:tcPr>
            <w:tcW w:w="3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144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Arial" w:cs="Arial" w:eastAsia="Arial" w:hAnsi="Arial"/>
                <w:sz w:val="9"/>
                <w:szCs w:val="9"/>
                <w:b w:val="1"/>
                <w:bCs w:val="1"/>
                <w:color w:val="auto"/>
                <w:w w:val="95"/>
              </w:rPr>
              <w:t>Approximate date of commencement of proposed sale to the public:</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3340" w:type="dxa"/>
            <w:vAlign w:val="bottom"/>
          </w:tcPr>
          <w:p>
            <w:pPr>
              <w:jc w:val="center"/>
              <w:spacing w:after="0"/>
              <w:rPr>
                <w:sz w:val="20"/>
                <w:szCs w:val="20"/>
                <w:color w:val="auto"/>
              </w:rPr>
            </w:pPr>
            <w:r>
              <w:rPr>
                <w:rFonts w:ascii="Arial" w:cs="Arial" w:eastAsia="Arial" w:hAnsi="Arial"/>
                <w:sz w:val="9"/>
                <w:szCs w:val="9"/>
                <w:b w:val="1"/>
                <w:bCs w:val="1"/>
                <w:color w:val="auto"/>
                <w:w w:val="95"/>
              </w:rPr>
              <w:t>As soon as practicable after the effective date of this registration statement.</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720" w:right="820"/>
        <w:spacing w:after="0" w:line="278" w:lineRule="auto"/>
        <w:rPr>
          <w:sz w:val="20"/>
          <w:szCs w:val="20"/>
          <w:color w:val="auto"/>
        </w:rPr>
      </w:pPr>
      <w:r>
        <w:rPr>
          <w:rFonts w:ascii="Arial" w:cs="Arial" w:eastAsia="Arial" w:hAnsi="Arial"/>
          <w:sz w:val="11"/>
          <w:szCs w:val="11"/>
          <w:color w:val="auto"/>
        </w:rPr>
        <w:t>If any of the securities being registered on this Form are to be offered on a delayed or continuous basis pursuant to Rule 415 under the Securities Act of 1933, as amended, or Securities Act, check the following box:</w:t>
      </w:r>
    </w:p>
    <w:p>
      <w:pPr>
        <w:spacing w:after="0" w:line="32" w:lineRule="exact"/>
        <w:rPr>
          <w:sz w:val="24"/>
          <w:szCs w:val="24"/>
          <w:color w:val="auto"/>
        </w:rPr>
      </w:pPr>
    </w:p>
    <w:p>
      <w:pPr>
        <w:ind w:left="720" w:right="600"/>
        <w:spacing w:after="0" w:line="278" w:lineRule="auto"/>
        <w:rPr>
          <w:sz w:val="20"/>
          <w:szCs w:val="20"/>
          <w:color w:val="auto"/>
        </w:rPr>
      </w:pPr>
      <w:r>
        <w:rPr>
          <w:rFonts w:ascii="Arial" w:cs="Arial" w:eastAsia="Arial" w:hAnsi="Arial"/>
          <w:sz w:val="11"/>
          <w:szCs w:val="11"/>
          <w:color w:val="auto"/>
        </w:rPr>
        <w:t>If this Form is filed to register additional securities for an offering pursuant to Rule 462(b) under the Securities Act, please check the following box and list the Securitie Act registration statement number of the earlier effective registration statement for the same offering.</w:t>
      </w:r>
    </w:p>
    <w:p>
      <w:pPr>
        <w:spacing w:after="0" w:line="23" w:lineRule="exact"/>
        <w:rPr>
          <w:sz w:val="24"/>
          <w:szCs w:val="24"/>
          <w:color w:val="auto"/>
        </w:rPr>
      </w:pPr>
    </w:p>
    <w:p>
      <w:pPr>
        <w:ind w:left="720" w:right="940"/>
        <w:spacing w:after="0" w:line="278" w:lineRule="auto"/>
        <w:rPr>
          <w:sz w:val="20"/>
          <w:szCs w:val="20"/>
          <w:color w:val="auto"/>
        </w:rPr>
      </w:pPr>
      <w:r>
        <w:rPr>
          <w:rFonts w:ascii="Arial" w:cs="Arial" w:eastAsia="Arial" w:hAnsi="Arial"/>
          <w:sz w:val="11"/>
          <w:szCs w:val="11"/>
          <w:color w:val="auto"/>
        </w:rPr>
        <w:t>If this Form is a post-effective amendment filed pursuant to Rule 462(c) under the Securities Act, check the following box and list the Securities Act registration statement number of the earlier effective registration statement for the same offering.</w:t>
      </w:r>
    </w:p>
    <w:p>
      <w:pPr>
        <w:spacing w:after="0" w:line="32" w:lineRule="exact"/>
        <w:rPr>
          <w:sz w:val="24"/>
          <w:szCs w:val="24"/>
          <w:color w:val="auto"/>
        </w:rPr>
      </w:pPr>
    </w:p>
    <w:p>
      <w:pPr>
        <w:ind w:left="720" w:right="940"/>
        <w:spacing w:after="0" w:line="278" w:lineRule="auto"/>
        <w:rPr>
          <w:sz w:val="20"/>
          <w:szCs w:val="20"/>
          <w:color w:val="auto"/>
        </w:rPr>
      </w:pPr>
      <w:r>
        <w:rPr>
          <w:rFonts w:ascii="Arial" w:cs="Arial" w:eastAsia="Arial" w:hAnsi="Arial"/>
          <w:sz w:val="11"/>
          <w:szCs w:val="11"/>
          <w:color w:val="auto"/>
        </w:rPr>
        <w:t>If this Form is a post-effective amendment filed pursuant to Rule 462(d) under the Securities Act, check the following box and list the Securities Act registration statement number of the earlier effective registration statement for the same offering.</w:t>
      </w:r>
    </w:p>
    <w:p>
      <w:pPr>
        <w:spacing w:after="0" w:line="32" w:lineRule="exact"/>
        <w:rPr>
          <w:sz w:val="24"/>
          <w:szCs w:val="24"/>
          <w:color w:val="auto"/>
        </w:rPr>
      </w:pPr>
    </w:p>
    <w:p>
      <w:pPr>
        <w:ind w:left="720" w:right="640"/>
        <w:spacing w:after="0" w:line="239"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ectPr>
          <w:pgSz w:w="11900" w:h="16840" w:orient="portrait"/>
          <w:cols w:equalWidth="0" w:num="1">
            <w:col w:w="9020"/>
          </w:cols>
          <w:pgMar w:left="1440" w:top="625" w:right="1440" w:bottom="122" w:gutter="0" w:footer="0" w:header="0"/>
        </w:sectPr>
      </w:pPr>
    </w:p>
    <w:p>
      <w:pPr>
        <w:spacing w:after="0" w:line="101" w:lineRule="exact"/>
        <w:rPr>
          <w:sz w:val="24"/>
          <w:szCs w:val="24"/>
          <w:color w:val="auto"/>
        </w:rPr>
      </w:pPr>
    </w:p>
    <w:p>
      <w:pPr>
        <w:ind w:left="740"/>
        <w:spacing w:after="0"/>
        <w:rPr>
          <w:sz w:val="20"/>
          <w:szCs w:val="20"/>
          <w:color w:val="auto"/>
        </w:rPr>
      </w:pPr>
      <w:r>
        <w:rPr>
          <w:rFonts w:ascii="Arial" w:cs="Arial" w:eastAsia="Arial" w:hAnsi="Arial"/>
          <w:sz w:val="9"/>
          <w:szCs w:val="9"/>
          <w:color w:val="auto"/>
        </w:rPr>
        <w:t>Large accelerated filer</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Arial" w:cs="Arial" w:eastAsia="Arial" w:hAnsi="Arial"/>
          <w:sz w:val="9"/>
          <w:szCs w:val="9"/>
          <w:color w:val="auto"/>
        </w:rPr>
        <w:t>Accelerated filer</w:t>
      </w:r>
    </w:p>
    <w:p>
      <w:pPr>
        <w:spacing w:after="0" w:line="59" w:lineRule="exact"/>
        <w:rPr>
          <w:sz w:val="24"/>
          <w:szCs w:val="24"/>
          <w:color w:val="auto"/>
        </w:rPr>
      </w:pPr>
    </w:p>
    <w:p>
      <w:pPr>
        <w:sectPr>
          <w:pgSz w:w="11900" w:h="16840" w:orient="portrait"/>
          <w:cols w:equalWidth="0" w:num="2">
            <w:col w:w="5100" w:space="720"/>
            <w:col w:w="3200"/>
          </w:cols>
          <w:pgMar w:left="1440" w:top="625" w:right="1440" w:bottom="122" w:gutter="0" w:footer="0" w:header="0"/>
          <w:type w:val="continuous"/>
        </w:sectPr>
      </w:pPr>
    </w:p>
    <w:p>
      <w:pPr>
        <w:ind w:left="740"/>
        <w:spacing w:after="0"/>
        <w:rPr>
          <w:sz w:val="20"/>
          <w:szCs w:val="20"/>
          <w:color w:val="auto"/>
        </w:rPr>
      </w:pPr>
      <w:r>
        <w:rPr>
          <w:rFonts w:ascii="Arial" w:cs="Arial" w:eastAsia="Arial" w:hAnsi="Arial"/>
          <w:sz w:val="9"/>
          <w:szCs w:val="9"/>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color w:val="auto"/>
        </w:rPr>
        <w:t>Smaller reporting company</w:t>
      </w:r>
    </w:p>
    <w:p>
      <w:pPr>
        <w:spacing w:after="0" w:line="59" w:lineRule="exact"/>
        <w:rPr>
          <w:sz w:val="24"/>
          <w:szCs w:val="24"/>
          <w:color w:val="auto"/>
        </w:rPr>
      </w:pPr>
    </w:p>
    <w:p>
      <w:pPr>
        <w:sectPr>
          <w:pgSz w:w="11900" w:h="16840" w:orient="portrait"/>
          <w:cols w:equalWidth="0" w:num="2">
            <w:col w:w="5100" w:space="720"/>
            <w:col w:w="3200"/>
          </w:cols>
          <w:pgMar w:left="1440" w:top="625" w:right="1440" w:bottom="122" w:gutter="0" w:footer="0" w:header="0"/>
          <w:type w:val="continuous"/>
        </w:sectPr>
      </w:pPr>
    </w:p>
    <w:p>
      <w:pPr>
        <w:ind w:left="5820"/>
        <w:spacing w:after="0"/>
        <w:rPr>
          <w:sz w:val="20"/>
          <w:szCs w:val="20"/>
          <w:color w:val="auto"/>
        </w:rPr>
      </w:pPr>
      <w:r>
        <w:rPr>
          <w:rFonts w:ascii="Arial" w:cs="Arial" w:eastAsia="Arial" w:hAnsi="Arial"/>
          <w:sz w:val="9"/>
          <w:szCs w:val="9"/>
          <w:color w:val="auto"/>
        </w:rPr>
        <w:t>Emerging growth company</w:t>
      </w:r>
    </w:p>
    <w:p>
      <w:pPr>
        <w:sectPr>
          <w:pgSz w:w="11900" w:h="16840" w:orient="portrait"/>
          <w:cols w:equalWidth="0" w:num="1">
            <w:col w:w="9020"/>
          </w:cols>
          <w:pgMar w:left="1440" w:top="625" w:right="1440" w:bottom="122" w:gutter="0" w:footer="0" w:header="0"/>
          <w:type w:val="continuous"/>
        </w:sectPr>
      </w:pPr>
    </w:p>
    <w:p>
      <w:pPr>
        <w:spacing w:after="0" w:line="164" w:lineRule="exact"/>
        <w:rPr>
          <w:sz w:val="24"/>
          <w:szCs w:val="24"/>
          <w:color w:val="auto"/>
        </w:rPr>
      </w:pPr>
    </w:p>
    <w:p>
      <w:pPr>
        <w:ind w:left="720" w:right="720"/>
        <w:spacing w:after="0" w:line="260" w:lineRule="auto"/>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42" w:lineRule="exact"/>
        <w:rPr>
          <w:sz w:val="24"/>
          <w:szCs w:val="24"/>
          <w:color w:val="auto"/>
        </w:rPr>
      </w:pPr>
    </w:p>
    <w:p>
      <w:pPr>
        <w:ind w:left="720"/>
        <w:spacing w:after="0"/>
        <w:rPr>
          <w:sz w:val="20"/>
          <w:szCs w:val="20"/>
          <w:color w:val="auto"/>
        </w:rPr>
      </w:pPr>
      <w:r>
        <w:rPr>
          <w:rFonts w:ascii="Arial" w:cs="Arial" w:eastAsia="Arial" w:hAnsi="Arial"/>
          <w:sz w:val="11"/>
          <w:szCs w:val="11"/>
          <w:b w:val="1"/>
          <w:bCs w:val="1"/>
          <w:color w:val="auto"/>
        </w:rPr>
        <w:t>This registration statement shall hereafter become effective in accordance with the provisions of Section 8(a) of the Securities Act of 1933.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36,924,406 Shares</w:t>
      </w:r>
    </w:p>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Navan, Inc.</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Class A Common Stock</w:t>
      </w:r>
    </w:p>
    <w:p>
      <w:pPr>
        <w:spacing w:after="0" w:line="129" w:lineRule="exact"/>
        <w:rPr>
          <w:sz w:val="24"/>
          <w:szCs w:val="24"/>
          <w:color w:val="auto"/>
        </w:rPr>
      </w:pPr>
    </w:p>
    <w:p>
      <w:pPr>
        <w:ind w:left="760" w:right="600" w:firstLine="230"/>
        <w:spacing w:after="0" w:line="206" w:lineRule="auto"/>
        <w:rPr>
          <w:sz w:val="20"/>
          <w:szCs w:val="20"/>
          <w:color w:val="auto"/>
        </w:rPr>
      </w:pPr>
      <w:r>
        <w:rPr>
          <w:rFonts w:ascii="Arial" w:cs="Arial" w:eastAsia="Arial" w:hAnsi="Arial"/>
          <w:sz w:val="11"/>
          <w:szCs w:val="11"/>
          <w:color w:val="auto"/>
        </w:rPr>
        <w:t>This is the initial public offering of shares of Class A common stock of Navan, Inc. We are offering 30,000,000 shares of our Class A common stock in this offering. The selling stockholders identified in this prospectus are offering an additional 6,924,406 shares of Class A common stock. We will not receive any proceeds from the sale of shares of Class A common stock by the selling stockholders</w:t>
      </w:r>
    </w:p>
    <w:p>
      <w:pPr>
        <w:ind w:left="760"/>
        <w:spacing w:after="0" w:line="236" w:lineRule="auto"/>
        <w:rPr>
          <w:sz w:val="20"/>
          <w:szCs w:val="20"/>
          <w:color w:val="auto"/>
        </w:rPr>
      </w:pPr>
      <w:r>
        <w:rPr>
          <w:rFonts w:ascii="Arial" w:cs="Arial" w:eastAsia="Arial" w:hAnsi="Arial"/>
          <w:sz w:val="11"/>
          <w:szCs w:val="11"/>
          <w:color w:val="auto"/>
        </w:rPr>
        <w:t>.</w:t>
      </w:r>
    </w:p>
    <w:p>
      <w:pPr>
        <w:ind w:left="760" w:right="640" w:firstLine="230"/>
        <w:spacing w:after="0" w:line="231" w:lineRule="auto"/>
        <w:rPr>
          <w:sz w:val="20"/>
          <w:szCs w:val="20"/>
          <w:color w:val="auto"/>
        </w:rPr>
      </w:pPr>
      <w:r>
        <w:rPr>
          <w:rFonts w:ascii="Arial" w:cs="Arial" w:eastAsia="Arial" w:hAnsi="Arial"/>
          <w:sz w:val="11"/>
          <w:szCs w:val="11"/>
          <w:color w:val="auto"/>
        </w:rPr>
        <w:t>Prior to this offering, there has been no public market for our Class A common stock. It is currently estimated that the initial public offering price per share of our Class A common stock will be between$24.00 and $26.00.</w:t>
      </w:r>
    </w:p>
    <w:p>
      <w:pPr>
        <w:spacing w:after="0" w:line="53" w:lineRule="exact"/>
        <w:rPr>
          <w:sz w:val="24"/>
          <w:szCs w:val="24"/>
          <w:color w:val="auto"/>
        </w:rPr>
      </w:pPr>
    </w:p>
    <w:p>
      <w:pPr>
        <w:ind w:left="760" w:right="660" w:firstLine="230"/>
        <w:spacing w:after="0" w:line="260" w:lineRule="auto"/>
        <w:rPr>
          <w:sz w:val="20"/>
          <w:szCs w:val="20"/>
          <w:color w:val="auto"/>
        </w:rPr>
      </w:pPr>
      <w:r>
        <w:rPr>
          <w:rFonts w:ascii="Arial" w:cs="Arial" w:eastAsia="Arial" w:hAnsi="Arial"/>
          <w:sz w:val="11"/>
          <w:szCs w:val="11"/>
          <w:color w:val="auto"/>
        </w:rPr>
        <w:t>We have applied to list our Class A common stock on the Nasdaq Global Select Market, or Nasdaq, under the symbol “NAVN.” This offering is contingent upon final approval of our listing of our Class A common stock on Nasdaq.</w:t>
      </w:r>
    </w:p>
    <w:p>
      <w:pPr>
        <w:spacing w:after="0" w:line="32" w:lineRule="exact"/>
        <w:rPr>
          <w:sz w:val="24"/>
          <w:szCs w:val="24"/>
          <w:color w:val="auto"/>
        </w:rPr>
      </w:pPr>
    </w:p>
    <w:p>
      <w:pPr>
        <w:ind w:left="980" w:right="760"/>
        <w:spacing w:after="0"/>
        <w:rPr>
          <w:sz w:val="20"/>
          <w:szCs w:val="20"/>
          <w:color w:val="auto"/>
        </w:rPr>
      </w:pPr>
      <w:r>
        <w:rPr>
          <w:rFonts w:ascii="Arial" w:cs="Arial" w:eastAsia="Arial" w:hAnsi="Arial"/>
          <w:sz w:val="9"/>
          <w:szCs w:val="9"/>
          <w:color w:val="auto"/>
        </w:rPr>
        <w:t>Following this offering, we will have two classes of authorized common stock, Class A common stock and Class B common stock. The rights of the holders o f</w:t>
      </w:r>
    </w:p>
    <w:p>
      <w:pPr>
        <w:spacing w:after="0" w:line="31" w:lineRule="exact"/>
        <w:rPr>
          <w:sz w:val="24"/>
          <w:szCs w:val="24"/>
          <w:color w:val="auto"/>
        </w:rPr>
      </w:pPr>
    </w:p>
    <w:p>
      <w:pPr>
        <w:ind w:left="760" w:right="660"/>
        <w:spacing w:after="0"/>
        <w:rPr>
          <w:sz w:val="20"/>
          <w:szCs w:val="20"/>
          <w:color w:val="auto"/>
        </w:rPr>
      </w:pPr>
      <w:r>
        <w:rPr>
          <w:rFonts w:ascii="Arial" w:cs="Arial" w:eastAsia="Arial" w:hAnsi="Arial"/>
          <w:sz w:val="9"/>
          <w:szCs w:val="9"/>
          <w:color w:val="auto"/>
        </w:rPr>
        <w:t>Class A common stock and Class B common stock are identical, except with respect to voting and conversion rights. Each share of Class A common stock is entitle d</w:t>
      </w:r>
    </w:p>
    <w:p>
      <w:pPr>
        <w:spacing w:after="0" w:line="21" w:lineRule="exact"/>
        <w:rPr>
          <w:sz w:val="24"/>
          <w:szCs w:val="24"/>
          <w:color w:val="auto"/>
        </w:rPr>
      </w:pPr>
    </w:p>
    <w:p>
      <w:pPr>
        <w:ind w:left="760" w:right="640"/>
        <w:spacing w:after="0"/>
        <w:rPr>
          <w:sz w:val="20"/>
          <w:szCs w:val="20"/>
          <w:color w:val="auto"/>
        </w:rPr>
      </w:pPr>
      <w:r>
        <w:rPr>
          <w:rFonts w:ascii="Arial" w:cs="Arial" w:eastAsia="Arial" w:hAnsi="Arial"/>
          <w:sz w:val="9"/>
          <w:szCs w:val="9"/>
          <w:color w:val="auto"/>
        </w:rPr>
        <w:t>to one vote per share. Each share of Class B common stock is entitled to 30 votes per share and is convertible into one share of Class A common stock. Immediatel y</w:t>
      </w:r>
    </w:p>
    <w:p>
      <w:pPr>
        <w:spacing w:after="0" w:line="11" w:lineRule="exact"/>
        <w:rPr>
          <w:sz w:val="24"/>
          <w:szCs w:val="24"/>
          <w:color w:val="auto"/>
        </w:rPr>
      </w:pPr>
    </w:p>
    <w:p>
      <w:pPr>
        <w:ind w:left="760" w:right="600"/>
        <w:spacing w:after="0" w:line="234" w:lineRule="auto"/>
        <w:rPr>
          <w:sz w:val="20"/>
          <w:szCs w:val="20"/>
          <w:color w:val="auto"/>
        </w:rPr>
      </w:pPr>
      <w:r>
        <w:rPr>
          <w:rFonts w:ascii="Arial" w:cs="Arial" w:eastAsia="Arial" w:hAnsi="Arial"/>
          <w:sz w:val="11"/>
          <w:szCs w:val="11"/>
          <w:color w:val="auto"/>
        </w:rPr>
        <w:t>following the completion of this offering, and assuming no exercise of the underwriters’ option to purchase additional shares, Ariel Cohen, our co-founder, Chief Executive Officer, and chairperson of our board of directors will hold or have the ability to control approximately24% of the voting power of our outstanding capital stock, and Ilan Twig, our co-founder, Chief Technology Officer, and a member of our board of directors will hold or have the ability to control approximately43% of the voting power of our outstanding capital stock, which voting power may increase over time upon the exercise or settlement and exchange of equity awards held by our co-founders pursuant to their equity exchange rights, as described further under the sections titled “Prospectus Summary—The Offering” and “Principal and Selling Stockholders.” As a result, our co-founders, together, may have significant influence over the outcome of matters submitted to our stockholders for approval, includin the election of our directors and the approval of any change of control transaction.</w:t>
      </w:r>
    </w:p>
    <w:p>
      <w:pPr>
        <w:spacing w:after="0" w:line="55" w:lineRule="exact"/>
        <w:rPr>
          <w:sz w:val="24"/>
          <w:szCs w:val="24"/>
          <w:color w:val="auto"/>
        </w:rPr>
      </w:pPr>
    </w:p>
    <w:p>
      <w:pPr>
        <w:ind w:left="760" w:right="820" w:firstLine="230"/>
        <w:spacing w:after="0" w:line="260" w:lineRule="auto"/>
        <w:rPr>
          <w:sz w:val="20"/>
          <w:szCs w:val="20"/>
          <w:color w:val="auto"/>
        </w:rPr>
      </w:pPr>
      <w:r>
        <w:rPr>
          <w:rFonts w:ascii="Arial" w:cs="Arial" w:eastAsia="Arial" w:hAnsi="Arial"/>
          <w:sz w:val="11"/>
          <w:szCs w:val="11"/>
          <w:color w:val="auto"/>
        </w:rPr>
        <w:t>We are an “emerging growth company” as defined under the federal securities laws, and as such, we have elected to comply with certain reduced reporting requirements for this prospectus and may elect to do so in future filings.</w:t>
      </w:r>
    </w:p>
    <w:p>
      <w:pPr>
        <w:sectPr>
          <w:pgSz w:w="11900" w:h="16840" w:orient="portrait"/>
          <w:cols w:equalWidth="0" w:num="1">
            <w:col w:w="9020"/>
          </w:cols>
          <w:pgMar w:left="1440" w:top="625" w:right="1440" w:bottom="122" w:gutter="0" w:footer="0" w:header="0"/>
          <w:type w:val="continuous"/>
        </w:sectPr>
      </w:pPr>
    </w:p>
    <w:bookmarkStart w:id="1" w:name="page2"/>
    <w:bookmarkEnd w:id="1"/>
    <w:tbl>
      <w:tblPr>
        <w:tblLayout w:type="fixed"/>
        <w:tblInd w:w="760" w:type="dxa"/>
        <w:tblCellMar>
          <w:top w:w="0" w:type="dxa"/>
          <w:left w:w="0" w:type="dxa"/>
          <w:bottom w:w="0" w:type="dxa"/>
          <w:right w:w="0" w:type="dxa"/>
        </w:tblCellMar>
      </w:tblPr>
      <w:tr>
        <w:trPr>
          <w:trHeight w:val="126"/>
        </w:trPr>
        <w:tc>
          <w:tcPr>
            <w:tcW w:w="520" w:type="dxa"/>
            <w:vAlign w:val="bottom"/>
          </w:tcPr>
          <w:p>
            <w:pPr>
              <w:ind w:left="220"/>
              <w:spacing w:after="0"/>
              <w:rPr>
                <w:sz w:val="20"/>
                <w:szCs w:val="20"/>
                <w:color w:val="auto"/>
              </w:rPr>
            </w:pPr>
            <w:r>
              <w:rPr>
                <w:rFonts w:ascii="Arial" w:cs="Arial" w:eastAsia="Arial" w:hAnsi="Arial"/>
                <w:sz w:val="11"/>
                <w:szCs w:val="11"/>
                <w:b w:val="1"/>
                <w:bCs w:val="1"/>
                <w:i w:val="1"/>
                <w:iCs w:val="1"/>
                <w:color w:val="auto"/>
              </w:rPr>
              <w:t>See</w:t>
            </w:r>
          </w:p>
        </w:tc>
        <w:tc>
          <w:tcPr>
            <w:tcW w:w="6680" w:type="dxa"/>
            <w:vAlign w:val="bottom"/>
            <w:gridSpan w:val="6"/>
          </w:tcPr>
          <w:p>
            <w:pPr>
              <w:spacing w:after="0"/>
              <w:rPr>
                <w:rFonts w:ascii="Arial" w:cs="Arial" w:eastAsia="Arial" w:hAnsi="Arial"/>
                <w:sz w:val="11"/>
                <w:szCs w:val="11"/>
                <w:b w:val="1"/>
                <w:bCs w:val="1"/>
                <w:i w:val="1"/>
                <w:iCs w:val="1"/>
                <w:color w:val="0000FF"/>
              </w:rPr>
            </w:pPr>
            <w:hyperlink w:anchor="page24">
              <w:r>
                <w:rPr>
                  <w:rFonts w:ascii="Arial" w:cs="Arial" w:eastAsia="Arial" w:hAnsi="Arial"/>
                  <w:sz w:val="11"/>
                  <w:szCs w:val="11"/>
                  <w:b w:val="1"/>
                  <w:bCs w:val="1"/>
                  <w:i w:val="1"/>
                  <w:iCs w:val="1"/>
                  <w:u w:val="single" w:color="auto"/>
                  <w:color w:val="0000FF"/>
                </w:rPr>
                <w:t>Risk Factor</w:t>
              </w:r>
              <w:r>
                <w:rPr>
                  <w:rFonts w:ascii="Arial" w:cs="Arial" w:eastAsia="Arial" w:hAnsi="Arial"/>
                  <w:sz w:val="11"/>
                  <w:szCs w:val="11"/>
                  <w:b w:val="1"/>
                  <w:bCs w:val="1"/>
                  <w:i w:val="1"/>
                  <w:iCs w:val="1"/>
                  <w:color w:val="0000FF"/>
                </w:rPr>
                <w:t xml:space="preserve"> </w:t>
              </w:r>
            </w:hyperlink>
            <w:r>
              <w:rPr>
                <w:rFonts w:ascii="Arial" w:cs="Arial" w:eastAsia="Arial" w:hAnsi="Arial"/>
                <w:sz w:val="11"/>
                <w:szCs w:val="11"/>
                <w:b w:val="1"/>
                <w:bCs w:val="1"/>
                <w:i w:val="1"/>
                <w:iCs w:val="1"/>
                <w:color w:val="000000"/>
              </w:rPr>
              <w:t>”</w:t>
            </w:r>
            <w:r>
              <w:rPr>
                <w:rFonts w:ascii="Arial" w:cs="Arial" w:eastAsia="Arial" w:hAnsi="Arial"/>
                <w:sz w:val="11"/>
                <w:szCs w:val="11"/>
                <w:b w:val="1"/>
                <w:bCs w:val="1"/>
                <w:i w:val="1"/>
                <w:iCs w:val="1"/>
                <w:color w:val="0000FF"/>
              </w:rPr>
              <w:t xml:space="preserve"> </w:t>
            </w:r>
            <w:r>
              <w:rPr>
                <w:rFonts w:ascii="Arial" w:cs="Arial" w:eastAsia="Arial" w:hAnsi="Arial"/>
                <w:sz w:val="11"/>
                <w:szCs w:val="11"/>
                <w:b w:val="1"/>
                <w:bCs w:val="1"/>
                <w:i w:val="1"/>
                <w:iCs w:val="1"/>
                <w:color w:val="000000"/>
              </w:rPr>
              <w:t>beginning on page</w:t>
            </w:r>
            <w:r>
              <w:rPr>
                <w:rFonts w:ascii="Arial" w:cs="Arial" w:eastAsia="Arial" w:hAnsi="Arial"/>
                <w:sz w:val="11"/>
                <w:szCs w:val="11"/>
                <w:b w:val="1"/>
                <w:bCs w:val="1"/>
                <w:i w:val="1"/>
                <w:iCs w:val="1"/>
                <w:color w:val="0000FF"/>
              </w:rPr>
              <w:t xml:space="preserve"> </w:t>
            </w:r>
            <w:hyperlink w:anchor="page24">
              <w:r>
                <w:rPr>
                  <w:rFonts w:ascii="Arial" w:cs="Arial" w:eastAsia="Arial" w:hAnsi="Arial"/>
                  <w:sz w:val="11"/>
                  <w:szCs w:val="11"/>
                  <w:b w:val="1"/>
                  <w:bCs w:val="1"/>
                  <w:i w:val="1"/>
                  <w:iCs w:val="1"/>
                  <w:color w:val="0000FF"/>
                </w:rPr>
                <w:t xml:space="preserve">25 </w:t>
              </w:r>
            </w:hyperlink>
            <w:r>
              <w:rPr>
                <w:rFonts w:ascii="Arial" w:cs="Arial" w:eastAsia="Arial" w:hAnsi="Arial"/>
                <w:sz w:val="11"/>
                <w:szCs w:val="11"/>
                <w:b w:val="1"/>
                <w:bCs w:val="1"/>
                <w:i w:val="1"/>
                <w:iCs w:val="1"/>
                <w:color w:val="000000"/>
              </w:rPr>
              <w:t>to</w:t>
            </w:r>
            <w:r>
              <w:rPr>
                <w:rFonts w:ascii="Arial" w:cs="Arial" w:eastAsia="Arial" w:hAnsi="Arial"/>
                <w:sz w:val="11"/>
                <w:szCs w:val="11"/>
                <w:b w:val="1"/>
                <w:bCs w:val="1"/>
                <w:i w:val="1"/>
                <w:iCs w:val="1"/>
                <w:color w:val="0000FF"/>
              </w:rPr>
              <w:t xml:space="preserve"> </w:t>
            </w:r>
            <w:r>
              <w:rPr>
                <w:rFonts w:ascii="Arial" w:cs="Arial" w:eastAsia="Arial" w:hAnsi="Arial"/>
                <w:sz w:val="11"/>
                <w:szCs w:val="11"/>
                <w:b w:val="1"/>
                <w:bCs w:val="1"/>
                <w:i w:val="1"/>
                <w:iCs w:val="1"/>
                <w:color w:val="000000"/>
              </w:rPr>
              <w:t>read about factors you should consider before buying shares of our Class A commo</w:t>
            </w:r>
          </w:p>
        </w:tc>
      </w:tr>
      <w:tr>
        <w:trPr>
          <w:trHeight w:val="57"/>
        </w:trPr>
        <w:tc>
          <w:tcPr>
            <w:tcW w:w="520" w:type="dxa"/>
            <w:vAlign w:val="bottom"/>
          </w:tcPr>
          <w:p>
            <w:pPr>
              <w:ind w:left="220"/>
              <w:spacing w:after="0" w:line="57" w:lineRule="exact"/>
              <w:rPr>
                <w:sz w:val="20"/>
                <w:szCs w:val="20"/>
                <w:color w:val="auto"/>
              </w:rPr>
            </w:pPr>
            <w:r>
              <w:rPr>
                <w:rFonts w:ascii="Arial" w:cs="Arial" w:eastAsia="Arial" w:hAnsi="Arial"/>
                <w:sz w:val="6"/>
                <w:szCs w:val="6"/>
                <w:b w:val="1"/>
                <w:bCs w:val="1"/>
                <w:i w:val="1"/>
                <w:iCs w:val="1"/>
                <w:color w:val="auto"/>
              </w:rPr>
              <w:t>“</w:t>
            </w:r>
          </w:p>
        </w:tc>
        <w:tc>
          <w:tcPr>
            <w:tcW w:w="1800" w:type="dxa"/>
            <w:vAlign w:val="bottom"/>
            <w:gridSpan w:val="2"/>
          </w:tcPr>
          <w:p>
            <w:pPr>
              <w:spacing w:after="0" w:line="57" w:lineRule="exact"/>
              <w:rPr>
                <w:rFonts w:ascii="Arial" w:cs="Arial" w:eastAsia="Arial" w:hAnsi="Arial"/>
                <w:sz w:val="6"/>
                <w:szCs w:val="6"/>
                <w:b w:val="1"/>
                <w:bCs w:val="1"/>
                <w:i w:val="1"/>
                <w:iCs w:val="1"/>
                <w:color w:val="0000FF"/>
              </w:rPr>
            </w:pPr>
            <w:hyperlink w:anchor="page24">
              <w:r>
                <w:rPr>
                  <w:rFonts w:ascii="Arial" w:cs="Arial" w:eastAsia="Arial" w:hAnsi="Arial"/>
                  <w:sz w:val="6"/>
                  <w:szCs w:val="6"/>
                  <w:b w:val="1"/>
                  <w:bCs w:val="1"/>
                  <w:i w:val="1"/>
                  <w:iCs w:val="1"/>
                  <w:color w:val="0000FF"/>
                </w:rPr>
                <w:t>s</w:t>
              </w:r>
            </w:hyperlink>
          </w:p>
        </w:tc>
        <w:tc>
          <w:tcPr>
            <w:tcW w:w="120" w:type="dxa"/>
            <w:vAlign w:val="bottom"/>
            <w:tcBorders>
              <w:top w:val="single" w:sz="8" w:color="0000FF"/>
            </w:tcBorders>
          </w:tcPr>
          <w:p>
            <w:pPr>
              <w:spacing w:after="0"/>
              <w:rPr>
                <w:sz w:val="4"/>
                <w:szCs w:val="4"/>
                <w:color w:val="auto"/>
              </w:rPr>
            </w:pPr>
          </w:p>
        </w:tc>
        <w:tc>
          <w:tcPr>
            <w:tcW w:w="4760" w:type="dxa"/>
            <w:vAlign w:val="bottom"/>
            <w:gridSpan w:val="3"/>
          </w:tcPr>
          <w:p>
            <w:pPr>
              <w:spacing w:after="0" w:line="57" w:lineRule="exact"/>
              <w:rPr>
                <w:sz w:val="20"/>
                <w:szCs w:val="20"/>
                <w:color w:val="auto"/>
              </w:rPr>
            </w:pPr>
            <w:r>
              <w:rPr>
                <w:rFonts w:ascii="Arial" w:cs="Arial" w:eastAsia="Arial" w:hAnsi="Arial"/>
                <w:sz w:val="6"/>
                <w:szCs w:val="6"/>
                <w:b w:val="1"/>
                <w:bCs w:val="1"/>
                <w:i w:val="1"/>
                <w:iCs w:val="1"/>
                <w:color w:val="auto"/>
              </w:rPr>
              <w:t>n</w:t>
            </w:r>
          </w:p>
        </w:tc>
      </w:tr>
      <w:tr>
        <w:trPr>
          <w:trHeight w:val="95"/>
        </w:trPr>
        <w:tc>
          <w:tcPr>
            <w:tcW w:w="520" w:type="dxa"/>
            <w:vAlign w:val="bottom"/>
          </w:tcPr>
          <w:p>
            <w:pPr>
              <w:spacing w:after="0" w:line="95" w:lineRule="exact"/>
              <w:rPr>
                <w:sz w:val="20"/>
                <w:szCs w:val="20"/>
                <w:color w:val="auto"/>
              </w:rPr>
            </w:pPr>
            <w:r>
              <w:rPr>
                <w:rFonts w:ascii="Arial" w:cs="Arial" w:eastAsia="Arial" w:hAnsi="Arial"/>
                <w:sz w:val="10"/>
                <w:szCs w:val="10"/>
                <w:b w:val="1"/>
                <w:bCs w:val="1"/>
                <w:i w:val="1"/>
                <w:iCs w:val="1"/>
                <w:color w:val="auto"/>
              </w:rPr>
              <w:t>stock.</w:t>
            </w:r>
          </w:p>
        </w:tc>
        <w:tc>
          <w:tcPr>
            <w:tcW w:w="60" w:type="dxa"/>
            <w:vAlign w:val="bottom"/>
            <w:tcBorders>
              <w:top w:val="single" w:sz="8" w:color="0000FF"/>
            </w:tcBorders>
          </w:tcPr>
          <w:p>
            <w:pPr>
              <w:spacing w:after="0"/>
              <w:rPr>
                <w:sz w:val="8"/>
                <w:szCs w:val="8"/>
                <w:color w:val="auto"/>
              </w:rPr>
            </w:pP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r>
    </w:tbl>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980" w:right="880"/>
        <w:spacing w:after="0"/>
        <w:rPr>
          <w:sz w:val="20"/>
          <w:szCs w:val="20"/>
          <w:color w:val="auto"/>
        </w:rPr>
      </w:pPr>
      <w:r>
        <w:rPr>
          <w:rFonts w:ascii="Arial" w:cs="Arial" w:eastAsia="Arial" w:hAnsi="Arial"/>
          <w:sz w:val="11"/>
          <w:szCs w:val="11"/>
          <w:b w:val="1"/>
          <w:bCs w:val="1"/>
          <w:color w:val="auto"/>
        </w:rPr>
        <w:t>Neither the Securities and Exchange Commission nor any other regulatory body has approved or disapproved of these securities o r</w:t>
      </w:r>
    </w:p>
    <w:p>
      <w:pPr>
        <w:spacing w:after="0" w:line="29" w:lineRule="exact"/>
        <w:rPr>
          <w:sz w:val="20"/>
          <w:szCs w:val="20"/>
          <w:color w:val="auto"/>
        </w:rPr>
      </w:pPr>
    </w:p>
    <w:p>
      <w:pPr>
        <w:ind w:left="760" w:right="2080"/>
        <w:spacing w:after="0"/>
        <w:rPr>
          <w:sz w:val="20"/>
          <w:szCs w:val="20"/>
          <w:color w:val="auto"/>
        </w:rPr>
      </w:pPr>
      <w:r>
        <w:rPr>
          <w:rFonts w:ascii="Arial" w:cs="Arial" w:eastAsia="Arial" w:hAnsi="Arial"/>
          <w:sz w:val="11"/>
          <w:szCs w:val="11"/>
          <w:b w:val="1"/>
          <w:bCs w:val="1"/>
          <w:color w:val="auto"/>
        </w:rPr>
        <w:t>passed upon the accuracy or adequacy of this prospectus. Any representation to the contrary is a criminal offens e.</w:t>
      </w:r>
    </w:p>
    <w:p>
      <w:pPr>
        <w:spacing w:after="0" w:line="140" w:lineRule="exact"/>
        <w:rPr>
          <w:sz w:val="20"/>
          <w:szCs w:val="20"/>
          <w:color w:val="auto"/>
        </w:rPr>
      </w:pPr>
    </w:p>
    <w:tbl>
      <w:tblPr>
        <w:tblLayout w:type="fixed"/>
        <w:tblInd w:w="760" w:type="dxa"/>
        <w:tblCellMar>
          <w:top w:w="0" w:type="dxa"/>
          <w:left w:w="0" w:type="dxa"/>
          <w:bottom w:w="0" w:type="dxa"/>
          <w:right w:w="0" w:type="dxa"/>
        </w:tblCellMar>
      </w:tblPr>
      <w:tr>
        <w:trPr>
          <w:trHeight w:val="152"/>
        </w:trPr>
        <w:tc>
          <w:tcPr>
            <w:tcW w:w="5780" w:type="dxa"/>
            <w:vAlign w:val="bottom"/>
          </w:tcPr>
          <w:p>
            <w:pPr>
              <w:spacing w:after="0"/>
              <w:rPr>
                <w:sz w:val="13"/>
                <w:szCs w:val="13"/>
                <w:color w:val="auto"/>
              </w:rPr>
            </w:pP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1"/>
                <w:szCs w:val="11"/>
                <w:b w:val="1"/>
                <w:bCs w:val="1"/>
                <w:color w:val="auto"/>
              </w:rPr>
              <w:t>Per Share</w:t>
            </w:r>
          </w:p>
        </w:tc>
        <w:tc>
          <w:tcPr>
            <w:tcW w:w="40" w:type="dxa"/>
            <w:vAlign w:val="bottom"/>
          </w:tcPr>
          <w:p>
            <w:pPr>
              <w:spacing w:after="0"/>
              <w:rPr>
                <w:sz w:val="13"/>
                <w:szCs w:val="13"/>
                <w:color w:val="auto"/>
              </w:rPr>
            </w:pPr>
          </w:p>
        </w:tc>
        <w:tc>
          <w:tcPr>
            <w:tcW w:w="840" w:type="dxa"/>
            <w:vAlign w:val="bottom"/>
            <w:tcBorders>
              <w:bottom w:val="single" w:sz="8" w:color="auto"/>
            </w:tcBorders>
          </w:tcPr>
          <w:p>
            <w:pPr>
              <w:jc w:val="right"/>
              <w:ind w:right="24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9"/>
        </w:trPr>
        <w:tc>
          <w:tcPr>
            <w:tcW w:w="578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B4B4B4"/>
                <w:w w:val="94"/>
              </w:rPr>
              <w:t>..................................................................................................................................................................................</w:t>
            </w:r>
            <w:r>
              <w:rPr>
                <w:rFonts w:ascii="Arial" w:cs="Arial" w:eastAsia="Arial" w:hAnsi="Arial"/>
                <w:sz w:val="11"/>
                <w:szCs w:val="11"/>
                <w:color w:val="000000"/>
                <w:w w:val="94"/>
              </w:rPr>
              <w:t>Initialpublicofferingprice</w:t>
            </w:r>
          </w:p>
        </w:tc>
        <w:tc>
          <w:tcPr>
            <w:tcW w:w="820" w:type="dxa"/>
            <w:vAlign w:val="bottom"/>
          </w:tcPr>
          <w:p>
            <w:pPr>
              <w:jc w:val="right"/>
              <w:ind w:right="695"/>
              <w:spacing w:after="0"/>
              <w:rPr>
                <w:sz w:val="20"/>
                <w:szCs w:val="20"/>
                <w:color w:val="auto"/>
              </w:rPr>
            </w:pPr>
            <w:r>
              <w:rPr>
                <w:rFonts w:ascii="Arial" w:cs="Arial" w:eastAsia="Arial" w:hAnsi="Arial"/>
                <w:sz w:val="11"/>
                <w:szCs w:val="11"/>
                <w:color w:val="auto"/>
                <w:w w:val="97"/>
              </w:rPr>
              <w:t>$</w:t>
            </w:r>
          </w:p>
        </w:tc>
        <w:tc>
          <w:tcPr>
            <w:tcW w:w="40" w:type="dxa"/>
            <w:vAlign w:val="bottom"/>
          </w:tcPr>
          <w:p>
            <w:pPr>
              <w:spacing w:after="0"/>
              <w:rPr>
                <w:sz w:val="12"/>
                <w:szCs w:val="12"/>
                <w:color w:val="auto"/>
              </w:rPr>
            </w:pPr>
          </w:p>
        </w:tc>
        <w:tc>
          <w:tcPr>
            <w:tcW w:w="840" w:type="dxa"/>
            <w:vAlign w:val="bottom"/>
          </w:tcPr>
          <w:p>
            <w:pPr>
              <w:jc w:val="right"/>
              <w:ind w:right="68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
        </w:trPr>
        <w:tc>
          <w:tcPr>
            <w:tcW w:w="5780" w:type="dxa"/>
            <w:vAlign w:val="bottom"/>
          </w:tcPr>
          <w:p>
            <w:pPr>
              <w:ind w:left="20"/>
              <w:spacing w:after="0" w:line="30" w:lineRule="exact"/>
              <w:rPr>
                <w:sz w:val="20"/>
                <w:szCs w:val="20"/>
                <w:color w:val="auto"/>
              </w:rPr>
            </w:pPr>
            <w:r>
              <w:rPr>
                <w:rFonts w:ascii="Arial" w:cs="Arial" w:eastAsia="Arial" w:hAnsi="Arial"/>
                <w:sz w:val="3"/>
                <w:szCs w:val="3"/>
                <w:color w:val="auto"/>
              </w:rPr>
              <w:t xml:space="preserve">Underwriting discount </w:t>
            </w:r>
            <w:r>
              <w:rPr>
                <w:rFonts w:ascii="Times New Roman" w:cs="Times New Roman" w:eastAsia="Times New Roman" w:hAnsi="Times New Roman"/>
                <w:sz w:val="3"/>
                <w:szCs w:val="3"/>
                <w:color w:val="B4B4B4"/>
              </w:rPr>
              <w:t>......................................................................................................................................................................................</w:t>
            </w:r>
          </w:p>
        </w:tc>
        <w:tc>
          <w:tcPr>
            <w:tcW w:w="820" w:type="dxa"/>
            <w:vAlign w:val="bottom"/>
          </w:tcPr>
          <w:p>
            <w:pPr>
              <w:jc w:val="right"/>
              <w:ind w:right="695"/>
              <w:spacing w:after="0" w:line="30" w:lineRule="exact"/>
              <w:rPr>
                <w:sz w:val="20"/>
                <w:szCs w:val="20"/>
                <w:color w:val="auto"/>
              </w:rPr>
            </w:pPr>
            <w:r>
              <w:rPr>
                <w:rFonts w:ascii="Arial" w:cs="Arial" w:eastAsia="Arial" w:hAnsi="Arial"/>
                <w:sz w:val="3"/>
                <w:szCs w:val="3"/>
                <w:color w:val="auto"/>
              </w:rPr>
              <w:t>$</w:t>
            </w:r>
          </w:p>
        </w:tc>
        <w:tc>
          <w:tcPr>
            <w:tcW w:w="880" w:type="dxa"/>
            <w:vAlign w:val="bottom"/>
            <w:gridSpan w:val="2"/>
          </w:tcPr>
          <w:p>
            <w:pPr>
              <w:jc w:val="right"/>
              <w:ind w:right="687"/>
              <w:spacing w:after="0" w:line="30"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87"/>
        </w:trPr>
        <w:tc>
          <w:tcPr>
            <w:tcW w:w="5780" w:type="dxa"/>
            <w:vAlign w:val="bottom"/>
          </w:tcPr>
          <w:p>
            <w:pPr>
              <w:ind w:left="1000"/>
              <w:spacing w:after="0"/>
              <w:rPr>
                <w:sz w:val="20"/>
                <w:szCs w:val="20"/>
                <w:color w:val="auto"/>
              </w:rPr>
            </w:pPr>
            <w:r>
              <w:rPr>
                <w:rFonts w:ascii="Arial" w:cs="Arial" w:eastAsia="Arial" w:hAnsi="Arial"/>
                <w:sz w:val="7"/>
                <w:szCs w:val="7"/>
                <w:color w:val="auto"/>
              </w:rPr>
              <w:t>(1)</w:t>
            </w: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5780" w:type="dxa"/>
            <w:vAlign w:val="bottom"/>
          </w:tcPr>
          <w:p>
            <w:pPr>
              <w:ind w:left="20"/>
              <w:spacing w:after="0"/>
              <w:rPr>
                <w:sz w:val="20"/>
                <w:szCs w:val="20"/>
                <w:color w:val="auto"/>
              </w:rPr>
            </w:pPr>
            <w:r>
              <w:rPr>
                <w:rFonts w:ascii="Arial" w:cs="Arial" w:eastAsia="Arial" w:hAnsi="Arial"/>
                <w:sz w:val="11"/>
                <w:szCs w:val="11"/>
                <w:color w:val="auto"/>
                <w:w w:val="93"/>
              </w:rPr>
              <w:t xml:space="preserve">Proceeds, before expenses, to u </w:t>
            </w:r>
            <w:r>
              <w:rPr>
                <w:rFonts w:ascii="Times New Roman" w:cs="Times New Roman" w:eastAsia="Times New Roman" w:hAnsi="Times New Roman"/>
                <w:sz w:val="11"/>
                <w:szCs w:val="11"/>
                <w:color w:val="B4B4B4"/>
                <w:w w:val="93"/>
              </w:rPr>
              <w:t>....................................................................................................................................................................</w:t>
            </w:r>
          </w:p>
        </w:tc>
        <w:tc>
          <w:tcPr>
            <w:tcW w:w="820" w:type="dxa"/>
            <w:vAlign w:val="bottom"/>
          </w:tcPr>
          <w:p>
            <w:pPr>
              <w:jc w:val="right"/>
              <w:ind w:right="695"/>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68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7"/>
        </w:trPr>
        <w:tc>
          <w:tcPr>
            <w:tcW w:w="5780" w:type="dxa"/>
            <w:vAlign w:val="bottom"/>
          </w:tcPr>
          <w:p>
            <w:pPr>
              <w:ind w:left="20"/>
              <w:spacing w:after="0" w:line="67" w:lineRule="exact"/>
              <w:rPr>
                <w:sz w:val="20"/>
                <w:szCs w:val="20"/>
                <w:color w:val="auto"/>
              </w:rPr>
            </w:pPr>
            <w:r>
              <w:rPr>
                <w:rFonts w:ascii="Arial" w:cs="Arial" w:eastAsia="Arial" w:hAnsi="Arial"/>
                <w:sz w:val="7"/>
                <w:szCs w:val="7"/>
                <w:color w:val="000000"/>
                <w:vertAlign w:val="superscript"/>
              </w:rPr>
              <w:t>s</w:t>
            </w:r>
            <w:r>
              <w:rPr>
                <w:rFonts w:ascii="Times New Roman" w:cs="Times New Roman" w:eastAsia="Times New Roman" w:hAnsi="Times New Roman"/>
                <w:sz w:val="7"/>
                <w:szCs w:val="7"/>
                <w:color w:val="B4B4B4"/>
              </w:rPr>
              <w:t>...............................................................................................................................</w:t>
            </w:r>
          </w:p>
        </w:tc>
        <w:tc>
          <w:tcPr>
            <w:tcW w:w="820" w:type="dxa"/>
            <w:vAlign w:val="bottom"/>
            <w:vMerge w:val="restart"/>
          </w:tcPr>
          <w:p>
            <w:pPr>
              <w:jc w:val="right"/>
              <w:ind w:right="695"/>
              <w:spacing w:after="0"/>
              <w:rPr>
                <w:sz w:val="20"/>
                <w:szCs w:val="20"/>
                <w:color w:val="auto"/>
              </w:rPr>
            </w:pPr>
            <w:r>
              <w:rPr>
                <w:rFonts w:ascii="Arial" w:cs="Arial" w:eastAsia="Arial" w:hAnsi="Arial"/>
                <w:sz w:val="11"/>
                <w:szCs w:val="11"/>
                <w:color w:val="auto"/>
                <w:w w:val="97"/>
              </w:rPr>
              <w:t>$</w:t>
            </w:r>
          </w:p>
        </w:tc>
        <w:tc>
          <w:tcPr>
            <w:tcW w:w="880" w:type="dxa"/>
            <w:vAlign w:val="bottom"/>
            <w:gridSpan w:val="2"/>
            <w:vMerge w:val="restart"/>
          </w:tcPr>
          <w:p>
            <w:pPr>
              <w:jc w:val="right"/>
              <w:ind w:right="68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6"/>
        </w:trPr>
        <w:tc>
          <w:tcPr>
            <w:tcW w:w="5780" w:type="dxa"/>
            <w:vAlign w:val="bottom"/>
          </w:tcPr>
          <w:p>
            <w:pPr>
              <w:ind w:left="20"/>
              <w:spacing w:after="0" w:line="96" w:lineRule="exact"/>
              <w:rPr>
                <w:sz w:val="20"/>
                <w:szCs w:val="20"/>
                <w:color w:val="auto"/>
              </w:rPr>
            </w:pPr>
            <w:r>
              <w:rPr>
                <w:rFonts w:ascii="Arial" w:cs="Arial" w:eastAsia="Arial" w:hAnsi="Arial"/>
                <w:sz w:val="11"/>
                <w:szCs w:val="11"/>
                <w:color w:val="auto"/>
              </w:rPr>
              <w:t>Proceeds, before expenses, to the selling stockholder</w:t>
            </w:r>
          </w:p>
        </w:tc>
        <w:tc>
          <w:tcPr>
            <w:tcW w:w="82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780" w:type="dxa"/>
            <w:vAlign w:val="bottom"/>
          </w:tcPr>
          <w:p>
            <w:pPr>
              <w:ind w:left="20"/>
              <w:spacing w:after="0" w:line="87" w:lineRule="exact"/>
              <w:rPr>
                <w:sz w:val="20"/>
                <w:szCs w:val="20"/>
                <w:color w:val="auto"/>
              </w:rPr>
            </w:pPr>
            <w:r>
              <w:rPr>
                <w:rFonts w:ascii="Arial" w:cs="Arial" w:eastAsia="Arial" w:hAnsi="Arial"/>
                <w:sz w:val="9"/>
                <w:szCs w:val="9"/>
                <w:color w:val="auto"/>
              </w:rPr>
              <w:t>s</w:t>
            </w: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5780" w:type="dxa"/>
            <w:vAlign w:val="bottom"/>
          </w:tcPr>
          <w:p>
            <w:pPr>
              <w:spacing w:after="0"/>
              <w:rPr>
                <w:sz w:val="20"/>
                <w:szCs w:val="20"/>
                <w:color w:val="auto"/>
              </w:rPr>
            </w:pPr>
            <w:r>
              <w:rPr>
                <w:rFonts w:ascii="Arial" w:cs="Arial" w:eastAsia="Arial" w:hAnsi="Arial"/>
                <w:sz w:val="11"/>
                <w:szCs w:val="11"/>
                <w:color w:val="auto"/>
              </w:rPr>
              <w:t>_______________</w:t>
            </w: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760"/>
        <w:spacing w:after="0"/>
        <w:tabs>
          <w:tab w:leader="none" w:pos="960" w:val="left"/>
        </w:tabs>
        <w:rPr>
          <w:sz w:val="20"/>
          <w:szCs w:val="20"/>
          <w:color w:val="auto"/>
        </w:rPr>
      </w:pPr>
      <w:r>
        <w:rPr>
          <w:rFonts w:ascii="Arial" w:cs="Arial" w:eastAsia="Arial" w:hAnsi="Arial"/>
          <w:sz w:val="9"/>
          <w:szCs w:val="9"/>
          <w:color w:val="auto"/>
        </w:rPr>
        <w:t>(1)</w:t>
        <w:tab/>
        <w:t>See the section titled “Underwriting” for a description of the compensation payable to the underwriters.</w:t>
      </w:r>
    </w:p>
    <w:p>
      <w:pPr>
        <w:spacing w:after="0" w:line="21" w:lineRule="exact"/>
        <w:rPr>
          <w:sz w:val="20"/>
          <w:szCs w:val="20"/>
          <w:color w:val="auto"/>
        </w:rPr>
      </w:pPr>
    </w:p>
    <w:p>
      <w:pPr>
        <w:ind w:left="980" w:right="880"/>
        <w:spacing w:after="0"/>
        <w:rPr>
          <w:sz w:val="20"/>
          <w:szCs w:val="20"/>
          <w:color w:val="auto"/>
        </w:rPr>
      </w:pPr>
      <w:r>
        <w:rPr>
          <w:rFonts w:ascii="Arial" w:cs="Arial" w:eastAsia="Arial" w:hAnsi="Arial"/>
          <w:sz w:val="9"/>
          <w:szCs w:val="9"/>
          <w:b w:val="1"/>
          <w:bCs w:val="1"/>
          <w:color w:val="auto"/>
        </w:rPr>
        <w:t>The underwriters have the option for a period of 30 days to purchase up to an additionl5,538,660 shares of Class A common stock from us at the a</w:t>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1"/>
          <w:szCs w:val="11"/>
          <w:b w:val="1"/>
          <w:bCs w:val="1"/>
          <w:color w:val="auto"/>
        </w:rPr>
        <w:t>initial public offering price less underwriting discount.</w:t>
      </w:r>
    </w:p>
    <w:tbl>
      <w:tblPr>
        <w:tblLayout w:type="fixed"/>
        <w:tblInd w:w="780" w:type="dxa"/>
        <w:tblCellMar>
          <w:top w:w="0" w:type="dxa"/>
          <w:left w:w="0" w:type="dxa"/>
          <w:bottom w:w="0" w:type="dxa"/>
          <w:right w:w="0" w:type="dxa"/>
        </w:tblCellMar>
      </w:tblPr>
      <w:tr>
        <w:trPr>
          <w:trHeight w:val="122"/>
        </w:trPr>
        <w:tc>
          <w:tcPr>
            <w:tcW w:w="6940" w:type="dxa"/>
            <w:vAlign w:val="bottom"/>
            <w:gridSpan w:val="7"/>
          </w:tcPr>
          <w:p>
            <w:pPr>
              <w:ind w:left="200"/>
              <w:spacing w:after="0" w:line="122" w:lineRule="exact"/>
              <w:rPr>
                <w:sz w:val="20"/>
                <w:szCs w:val="20"/>
                <w:color w:val="auto"/>
              </w:rPr>
            </w:pPr>
            <w:r>
              <w:rPr>
                <w:rFonts w:ascii="Arial" w:cs="Arial" w:eastAsia="Arial" w:hAnsi="Arial"/>
                <w:sz w:val="11"/>
                <w:szCs w:val="11"/>
                <w:b w:val="1"/>
                <w:bCs w:val="1"/>
                <w:color w:val="auto"/>
                <w:w w:val="79"/>
              </w:rPr>
              <w:t>The underwriters expect to deliver the shares of Class A common stock against payment in New York, New York on, 202</w:t>
            </w:r>
            <w:r>
              <w:rPr>
                <w:rFonts w:ascii="Arial" w:cs="Arial" w:eastAsia="Arial" w:hAnsi="Arial"/>
                <w:sz w:val="11"/>
                <w:szCs w:val="11"/>
                <w:color w:val="auto"/>
                <w:w w:val="79"/>
              </w:rPr>
              <w:t>.</w:t>
            </w:r>
          </w:p>
        </w:tc>
        <w:tc>
          <w:tcPr>
            <w:tcW w:w="460" w:type="dxa"/>
            <w:vAlign w:val="bottom"/>
          </w:tcPr>
          <w:p>
            <w:pPr>
              <w:spacing w:after="0"/>
              <w:rPr>
                <w:sz w:val="10"/>
                <w:szCs w:val="10"/>
                <w:color w:val="auto"/>
              </w:rPr>
            </w:pPr>
          </w:p>
        </w:tc>
      </w:tr>
      <w:tr>
        <w:trPr>
          <w:trHeight w:val="96"/>
        </w:trPr>
        <w:tc>
          <w:tcPr>
            <w:tcW w:w="820" w:type="dxa"/>
            <w:vAlign w:val="bottom"/>
          </w:tcPr>
          <w:p>
            <w:pPr>
              <w:ind w:left="200"/>
              <w:spacing w:after="0" w:line="96" w:lineRule="exact"/>
              <w:rPr>
                <w:sz w:val="20"/>
                <w:szCs w:val="20"/>
                <w:color w:val="auto"/>
              </w:rPr>
            </w:pPr>
            <w:r>
              <w:rPr>
                <w:rFonts w:ascii="Arial" w:cs="Arial" w:eastAsia="Arial" w:hAnsi="Arial"/>
                <w:sz w:val="11"/>
                <w:szCs w:val="11"/>
                <w:b w:val="1"/>
                <w:bCs w:val="1"/>
                <w:color w:val="auto"/>
              </w:rPr>
              <w:t>5</w:t>
            </w:r>
          </w:p>
        </w:tc>
        <w:tc>
          <w:tcPr>
            <w:tcW w:w="1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331"/>
        </w:trPr>
        <w:tc>
          <w:tcPr>
            <w:tcW w:w="2700" w:type="dxa"/>
            <w:vAlign w:val="bottom"/>
            <w:gridSpan w:val="2"/>
          </w:tcPr>
          <w:p>
            <w:pPr>
              <w:spacing w:after="0"/>
              <w:rPr>
                <w:sz w:val="20"/>
                <w:szCs w:val="20"/>
                <w:color w:val="auto"/>
              </w:rPr>
            </w:pPr>
            <w:r>
              <w:rPr>
                <w:rFonts w:ascii="Arial" w:cs="Arial" w:eastAsia="Arial" w:hAnsi="Arial"/>
                <w:sz w:val="20"/>
                <w:szCs w:val="20"/>
                <w:b w:val="1"/>
                <w:bCs w:val="1"/>
                <w:color w:val="auto"/>
              </w:rPr>
              <w:t>Goldman Sachs &amp; Co . LLC</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gridSpan w:val="2"/>
          </w:tcPr>
          <w:p>
            <w:pPr>
              <w:jc w:val="right"/>
              <w:spacing w:after="0"/>
              <w:rPr>
                <w:sz w:val="20"/>
                <w:szCs w:val="20"/>
                <w:color w:val="auto"/>
              </w:rPr>
            </w:pPr>
            <w:r>
              <w:rPr>
                <w:rFonts w:ascii="Arial" w:cs="Arial" w:eastAsia="Arial" w:hAnsi="Arial"/>
                <w:sz w:val="20"/>
                <w:szCs w:val="20"/>
                <w:b w:val="1"/>
                <w:bCs w:val="1"/>
                <w:color w:val="auto"/>
              </w:rPr>
              <w:t>Citigroup</w:t>
            </w:r>
          </w:p>
        </w:tc>
      </w:tr>
      <w:tr>
        <w:trPr>
          <w:trHeight w:val="269"/>
        </w:trPr>
        <w:tc>
          <w:tcPr>
            <w:tcW w:w="820" w:type="dxa"/>
            <w:vAlign w:val="bottom"/>
          </w:tcPr>
          <w:p>
            <w:pPr>
              <w:spacing w:after="0"/>
              <w:rPr>
                <w:sz w:val="23"/>
                <w:szCs w:val="23"/>
                <w:color w:val="auto"/>
              </w:rPr>
            </w:pPr>
          </w:p>
        </w:tc>
        <w:tc>
          <w:tcPr>
            <w:tcW w:w="1880" w:type="dxa"/>
            <w:vAlign w:val="bottom"/>
          </w:tcPr>
          <w:p>
            <w:pPr>
              <w:ind w:left="80"/>
              <w:spacing w:after="0"/>
              <w:rPr>
                <w:sz w:val="20"/>
                <w:szCs w:val="20"/>
                <w:color w:val="auto"/>
              </w:rPr>
            </w:pPr>
            <w:r>
              <w:rPr>
                <w:rFonts w:ascii="Arial" w:cs="Arial" w:eastAsia="Arial" w:hAnsi="Arial"/>
                <w:sz w:val="15"/>
                <w:szCs w:val="15"/>
                <w:b w:val="1"/>
                <w:bCs w:val="1"/>
                <w:color w:val="auto"/>
              </w:rPr>
              <w:t>Jefferies</w:t>
            </w:r>
          </w:p>
        </w:tc>
        <w:tc>
          <w:tcPr>
            <w:tcW w:w="380" w:type="dxa"/>
            <w:vAlign w:val="bottom"/>
          </w:tcPr>
          <w:p>
            <w:pPr>
              <w:spacing w:after="0"/>
              <w:rPr>
                <w:sz w:val="23"/>
                <w:szCs w:val="23"/>
                <w:color w:val="auto"/>
              </w:rPr>
            </w:pPr>
          </w:p>
        </w:tc>
        <w:tc>
          <w:tcPr>
            <w:tcW w:w="1120" w:type="dxa"/>
            <w:vAlign w:val="bottom"/>
          </w:tcPr>
          <w:p>
            <w:pPr>
              <w:ind w:left="360"/>
              <w:spacing w:after="0"/>
              <w:rPr>
                <w:sz w:val="20"/>
                <w:szCs w:val="20"/>
                <w:color w:val="auto"/>
              </w:rPr>
            </w:pPr>
            <w:r>
              <w:rPr>
                <w:rFonts w:ascii="Arial" w:cs="Arial" w:eastAsia="Arial" w:hAnsi="Arial"/>
                <w:sz w:val="15"/>
                <w:szCs w:val="15"/>
                <w:b w:val="1"/>
                <w:bCs w:val="1"/>
                <w:color w:val="auto"/>
              </w:rPr>
              <w:t>Mizuho</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720" w:type="dxa"/>
            <w:vAlign w:val="bottom"/>
          </w:tcPr>
          <w:p>
            <w:pPr>
              <w:jc w:val="center"/>
              <w:ind w:left="147"/>
              <w:spacing w:after="0"/>
              <w:rPr>
                <w:sz w:val="20"/>
                <w:szCs w:val="20"/>
                <w:color w:val="auto"/>
              </w:rPr>
            </w:pPr>
            <w:r>
              <w:rPr>
                <w:rFonts w:ascii="Arial" w:cs="Arial" w:eastAsia="Arial" w:hAnsi="Arial"/>
                <w:sz w:val="15"/>
                <w:szCs w:val="15"/>
                <w:b w:val="1"/>
                <w:bCs w:val="1"/>
                <w:color w:val="auto"/>
              </w:rPr>
              <w:t>Morgan Stanley</w:t>
            </w:r>
          </w:p>
        </w:tc>
        <w:tc>
          <w:tcPr>
            <w:tcW w:w="460" w:type="dxa"/>
            <w:vAlign w:val="bottom"/>
          </w:tcPr>
          <w:p>
            <w:pPr>
              <w:spacing w:after="0"/>
              <w:rPr>
                <w:sz w:val="23"/>
                <w:szCs w:val="23"/>
                <w:color w:val="auto"/>
              </w:rPr>
            </w:pPr>
          </w:p>
        </w:tc>
      </w:tr>
      <w:tr>
        <w:trPr>
          <w:trHeight w:val="193"/>
        </w:trPr>
        <w:tc>
          <w:tcPr>
            <w:tcW w:w="820" w:type="dxa"/>
            <w:vAlign w:val="bottom"/>
          </w:tcPr>
          <w:p>
            <w:pPr>
              <w:ind w:left="20"/>
              <w:spacing w:after="0"/>
              <w:rPr>
                <w:sz w:val="20"/>
                <w:szCs w:val="20"/>
                <w:color w:val="auto"/>
              </w:rPr>
            </w:pPr>
            <w:r>
              <w:rPr>
                <w:rFonts w:ascii="Arial" w:cs="Arial" w:eastAsia="Arial" w:hAnsi="Arial"/>
                <w:sz w:val="11"/>
                <w:szCs w:val="11"/>
                <w:b w:val="1"/>
                <w:bCs w:val="1"/>
                <w:color w:val="auto"/>
              </w:rPr>
              <w:t>BNP PARIBA</w:t>
            </w:r>
          </w:p>
        </w:tc>
        <w:tc>
          <w:tcPr>
            <w:tcW w:w="1880" w:type="dxa"/>
            <w:vAlign w:val="bottom"/>
          </w:tcPr>
          <w:p>
            <w:pPr>
              <w:ind w:left="460"/>
              <w:spacing w:after="0"/>
              <w:rPr>
                <w:sz w:val="20"/>
                <w:szCs w:val="20"/>
                <w:color w:val="auto"/>
              </w:rPr>
            </w:pPr>
            <w:r>
              <w:rPr>
                <w:rFonts w:ascii="Arial" w:cs="Arial" w:eastAsia="Arial" w:hAnsi="Arial"/>
                <w:sz w:val="11"/>
                <w:szCs w:val="11"/>
                <w:b w:val="1"/>
                <w:bCs w:val="1"/>
                <w:color w:val="auto"/>
              </w:rPr>
              <w:t>Citizens Capital Market</w:t>
            </w:r>
          </w:p>
        </w:tc>
        <w:tc>
          <w:tcPr>
            <w:tcW w:w="1500" w:type="dxa"/>
            <w:vAlign w:val="bottom"/>
            <w:gridSpan w:val="2"/>
          </w:tcPr>
          <w:p>
            <w:pPr>
              <w:ind w:left="380"/>
              <w:spacing w:after="0"/>
              <w:rPr>
                <w:sz w:val="20"/>
                <w:szCs w:val="20"/>
                <w:color w:val="auto"/>
              </w:rPr>
            </w:pPr>
            <w:r>
              <w:rPr>
                <w:rFonts w:ascii="Arial" w:cs="Arial" w:eastAsia="Arial" w:hAnsi="Arial"/>
                <w:sz w:val="11"/>
                <w:szCs w:val="11"/>
                <w:b w:val="1"/>
                <w:bCs w:val="1"/>
                <w:color w:val="auto"/>
              </w:rPr>
              <w:t>Oppenheimer &amp; Co.</w:t>
            </w:r>
          </w:p>
        </w:tc>
        <w:tc>
          <w:tcPr>
            <w:tcW w:w="160" w:type="dxa"/>
            <w:vAlign w:val="bottom"/>
          </w:tcPr>
          <w:p>
            <w:pPr>
              <w:spacing w:after="0"/>
              <w:rPr>
                <w:sz w:val="16"/>
                <w:szCs w:val="16"/>
                <w:color w:val="auto"/>
              </w:rPr>
            </w:pPr>
          </w:p>
        </w:tc>
        <w:tc>
          <w:tcPr>
            <w:tcW w:w="860" w:type="dxa"/>
            <w:vAlign w:val="bottom"/>
          </w:tcPr>
          <w:p>
            <w:pPr>
              <w:jc w:val="right"/>
              <w:ind w:right="183"/>
              <w:spacing w:after="0"/>
              <w:rPr>
                <w:sz w:val="20"/>
                <w:szCs w:val="20"/>
                <w:color w:val="auto"/>
              </w:rPr>
            </w:pPr>
            <w:r>
              <w:rPr>
                <w:rFonts w:ascii="Arial" w:cs="Arial" w:eastAsia="Arial" w:hAnsi="Arial"/>
                <w:sz w:val="11"/>
                <w:szCs w:val="11"/>
                <w:b w:val="1"/>
                <w:bCs w:val="1"/>
                <w:color w:val="auto"/>
              </w:rPr>
              <w:t>MUFG</w:t>
            </w:r>
          </w:p>
        </w:tc>
        <w:tc>
          <w:tcPr>
            <w:tcW w:w="1720" w:type="dxa"/>
            <w:vAlign w:val="bottom"/>
          </w:tcPr>
          <w:p>
            <w:pPr>
              <w:ind w:left="240"/>
              <w:spacing w:after="0"/>
              <w:rPr>
                <w:sz w:val="20"/>
                <w:szCs w:val="20"/>
                <w:color w:val="auto"/>
              </w:rPr>
            </w:pPr>
            <w:r>
              <w:rPr>
                <w:rFonts w:ascii="Arial" w:cs="Arial" w:eastAsia="Arial" w:hAnsi="Arial"/>
                <w:sz w:val="11"/>
                <w:szCs w:val="11"/>
                <w:b w:val="1"/>
                <w:bCs w:val="1"/>
                <w:color w:val="auto"/>
              </w:rPr>
              <w:t>Needham &amp; Company</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BTIG</w:t>
            </w:r>
          </w:p>
        </w:tc>
      </w:tr>
      <w:tr>
        <w:trPr>
          <w:trHeight w:val="133"/>
        </w:trPr>
        <w:tc>
          <w:tcPr>
            <w:tcW w:w="820" w:type="dxa"/>
            <w:vAlign w:val="bottom"/>
          </w:tcPr>
          <w:p>
            <w:pPr>
              <w:ind w:left="20"/>
              <w:spacing w:after="0"/>
              <w:rPr>
                <w:sz w:val="20"/>
                <w:szCs w:val="20"/>
                <w:color w:val="auto"/>
              </w:rPr>
            </w:pPr>
            <w:r>
              <w:rPr>
                <w:rFonts w:ascii="Arial" w:cs="Arial" w:eastAsia="Arial" w:hAnsi="Arial"/>
                <w:sz w:val="11"/>
                <w:szCs w:val="11"/>
                <w:b w:val="1"/>
                <w:bCs w:val="1"/>
                <w:color w:val="auto"/>
              </w:rPr>
              <w:t>S</w:t>
            </w:r>
          </w:p>
        </w:tc>
        <w:tc>
          <w:tcPr>
            <w:tcW w:w="1880" w:type="dxa"/>
            <w:vAlign w:val="bottom"/>
          </w:tcPr>
          <w:p>
            <w:pPr>
              <w:ind w:left="460"/>
              <w:spacing w:after="0"/>
              <w:rPr>
                <w:sz w:val="20"/>
                <w:szCs w:val="20"/>
                <w:color w:val="auto"/>
              </w:rPr>
            </w:pPr>
            <w:r>
              <w:rPr>
                <w:rFonts w:ascii="Arial" w:cs="Arial" w:eastAsia="Arial" w:hAnsi="Arial"/>
                <w:sz w:val="11"/>
                <w:szCs w:val="11"/>
                <w:b w:val="1"/>
                <w:bCs w:val="1"/>
                <w:color w:val="auto"/>
              </w:rPr>
              <w:t>s</w:t>
            </w: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16"/>
        </w:trPr>
        <w:tc>
          <w:tcPr>
            <w:tcW w:w="2700" w:type="dxa"/>
            <w:vAlign w:val="bottom"/>
            <w:gridSpan w:val="2"/>
          </w:tcPr>
          <w:p>
            <w:pPr>
              <w:ind w:left="640"/>
              <w:spacing w:after="0" w:line="116" w:lineRule="exact"/>
              <w:rPr>
                <w:sz w:val="20"/>
                <w:szCs w:val="20"/>
                <w:color w:val="auto"/>
              </w:rPr>
            </w:pPr>
            <w:r>
              <w:rPr>
                <w:rFonts w:ascii="Arial" w:cs="Arial" w:eastAsia="Arial" w:hAnsi="Arial"/>
                <w:sz w:val="11"/>
                <w:szCs w:val="11"/>
                <w:b w:val="1"/>
                <w:bCs w:val="1"/>
                <w:color w:val="auto"/>
              </w:rPr>
              <w:t>Loop Capital Market</w:t>
            </w:r>
          </w:p>
        </w:tc>
        <w:tc>
          <w:tcPr>
            <w:tcW w:w="380" w:type="dxa"/>
            <w:vAlign w:val="bottom"/>
          </w:tcPr>
          <w:p>
            <w:pPr>
              <w:spacing w:after="0"/>
              <w:rPr>
                <w:sz w:val="10"/>
                <w:szCs w:val="10"/>
                <w:color w:val="auto"/>
              </w:rPr>
            </w:pPr>
          </w:p>
        </w:tc>
        <w:tc>
          <w:tcPr>
            <w:tcW w:w="1120" w:type="dxa"/>
            <w:vAlign w:val="bottom"/>
          </w:tcPr>
          <w:p>
            <w:pPr>
              <w:ind w:left="80"/>
              <w:spacing w:after="0" w:line="116" w:lineRule="exact"/>
              <w:rPr>
                <w:sz w:val="20"/>
                <w:szCs w:val="20"/>
                <w:color w:val="auto"/>
              </w:rPr>
            </w:pPr>
            <w:r>
              <w:rPr>
                <w:rFonts w:ascii="Arial" w:cs="Arial" w:eastAsia="Arial" w:hAnsi="Arial"/>
                <w:sz w:val="11"/>
                <w:szCs w:val="11"/>
                <w:b w:val="1"/>
                <w:bCs w:val="1"/>
                <w:color w:val="auto"/>
              </w:rPr>
              <w:t>Academy Securitie</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720" w:type="dxa"/>
            <w:vAlign w:val="bottom"/>
          </w:tcPr>
          <w:p>
            <w:pPr>
              <w:jc w:val="center"/>
              <w:ind w:left="167"/>
              <w:spacing w:after="0" w:line="116" w:lineRule="exact"/>
              <w:rPr>
                <w:sz w:val="20"/>
                <w:szCs w:val="20"/>
                <w:color w:val="auto"/>
              </w:rPr>
            </w:pPr>
            <w:r>
              <w:rPr>
                <w:rFonts w:ascii="Arial" w:cs="Arial" w:eastAsia="Arial" w:hAnsi="Arial"/>
                <w:sz w:val="11"/>
                <w:szCs w:val="11"/>
                <w:b w:val="1"/>
                <w:bCs w:val="1"/>
                <w:color w:val="auto"/>
              </w:rPr>
              <w:t>Rosenblatt</w:t>
            </w:r>
          </w:p>
        </w:tc>
        <w:tc>
          <w:tcPr>
            <w:tcW w:w="460" w:type="dxa"/>
            <w:vAlign w:val="bottom"/>
          </w:tcPr>
          <w:p>
            <w:pPr>
              <w:spacing w:after="0"/>
              <w:rPr>
                <w:sz w:val="10"/>
                <w:szCs w:val="10"/>
                <w:color w:val="auto"/>
              </w:rPr>
            </w:pPr>
          </w:p>
        </w:tc>
      </w:tr>
      <w:tr>
        <w:trPr>
          <w:trHeight w:val="124"/>
        </w:trPr>
        <w:tc>
          <w:tcPr>
            <w:tcW w:w="820" w:type="dxa"/>
            <w:vAlign w:val="bottom"/>
          </w:tcPr>
          <w:p>
            <w:pPr>
              <w:ind w:left="640"/>
              <w:spacing w:after="0" w:line="125" w:lineRule="exact"/>
              <w:rPr>
                <w:sz w:val="20"/>
                <w:szCs w:val="20"/>
                <w:color w:val="auto"/>
              </w:rPr>
            </w:pPr>
            <w:r>
              <w:rPr>
                <w:rFonts w:ascii="Arial" w:cs="Arial" w:eastAsia="Arial" w:hAnsi="Arial"/>
                <w:sz w:val="11"/>
                <w:szCs w:val="11"/>
                <w:b w:val="1"/>
                <w:bCs w:val="1"/>
                <w:color w:val="auto"/>
              </w:rPr>
              <w:t>s</w:t>
            </w:r>
          </w:p>
        </w:tc>
        <w:tc>
          <w:tcPr>
            <w:tcW w:w="1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Borders>
              <w:bottom w:val="single" w:sz="8" w:color="auto"/>
            </w:tcBorders>
          </w:tcPr>
          <w:p>
            <w:pPr>
              <w:ind w:left="80"/>
              <w:spacing w:after="0" w:line="125" w:lineRule="exact"/>
              <w:rPr>
                <w:sz w:val="20"/>
                <w:szCs w:val="20"/>
                <w:color w:val="auto"/>
              </w:rPr>
            </w:pPr>
            <w:r>
              <w:rPr>
                <w:rFonts w:ascii="Arial" w:cs="Arial" w:eastAsia="Arial" w:hAnsi="Arial"/>
                <w:sz w:val="11"/>
                <w:szCs w:val="11"/>
                <w:b w:val="1"/>
                <w:bCs w:val="1"/>
                <w:color w:val="auto"/>
              </w:rPr>
              <w:t>s</w:t>
            </w:r>
          </w:p>
        </w:tc>
        <w:tc>
          <w:tcPr>
            <w:tcW w:w="16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202"/>
        </w:trPr>
        <w:tc>
          <w:tcPr>
            <w:tcW w:w="8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2"/>
                <w:szCs w:val="12"/>
                <w:color w:val="auto"/>
              </w:rPr>
              <w:t>Prospectus dated</w:t>
            </w:r>
          </w:p>
        </w:tc>
        <w:tc>
          <w:tcPr>
            <w:tcW w:w="1020" w:type="dxa"/>
            <w:vAlign w:val="bottom"/>
            <w:gridSpan w:val="2"/>
          </w:tcPr>
          <w:p>
            <w:pPr>
              <w:jc w:val="right"/>
              <w:ind w:right="563"/>
              <w:spacing w:after="0"/>
              <w:rPr>
                <w:sz w:val="20"/>
                <w:szCs w:val="20"/>
                <w:color w:val="auto"/>
              </w:rPr>
            </w:pPr>
            <w:r>
              <w:rPr>
                <w:rFonts w:ascii="Arial" w:cs="Arial" w:eastAsia="Arial" w:hAnsi="Arial"/>
                <w:sz w:val="12"/>
                <w:szCs w:val="12"/>
                <w:color w:val="auto"/>
              </w:rPr>
              <w:t>, 2025.</w:t>
            </w:r>
          </w:p>
        </w:tc>
        <w:tc>
          <w:tcPr>
            <w:tcW w:w="1720" w:type="dxa"/>
            <w:vAlign w:val="bottom"/>
          </w:tcPr>
          <w:p>
            <w:pPr>
              <w:spacing w:after="0"/>
              <w:rPr>
                <w:sz w:val="17"/>
                <w:szCs w:val="17"/>
                <w:color w:val="auto"/>
              </w:rPr>
            </w:pPr>
          </w:p>
        </w:tc>
        <w:tc>
          <w:tcPr>
            <w:tcW w:w="460" w:type="dxa"/>
            <w:vAlign w:val="bottom"/>
          </w:tcPr>
          <w:p>
            <w:pPr>
              <w:spacing w:after="0"/>
              <w:rPr>
                <w:sz w:val="17"/>
                <w:szCs w:val="17"/>
                <w:color w:val="auto"/>
              </w:rPr>
            </w:pPr>
          </w:p>
        </w:tc>
      </w:tr>
    </w:tbl>
    <w:p>
      <w:pPr>
        <w:spacing w:after="0" w:line="28" w:lineRule="exact"/>
        <w:rPr>
          <w:sz w:val="20"/>
          <w:szCs w:val="20"/>
          <w:color w:val="auto"/>
        </w:rPr>
      </w:pPr>
    </w:p>
    <w:p>
      <w:pPr>
        <w:ind w:left="760" w:right="800"/>
        <w:spacing w:after="0" w:line="266" w:lineRule="auto"/>
        <w:rPr>
          <w:sz w:val="20"/>
          <w:szCs w:val="20"/>
          <w:color w:val="auto"/>
        </w:rPr>
      </w:pPr>
      <w:r>
        <w:rPr>
          <w:rFonts w:ascii="Arial" w:cs="Arial" w:eastAsia="Arial" w:hAnsi="Arial"/>
          <w:sz w:val="11"/>
          <w:szCs w:val="1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ind w:left="3280"/>
        <w:spacing w:after="0" w:line="202" w:lineRule="auto"/>
        <w:rPr>
          <w:sz w:val="20"/>
          <w:szCs w:val="20"/>
          <w:color w:val="auto"/>
        </w:rPr>
      </w:pPr>
      <w:r>
        <w:rPr>
          <w:rFonts w:ascii="Arial" w:cs="Arial" w:eastAsia="Arial" w:hAnsi="Arial"/>
          <w:sz w:val="8"/>
          <w:szCs w:val="8"/>
          <w:color w:val="DE1A1E"/>
        </w:rPr>
        <w:t>Subject to Completion. Dated October 10, 2025</w:t>
      </w:r>
    </w:p>
    <w:p>
      <w:pPr>
        <w:ind w:left="3280"/>
        <w:spacing w:after="0"/>
        <w:rPr>
          <w:sz w:val="20"/>
          <w:szCs w:val="20"/>
          <w:color w:val="auto"/>
        </w:rPr>
      </w:pPr>
      <w:r>
        <w:rPr>
          <w:rFonts w:ascii="Arial" w:cs="Arial" w:eastAsia="Arial" w:hAnsi="Arial"/>
          <w:sz w:val="11"/>
          <w:szCs w:val="11"/>
          <w:color w:val="DE1A1E"/>
        </w:rPr>
        <w:t>.</w:t>
      </w:r>
    </w:p>
    <w:p>
      <w:pPr>
        <w:sectPr>
          <w:pgSz w:w="11900" w:h="16840" w:orient="portrait"/>
          <w:cols w:equalWidth="0" w:num="1">
            <w:col w:w="9020"/>
          </w:cols>
          <w:pgMar w:left="1440" w:top="577"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60"/>
        <w:spacing w:after="0"/>
        <w:rPr>
          <w:sz w:val="20"/>
          <w:szCs w:val="20"/>
          <w:color w:val="auto"/>
        </w:rPr>
      </w:pPr>
      <w:r>
        <w:rPr>
          <w:rFonts w:ascii="Arial" w:cs="Arial" w:eastAsia="Arial" w:hAnsi="Arial"/>
          <w:sz w:val="12"/>
          <w:szCs w:val="12"/>
          <w:b w:val="1"/>
          <w:bCs w:val="1"/>
          <w:color w:val="auto"/>
        </w:rPr>
        <w:t>Table of Contents</w:t>
      </w:r>
    </w:p>
    <w:p>
      <w:pPr>
        <w:spacing w:after="0" w:line="168" w:lineRule="exact"/>
        <w:rPr>
          <w:sz w:val="20"/>
          <w:szCs w:val="20"/>
          <w:color w:val="auto"/>
        </w:rPr>
      </w:pPr>
    </w:p>
    <w:p>
      <w:pPr>
        <w:ind w:left="7140"/>
        <w:spacing w:after="0"/>
        <w:rPr>
          <w:sz w:val="20"/>
          <w:szCs w:val="20"/>
          <w:color w:val="auto"/>
        </w:rPr>
      </w:pPr>
      <w:r>
        <w:rPr>
          <w:rFonts w:ascii="Arial" w:cs="Arial" w:eastAsia="Arial" w:hAnsi="Arial"/>
          <w:sz w:val="11"/>
          <w:szCs w:val="11"/>
          <w:b w:val="1"/>
          <w:bCs w:val="1"/>
          <w:color w:val="auto"/>
        </w:rPr>
        <w:t>Page</w:t>
      </w:r>
    </w:p>
    <w:p>
      <w:pPr>
        <w:spacing w:after="0" w:line="227" w:lineRule="exact"/>
        <w:rPr>
          <w:sz w:val="20"/>
          <w:szCs w:val="20"/>
          <w:color w:val="auto"/>
        </w:rPr>
      </w:pPr>
    </w:p>
    <w:p>
      <w:pPr>
        <w:ind w:left="1560"/>
        <w:spacing w:after="0"/>
        <w:tabs>
          <w:tab w:leader="dot" w:pos="7340" w:val="left"/>
        </w:tabs>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GLOSSARY OF TERMS</w:t>
        </w:r>
      </w:hyperlink>
      <w:r>
        <w:rPr>
          <w:rFonts w:ascii="Arial" w:cs="Arial" w:eastAsia="Arial" w:hAnsi="Arial"/>
          <w:sz w:val="12"/>
          <w:szCs w:val="12"/>
          <w:color w:val="0000FF"/>
        </w:rPr>
        <w:tab/>
      </w:r>
      <w:hyperlink w:anchor="page4">
        <w:r>
          <w:rPr>
            <w:rFonts w:ascii="Arial" w:cs="Arial" w:eastAsia="Arial" w:hAnsi="Arial"/>
            <w:sz w:val="12"/>
            <w:szCs w:val="12"/>
            <w:u w:val="single" w:color="auto"/>
            <w:color w:val="0000FF"/>
          </w:rPr>
          <w:t>iii</w:t>
        </w:r>
      </w:hyperlink>
    </w:p>
    <w:p>
      <w:pPr>
        <w:spacing w:after="0" w:line="82" w:lineRule="exact"/>
        <w:rPr>
          <w:sz w:val="20"/>
          <w:szCs w:val="20"/>
          <w:color w:val="auto"/>
        </w:rPr>
      </w:pPr>
    </w:p>
    <w:p>
      <w:pPr>
        <w:ind w:left="1560"/>
        <w:spacing w:after="0"/>
        <w:tabs>
          <w:tab w:leader="dot" w:pos="7340" w:val="left"/>
        </w:tabs>
        <w:rPr>
          <w:rFonts w:ascii="Arial" w:cs="Arial" w:eastAsia="Arial" w:hAnsi="Arial"/>
          <w:sz w:val="11"/>
          <w:szCs w:val="11"/>
          <w:u w:val="single" w:color="auto"/>
          <w:color w:val="0000FF"/>
        </w:rPr>
      </w:pPr>
      <w:hyperlink w:anchor="page6">
        <w:r>
          <w:rPr>
            <w:rFonts w:ascii="Arial" w:cs="Arial" w:eastAsia="Arial" w:hAnsi="Arial"/>
            <w:sz w:val="12"/>
            <w:szCs w:val="12"/>
            <w:u w:val="single" w:color="auto"/>
            <w:color w:val="0000FF"/>
          </w:rPr>
          <w:t>LETTER FROM OUR CO-FOUNDERS</w:t>
        </w:r>
      </w:hyperlink>
      <w:r>
        <w:rPr>
          <w:rFonts w:ascii="Arial" w:cs="Arial" w:eastAsia="Arial" w:hAnsi="Arial"/>
          <w:sz w:val="12"/>
          <w:szCs w:val="12"/>
          <w:color w:val="0000FF"/>
        </w:rPr>
        <w:tab/>
      </w:r>
      <w:hyperlink w:anchor="page6">
        <w:r>
          <w:rPr>
            <w:rFonts w:ascii="Arial" w:cs="Arial" w:eastAsia="Arial" w:hAnsi="Arial"/>
            <w:sz w:val="11"/>
            <w:szCs w:val="11"/>
            <w:u w:val="single" w:color="auto"/>
            <w:color w:val="0000FF"/>
          </w:rPr>
          <w:t>vi</w:t>
        </w:r>
      </w:hyperlink>
    </w:p>
    <w:p>
      <w:pPr>
        <w:spacing w:after="0" w:line="82" w:lineRule="exact"/>
        <w:rPr>
          <w:sz w:val="20"/>
          <w:szCs w:val="20"/>
          <w:color w:val="auto"/>
        </w:rPr>
      </w:pPr>
    </w:p>
    <w:p>
      <w:pPr>
        <w:ind w:left="1560"/>
        <w:spacing w:after="0"/>
        <w:tabs>
          <w:tab w:leader="dot" w:pos="7360" w:val="left"/>
        </w:tabs>
        <w:rPr>
          <w:rFonts w:ascii="Arial" w:cs="Arial" w:eastAsia="Arial" w:hAnsi="Arial"/>
          <w:sz w:val="12"/>
          <w:szCs w:val="12"/>
          <w:u w:val="single" w:color="auto"/>
          <w:color w:val="0000FF"/>
        </w:rPr>
      </w:pPr>
      <w:hyperlink w:anchor="page8">
        <w:r>
          <w:rPr>
            <w:rFonts w:ascii="Arial" w:cs="Arial" w:eastAsia="Arial" w:hAnsi="Arial"/>
            <w:sz w:val="12"/>
            <w:szCs w:val="12"/>
            <w:u w:val="single" w:color="auto"/>
            <w:color w:val="0000FF"/>
          </w:rPr>
          <w:t>PROSPECTUS SUMMARY</w:t>
        </w:r>
      </w:hyperlink>
      <w:r>
        <w:rPr>
          <w:rFonts w:ascii="Arial" w:cs="Arial" w:eastAsia="Arial" w:hAnsi="Arial"/>
          <w:sz w:val="12"/>
          <w:szCs w:val="12"/>
          <w:color w:val="0000FF"/>
        </w:rPr>
        <w:tab/>
      </w:r>
      <w:hyperlink w:anchor="page8">
        <w:r>
          <w:rPr>
            <w:rFonts w:ascii="Arial" w:cs="Arial" w:eastAsia="Arial" w:hAnsi="Arial"/>
            <w:sz w:val="12"/>
            <w:szCs w:val="12"/>
            <w:u w:val="single" w:color="auto"/>
            <w:color w:val="0000FF"/>
          </w:rPr>
          <w:t>1</w:t>
        </w:r>
      </w:hyperlink>
    </w:p>
    <w:p>
      <w:pPr>
        <w:spacing w:after="0" w:line="82" w:lineRule="exact"/>
        <w:rPr>
          <w:sz w:val="20"/>
          <w:szCs w:val="20"/>
          <w:color w:val="auto"/>
        </w:rPr>
      </w:pPr>
    </w:p>
    <w:p>
      <w:pPr>
        <w:ind w:left="1560"/>
        <w:spacing w:after="0"/>
        <w:tabs>
          <w:tab w:leader="dot" w:pos="7300" w:val="left"/>
        </w:tabs>
        <w:rPr>
          <w:rFonts w:ascii="Arial" w:cs="Arial" w:eastAsia="Arial" w:hAnsi="Arial"/>
          <w:sz w:val="10"/>
          <w:szCs w:val="10"/>
          <w:u w:val="single" w:color="auto"/>
          <w:color w:val="0000FF"/>
        </w:rPr>
      </w:pPr>
      <w:hyperlink w:anchor="page24">
        <w:r>
          <w:rPr>
            <w:rFonts w:ascii="Arial" w:cs="Arial" w:eastAsia="Arial" w:hAnsi="Arial"/>
            <w:sz w:val="12"/>
            <w:szCs w:val="12"/>
            <w:u w:val="single" w:color="auto"/>
            <w:color w:val="0000FF"/>
          </w:rPr>
          <w:t>RISK FACTORS</w:t>
        </w:r>
      </w:hyperlink>
      <w:r>
        <w:rPr>
          <w:rFonts w:ascii="Arial" w:cs="Arial" w:eastAsia="Arial" w:hAnsi="Arial"/>
          <w:sz w:val="12"/>
          <w:szCs w:val="12"/>
          <w:color w:val="0000FF"/>
        </w:rPr>
        <w:tab/>
      </w:r>
      <w:hyperlink w:anchor="page24">
        <w:r>
          <w:rPr>
            <w:rFonts w:ascii="Arial" w:cs="Arial" w:eastAsia="Arial" w:hAnsi="Arial"/>
            <w:sz w:val="10"/>
            <w:szCs w:val="10"/>
            <w:u w:val="single" w:color="auto"/>
            <w:color w:val="0000FF"/>
          </w:rPr>
          <w:t>25</w:t>
        </w:r>
      </w:hyperlink>
    </w:p>
    <w:p>
      <w:pPr>
        <w:spacing w:after="0" w:line="82" w:lineRule="exact"/>
        <w:rPr>
          <w:sz w:val="20"/>
          <w:szCs w:val="20"/>
          <w:color w:val="auto"/>
        </w:rPr>
      </w:pPr>
    </w:p>
    <w:p>
      <w:pPr>
        <w:ind w:left="1560"/>
        <w:spacing w:after="0"/>
        <w:tabs>
          <w:tab w:leader="dot" w:pos="7300" w:val="left"/>
        </w:tabs>
        <w:rPr>
          <w:rFonts w:ascii="Arial" w:cs="Arial" w:eastAsia="Arial" w:hAnsi="Arial"/>
          <w:sz w:val="10"/>
          <w:szCs w:val="10"/>
          <w:u w:val="single" w:color="auto"/>
          <w:color w:val="0000FF"/>
        </w:rPr>
      </w:pPr>
      <w:hyperlink w:anchor="page60">
        <w:r>
          <w:rPr>
            <w:rFonts w:ascii="Arial" w:cs="Arial" w:eastAsia="Arial" w:hAnsi="Arial"/>
            <w:sz w:val="12"/>
            <w:szCs w:val="12"/>
            <w:u w:val="single" w:color="auto"/>
            <w:color w:val="0000FF"/>
          </w:rPr>
          <w:t>SPECIAL NOTE REGARDING FORWARD-LOOKING STATEMENTS</w:t>
        </w:r>
      </w:hyperlink>
      <w:r>
        <w:rPr>
          <w:rFonts w:ascii="Arial" w:cs="Arial" w:eastAsia="Arial" w:hAnsi="Arial"/>
          <w:sz w:val="12"/>
          <w:szCs w:val="12"/>
          <w:color w:val="0000FF"/>
        </w:rPr>
        <w:tab/>
      </w:r>
      <w:hyperlink w:anchor="page60">
        <w:r>
          <w:rPr>
            <w:rFonts w:ascii="Arial" w:cs="Arial" w:eastAsia="Arial" w:hAnsi="Arial"/>
            <w:sz w:val="10"/>
            <w:szCs w:val="10"/>
            <w:u w:val="single" w:color="auto"/>
            <w:color w:val="0000FF"/>
          </w:rPr>
          <w:t>80</w:t>
        </w:r>
      </w:hyperlink>
    </w:p>
    <w:p>
      <w:pPr>
        <w:spacing w:after="0" w:line="82" w:lineRule="exact"/>
        <w:rPr>
          <w:sz w:val="20"/>
          <w:szCs w:val="20"/>
          <w:color w:val="auto"/>
        </w:rPr>
      </w:pPr>
    </w:p>
    <w:p>
      <w:pPr>
        <w:ind w:left="1560"/>
        <w:spacing w:after="0"/>
        <w:tabs>
          <w:tab w:leader="dot" w:pos="7300" w:val="left"/>
        </w:tabs>
        <w:rPr>
          <w:rFonts w:ascii="Arial" w:cs="Arial" w:eastAsia="Arial" w:hAnsi="Arial"/>
          <w:sz w:val="10"/>
          <w:szCs w:val="10"/>
          <w:u w:val="single" w:color="auto"/>
          <w:color w:val="0000FF"/>
        </w:rPr>
      </w:pPr>
      <w:hyperlink w:anchor="page61">
        <w:r>
          <w:rPr>
            <w:rFonts w:ascii="Arial" w:cs="Arial" w:eastAsia="Arial" w:hAnsi="Arial"/>
            <w:sz w:val="12"/>
            <w:szCs w:val="12"/>
            <w:u w:val="single" w:color="auto"/>
            <w:color w:val="0000FF"/>
          </w:rPr>
          <w:t>INDUSTRY AND MARKET DATA</w:t>
        </w:r>
      </w:hyperlink>
      <w:r>
        <w:rPr>
          <w:rFonts w:ascii="Arial" w:cs="Arial" w:eastAsia="Arial" w:hAnsi="Arial"/>
          <w:sz w:val="12"/>
          <w:szCs w:val="12"/>
          <w:color w:val="0000FF"/>
        </w:rPr>
        <w:tab/>
      </w:r>
      <w:hyperlink w:anchor="page61">
        <w:r>
          <w:rPr>
            <w:rFonts w:ascii="Arial" w:cs="Arial" w:eastAsia="Arial" w:hAnsi="Arial"/>
            <w:sz w:val="10"/>
            <w:szCs w:val="10"/>
            <w:u w:val="single" w:color="auto"/>
            <w:color w:val="0000FF"/>
          </w:rPr>
          <w:t>82</w:t>
        </w:r>
      </w:hyperlink>
    </w:p>
    <w:p>
      <w:pPr>
        <w:spacing w:after="0" w:line="82" w:lineRule="exact"/>
        <w:rPr>
          <w:sz w:val="20"/>
          <w:szCs w:val="20"/>
          <w:color w:val="auto"/>
        </w:rPr>
      </w:pPr>
    </w:p>
    <w:p>
      <w:pPr>
        <w:ind w:left="1560"/>
        <w:spacing w:after="0"/>
        <w:tabs>
          <w:tab w:leader="dot" w:pos="7300" w:val="left"/>
        </w:tabs>
        <w:rPr>
          <w:rFonts w:ascii="Arial" w:cs="Arial" w:eastAsia="Arial" w:hAnsi="Arial"/>
          <w:sz w:val="10"/>
          <w:szCs w:val="10"/>
          <w:u w:val="single" w:color="auto"/>
          <w:color w:val="0000FF"/>
        </w:rPr>
      </w:pPr>
      <w:hyperlink w:anchor="page62">
        <w:r>
          <w:rPr>
            <w:rFonts w:ascii="Arial" w:cs="Arial" w:eastAsia="Arial" w:hAnsi="Arial"/>
            <w:sz w:val="12"/>
            <w:szCs w:val="12"/>
            <w:u w:val="single" w:color="auto"/>
            <w:color w:val="0000FF"/>
          </w:rPr>
          <w:t>USE OF PROCEEDS</w:t>
        </w:r>
      </w:hyperlink>
      <w:r>
        <w:rPr>
          <w:rFonts w:ascii="Arial" w:cs="Arial" w:eastAsia="Arial" w:hAnsi="Arial"/>
          <w:sz w:val="12"/>
          <w:szCs w:val="12"/>
          <w:color w:val="0000FF"/>
        </w:rPr>
        <w:tab/>
      </w:r>
      <w:hyperlink w:anchor="page62">
        <w:r>
          <w:rPr>
            <w:rFonts w:ascii="Arial" w:cs="Arial" w:eastAsia="Arial" w:hAnsi="Arial"/>
            <w:sz w:val="10"/>
            <w:szCs w:val="10"/>
            <w:u w:val="single" w:color="auto"/>
            <w:color w:val="0000FF"/>
          </w:rPr>
          <w:t>83</w:t>
        </w:r>
      </w:hyperlink>
    </w:p>
    <w:p>
      <w:pPr>
        <w:spacing w:after="0" w:line="82" w:lineRule="exact"/>
        <w:rPr>
          <w:sz w:val="20"/>
          <w:szCs w:val="20"/>
          <w:color w:val="auto"/>
        </w:rPr>
      </w:pPr>
    </w:p>
    <w:p>
      <w:pPr>
        <w:ind w:left="1560"/>
        <w:spacing w:after="0"/>
        <w:tabs>
          <w:tab w:leader="dot" w:pos="7300" w:val="left"/>
        </w:tabs>
        <w:rPr>
          <w:rFonts w:ascii="Arial" w:cs="Arial" w:eastAsia="Arial" w:hAnsi="Arial"/>
          <w:sz w:val="10"/>
          <w:szCs w:val="10"/>
          <w:u w:val="single" w:color="auto"/>
          <w:color w:val="0000FF"/>
        </w:rPr>
      </w:pPr>
      <w:hyperlink w:anchor="page62">
        <w:r>
          <w:rPr>
            <w:rFonts w:ascii="Arial" w:cs="Arial" w:eastAsia="Arial" w:hAnsi="Arial"/>
            <w:sz w:val="12"/>
            <w:szCs w:val="12"/>
            <w:u w:val="single" w:color="auto"/>
            <w:color w:val="0000FF"/>
          </w:rPr>
          <w:t>DIVIDEND POLICY</w:t>
        </w:r>
      </w:hyperlink>
      <w:r>
        <w:rPr>
          <w:rFonts w:ascii="Arial" w:cs="Arial" w:eastAsia="Arial" w:hAnsi="Arial"/>
          <w:sz w:val="12"/>
          <w:szCs w:val="12"/>
          <w:color w:val="0000FF"/>
        </w:rPr>
        <w:tab/>
      </w:r>
      <w:hyperlink w:anchor="page62">
        <w:r>
          <w:rPr>
            <w:rFonts w:ascii="Arial" w:cs="Arial" w:eastAsia="Arial" w:hAnsi="Arial"/>
            <w:sz w:val="10"/>
            <w:szCs w:val="10"/>
            <w:u w:val="single" w:color="auto"/>
            <w:color w:val="0000FF"/>
          </w:rPr>
          <w:t>84</w:t>
        </w:r>
      </w:hyperlink>
    </w:p>
    <w:p>
      <w:pPr>
        <w:spacing w:after="0" w:line="82" w:lineRule="exact"/>
        <w:rPr>
          <w:sz w:val="20"/>
          <w:szCs w:val="20"/>
          <w:color w:val="auto"/>
        </w:rPr>
      </w:pPr>
    </w:p>
    <w:p>
      <w:pPr>
        <w:ind w:left="1560"/>
        <w:spacing w:after="0"/>
        <w:tabs>
          <w:tab w:leader="dot" w:pos="7300" w:val="left"/>
        </w:tabs>
        <w:rPr>
          <w:rFonts w:ascii="Arial" w:cs="Arial" w:eastAsia="Arial" w:hAnsi="Arial"/>
          <w:sz w:val="10"/>
          <w:szCs w:val="10"/>
          <w:u w:val="single" w:color="auto"/>
          <w:color w:val="0000FF"/>
        </w:rPr>
      </w:pPr>
      <w:hyperlink w:anchor="page63">
        <w:r>
          <w:rPr>
            <w:rFonts w:ascii="Arial" w:cs="Arial" w:eastAsia="Arial" w:hAnsi="Arial"/>
            <w:sz w:val="12"/>
            <w:szCs w:val="12"/>
            <w:u w:val="single" w:color="auto"/>
            <w:color w:val="0000FF"/>
          </w:rPr>
          <w:t>CAPITALIZATION</w:t>
        </w:r>
      </w:hyperlink>
      <w:r>
        <w:rPr>
          <w:rFonts w:ascii="Arial" w:cs="Arial" w:eastAsia="Arial" w:hAnsi="Arial"/>
          <w:sz w:val="12"/>
          <w:szCs w:val="12"/>
          <w:color w:val="0000FF"/>
        </w:rPr>
        <w:tab/>
      </w:r>
      <w:hyperlink w:anchor="page63">
        <w:r>
          <w:rPr>
            <w:rFonts w:ascii="Arial" w:cs="Arial" w:eastAsia="Arial" w:hAnsi="Arial"/>
            <w:sz w:val="10"/>
            <w:szCs w:val="10"/>
            <w:u w:val="single" w:color="auto"/>
            <w:color w:val="0000FF"/>
          </w:rPr>
          <w:t>85</w:t>
        </w:r>
      </w:hyperlink>
    </w:p>
    <w:p>
      <w:pPr>
        <w:spacing w:after="0" w:line="82" w:lineRule="exact"/>
        <w:rPr>
          <w:sz w:val="20"/>
          <w:szCs w:val="20"/>
          <w:color w:val="auto"/>
        </w:rPr>
      </w:pPr>
    </w:p>
    <w:p>
      <w:pPr>
        <w:ind w:left="1560"/>
        <w:spacing w:after="0"/>
        <w:tabs>
          <w:tab w:leader="dot" w:pos="7300" w:val="left"/>
        </w:tabs>
        <w:rPr>
          <w:rFonts w:ascii="Arial" w:cs="Arial" w:eastAsia="Arial" w:hAnsi="Arial"/>
          <w:sz w:val="10"/>
          <w:szCs w:val="10"/>
          <w:u w:val="single" w:color="auto"/>
          <w:color w:val="0000FF"/>
        </w:rPr>
      </w:pPr>
      <w:hyperlink w:anchor="page66">
        <w:r>
          <w:rPr>
            <w:rFonts w:ascii="Arial" w:cs="Arial" w:eastAsia="Arial" w:hAnsi="Arial"/>
            <w:sz w:val="12"/>
            <w:szCs w:val="12"/>
            <w:u w:val="single" w:color="auto"/>
            <w:color w:val="0000FF"/>
          </w:rPr>
          <w:t>DILUTION</w:t>
        </w:r>
      </w:hyperlink>
      <w:r>
        <w:rPr>
          <w:rFonts w:ascii="Arial" w:cs="Arial" w:eastAsia="Arial" w:hAnsi="Arial"/>
          <w:sz w:val="12"/>
          <w:szCs w:val="12"/>
          <w:color w:val="0000FF"/>
        </w:rPr>
        <w:tab/>
      </w:r>
      <w:hyperlink w:anchor="page66">
        <w:r>
          <w:rPr>
            <w:rFonts w:ascii="Arial" w:cs="Arial" w:eastAsia="Arial" w:hAnsi="Arial"/>
            <w:sz w:val="10"/>
            <w:szCs w:val="10"/>
            <w:u w:val="single" w:color="auto"/>
            <w:color w:val="0000FF"/>
          </w:rPr>
          <w:t>89</w:t>
        </w:r>
      </w:hyperlink>
    </w:p>
    <w:p>
      <w:pPr>
        <w:spacing w:after="0" w:line="63" w:lineRule="exact"/>
        <w:rPr>
          <w:sz w:val="20"/>
          <w:szCs w:val="20"/>
          <w:color w:val="auto"/>
        </w:rPr>
      </w:pPr>
    </w:p>
    <w:p>
      <w:pPr>
        <w:ind w:left="1560"/>
        <w:spacing w:after="0"/>
        <w:rPr>
          <w:rFonts w:ascii="Arial" w:cs="Arial" w:eastAsia="Arial" w:hAnsi="Arial"/>
          <w:sz w:val="12"/>
          <w:szCs w:val="12"/>
          <w:u w:val="single" w:color="auto"/>
          <w:color w:val="0000FF"/>
        </w:rPr>
      </w:pPr>
      <w:hyperlink w:anchor="page68">
        <w:r>
          <w:rPr>
            <w:rFonts w:ascii="Arial" w:cs="Arial" w:eastAsia="Arial" w:hAnsi="Arial"/>
            <w:sz w:val="12"/>
            <w:szCs w:val="12"/>
            <w:u w:val="single" w:color="auto"/>
            <w:color w:val="0000FF"/>
          </w:rPr>
          <w:t>MANAGEMENT’S DISCUSSION AND ANALYSIS OF FINANCIAL CONDITION AND RESULTS</w:t>
        </w:r>
      </w:hyperlink>
    </w:p>
    <w:p>
      <w:pPr>
        <w:spacing w:after="0" w:line="27" w:lineRule="exact"/>
        <w:rPr>
          <w:sz w:val="20"/>
          <w:szCs w:val="20"/>
          <w:color w:val="auto"/>
        </w:rPr>
      </w:pPr>
    </w:p>
    <w:p>
      <w:pPr>
        <w:ind w:left="1660"/>
        <w:spacing w:after="0"/>
        <w:tabs>
          <w:tab w:leader="dot" w:pos="7300" w:val="left"/>
        </w:tabs>
        <w:rPr>
          <w:rFonts w:ascii="Arial" w:cs="Arial" w:eastAsia="Arial" w:hAnsi="Arial"/>
          <w:sz w:val="10"/>
          <w:szCs w:val="10"/>
          <w:u w:val="single" w:color="auto"/>
          <w:color w:val="0000FF"/>
        </w:rPr>
      </w:pPr>
      <w:hyperlink w:anchor="page68">
        <w:r>
          <w:rPr>
            <w:rFonts w:ascii="Arial" w:cs="Arial" w:eastAsia="Arial" w:hAnsi="Arial"/>
            <w:sz w:val="12"/>
            <w:szCs w:val="12"/>
            <w:u w:val="single" w:color="auto"/>
            <w:color w:val="0000FF"/>
          </w:rPr>
          <w:t>OF OPERATIONS</w:t>
        </w:r>
      </w:hyperlink>
      <w:r>
        <w:rPr>
          <w:rFonts w:ascii="Arial" w:cs="Arial" w:eastAsia="Arial" w:hAnsi="Arial"/>
          <w:sz w:val="12"/>
          <w:szCs w:val="12"/>
          <w:color w:val="0000FF"/>
        </w:rPr>
        <w:tab/>
      </w:r>
      <w:hyperlink w:anchor="page68">
        <w:r>
          <w:rPr>
            <w:rFonts w:ascii="Arial" w:cs="Arial" w:eastAsia="Arial" w:hAnsi="Arial"/>
            <w:sz w:val="10"/>
            <w:szCs w:val="10"/>
            <w:u w:val="single" w:color="auto"/>
            <w:color w:val="0000FF"/>
          </w:rPr>
          <w:t>93</w:t>
        </w:r>
      </w:hyperlink>
    </w:p>
    <w:p>
      <w:pPr>
        <w:spacing w:after="0" w:line="70" w:lineRule="exact"/>
        <w:rPr>
          <w:sz w:val="20"/>
          <w:szCs w:val="20"/>
          <w:color w:val="auto"/>
        </w:rPr>
      </w:pPr>
    </w:p>
    <w:p>
      <w:pPr>
        <w:ind w:left="1560"/>
        <w:spacing w:after="0"/>
        <w:tabs>
          <w:tab w:leader="dot" w:pos="7220" w:val="left"/>
        </w:tabs>
        <w:rPr>
          <w:rFonts w:ascii="Arial" w:cs="Arial" w:eastAsia="Arial" w:hAnsi="Arial"/>
          <w:sz w:val="12"/>
          <w:szCs w:val="12"/>
          <w:u w:val="single" w:color="auto"/>
          <w:color w:val="0000FF"/>
        </w:rPr>
      </w:pPr>
      <w:hyperlink w:anchor="page90">
        <w:r>
          <w:rPr>
            <w:rFonts w:ascii="Arial" w:cs="Arial" w:eastAsia="Arial" w:hAnsi="Arial"/>
            <w:sz w:val="12"/>
            <w:szCs w:val="12"/>
            <w:u w:val="single" w:color="auto"/>
            <w:color w:val="0000FF"/>
          </w:rPr>
          <w:t>BUSINESS</w:t>
        </w:r>
      </w:hyperlink>
      <w:r>
        <w:rPr>
          <w:rFonts w:ascii="Arial" w:cs="Arial" w:eastAsia="Arial" w:hAnsi="Arial"/>
          <w:sz w:val="12"/>
          <w:szCs w:val="12"/>
          <w:color w:val="0000FF"/>
        </w:rPr>
        <w:tab/>
      </w:r>
      <w:hyperlink w:anchor="page90">
        <w:r>
          <w:rPr>
            <w:rFonts w:ascii="Arial" w:cs="Arial" w:eastAsia="Arial" w:hAnsi="Arial"/>
            <w:sz w:val="12"/>
            <w:szCs w:val="12"/>
            <w:u w:val="single" w:color="auto"/>
            <w:color w:val="0000FF"/>
          </w:rPr>
          <w:t>126</w:t>
        </w:r>
      </w:hyperlink>
    </w:p>
    <w:p>
      <w:pPr>
        <w:spacing w:after="0" w:line="82" w:lineRule="exact"/>
        <w:rPr>
          <w:sz w:val="20"/>
          <w:szCs w:val="20"/>
          <w:color w:val="auto"/>
        </w:rPr>
      </w:pPr>
    </w:p>
    <w:p>
      <w:pPr>
        <w:ind w:left="1560"/>
        <w:spacing w:after="0"/>
        <w:tabs>
          <w:tab w:leader="dot" w:pos="7220" w:val="left"/>
        </w:tabs>
        <w:rPr>
          <w:rFonts w:ascii="Arial" w:cs="Arial" w:eastAsia="Arial" w:hAnsi="Arial"/>
          <w:sz w:val="12"/>
          <w:szCs w:val="12"/>
          <w:u w:val="single" w:color="auto"/>
          <w:color w:val="0000FF"/>
        </w:rPr>
      </w:pPr>
      <w:hyperlink w:anchor="page113">
        <w:r>
          <w:rPr>
            <w:rFonts w:ascii="Arial" w:cs="Arial" w:eastAsia="Arial" w:hAnsi="Arial"/>
            <w:sz w:val="12"/>
            <w:szCs w:val="12"/>
            <w:u w:val="single" w:color="auto"/>
            <w:color w:val="0000FF"/>
          </w:rPr>
          <w:t>MANAGEMENT</w:t>
        </w:r>
      </w:hyperlink>
      <w:r>
        <w:rPr>
          <w:rFonts w:ascii="Arial" w:cs="Arial" w:eastAsia="Arial" w:hAnsi="Arial"/>
          <w:sz w:val="12"/>
          <w:szCs w:val="12"/>
          <w:color w:val="0000FF"/>
        </w:rPr>
        <w:tab/>
      </w:r>
      <w:hyperlink w:anchor="page113">
        <w:r>
          <w:rPr>
            <w:rFonts w:ascii="Arial" w:cs="Arial" w:eastAsia="Arial" w:hAnsi="Arial"/>
            <w:sz w:val="12"/>
            <w:szCs w:val="12"/>
            <w:u w:val="single" w:color="auto"/>
            <w:color w:val="0000FF"/>
          </w:rPr>
          <w:t>162</w:t>
        </w:r>
      </w:hyperlink>
    </w:p>
    <w:p>
      <w:pPr>
        <w:spacing w:after="0" w:line="82" w:lineRule="exact"/>
        <w:rPr>
          <w:sz w:val="20"/>
          <w:szCs w:val="20"/>
          <w:color w:val="auto"/>
        </w:rPr>
      </w:pPr>
    </w:p>
    <w:p>
      <w:pPr>
        <w:ind w:left="1560"/>
        <w:spacing w:after="0"/>
        <w:tabs>
          <w:tab w:leader="dot" w:pos="7220" w:val="left"/>
        </w:tabs>
        <w:rPr>
          <w:rFonts w:ascii="Arial" w:cs="Arial" w:eastAsia="Arial" w:hAnsi="Arial"/>
          <w:sz w:val="12"/>
          <w:szCs w:val="12"/>
          <w:u w:val="single" w:color="auto"/>
          <w:color w:val="0000FF"/>
        </w:rPr>
      </w:pPr>
      <w:hyperlink w:anchor="page119">
        <w:r>
          <w:rPr>
            <w:rFonts w:ascii="Arial" w:cs="Arial" w:eastAsia="Arial" w:hAnsi="Arial"/>
            <w:sz w:val="12"/>
            <w:szCs w:val="12"/>
            <w:u w:val="single" w:color="auto"/>
            <w:color w:val="0000FF"/>
          </w:rPr>
          <w:t>EXECUTIVE COMPENSATION</w:t>
        </w:r>
      </w:hyperlink>
      <w:r>
        <w:rPr>
          <w:rFonts w:ascii="Arial" w:cs="Arial" w:eastAsia="Arial" w:hAnsi="Arial"/>
          <w:sz w:val="12"/>
          <w:szCs w:val="12"/>
          <w:color w:val="0000FF"/>
        </w:rPr>
        <w:tab/>
      </w:r>
      <w:hyperlink w:anchor="page119">
        <w:r>
          <w:rPr>
            <w:rFonts w:ascii="Arial" w:cs="Arial" w:eastAsia="Arial" w:hAnsi="Arial"/>
            <w:sz w:val="12"/>
            <w:szCs w:val="12"/>
            <w:u w:val="single" w:color="auto"/>
            <w:color w:val="0000FF"/>
          </w:rPr>
          <w:t>172</w:t>
        </w:r>
      </w:hyperlink>
    </w:p>
    <w:p>
      <w:pPr>
        <w:spacing w:after="0" w:line="82" w:lineRule="exact"/>
        <w:rPr>
          <w:sz w:val="20"/>
          <w:szCs w:val="20"/>
          <w:color w:val="auto"/>
        </w:rPr>
      </w:pPr>
    </w:p>
    <w:p>
      <w:pPr>
        <w:ind w:left="1560"/>
        <w:spacing w:after="0"/>
        <w:tabs>
          <w:tab w:leader="dot" w:pos="7220" w:val="left"/>
        </w:tabs>
        <w:rPr>
          <w:rFonts w:ascii="Arial" w:cs="Arial" w:eastAsia="Arial" w:hAnsi="Arial"/>
          <w:sz w:val="12"/>
          <w:szCs w:val="12"/>
          <w:u w:val="single" w:color="auto"/>
          <w:color w:val="0000FF"/>
        </w:rPr>
      </w:pPr>
      <w:hyperlink w:anchor="page131">
        <w:r>
          <w:rPr>
            <w:rFonts w:ascii="Arial" w:cs="Arial" w:eastAsia="Arial" w:hAnsi="Arial"/>
            <w:sz w:val="12"/>
            <w:szCs w:val="12"/>
            <w:u w:val="single" w:color="auto"/>
            <w:color w:val="0000FF"/>
          </w:rPr>
          <w:t>CERTAIN RELATIONSHIPS AND RELATED PARTY TRANSACTIONS</w:t>
        </w:r>
      </w:hyperlink>
      <w:r>
        <w:rPr>
          <w:rFonts w:ascii="Arial" w:cs="Arial" w:eastAsia="Arial" w:hAnsi="Arial"/>
          <w:sz w:val="12"/>
          <w:szCs w:val="12"/>
          <w:color w:val="0000FF"/>
        </w:rPr>
        <w:tab/>
      </w:r>
      <w:hyperlink w:anchor="page131">
        <w:r>
          <w:rPr>
            <w:rFonts w:ascii="Arial" w:cs="Arial" w:eastAsia="Arial" w:hAnsi="Arial"/>
            <w:sz w:val="12"/>
            <w:szCs w:val="12"/>
            <w:u w:val="single" w:color="auto"/>
            <w:color w:val="0000FF"/>
          </w:rPr>
          <w:t>190</w:t>
        </w:r>
      </w:hyperlink>
    </w:p>
    <w:p>
      <w:pPr>
        <w:spacing w:after="0" w:line="82" w:lineRule="exact"/>
        <w:rPr>
          <w:sz w:val="20"/>
          <w:szCs w:val="20"/>
          <w:color w:val="auto"/>
        </w:rPr>
      </w:pPr>
    </w:p>
    <w:p>
      <w:pPr>
        <w:ind w:left="1560"/>
        <w:spacing w:after="0"/>
        <w:tabs>
          <w:tab w:leader="dot" w:pos="7220" w:val="left"/>
        </w:tabs>
        <w:rPr>
          <w:rFonts w:ascii="Arial" w:cs="Arial" w:eastAsia="Arial" w:hAnsi="Arial"/>
          <w:sz w:val="12"/>
          <w:szCs w:val="12"/>
          <w:u w:val="single" w:color="auto"/>
          <w:color w:val="0000FF"/>
        </w:rPr>
      </w:pPr>
      <w:hyperlink w:anchor="page134">
        <w:r>
          <w:rPr>
            <w:rFonts w:ascii="Arial" w:cs="Arial" w:eastAsia="Arial" w:hAnsi="Arial"/>
            <w:sz w:val="12"/>
            <w:szCs w:val="12"/>
            <w:u w:val="single" w:color="auto"/>
            <w:color w:val="0000FF"/>
          </w:rPr>
          <w:t>PRINCIPAL AND SELLING STOCKHOLDERS</w:t>
        </w:r>
      </w:hyperlink>
      <w:r>
        <w:rPr>
          <w:rFonts w:ascii="Arial" w:cs="Arial" w:eastAsia="Arial" w:hAnsi="Arial"/>
          <w:sz w:val="12"/>
          <w:szCs w:val="12"/>
          <w:color w:val="0000FF"/>
        </w:rPr>
        <w:tab/>
      </w:r>
      <w:hyperlink w:anchor="page134">
        <w:r>
          <w:rPr>
            <w:rFonts w:ascii="Arial" w:cs="Arial" w:eastAsia="Arial" w:hAnsi="Arial"/>
            <w:sz w:val="12"/>
            <w:szCs w:val="12"/>
            <w:u w:val="single" w:color="auto"/>
            <w:color w:val="0000FF"/>
          </w:rPr>
          <w:t>194</w:t>
        </w:r>
      </w:hyperlink>
    </w:p>
    <w:p>
      <w:pPr>
        <w:spacing w:after="0" w:line="82" w:lineRule="exact"/>
        <w:rPr>
          <w:sz w:val="20"/>
          <w:szCs w:val="20"/>
          <w:color w:val="auto"/>
        </w:rPr>
      </w:pPr>
    </w:p>
    <w:p>
      <w:pPr>
        <w:ind w:left="1560"/>
        <w:spacing w:after="0"/>
        <w:tabs>
          <w:tab w:leader="dot" w:pos="7220" w:val="left"/>
        </w:tabs>
        <w:rPr>
          <w:rFonts w:ascii="Arial" w:cs="Arial" w:eastAsia="Arial" w:hAnsi="Arial"/>
          <w:sz w:val="12"/>
          <w:szCs w:val="12"/>
          <w:u w:val="single" w:color="auto"/>
          <w:color w:val="0000FF"/>
        </w:rPr>
      </w:pPr>
      <w:hyperlink w:anchor="page138">
        <w:r>
          <w:rPr>
            <w:rFonts w:ascii="Arial" w:cs="Arial" w:eastAsia="Arial" w:hAnsi="Arial"/>
            <w:sz w:val="12"/>
            <w:szCs w:val="12"/>
            <w:u w:val="single" w:color="auto"/>
            <w:color w:val="0000FF"/>
          </w:rPr>
          <w:t>DESCRIPTION OF MATERIAL INDEBTEDNESS</w:t>
        </w:r>
      </w:hyperlink>
      <w:r>
        <w:rPr>
          <w:rFonts w:ascii="Arial" w:cs="Arial" w:eastAsia="Arial" w:hAnsi="Arial"/>
          <w:sz w:val="12"/>
          <w:szCs w:val="12"/>
          <w:color w:val="0000FF"/>
        </w:rPr>
        <w:tab/>
      </w:r>
      <w:hyperlink w:anchor="page138">
        <w:r>
          <w:rPr>
            <w:rFonts w:ascii="Arial" w:cs="Arial" w:eastAsia="Arial" w:hAnsi="Arial"/>
            <w:sz w:val="12"/>
            <w:szCs w:val="12"/>
            <w:u w:val="single" w:color="auto"/>
            <w:color w:val="0000FF"/>
          </w:rPr>
          <w:t>200</w:t>
        </w:r>
      </w:hyperlink>
    </w:p>
    <w:p>
      <w:pPr>
        <w:spacing w:after="0" w:line="82" w:lineRule="exact"/>
        <w:rPr>
          <w:sz w:val="20"/>
          <w:szCs w:val="20"/>
          <w:color w:val="auto"/>
        </w:rPr>
      </w:pPr>
    </w:p>
    <w:p>
      <w:pPr>
        <w:ind w:left="1560"/>
        <w:spacing w:after="0"/>
        <w:tabs>
          <w:tab w:leader="dot" w:pos="7220" w:val="left"/>
        </w:tabs>
        <w:rPr>
          <w:rFonts w:ascii="Arial" w:cs="Arial" w:eastAsia="Arial" w:hAnsi="Arial"/>
          <w:sz w:val="12"/>
          <w:szCs w:val="12"/>
          <w:u w:val="single" w:color="auto"/>
          <w:color w:val="0000FF"/>
        </w:rPr>
      </w:pPr>
      <w:hyperlink w:anchor="page142">
        <w:r>
          <w:rPr>
            <w:rFonts w:ascii="Arial" w:cs="Arial" w:eastAsia="Arial" w:hAnsi="Arial"/>
            <w:sz w:val="12"/>
            <w:szCs w:val="12"/>
            <w:u w:val="single" w:color="auto"/>
            <w:color w:val="0000FF"/>
          </w:rPr>
          <w:t>DESCRIPTION OF CAPITAL STOCK</w:t>
        </w:r>
      </w:hyperlink>
      <w:r>
        <w:rPr>
          <w:rFonts w:ascii="Arial" w:cs="Arial" w:eastAsia="Arial" w:hAnsi="Arial"/>
          <w:sz w:val="12"/>
          <w:szCs w:val="12"/>
          <w:color w:val="0000FF"/>
        </w:rPr>
        <w:tab/>
      </w:r>
      <w:hyperlink w:anchor="page142">
        <w:r>
          <w:rPr>
            <w:rFonts w:ascii="Arial" w:cs="Arial" w:eastAsia="Arial" w:hAnsi="Arial"/>
            <w:sz w:val="12"/>
            <w:szCs w:val="12"/>
            <w:u w:val="single" w:color="auto"/>
            <w:color w:val="0000FF"/>
          </w:rPr>
          <w:t>206</w:t>
        </w:r>
      </w:hyperlink>
    </w:p>
    <w:p>
      <w:pPr>
        <w:spacing w:after="0" w:line="82" w:lineRule="exact"/>
        <w:rPr>
          <w:sz w:val="20"/>
          <w:szCs w:val="20"/>
          <w:color w:val="auto"/>
        </w:rPr>
      </w:pPr>
    </w:p>
    <w:p>
      <w:pPr>
        <w:ind w:left="1560"/>
        <w:spacing w:after="0"/>
        <w:tabs>
          <w:tab w:leader="dot" w:pos="7220" w:val="left"/>
        </w:tabs>
        <w:rPr>
          <w:rFonts w:ascii="Arial" w:cs="Arial" w:eastAsia="Arial" w:hAnsi="Arial"/>
          <w:sz w:val="12"/>
          <w:szCs w:val="12"/>
          <w:u w:val="single" w:color="auto"/>
          <w:color w:val="0000FF"/>
        </w:rPr>
      </w:pPr>
      <w:hyperlink w:anchor="page147">
        <w:r>
          <w:rPr>
            <w:rFonts w:ascii="Arial" w:cs="Arial" w:eastAsia="Arial" w:hAnsi="Arial"/>
            <w:sz w:val="12"/>
            <w:szCs w:val="12"/>
            <w:u w:val="single" w:color="auto"/>
            <w:color w:val="0000FF"/>
          </w:rPr>
          <w:t>SHARES ELIGIBLE FOR FUTURE SALE</w:t>
        </w:r>
      </w:hyperlink>
      <w:r>
        <w:rPr>
          <w:rFonts w:ascii="Arial" w:cs="Arial" w:eastAsia="Arial" w:hAnsi="Arial"/>
          <w:sz w:val="12"/>
          <w:szCs w:val="12"/>
          <w:color w:val="0000FF"/>
        </w:rPr>
        <w:tab/>
      </w:r>
      <w:hyperlink w:anchor="page147">
        <w:r>
          <w:rPr>
            <w:rFonts w:ascii="Arial" w:cs="Arial" w:eastAsia="Arial" w:hAnsi="Arial"/>
            <w:sz w:val="12"/>
            <w:szCs w:val="12"/>
            <w:u w:val="single" w:color="auto"/>
            <w:color w:val="0000FF"/>
          </w:rPr>
          <w:t>215</w:t>
        </w:r>
      </w:hyperlink>
    </w:p>
    <w:p>
      <w:pPr>
        <w:spacing w:after="0" w:line="73" w:lineRule="exact"/>
        <w:rPr>
          <w:sz w:val="20"/>
          <w:szCs w:val="20"/>
          <w:color w:val="auto"/>
        </w:rPr>
      </w:pPr>
    </w:p>
    <w:p>
      <w:pPr>
        <w:ind w:left="1560"/>
        <w:spacing w:after="0"/>
        <w:rPr>
          <w:rFonts w:ascii="Arial" w:cs="Arial" w:eastAsia="Arial" w:hAnsi="Arial"/>
          <w:sz w:val="12"/>
          <w:szCs w:val="12"/>
          <w:u w:val="single" w:color="auto"/>
          <w:color w:val="0000FF"/>
        </w:rPr>
      </w:pPr>
      <w:hyperlink w:anchor="page150">
        <w:r>
          <w:rPr>
            <w:rFonts w:ascii="Arial" w:cs="Arial" w:eastAsia="Arial" w:hAnsi="Arial"/>
            <w:sz w:val="12"/>
            <w:szCs w:val="12"/>
            <w:u w:val="single" w:color="auto"/>
            <w:color w:val="0000FF"/>
          </w:rPr>
          <w:t>MATERIAL U.S. FEDERAL INCOME TAX CONSEQUENCES TO NON-U.S. HOLDERS OF</w:t>
        </w:r>
      </w:hyperlink>
    </w:p>
    <w:p>
      <w:pPr>
        <w:spacing w:after="0" w:line="18" w:lineRule="exact"/>
        <w:rPr>
          <w:sz w:val="20"/>
          <w:szCs w:val="20"/>
          <w:color w:val="auto"/>
        </w:rPr>
      </w:pPr>
    </w:p>
    <w:p>
      <w:pPr>
        <w:ind w:left="1660"/>
        <w:spacing w:after="0"/>
        <w:tabs>
          <w:tab w:leader="dot" w:pos="7220" w:val="left"/>
        </w:tabs>
        <w:rPr>
          <w:rFonts w:ascii="Arial" w:cs="Arial" w:eastAsia="Arial" w:hAnsi="Arial"/>
          <w:sz w:val="12"/>
          <w:szCs w:val="12"/>
          <w:u w:val="single" w:color="auto"/>
          <w:color w:val="0000FF"/>
        </w:rPr>
      </w:pPr>
      <w:hyperlink w:anchor="page150">
        <w:r>
          <w:rPr>
            <w:rFonts w:ascii="Arial" w:cs="Arial" w:eastAsia="Arial" w:hAnsi="Arial"/>
            <w:sz w:val="12"/>
            <w:szCs w:val="12"/>
            <w:u w:val="single" w:color="auto"/>
            <w:color w:val="0000FF"/>
          </w:rPr>
          <w:t>OUR CLASS A COMMON STOCK</w:t>
        </w:r>
      </w:hyperlink>
      <w:r>
        <w:rPr>
          <w:rFonts w:ascii="Arial" w:cs="Arial" w:eastAsia="Arial" w:hAnsi="Arial"/>
          <w:sz w:val="12"/>
          <w:szCs w:val="12"/>
          <w:color w:val="0000FF"/>
        </w:rPr>
        <w:tab/>
      </w:r>
      <w:hyperlink w:anchor="page150">
        <w:r>
          <w:rPr>
            <w:rFonts w:ascii="Arial" w:cs="Arial" w:eastAsia="Arial" w:hAnsi="Arial"/>
            <w:sz w:val="12"/>
            <w:szCs w:val="12"/>
            <w:u w:val="single" w:color="auto"/>
            <w:color w:val="0000FF"/>
          </w:rPr>
          <w:t>219</w:t>
        </w:r>
      </w:hyperlink>
    </w:p>
    <w:p>
      <w:pPr>
        <w:sectPr>
          <w:pgSz w:w="11900" w:h="16840" w:orient="portrait"/>
          <w:cols w:equalWidth="0" w:num="1">
            <w:col w:w="9020"/>
          </w:cols>
          <w:pgMar w:left="1440" w:top="1440" w:right="1440" w:bottom="170" w:gutter="0" w:footer="0" w:header="0"/>
        </w:sectPr>
      </w:pPr>
    </w:p>
    <w:bookmarkStart w:id="3" w:name="page4"/>
    <w:bookmarkEnd w:id="3"/>
    <w:p>
      <w:pPr>
        <w:ind w:left="1560"/>
        <w:spacing w:after="0"/>
        <w:tabs>
          <w:tab w:leader="dot" w:pos="7220" w:val="left"/>
        </w:tabs>
        <w:rPr>
          <w:rFonts w:ascii="Arial" w:cs="Arial" w:eastAsia="Arial" w:hAnsi="Arial"/>
          <w:sz w:val="12"/>
          <w:szCs w:val="12"/>
          <w:u w:val="single" w:color="auto"/>
          <w:color w:val="0000FF"/>
        </w:rPr>
      </w:pPr>
      <w:hyperlink w:anchor="page153">
        <w:r>
          <w:rPr>
            <w:rFonts w:ascii="Arial" w:cs="Arial" w:eastAsia="Arial" w:hAnsi="Arial"/>
            <w:sz w:val="12"/>
            <w:szCs w:val="12"/>
            <w:u w:val="single" w:color="auto"/>
            <w:color w:val="0000FF"/>
          </w:rPr>
          <w:t>UNDERWRITING</w:t>
        </w:r>
      </w:hyperlink>
      <w:r>
        <w:rPr>
          <w:rFonts w:ascii="Arial" w:cs="Arial" w:eastAsia="Arial" w:hAnsi="Arial"/>
          <w:sz w:val="12"/>
          <w:szCs w:val="12"/>
          <w:color w:val="0000FF"/>
        </w:rPr>
        <w:tab/>
      </w:r>
      <w:hyperlink w:anchor="page153">
        <w:r>
          <w:rPr>
            <w:rFonts w:ascii="Arial" w:cs="Arial" w:eastAsia="Arial" w:hAnsi="Arial"/>
            <w:sz w:val="12"/>
            <w:szCs w:val="12"/>
            <w:u w:val="single" w:color="auto"/>
            <w:color w:val="0000FF"/>
          </w:rPr>
          <w:t>224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60"/>
        <w:spacing w:after="0"/>
        <w:tabs>
          <w:tab w:leader="dot" w:pos="7220" w:val="left"/>
        </w:tabs>
        <w:rPr>
          <w:rFonts w:ascii="Arial" w:cs="Arial" w:eastAsia="Arial" w:hAnsi="Arial"/>
          <w:sz w:val="12"/>
          <w:szCs w:val="12"/>
          <w:u w:val="single" w:color="auto"/>
          <w:color w:val="0000FF"/>
        </w:rPr>
      </w:pPr>
      <w:hyperlink w:anchor="page160">
        <w:r>
          <w:rPr>
            <w:rFonts w:ascii="Arial" w:cs="Arial" w:eastAsia="Arial" w:hAnsi="Arial"/>
            <w:sz w:val="12"/>
            <w:szCs w:val="12"/>
            <w:u w:val="single" w:color="auto"/>
            <w:color w:val="0000FF"/>
          </w:rPr>
          <w:t>LEGAL MATTERS</w:t>
        </w:r>
      </w:hyperlink>
      <w:r>
        <w:rPr>
          <w:rFonts w:ascii="Arial" w:cs="Arial" w:eastAsia="Arial" w:hAnsi="Arial"/>
          <w:sz w:val="12"/>
          <w:szCs w:val="12"/>
          <w:color w:val="0000FF"/>
        </w:rPr>
        <w:tab/>
      </w:r>
      <w:hyperlink w:anchor="page160">
        <w:r>
          <w:rPr>
            <w:rFonts w:ascii="Arial" w:cs="Arial" w:eastAsia="Arial" w:hAnsi="Arial"/>
            <w:sz w:val="12"/>
            <w:szCs w:val="12"/>
            <w:u w:val="single" w:color="auto"/>
            <w:color w:val="0000FF"/>
          </w:rPr>
          <w:t>235</w:t>
        </w:r>
      </w:hyperlink>
    </w:p>
    <w:p>
      <w:pPr>
        <w:spacing w:after="0" w:line="70" w:lineRule="exact"/>
        <w:rPr>
          <w:sz w:val="20"/>
          <w:szCs w:val="20"/>
          <w:color w:val="auto"/>
        </w:rPr>
      </w:pPr>
    </w:p>
    <w:p>
      <w:pPr>
        <w:ind w:left="1560"/>
        <w:spacing w:after="0"/>
        <w:tabs>
          <w:tab w:leader="dot" w:pos="7220" w:val="left"/>
        </w:tabs>
        <w:rPr>
          <w:rFonts w:ascii="Arial" w:cs="Arial" w:eastAsia="Arial" w:hAnsi="Arial"/>
          <w:sz w:val="12"/>
          <w:szCs w:val="12"/>
          <w:u w:val="single" w:color="auto"/>
          <w:color w:val="0000FF"/>
        </w:rPr>
      </w:pPr>
      <w:hyperlink w:anchor="page160">
        <w:r>
          <w:rPr>
            <w:rFonts w:ascii="Arial" w:cs="Arial" w:eastAsia="Arial" w:hAnsi="Arial"/>
            <w:sz w:val="12"/>
            <w:szCs w:val="12"/>
            <w:u w:val="single" w:color="auto"/>
            <w:color w:val="0000FF"/>
          </w:rPr>
          <w:t>EXPERTS</w:t>
        </w:r>
      </w:hyperlink>
      <w:r>
        <w:rPr>
          <w:rFonts w:ascii="Arial" w:cs="Arial" w:eastAsia="Arial" w:hAnsi="Arial"/>
          <w:sz w:val="12"/>
          <w:szCs w:val="12"/>
          <w:color w:val="0000FF"/>
        </w:rPr>
        <w:tab/>
      </w:r>
      <w:hyperlink w:anchor="page160">
        <w:r>
          <w:rPr>
            <w:rFonts w:ascii="Arial" w:cs="Arial" w:eastAsia="Arial" w:hAnsi="Arial"/>
            <w:sz w:val="12"/>
            <w:szCs w:val="12"/>
            <w:u w:val="single" w:color="auto"/>
            <w:color w:val="0000FF"/>
          </w:rPr>
          <w:t>235</w:t>
        </w:r>
      </w:hyperlink>
    </w:p>
    <w:p>
      <w:pPr>
        <w:spacing w:after="0" w:line="82" w:lineRule="exact"/>
        <w:rPr>
          <w:sz w:val="20"/>
          <w:szCs w:val="20"/>
          <w:color w:val="auto"/>
        </w:rPr>
      </w:pPr>
    </w:p>
    <w:p>
      <w:pPr>
        <w:ind w:left="1560"/>
        <w:spacing w:after="0"/>
        <w:tabs>
          <w:tab w:leader="dot" w:pos="7220" w:val="left"/>
        </w:tabs>
        <w:rPr>
          <w:rFonts w:ascii="Arial" w:cs="Arial" w:eastAsia="Arial" w:hAnsi="Arial"/>
          <w:sz w:val="12"/>
          <w:szCs w:val="12"/>
          <w:u w:val="single" w:color="auto"/>
          <w:color w:val="0000FF"/>
        </w:rPr>
      </w:pPr>
      <w:hyperlink w:anchor="page160">
        <w:r>
          <w:rPr>
            <w:rFonts w:ascii="Arial" w:cs="Arial" w:eastAsia="Arial" w:hAnsi="Arial"/>
            <w:sz w:val="12"/>
            <w:szCs w:val="12"/>
            <w:u w:val="single" w:color="auto"/>
            <w:color w:val="0000FF"/>
          </w:rPr>
          <w:t>CHANGES IN INDEPENDENT REGISTERED PUBLIC ACCOUNTING FIRM</w:t>
        </w:r>
      </w:hyperlink>
      <w:r>
        <w:rPr>
          <w:rFonts w:ascii="Arial" w:cs="Arial" w:eastAsia="Arial" w:hAnsi="Arial"/>
          <w:sz w:val="12"/>
          <w:szCs w:val="12"/>
          <w:color w:val="0000FF"/>
        </w:rPr>
        <w:tab/>
      </w:r>
      <w:hyperlink w:anchor="page160">
        <w:r>
          <w:rPr>
            <w:rFonts w:ascii="Arial" w:cs="Arial" w:eastAsia="Arial" w:hAnsi="Arial"/>
            <w:sz w:val="12"/>
            <w:szCs w:val="12"/>
            <w:u w:val="single" w:color="auto"/>
            <w:color w:val="0000FF"/>
          </w:rPr>
          <w:t>235</w:t>
        </w:r>
      </w:hyperlink>
    </w:p>
    <w:p>
      <w:pPr>
        <w:spacing w:after="0" w:line="82" w:lineRule="exact"/>
        <w:rPr>
          <w:sz w:val="20"/>
          <w:szCs w:val="20"/>
          <w:color w:val="auto"/>
        </w:rPr>
      </w:pPr>
    </w:p>
    <w:p>
      <w:pPr>
        <w:ind w:left="1560"/>
        <w:spacing w:after="0"/>
        <w:tabs>
          <w:tab w:leader="dot" w:pos="7220" w:val="left"/>
        </w:tabs>
        <w:rPr>
          <w:rFonts w:ascii="Arial" w:cs="Arial" w:eastAsia="Arial" w:hAnsi="Arial"/>
          <w:sz w:val="12"/>
          <w:szCs w:val="12"/>
          <w:u w:val="single" w:color="auto"/>
          <w:color w:val="0000FF"/>
        </w:rPr>
      </w:pPr>
      <w:hyperlink w:anchor="page161">
        <w:r>
          <w:rPr>
            <w:rFonts w:ascii="Arial" w:cs="Arial" w:eastAsia="Arial" w:hAnsi="Arial"/>
            <w:sz w:val="12"/>
            <w:szCs w:val="12"/>
            <w:u w:val="single" w:color="auto"/>
            <w:color w:val="0000FF"/>
          </w:rPr>
          <w:t>WHERE YOU CAN FIND ADDITIONAL INFORMATION</w:t>
        </w:r>
      </w:hyperlink>
      <w:r>
        <w:rPr>
          <w:rFonts w:ascii="Arial" w:cs="Arial" w:eastAsia="Arial" w:hAnsi="Arial"/>
          <w:sz w:val="12"/>
          <w:szCs w:val="12"/>
          <w:color w:val="0000FF"/>
        </w:rPr>
        <w:tab/>
      </w:r>
      <w:hyperlink w:anchor="page161">
        <w:r>
          <w:rPr>
            <w:rFonts w:ascii="Arial" w:cs="Arial" w:eastAsia="Arial" w:hAnsi="Arial"/>
            <w:sz w:val="12"/>
            <w:szCs w:val="12"/>
            <w:u w:val="single" w:color="auto"/>
            <w:color w:val="0000FF"/>
          </w:rPr>
          <w:t>236</w:t>
        </w:r>
      </w:hyperlink>
    </w:p>
    <w:p>
      <w:pPr>
        <w:spacing w:after="0" w:line="82" w:lineRule="exact"/>
        <w:rPr>
          <w:sz w:val="20"/>
          <w:szCs w:val="20"/>
          <w:color w:val="auto"/>
        </w:rPr>
      </w:pPr>
    </w:p>
    <w:p>
      <w:pPr>
        <w:ind w:left="1560"/>
        <w:spacing w:after="0"/>
        <w:tabs>
          <w:tab w:leader="dot" w:pos="7240" w:val="left"/>
        </w:tabs>
        <w:rPr>
          <w:rFonts w:ascii="Arial" w:cs="Arial" w:eastAsia="Arial" w:hAnsi="Arial"/>
          <w:sz w:val="11"/>
          <w:szCs w:val="11"/>
          <w:u w:val="single" w:color="auto"/>
          <w:color w:val="0000FF"/>
        </w:rPr>
      </w:pPr>
      <w:hyperlink w:anchor="page162">
        <w:r>
          <w:rPr>
            <w:rFonts w:ascii="Arial" w:cs="Arial" w:eastAsia="Arial" w:hAnsi="Arial"/>
            <w:sz w:val="12"/>
            <w:szCs w:val="12"/>
            <w:u w:val="single" w:color="auto"/>
            <w:color w:val="0000FF"/>
          </w:rPr>
          <w:t>INDEX TO CONSOLIDATED FINANCIAL STATEMENTS</w:t>
        </w:r>
      </w:hyperlink>
      <w:r>
        <w:rPr>
          <w:rFonts w:ascii="Arial" w:cs="Arial" w:eastAsia="Arial" w:hAnsi="Arial"/>
          <w:sz w:val="12"/>
          <w:szCs w:val="12"/>
          <w:color w:val="0000FF"/>
        </w:rPr>
        <w:tab/>
      </w:r>
      <w:hyperlink w:anchor="page162">
        <w:r>
          <w:rPr>
            <w:rFonts w:ascii="Arial" w:cs="Arial" w:eastAsia="Arial" w:hAnsi="Arial"/>
            <w:sz w:val="11"/>
            <w:szCs w:val="11"/>
            <w:u w:val="single" w:color="auto"/>
            <w:color w:val="0000FF"/>
          </w:rPr>
          <w:t>F-1</w:t>
        </w:r>
      </w:hyperlink>
    </w:p>
    <w:p>
      <w:pPr>
        <w:spacing w:after="0" w:line="200" w:lineRule="exact"/>
        <w:rPr>
          <w:sz w:val="20"/>
          <w:szCs w:val="20"/>
          <w:color w:val="auto"/>
        </w:rPr>
      </w:pPr>
    </w:p>
    <w:p>
      <w:pPr>
        <w:spacing w:after="0" w:line="208" w:lineRule="exact"/>
        <w:rPr>
          <w:sz w:val="20"/>
          <w:szCs w:val="20"/>
          <w:color w:val="auto"/>
        </w:rPr>
      </w:pPr>
    </w:p>
    <w:p>
      <w:pPr>
        <w:ind w:left="1760"/>
        <w:spacing w:after="0"/>
        <w:tabs>
          <w:tab w:leader="none" w:pos="3600" w:val="left"/>
        </w:tabs>
        <w:rPr>
          <w:sz w:val="20"/>
          <w:szCs w:val="20"/>
          <w:color w:val="auto"/>
        </w:rPr>
      </w:pPr>
      <w:r>
        <w:rPr>
          <w:rFonts w:ascii="Arial" w:cs="Arial" w:eastAsia="Arial" w:hAnsi="Arial"/>
          <w:sz w:val="12"/>
          <w:szCs w:val="12"/>
          <w:b w:val="1"/>
          <w:bCs w:val="1"/>
          <w:color w:val="auto"/>
        </w:rPr>
        <w:t>Through and including</w:t>
      </w:r>
      <w:r>
        <w:rPr>
          <w:sz w:val="20"/>
          <w:szCs w:val="20"/>
          <w:color w:val="auto"/>
        </w:rPr>
        <w:tab/>
      </w:r>
      <w:r>
        <w:rPr>
          <w:rFonts w:ascii="Arial" w:cs="Arial" w:eastAsia="Arial" w:hAnsi="Arial"/>
          <w:sz w:val="12"/>
          <w:szCs w:val="12"/>
          <w:b w:val="1"/>
          <w:bCs w:val="1"/>
          <w:color w:val="auto"/>
        </w:rPr>
        <w:t>, 2025 (the 25th day after the date of this prospectus), all</w:t>
      </w:r>
    </w:p>
    <w:p>
      <w:pPr>
        <w:spacing w:after="0" w:line="27"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dealers effecting transactions in these securities, whether or not participating in this offering, may</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be required to deliver a prospectus. This is in addition to a dealer’s obligation to deliver a</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prospectus when acting as an underwriter and with respect to an unsold allotment or</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subscription.</w:t>
      </w:r>
    </w:p>
    <w:p>
      <w:pPr>
        <w:spacing w:after="0" w:line="118" w:lineRule="exact"/>
        <w:rPr>
          <w:sz w:val="20"/>
          <w:szCs w:val="20"/>
          <w:color w:val="auto"/>
        </w:rPr>
      </w:pPr>
    </w:p>
    <w:p>
      <w:pPr>
        <w:ind w:left="1520" w:right="1860" w:firstLine="230"/>
        <w:spacing w:after="0" w:line="312" w:lineRule="auto"/>
        <w:rPr>
          <w:sz w:val="20"/>
          <w:szCs w:val="20"/>
          <w:color w:val="auto"/>
        </w:rPr>
      </w:pPr>
      <w:r>
        <w:rPr>
          <w:rFonts w:ascii="Arial" w:cs="Arial" w:eastAsia="Arial" w:hAnsi="Arial"/>
          <w:sz w:val="12"/>
          <w:szCs w:val="12"/>
          <w:color w:val="auto"/>
        </w:rPr>
        <w:t>Neither we, the selling stockholders, nor the underwriters have authorized anyone to provide any information or to make any representations other than those contained in this prospectus or in any free</w:t>
      </w: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00"/>
        <w:spacing w:after="0" w:line="272" w:lineRule="auto"/>
        <w:rPr>
          <w:sz w:val="20"/>
          <w:szCs w:val="20"/>
          <w:color w:val="auto"/>
        </w:rPr>
      </w:pPr>
      <w:r>
        <w:rPr>
          <w:rFonts w:ascii="Arial" w:cs="Arial" w:eastAsia="Arial" w:hAnsi="Arial"/>
          <w:sz w:val="12"/>
          <w:szCs w:val="12"/>
          <w:color w:val="auto"/>
        </w:rPr>
        <w:t>writing prospectuses prepared by or on behalf of us or to which we have referred you. Neither we, the selling stockholders, nor the underwriters take any responsibility for, and can provide no assurance as to the reliability of, any other information that others may give you. We and the selling stockholders are offering to sell, and seeking offers to buy, shares of Class A common stock only in jurisdictions where offers and sales are permitted. The information contained in this prospectus is accurate only as of the date of this prospectus, regardless of the time of delivery of this prospectus or of any sale of the shares of Class A common stock. Our business, financial condition, results of operations, and future growth prospects may have changed since that date.</w:t>
      </w:r>
    </w:p>
    <w:p>
      <w:pPr>
        <w:spacing w:after="0" w:line="88" w:lineRule="exact"/>
        <w:rPr>
          <w:sz w:val="20"/>
          <w:szCs w:val="20"/>
          <w:color w:val="auto"/>
        </w:rPr>
      </w:pPr>
    </w:p>
    <w:p>
      <w:pPr>
        <w:ind w:left="1520" w:right="1860" w:firstLine="230"/>
        <w:spacing w:after="0" w:line="277" w:lineRule="auto"/>
        <w:rPr>
          <w:sz w:val="20"/>
          <w:szCs w:val="20"/>
          <w:color w:val="auto"/>
        </w:rPr>
      </w:pPr>
      <w:r>
        <w:rPr>
          <w:rFonts w:ascii="Arial" w:cs="Arial" w:eastAsia="Arial" w:hAnsi="Arial"/>
          <w:sz w:val="12"/>
          <w:szCs w:val="12"/>
          <w:color w:val="auto"/>
        </w:rPr>
        <w:t>For investors outside the United States: Neither we, the selling stockholders, nor any of the underwriters have taken any action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84"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Unless otherwise indicated, the terms “Navan,” the “company,” “we,” “us,” and “our” refer to Navan,</w:t>
      </w:r>
    </w:p>
    <w:p>
      <w:pPr>
        <w:spacing w:after="0" w:line="27"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Inc. and its subsidiaries, and references to our “common stock” include our Class A common stock and</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600" w:type="dxa"/>
        <w:tblCellMar>
          <w:top w:w="0" w:type="dxa"/>
          <w:left w:w="0" w:type="dxa"/>
          <w:bottom w:w="0" w:type="dxa"/>
          <w:right w:w="0" w:type="dxa"/>
        </w:tblCellMar>
      </w:tblPr>
      <w:tr>
        <w:trPr>
          <w:trHeight w:val="165"/>
        </w:trPr>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360" w:type="dxa"/>
            <w:vAlign w:val="bottom"/>
          </w:tcPr>
          <w:p>
            <w:pPr>
              <w:ind w:left="1420"/>
              <w:spacing w:after="0"/>
              <w:rPr>
                <w:sz w:val="20"/>
                <w:szCs w:val="20"/>
                <w:color w:val="auto"/>
              </w:rPr>
            </w:pPr>
            <w:r>
              <w:rPr>
                <w:rFonts w:ascii="Arial" w:cs="Arial" w:eastAsia="Arial" w:hAnsi="Arial"/>
                <w:sz w:val="12"/>
                <w:szCs w:val="12"/>
                <w:color w:val="auto"/>
              </w:rPr>
              <w:t>ii</w:t>
            </w:r>
          </w:p>
        </w:tc>
      </w:tr>
      <w:tr>
        <w:trPr>
          <w:trHeight w:val="620"/>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68"/>
        </w:trPr>
        <w:tc>
          <w:tcPr>
            <w:tcW w:w="920" w:type="dxa"/>
            <w:vAlign w:val="bottom"/>
          </w:tcPr>
          <w:p>
            <w:pPr>
              <w:spacing w:after="0"/>
              <w:rPr>
                <w:sz w:val="23"/>
                <w:szCs w:val="23"/>
                <w:color w:val="auto"/>
              </w:rPr>
            </w:pPr>
          </w:p>
        </w:tc>
        <w:tc>
          <w:tcPr>
            <w:tcW w:w="1540" w:type="dxa"/>
            <w:vAlign w:val="bottom"/>
            <w:gridSpan w:val="2"/>
          </w:tcPr>
          <w:p>
            <w:pPr>
              <w:spacing w:after="0"/>
              <w:rPr>
                <w:rFonts w:ascii="Arial" w:cs="Arial" w:eastAsia="Arial" w:hAnsi="Arial"/>
                <w:sz w:val="12"/>
                <w:szCs w:val="12"/>
                <w:color w:val="0000FF"/>
              </w:rPr>
            </w:pPr>
            <w:hyperlink w:anchor="page3">
              <w:r>
                <w:rPr>
                  <w:rFonts w:ascii="Arial" w:cs="Arial" w:eastAsia="Arial" w:hAnsi="Arial"/>
                  <w:sz w:val="12"/>
                  <w:szCs w:val="12"/>
                  <w:color w:val="0000FF"/>
                </w:rPr>
                <w:t>Table of Contents</w:t>
              </w:r>
            </w:hyperlink>
          </w:p>
        </w:tc>
        <w:tc>
          <w:tcPr>
            <w:tcW w:w="5360" w:type="dxa"/>
            <w:vAlign w:val="bottom"/>
          </w:tcPr>
          <w:p>
            <w:pPr>
              <w:spacing w:after="0"/>
              <w:rPr>
                <w:sz w:val="23"/>
                <w:szCs w:val="23"/>
                <w:color w:val="auto"/>
              </w:rPr>
            </w:pPr>
          </w:p>
        </w:tc>
      </w:tr>
      <w:tr>
        <w:trPr>
          <w:trHeight w:val="763"/>
        </w:trPr>
        <w:tc>
          <w:tcPr>
            <w:tcW w:w="920" w:type="dxa"/>
            <w:vAlign w:val="bottom"/>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360" w:type="dxa"/>
            <w:vAlign w:val="bottom"/>
          </w:tcPr>
          <w:p>
            <w:pPr>
              <w:ind w:left="740"/>
              <w:spacing w:after="0"/>
              <w:rPr>
                <w:sz w:val="20"/>
                <w:szCs w:val="20"/>
                <w:color w:val="auto"/>
              </w:rPr>
            </w:pPr>
            <w:r>
              <w:rPr>
                <w:rFonts w:ascii="Arial" w:cs="Arial" w:eastAsia="Arial" w:hAnsi="Arial"/>
                <w:sz w:val="12"/>
                <w:szCs w:val="12"/>
                <w:b w:val="1"/>
                <w:bCs w:val="1"/>
                <w:color w:val="auto"/>
              </w:rPr>
              <w:t>GLOSSARY OF TERMS</w:t>
            </w:r>
          </w:p>
        </w:tc>
      </w:tr>
      <w:tr>
        <w:trPr>
          <w:trHeight w:val="251"/>
        </w:trPr>
        <w:tc>
          <w:tcPr>
            <w:tcW w:w="920" w:type="dxa"/>
            <w:vAlign w:val="bottom"/>
          </w:tcPr>
          <w:p>
            <w:pPr>
              <w:spacing w:after="0"/>
              <w:rPr>
                <w:sz w:val="21"/>
                <w:szCs w:val="21"/>
                <w:color w:val="auto"/>
              </w:rPr>
            </w:pPr>
          </w:p>
        </w:tc>
        <w:tc>
          <w:tcPr>
            <w:tcW w:w="1540" w:type="dxa"/>
            <w:vAlign w:val="bottom"/>
            <w:gridSpan w:val="2"/>
          </w:tcPr>
          <w:p>
            <w:pPr>
              <w:ind w:left="40"/>
              <w:spacing w:after="0"/>
              <w:rPr>
                <w:sz w:val="20"/>
                <w:szCs w:val="20"/>
                <w:color w:val="auto"/>
              </w:rPr>
            </w:pPr>
            <w:r>
              <w:rPr>
                <w:rFonts w:ascii="Arial" w:cs="Arial" w:eastAsia="Arial" w:hAnsi="Arial"/>
                <w:sz w:val="12"/>
                <w:szCs w:val="12"/>
                <w:i w:val="1"/>
                <w:iCs w:val="1"/>
                <w:color w:val="auto"/>
                <w:w w:val="78"/>
              </w:rPr>
              <w:t xml:space="preserve">Active customer </w:t>
            </w:r>
            <w:r>
              <w:rPr>
                <w:rFonts w:ascii="Times New Roman" w:cs="Times New Roman" w:eastAsia="Times New Roman" w:hAnsi="Times New Roman"/>
                <w:sz w:val="12"/>
                <w:szCs w:val="12"/>
                <w:color w:val="B4B4B4"/>
                <w:w w:val="78"/>
              </w:rPr>
              <w:t>.................................</w:t>
            </w:r>
          </w:p>
        </w:tc>
        <w:tc>
          <w:tcPr>
            <w:tcW w:w="5360" w:type="dxa"/>
            <w:vAlign w:val="bottom"/>
          </w:tcPr>
          <w:p>
            <w:pPr>
              <w:ind w:left="540"/>
              <w:spacing w:after="0"/>
              <w:rPr>
                <w:sz w:val="20"/>
                <w:szCs w:val="20"/>
                <w:color w:val="auto"/>
              </w:rPr>
            </w:pPr>
            <w:r>
              <w:rPr>
                <w:rFonts w:ascii="Arial" w:cs="Arial" w:eastAsia="Arial" w:hAnsi="Arial"/>
                <w:sz w:val="12"/>
                <w:szCs w:val="12"/>
                <w:color w:val="auto"/>
              </w:rPr>
              <w:t>A customer that has transacted on our platform six or more times in</w:t>
            </w:r>
          </w:p>
        </w:tc>
      </w:tr>
      <w:tr>
        <w:trPr>
          <w:trHeight w:val="134"/>
        </w:trPr>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360" w:type="dxa"/>
            <w:vAlign w:val="bottom"/>
          </w:tcPr>
          <w:p>
            <w:pPr>
              <w:ind w:left="540"/>
              <w:spacing w:after="0" w:line="134" w:lineRule="exact"/>
              <w:rPr>
                <w:sz w:val="20"/>
                <w:szCs w:val="20"/>
                <w:color w:val="auto"/>
              </w:rPr>
            </w:pPr>
            <w:r>
              <w:rPr>
                <w:rFonts w:ascii="Arial" w:cs="Arial" w:eastAsia="Arial" w:hAnsi="Arial"/>
                <w:sz w:val="12"/>
                <w:szCs w:val="12"/>
                <w:color w:val="auto"/>
              </w:rPr>
              <w:t>the 12 months preceding the measurement date and that has</w:t>
            </w:r>
          </w:p>
        </w:tc>
      </w:tr>
      <w:tr>
        <w:trPr>
          <w:trHeight w:val="172"/>
        </w:trPr>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360" w:type="dxa"/>
            <w:vAlign w:val="bottom"/>
          </w:tcPr>
          <w:p>
            <w:pPr>
              <w:ind w:left="540"/>
              <w:spacing w:after="0"/>
              <w:rPr>
                <w:sz w:val="20"/>
                <w:szCs w:val="20"/>
                <w:color w:val="auto"/>
              </w:rPr>
            </w:pPr>
            <w:r>
              <w:rPr>
                <w:rFonts w:ascii="Arial" w:cs="Arial" w:eastAsia="Arial" w:hAnsi="Arial"/>
                <w:sz w:val="12"/>
                <w:szCs w:val="12"/>
                <w:color w:val="auto"/>
              </w:rPr>
              <w:t>generated any form of usage-based revenue from a user’s booking</w:t>
            </w:r>
          </w:p>
        </w:tc>
      </w:tr>
    </w:tbl>
    <w:p>
      <w:pPr>
        <w:sectPr>
          <w:pgSz w:w="11900" w:h="16840" w:orient="portrait"/>
          <w:cols w:equalWidth="0" w:num="1">
            <w:col w:w="9020"/>
          </w:cols>
          <w:pgMar w:left="1440" w:top="559" w:right="1440" w:bottom="4"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00" w:type="dxa"/>
            <w:vAlign w:val="bottom"/>
            <w:shd w:val="clear" w:color="auto" w:fill="E4E4E4"/>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on our platform during this period. A single company or organization</w:t>
            </w:r>
          </w:p>
        </w:tc>
        <w:tc>
          <w:tcPr>
            <w:tcW w:w="1380" w:type="dxa"/>
            <w:vAlign w:val="bottom"/>
            <w:shd w:val="clear" w:color="auto" w:fill="E4E4E4"/>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400" w:type="dxa"/>
            <w:vAlign w:val="bottom"/>
            <w:shd w:val="clear" w:color="auto" w:fill="E4E4E4"/>
          </w:tcPr>
          <w:p>
            <w:pPr>
              <w:spacing w:after="0"/>
              <w:rPr>
                <w:sz w:val="8"/>
                <w:szCs w:val="8"/>
                <w:color w:val="auto"/>
              </w:rPr>
            </w:pP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840" w:type="dxa"/>
            <w:vAlign w:val="bottom"/>
          </w:tcPr>
          <w:p>
            <w:pPr>
              <w:ind w:left="20"/>
              <w:spacing w:after="0" w:line="96" w:lineRule="exact"/>
              <w:rPr>
                <w:sz w:val="20"/>
                <w:szCs w:val="20"/>
                <w:color w:val="auto"/>
              </w:rPr>
            </w:pPr>
            <w:r>
              <w:rPr>
                <w:rFonts w:ascii="Arial" w:cs="Arial" w:eastAsia="Arial" w:hAnsi="Arial"/>
                <w:sz w:val="11"/>
                <w:szCs w:val="11"/>
                <w:color w:val="auto"/>
              </w:rPr>
              <w:t>with multiple divisions, segments, or subsidiaries is generally</w:t>
            </w:r>
          </w:p>
        </w:tc>
        <w:tc>
          <w:tcPr>
            <w:tcW w:w="1380" w:type="dxa"/>
            <w:vAlign w:val="bottom"/>
            <w:shd w:val="clear" w:color="auto" w:fill="E4E4E4"/>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counted as a single customer, even though we may enter into</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agreements with multiple parties within that company or</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shd w:val="clear" w:color="auto" w:fill="E4E4E4"/>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organization.</w:t>
            </w:r>
          </w:p>
        </w:tc>
        <w:tc>
          <w:tcPr>
            <w:tcW w:w="1380" w:type="dxa"/>
            <w:vAlign w:val="bottom"/>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00" w:type="dxa"/>
            <w:vAlign w:val="bottom"/>
            <w:shd w:val="clear" w:color="auto" w:fill="E4E4E4"/>
          </w:tcPr>
          <w:p>
            <w:pPr>
              <w:spacing w:after="0"/>
              <w:rPr>
                <w:sz w:val="14"/>
                <w:szCs w:val="14"/>
                <w:color w:val="auto"/>
              </w:rPr>
            </w:pPr>
          </w:p>
        </w:tc>
        <w:tc>
          <w:tcPr>
            <w:tcW w:w="920" w:type="dxa"/>
            <w:vAlign w:val="bottom"/>
          </w:tcPr>
          <w:p>
            <w:pPr>
              <w:spacing w:after="0"/>
              <w:rPr>
                <w:sz w:val="14"/>
                <w:szCs w:val="14"/>
                <w:color w:val="auto"/>
              </w:rPr>
            </w:pPr>
          </w:p>
        </w:tc>
        <w:tc>
          <w:tcPr>
            <w:tcW w:w="2060" w:type="dxa"/>
            <w:vAlign w:val="bottom"/>
            <w:gridSpan w:val="2"/>
          </w:tcPr>
          <w:p>
            <w:pPr>
              <w:ind w:left="40"/>
              <w:spacing w:after="0"/>
              <w:rPr>
                <w:sz w:val="20"/>
                <w:szCs w:val="20"/>
                <w:color w:val="auto"/>
              </w:rPr>
            </w:pPr>
            <w:r>
              <w:rPr>
                <w:rFonts w:ascii="Arial" w:cs="Arial" w:eastAsia="Arial" w:hAnsi="Arial"/>
                <w:sz w:val="12"/>
                <w:szCs w:val="12"/>
                <w:i w:val="1"/>
                <w:iCs w:val="1"/>
                <w:color w:val="auto"/>
              </w:rPr>
              <w:t xml:space="preserve">Bleisure category </w:t>
            </w:r>
            <w:r>
              <w:rPr>
                <w:rFonts w:ascii="Times New Roman" w:cs="Times New Roman" w:eastAsia="Times New Roman" w:hAnsi="Times New Roman"/>
                <w:sz w:val="12"/>
                <w:szCs w:val="12"/>
                <w:color w:val="B4B4B4"/>
              </w:rPr>
              <w:t>..............................</w:t>
            </w:r>
          </w:p>
        </w:tc>
        <w:tc>
          <w:tcPr>
            <w:tcW w:w="4840" w:type="dxa"/>
            <w:vAlign w:val="bottom"/>
          </w:tcPr>
          <w:p>
            <w:pPr>
              <w:ind w:left="20"/>
              <w:spacing w:after="0"/>
              <w:rPr>
                <w:sz w:val="20"/>
                <w:szCs w:val="20"/>
                <w:color w:val="auto"/>
              </w:rPr>
            </w:pPr>
            <w:r>
              <w:rPr>
                <w:rFonts w:ascii="Arial" w:cs="Arial" w:eastAsia="Arial" w:hAnsi="Arial"/>
                <w:sz w:val="12"/>
                <w:szCs w:val="12"/>
                <w:color w:val="auto"/>
              </w:rPr>
              <w:t>The category of the business travel market defined by personal</w:t>
            </w:r>
          </w:p>
        </w:tc>
        <w:tc>
          <w:tcPr>
            <w:tcW w:w="1380" w:type="dxa"/>
            <w:vAlign w:val="bottom"/>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400" w:type="dxa"/>
            <w:vAlign w:val="bottom"/>
            <w:shd w:val="clear" w:color="auto" w:fill="E4E4E4"/>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travel booked around or in connection with business travel.</w:t>
            </w:r>
          </w:p>
        </w:tc>
        <w:tc>
          <w:tcPr>
            <w:tcW w:w="1380" w:type="dxa"/>
            <w:vAlign w:val="bottom"/>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400" w:type="dxa"/>
            <w:vAlign w:val="bottom"/>
            <w:shd w:val="clear" w:color="auto" w:fill="E4E4E4"/>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gridSpan w:val="2"/>
          </w:tcPr>
          <w:p>
            <w:pPr>
              <w:ind w:left="40"/>
              <w:spacing w:after="0"/>
              <w:rPr>
                <w:sz w:val="20"/>
                <w:szCs w:val="20"/>
                <w:color w:val="auto"/>
              </w:rPr>
            </w:pPr>
            <w:r>
              <w:rPr>
                <w:rFonts w:ascii="Arial" w:cs="Arial" w:eastAsia="Arial" w:hAnsi="Arial"/>
                <w:sz w:val="12"/>
                <w:szCs w:val="12"/>
                <w:i w:val="1"/>
                <w:iCs w:val="1"/>
                <w:color w:val="auto"/>
              </w:rPr>
              <w:t xml:space="preserve">Customer </w:t>
            </w:r>
            <w:r>
              <w:rPr>
                <w:rFonts w:ascii="Times New Roman" w:cs="Times New Roman" w:eastAsia="Times New Roman" w:hAnsi="Times New Roman"/>
                <w:sz w:val="12"/>
                <w:szCs w:val="12"/>
                <w:color w:val="B4B4B4"/>
              </w:rPr>
              <w:t>.............................................</w:t>
            </w:r>
          </w:p>
        </w:tc>
        <w:tc>
          <w:tcPr>
            <w:tcW w:w="4840" w:type="dxa"/>
            <w:vAlign w:val="bottom"/>
          </w:tcPr>
          <w:p>
            <w:pPr>
              <w:ind w:left="20"/>
              <w:spacing w:after="0"/>
              <w:rPr>
                <w:sz w:val="20"/>
                <w:szCs w:val="20"/>
                <w:color w:val="auto"/>
              </w:rPr>
            </w:pPr>
            <w:r>
              <w:rPr>
                <w:rFonts w:ascii="Arial" w:cs="Arial" w:eastAsia="Arial" w:hAnsi="Arial"/>
                <w:sz w:val="12"/>
                <w:szCs w:val="12"/>
                <w:color w:val="auto"/>
              </w:rPr>
              <w:t>A company or organization that contracts with us to provide its</w:t>
            </w:r>
          </w:p>
        </w:tc>
        <w:tc>
          <w:tcPr>
            <w:tcW w:w="1380" w:type="dxa"/>
            <w:vAlign w:val="bottom"/>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dedicated users with access to our (i) Travel, Corporate Payments,</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and Expense Management offerings, and/or (ii) on-demand travel</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management offerings (including our Meetings and Events, VIP,</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shd w:val="clear" w:color="auto" w:fill="E4E4E4"/>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and Bleisure offerings).</w:t>
            </w:r>
          </w:p>
        </w:tc>
        <w:tc>
          <w:tcPr>
            <w:tcW w:w="1380" w:type="dxa"/>
            <w:vAlign w:val="bottom"/>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400" w:type="dxa"/>
            <w:vAlign w:val="bottom"/>
            <w:shd w:val="clear" w:color="auto" w:fill="E4E4E4"/>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gridSpan w:val="2"/>
          </w:tcPr>
          <w:p>
            <w:pPr>
              <w:ind w:left="40"/>
              <w:spacing w:after="0"/>
              <w:rPr>
                <w:sz w:val="20"/>
                <w:szCs w:val="20"/>
                <w:color w:val="auto"/>
              </w:rPr>
            </w:pPr>
            <w:r>
              <w:rPr>
                <w:rFonts w:ascii="Arial" w:cs="Arial" w:eastAsia="Arial" w:hAnsi="Arial"/>
                <w:sz w:val="12"/>
                <w:szCs w:val="12"/>
                <w:i w:val="1"/>
                <w:iCs w:val="1"/>
                <w:color w:val="auto"/>
              </w:rPr>
              <w:t>Customer Satisfaction Score (or</w:t>
            </w:r>
          </w:p>
        </w:tc>
        <w:tc>
          <w:tcPr>
            <w:tcW w:w="4840" w:type="dxa"/>
            <w:vAlign w:val="bottom"/>
            <w:vMerge w:val="restart"/>
          </w:tcPr>
          <w:p>
            <w:pPr>
              <w:ind w:left="20"/>
              <w:spacing w:after="0"/>
              <w:rPr>
                <w:sz w:val="20"/>
                <w:szCs w:val="20"/>
                <w:color w:val="auto"/>
              </w:rPr>
            </w:pPr>
            <w:r>
              <w:rPr>
                <w:rFonts w:ascii="Arial" w:cs="Arial" w:eastAsia="Arial" w:hAnsi="Arial"/>
                <w:sz w:val="12"/>
                <w:szCs w:val="12"/>
                <w:color w:val="auto"/>
              </w:rPr>
              <w:t>A measure of customer satisfaction, collected through post-</w:t>
            </w:r>
          </w:p>
        </w:tc>
        <w:tc>
          <w:tcPr>
            <w:tcW w:w="1380" w:type="dxa"/>
            <w:vAlign w:val="bottom"/>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6900" w:type="dxa"/>
            <w:vAlign w:val="bottom"/>
            <w:gridSpan w:val="3"/>
          </w:tcPr>
          <w:p>
            <w:pPr>
              <w:ind w:left="140"/>
              <w:spacing w:after="0" w:line="134" w:lineRule="exact"/>
              <w:rPr>
                <w:sz w:val="20"/>
                <w:szCs w:val="20"/>
                <w:color w:val="auto"/>
              </w:rPr>
            </w:pPr>
            <w:r>
              <w:rPr>
                <w:rFonts w:ascii="Arial" w:cs="Arial" w:eastAsia="Arial" w:hAnsi="Arial"/>
                <w:sz w:val="12"/>
                <w:szCs w:val="12"/>
                <w:i w:val="1"/>
                <w:iCs w:val="1"/>
                <w:color w:val="auto"/>
              </w:rPr>
              <w:t xml:space="preserve">CSAT score) </w:t>
            </w:r>
            <w:r>
              <w:rPr>
                <w:rFonts w:ascii="Times New Roman" w:cs="Times New Roman" w:eastAsia="Times New Roman" w:hAnsi="Times New Roman"/>
                <w:sz w:val="12"/>
                <w:szCs w:val="12"/>
                <w:color w:val="B4B4B4"/>
              </w:rPr>
              <w:t>...................................</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interaction surveys that we prepare and distribute asking users to</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rate their experience with Navan's service consultants on a 5-point</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scale. CSAT is calculated by dividing the total number of 4 and 5</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scores by the total number of responses in the measurement</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period. Navan uses CSAT to evaluate the quality of our customer</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shd w:val="clear" w:color="auto" w:fill="E4E4E4"/>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support.</w:t>
            </w:r>
          </w:p>
        </w:tc>
        <w:tc>
          <w:tcPr>
            <w:tcW w:w="1380" w:type="dxa"/>
            <w:vAlign w:val="bottom"/>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00" w:type="dxa"/>
            <w:vAlign w:val="bottom"/>
            <w:shd w:val="clear" w:color="auto" w:fill="E4E4E4"/>
          </w:tcPr>
          <w:p>
            <w:pPr>
              <w:spacing w:after="0"/>
              <w:rPr>
                <w:sz w:val="12"/>
                <w:szCs w:val="12"/>
                <w:color w:val="auto"/>
              </w:rPr>
            </w:pPr>
          </w:p>
        </w:tc>
        <w:tc>
          <w:tcPr>
            <w:tcW w:w="920" w:type="dxa"/>
            <w:vAlign w:val="bottom"/>
          </w:tcPr>
          <w:p>
            <w:pPr>
              <w:spacing w:after="0"/>
              <w:rPr>
                <w:sz w:val="12"/>
                <w:szCs w:val="12"/>
                <w:color w:val="auto"/>
              </w:rPr>
            </w:pPr>
          </w:p>
        </w:tc>
        <w:tc>
          <w:tcPr>
            <w:tcW w:w="2060" w:type="dxa"/>
            <w:vAlign w:val="bottom"/>
            <w:gridSpan w:val="2"/>
          </w:tcPr>
          <w:p>
            <w:pPr>
              <w:ind w:left="40"/>
              <w:spacing w:after="0"/>
              <w:rPr>
                <w:sz w:val="20"/>
                <w:szCs w:val="20"/>
                <w:color w:val="auto"/>
              </w:rPr>
            </w:pPr>
            <w:r>
              <w:rPr>
                <w:rFonts w:ascii="Arial" w:cs="Arial" w:eastAsia="Arial" w:hAnsi="Arial"/>
                <w:sz w:val="12"/>
                <w:szCs w:val="12"/>
                <w:i w:val="1"/>
                <w:iCs w:val="1"/>
                <w:color w:val="auto"/>
              </w:rPr>
              <w:t xml:space="preserve">Gross booking volume (or GBV) </w:t>
            </w:r>
            <w:r>
              <w:rPr>
                <w:rFonts w:ascii="Times New Roman" w:cs="Times New Roman" w:eastAsia="Times New Roman" w:hAnsi="Times New Roman"/>
                <w:sz w:val="12"/>
                <w:szCs w:val="12"/>
                <w:color w:val="B4B4B4"/>
              </w:rPr>
              <w:t>.....</w:t>
            </w:r>
          </w:p>
        </w:tc>
        <w:tc>
          <w:tcPr>
            <w:tcW w:w="4840" w:type="dxa"/>
            <w:vAlign w:val="bottom"/>
          </w:tcPr>
          <w:p>
            <w:pPr>
              <w:ind w:left="20"/>
              <w:spacing w:after="0"/>
              <w:rPr>
                <w:sz w:val="20"/>
                <w:szCs w:val="20"/>
                <w:color w:val="auto"/>
              </w:rPr>
            </w:pPr>
            <w:r>
              <w:rPr>
                <w:rFonts w:ascii="Arial" w:cs="Arial" w:eastAsia="Arial" w:hAnsi="Arial"/>
                <w:sz w:val="12"/>
                <w:szCs w:val="12"/>
                <w:color w:val="auto"/>
              </w:rPr>
              <w:t>The total amount paid for valid bookings on our platform, measured</w:t>
            </w:r>
          </w:p>
        </w:tc>
        <w:tc>
          <w:tcPr>
            <w:tcW w:w="1380" w:type="dxa"/>
            <w:vAlign w:val="bottom"/>
            <w:shd w:val="clear" w:color="auto" w:fill="E4E4E4"/>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on a booked basis and inclusive of total price, taxes, and fees, and</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adjusted for cancellations and refunds. GBV includes bookings for</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hotels, flights, cars, and rail, as well as usage of our Meetings and</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Events, VIP, and Bleisure offerings. See the section titled</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“Management’s Discussion and Analysis of Financial Condition and</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shd w:val="clear" w:color="auto" w:fill="E4E4E4"/>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Results of Operations–Key Business Metrics” for more information.</w:t>
            </w:r>
          </w:p>
        </w:tc>
        <w:tc>
          <w:tcPr>
            <w:tcW w:w="1380" w:type="dxa"/>
            <w:vAlign w:val="bottom"/>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00" w:type="dxa"/>
            <w:vAlign w:val="bottom"/>
            <w:shd w:val="clear" w:color="auto" w:fill="E4E4E4"/>
          </w:tcPr>
          <w:p>
            <w:pPr>
              <w:spacing w:after="0"/>
              <w:rPr>
                <w:sz w:val="12"/>
                <w:szCs w:val="12"/>
                <w:color w:val="auto"/>
              </w:rPr>
            </w:pPr>
          </w:p>
        </w:tc>
        <w:tc>
          <w:tcPr>
            <w:tcW w:w="920" w:type="dxa"/>
            <w:vAlign w:val="bottom"/>
          </w:tcPr>
          <w:p>
            <w:pPr>
              <w:spacing w:after="0"/>
              <w:rPr>
                <w:sz w:val="12"/>
                <w:szCs w:val="12"/>
                <w:color w:val="auto"/>
              </w:rPr>
            </w:pPr>
          </w:p>
        </w:tc>
        <w:tc>
          <w:tcPr>
            <w:tcW w:w="2060" w:type="dxa"/>
            <w:vAlign w:val="bottom"/>
            <w:gridSpan w:val="2"/>
          </w:tcPr>
          <w:p>
            <w:pPr>
              <w:ind w:left="40"/>
              <w:spacing w:after="0"/>
              <w:rPr>
                <w:sz w:val="20"/>
                <w:szCs w:val="20"/>
                <w:color w:val="auto"/>
              </w:rPr>
            </w:pPr>
            <w:r>
              <w:rPr>
                <w:rFonts w:ascii="Arial" w:cs="Arial" w:eastAsia="Arial" w:hAnsi="Arial"/>
                <w:sz w:val="12"/>
                <w:szCs w:val="12"/>
                <w:i w:val="1"/>
                <w:iCs w:val="1"/>
                <w:color w:val="auto"/>
              </w:rPr>
              <w:t>Global Distribution System (or</w:t>
            </w:r>
          </w:p>
        </w:tc>
        <w:tc>
          <w:tcPr>
            <w:tcW w:w="4840" w:type="dxa"/>
            <w:vAlign w:val="bottom"/>
            <w:vMerge w:val="restart"/>
          </w:tcPr>
          <w:p>
            <w:pPr>
              <w:ind w:left="20"/>
              <w:spacing w:after="0"/>
              <w:rPr>
                <w:sz w:val="20"/>
                <w:szCs w:val="20"/>
                <w:color w:val="auto"/>
              </w:rPr>
            </w:pPr>
            <w:r>
              <w:rPr>
                <w:rFonts w:ascii="Arial" w:cs="Arial" w:eastAsia="Arial" w:hAnsi="Arial"/>
                <w:sz w:val="12"/>
                <w:szCs w:val="12"/>
                <w:color w:val="auto"/>
              </w:rPr>
              <w:t>A third-party network operated by global technology providers that</w:t>
            </w:r>
          </w:p>
        </w:tc>
        <w:tc>
          <w:tcPr>
            <w:tcW w:w="1380" w:type="dxa"/>
            <w:vAlign w:val="bottom"/>
            <w:shd w:val="clear" w:color="auto" w:fill="E4E4E4"/>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6900" w:type="dxa"/>
            <w:vAlign w:val="bottom"/>
            <w:gridSpan w:val="3"/>
          </w:tcPr>
          <w:p>
            <w:pPr>
              <w:ind w:left="140"/>
              <w:spacing w:after="0" w:line="125" w:lineRule="exact"/>
              <w:rPr>
                <w:sz w:val="20"/>
                <w:szCs w:val="20"/>
                <w:color w:val="auto"/>
              </w:rPr>
            </w:pPr>
            <w:r>
              <w:rPr>
                <w:rFonts w:ascii="Arial" w:cs="Arial" w:eastAsia="Arial" w:hAnsi="Arial"/>
                <w:sz w:val="12"/>
                <w:szCs w:val="12"/>
                <w:i w:val="1"/>
                <w:iCs w:val="1"/>
                <w:color w:val="auto"/>
              </w:rPr>
              <w:t xml:space="preserve">GDS) </w:t>
            </w:r>
            <w:r>
              <w:rPr>
                <w:rFonts w:ascii="Times New Roman" w:cs="Times New Roman" w:eastAsia="Times New Roman" w:hAnsi="Times New Roman"/>
                <w:sz w:val="12"/>
                <w:szCs w:val="12"/>
                <w:color w:val="B4B4B4"/>
              </w:rPr>
              <w:t>................................................</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aggregates and distributes travel inventory such as flights, hotels,</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car rentals, and black car providers from travel suppliers to travel</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shd w:val="clear" w:color="auto" w:fill="E4E4E4"/>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agencies and booking platforms.</w:t>
            </w:r>
          </w:p>
        </w:tc>
        <w:tc>
          <w:tcPr>
            <w:tcW w:w="1380" w:type="dxa"/>
            <w:vAlign w:val="bottom"/>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00" w:type="dxa"/>
            <w:vAlign w:val="bottom"/>
            <w:shd w:val="clear" w:color="auto" w:fill="E4E4E4"/>
          </w:tcPr>
          <w:p>
            <w:pPr>
              <w:spacing w:after="0"/>
              <w:rPr>
                <w:sz w:val="12"/>
                <w:szCs w:val="12"/>
                <w:color w:val="auto"/>
              </w:rPr>
            </w:pPr>
          </w:p>
        </w:tc>
        <w:tc>
          <w:tcPr>
            <w:tcW w:w="920" w:type="dxa"/>
            <w:vAlign w:val="bottom"/>
          </w:tcPr>
          <w:p>
            <w:pPr>
              <w:spacing w:after="0"/>
              <w:rPr>
                <w:sz w:val="12"/>
                <w:szCs w:val="12"/>
                <w:color w:val="auto"/>
              </w:rPr>
            </w:pPr>
          </w:p>
        </w:tc>
        <w:tc>
          <w:tcPr>
            <w:tcW w:w="2060" w:type="dxa"/>
            <w:vAlign w:val="bottom"/>
            <w:gridSpan w:val="2"/>
          </w:tcPr>
          <w:p>
            <w:pPr>
              <w:ind w:left="40"/>
              <w:spacing w:after="0"/>
              <w:rPr>
                <w:sz w:val="20"/>
                <w:szCs w:val="20"/>
                <w:color w:val="auto"/>
              </w:rPr>
            </w:pPr>
            <w:r>
              <w:rPr>
                <w:rFonts w:ascii="Arial" w:cs="Arial" w:eastAsia="Arial" w:hAnsi="Arial"/>
                <w:sz w:val="12"/>
                <w:szCs w:val="12"/>
                <w:i w:val="1"/>
                <w:iCs w:val="1"/>
                <w:color w:val="auto"/>
              </w:rPr>
              <w:t xml:space="preserve">Low-Cost Carriers (or LCCs) </w:t>
            </w:r>
            <w:r>
              <w:rPr>
                <w:rFonts w:ascii="Times New Roman" w:cs="Times New Roman" w:eastAsia="Times New Roman" w:hAnsi="Times New Roman"/>
                <w:sz w:val="12"/>
                <w:szCs w:val="12"/>
                <w:color w:val="B4B4B4"/>
              </w:rPr>
              <w:t>...........</w:t>
            </w:r>
          </w:p>
        </w:tc>
        <w:tc>
          <w:tcPr>
            <w:tcW w:w="4840" w:type="dxa"/>
            <w:vAlign w:val="bottom"/>
          </w:tcPr>
          <w:p>
            <w:pPr>
              <w:ind w:left="20"/>
              <w:spacing w:after="0"/>
              <w:rPr>
                <w:sz w:val="20"/>
                <w:szCs w:val="20"/>
                <w:color w:val="auto"/>
              </w:rPr>
            </w:pPr>
            <w:r>
              <w:rPr>
                <w:rFonts w:ascii="Arial" w:cs="Arial" w:eastAsia="Arial" w:hAnsi="Arial"/>
                <w:sz w:val="12"/>
                <w:szCs w:val="12"/>
                <w:color w:val="auto"/>
              </w:rPr>
              <w:t>Airlines with no-frills models that are not accessed by traditional</w:t>
            </w:r>
          </w:p>
        </w:tc>
        <w:tc>
          <w:tcPr>
            <w:tcW w:w="1380" w:type="dxa"/>
            <w:vAlign w:val="bottom"/>
            <w:shd w:val="clear" w:color="auto" w:fill="E4E4E4"/>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GDSs, requiring TMCs and travel platforms to establish direct</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400" w:type="dxa"/>
            <w:vAlign w:val="bottom"/>
            <w:shd w:val="clear" w:color="auto" w:fill="E4E4E4"/>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connections.</w:t>
            </w:r>
          </w:p>
        </w:tc>
        <w:tc>
          <w:tcPr>
            <w:tcW w:w="1380" w:type="dxa"/>
            <w:vAlign w:val="bottom"/>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400" w:type="dxa"/>
            <w:vAlign w:val="bottom"/>
            <w:shd w:val="clear" w:color="auto" w:fill="E4E4E4"/>
          </w:tcPr>
          <w:p>
            <w:pPr>
              <w:spacing w:after="0"/>
              <w:rPr>
                <w:sz w:val="16"/>
                <w:szCs w:val="16"/>
                <w:color w:val="auto"/>
              </w:rPr>
            </w:pPr>
          </w:p>
        </w:tc>
        <w:tc>
          <w:tcPr>
            <w:tcW w:w="920" w:type="dxa"/>
            <w:vAlign w:val="bottom"/>
          </w:tcPr>
          <w:p>
            <w:pPr>
              <w:spacing w:after="0"/>
              <w:rPr>
                <w:sz w:val="16"/>
                <w:szCs w:val="16"/>
                <w:color w:val="auto"/>
              </w:rPr>
            </w:pPr>
          </w:p>
        </w:tc>
        <w:tc>
          <w:tcPr>
            <w:tcW w:w="2060" w:type="dxa"/>
            <w:vAlign w:val="bottom"/>
            <w:gridSpan w:val="2"/>
          </w:tcPr>
          <w:p>
            <w:pPr>
              <w:ind w:left="40"/>
              <w:spacing w:after="0"/>
              <w:rPr>
                <w:sz w:val="20"/>
                <w:szCs w:val="20"/>
                <w:color w:val="auto"/>
              </w:rPr>
            </w:pPr>
            <w:r>
              <w:rPr>
                <w:rFonts w:ascii="Arial" w:cs="Arial" w:eastAsia="Arial" w:hAnsi="Arial"/>
                <w:sz w:val="12"/>
                <w:szCs w:val="12"/>
                <w:i w:val="1"/>
                <w:iCs w:val="1"/>
                <w:color w:val="auto"/>
              </w:rPr>
              <w:t xml:space="preserve">Managed category </w:t>
            </w:r>
            <w:r>
              <w:rPr>
                <w:rFonts w:ascii="Times New Roman" w:cs="Times New Roman" w:eastAsia="Times New Roman" w:hAnsi="Times New Roman"/>
                <w:sz w:val="12"/>
                <w:szCs w:val="12"/>
                <w:color w:val="B4B4B4"/>
              </w:rPr>
              <w:t>............................</w:t>
            </w:r>
          </w:p>
        </w:tc>
        <w:tc>
          <w:tcPr>
            <w:tcW w:w="4840" w:type="dxa"/>
            <w:vAlign w:val="bottom"/>
          </w:tcPr>
          <w:p>
            <w:pPr>
              <w:ind w:left="20"/>
              <w:spacing w:after="0"/>
              <w:rPr>
                <w:sz w:val="20"/>
                <w:szCs w:val="20"/>
                <w:color w:val="auto"/>
              </w:rPr>
            </w:pPr>
            <w:r>
              <w:rPr>
                <w:rFonts w:ascii="Arial" w:cs="Arial" w:eastAsia="Arial" w:hAnsi="Arial"/>
                <w:sz w:val="12"/>
                <w:szCs w:val="12"/>
                <w:color w:val="auto"/>
              </w:rPr>
              <w:t>The category of the business travel market defined by travel activity</w:t>
            </w:r>
          </w:p>
        </w:tc>
        <w:tc>
          <w:tcPr>
            <w:tcW w:w="138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governed by a formally implemented travel program. These</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programs are typically administered by a customer through a TMC</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or a dedicated travel platform, and are characterized by negotiated</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supplier contracts, documented travel policies, and mandated</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400" w:type="dxa"/>
            <w:vAlign w:val="bottom"/>
            <w:shd w:val="clear" w:color="auto" w:fill="E4E4E4"/>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booking channels.</w:t>
            </w:r>
          </w:p>
        </w:tc>
        <w:tc>
          <w:tcPr>
            <w:tcW w:w="1380" w:type="dxa"/>
            <w:vAlign w:val="bottom"/>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400" w:type="dxa"/>
            <w:vAlign w:val="bottom"/>
            <w:shd w:val="clear" w:color="auto" w:fill="E4E4E4"/>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gridSpan w:val="2"/>
          </w:tcPr>
          <w:p>
            <w:pPr>
              <w:ind w:left="40"/>
              <w:spacing w:after="0"/>
              <w:rPr>
                <w:sz w:val="20"/>
                <w:szCs w:val="20"/>
                <w:color w:val="auto"/>
              </w:rPr>
            </w:pPr>
            <w:r>
              <w:rPr>
                <w:rFonts w:ascii="Arial" w:cs="Arial" w:eastAsia="Arial" w:hAnsi="Arial"/>
                <w:sz w:val="12"/>
                <w:szCs w:val="12"/>
                <w:i w:val="1"/>
                <w:iCs w:val="1"/>
                <w:color w:val="auto"/>
              </w:rPr>
              <w:t xml:space="preserve">Navan Cognition </w:t>
            </w:r>
            <w:r>
              <w:rPr>
                <w:rFonts w:ascii="Times New Roman" w:cs="Times New Roman" w:eastAsia="Times New Roman" w:hAnsi="Times New Roman"/>
                <w:sz w:val="12"/>
                <w:szCs w:val="12"/>
                <w:color w:val="B4B4B4"/>
              </w:rPr>
              <w:t>................................</w:t>
            </w:r>
          </w:p>
        </w:tc>
        <w:tc>
          <w:tcPr>
            <w:tcW w:w="4840" w:type="dxa"/>
            <w:vAlign w:val="bottom"/>
          </w:tcPr>
          <w:p>
            <w:pPr>
              <w:ind w:left="20"/>
              <w:spacing w:after="0"/>
              <w:rPr>
                <w:sz w:val="20"/>
                <w:szCs w:val="20"/>
                <w:color w:val="auto"/>
              </w:rPr>
            </w:pPr>
            <w:r>
              <w:rPr>
                <w:rFonts w:ascii="Arial" w:cs="Arial" w:eastAsia="Arial" w:hAnsi="Arial"/>
                <w:sz w:val="12"/>
                <w:szCs w:val="12"/>
                <w:color w:val="auto"/>
              </w:rPr>
              <w:t>Our innovative proprietary AI framework that combines the precision</w:t>
            </w:r>
          </w:p>
        </w:tc>
        <w:tc>
          <w:tcPr>
            <w:tcW w:w="1380" w:type="dxa"/>
            <w:vAlign w:val="bottom"/>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and predictive power of machine learning, or ML, with the reasoning</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capabilities of large language models. On our platform, Navan</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Cognition leverages third-party large language models with our own</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proprietary, internally developed software to enable us to create,</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train, deploy, and supervise our specialized virtual agents that can</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handle many complex tasks previously requiring human</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intervention. See the section titled “Business–Our Solution–Navan</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Cognition: Our New Paradigm in AI-Powered Travel Management”</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shd w:val="clear" w:color="auto" w:fill="E4E4E4"/>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for more information.</w:t>
            </w:r>
          </w:p>
        </w:tc>
        <w:tc>
          <w:tcPr>
            <w:tcW w:w="1380" w:type="dxa"/>
            <w:vAlign w:val="bottom"/>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00" w:type="dxa"/>
            <w:vAlign w:val="bottom"/>
            <w:shd w:val="clear" w:color="auto" w:fill="E4E4E4"/>
          </w:tcPr>
          <w:p>
            <w:pPr>
              <w:spacing w:after="0"/>
              <w:rPr>
                <w:sz w:val="12"/>
                <w:szCs w:val="12"/>
                <w:color w:val="auto"/>
              </w:rPr>
            </w:pPr>
          </w:p>
        </w:tc>
        <w:tc>
          <w:tcPr>
            <w:tcW w:w="920" w:type="dxa"/>
            <w:vAlign w:val="bottom"/>
          </w:tcPr>
          <w:p>
            <w:pPr>
              <w:spacing w:after="0"/>
              <w:rPr>
                <w:sz w:val="12"/>
                <w:szCs w:val="12"/>
                <w:color w:val="auto"/>
              </w:rPr>
            </w:pPr>
          </w:p>
        </w:tc>
        <w:tc>
          <w:tcPr>
            <w:tcW w:w="2060" w:type="dxa"/>
            <w:vAlign w:val="bottom"/>
            <w:gridSpan w:val="2"/>
          </w:tcPr>
          <w:p>
            <w:pPr>
              <w:ind w:left="40"/>
              <w:spacing w:after="0"/>
              <w:rPr>
                <w:sz w:val="20"/>
                <w:szCs w:val="20"/>
                <w:color w:val="auto"/>
              </w:rPr>
            </w:pPr>
            <w:r>
              <w:rPr>
                <w:rFonts w:ascii="Arial" w:cs="Arial" w:eastAsia="Arial" w:hAnsi="Arial"/>
                <w:sz w:val="12"/>
                <w:szCs w:val="12"/>
                <w:i w:val="1"/>
                <w:iCs w:val="1"/>
                <w:color w:val="auto"/>
              </w:rPr>
              <w:t xml:space="preserve">Navan Connect </w:t>
            </w:r>
            <w:r>
              <w:rPr>
                <w:rFonts w:ascii="Times New Roman" w:cs="Times New Roman" w:eastAsia="Times New Roman" w:hAnsi="Times New Roman"/>
                <w:sz w:val="12"/>
                <w:szCs w:val="12"/>
                <w:color w:val="B4B4B4"/>
              </w:rPr>
              <w:t>..................................</w:t>
            </w:r>
          </w:p>
        </w:tc>
        <w:tc>
          <w:tcPr>
            <w:tcW w:w="4840" w:type="dxa"/>
            <w:vAlign w:val="bottom"/>
          </w:tcPr>
          <w:p>
            <w:pPr>
              <w:ind w:left="20"/>
              <w:spacing w:after="0"/>
              <w:rPr>
                <w:sz w:val="20"/>
                <w:szCs w:val="20"/>
                <w:color w:val="auto"/>
              </w:rPr>
            </w:pPr>
            <w:r>
              <w:rPr>
                <w:rFonts w:ascii="Arial" w:cs="Arial" w:eastAsia="Arial" w:hAnsi="Arial"/>
                <w:sz w:val="12"/>
                <w:szCs w:val="12"/>
                <w:color w:val="auto"/>
              </w:rPr>
              <w:t>Our open API framework that enables customers to integrate their</w:t>
            </w:r>
          </w:p>
        </w:tc>
        <w:tc>
          <w:tcPr>
            <w:tcW w:w="1380" w:type="dxa"/>
            <w:vAlign w:val="bottom"/>
            <w:shd w:val="clear" w:color="auto" w:fill="E4E4E4"/>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existing third-party corporate card programs into our Expense</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400" w:type="dxa"/>
            <w:vAlign w:val="bottom"/>
            <w:shd w:val="clear" w:color="auto" w:fill="E4E4E4"/>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Management application.</w:t>
            </w:r>
          </w:p>
        </w:tc>
        <w:tc>
          <w:tcPr>
            <w:tcW w:w="1380" w:type="dxa"/>
            <w:vAlign w:val="bottom"/>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517"/>
        </w:trPr>
        <w:tc>
          <w:tcPr>
            <w:tcW w:w="1400" w:type="dxa"/>
            <w:vAlign w:val="bottom"/>
            <w:shd w:val="clear" w:color="auto" w:fill="E4E4E4"/>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40" w:type="dxa"/>
            <w:vAlign w:val="bottom"/>
          </w:tcPr>
          <w:p>
            <w:pPr>
              <w:ind w:left="880"/>
              <w:spacing w:after="0"/>
              <w:rPr>
                <w:sz w:val="20"/>
                <w:szCs w:val="20"/>
                <w:color w:val="auto"/>
              </w:rPr>
            </w:pPr>
            <w:r>
              <w:rPr>
                <w:rFonts w:ascii="Arial" w:cs="Arial" w:eastAsia="Arial" w:hAnsi="Arial"/>
                <w:sz w:val="12"/>
                <w:szCs w:val="12"/>
                <w:color w:val="auto"/>
              </w:rPr>
              <w:t>iii</w:t>
            </w:r>
          </w:p>
        </w:tc>
        <w:tc>
          <w:tcPr>
            <w:tcW w:w="138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1400" w:type="dxa"/>
            <w:vAlign w:val="bottom"/>
            <w:shd w:val="clear" w:color="auto" w:fill="E4E4E4"/>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38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400" w:type="dxa"/>
            <w:vAlign w:val="bottom"/>
            <w:shd w:val="clear" w:color="auto" w:fill="E4E4E4"/>
          </w:tcPr>
          <w:p>
            <w:pPr>
              <w:spacing w:after="0"/>
              <w:rPr>
                <w:sz w:val="8"/>
                <w:szCs w:val="8"/>
                <w:color w:val="auto"/>
              </w:rPr>
            </w:pPr>
          </w:p>
        </w:tc>
        <w:tc>
          <w:tcPr>
            <w:tcW w:w="920" w:type="dxa"/>
            <w:vAlign w:val="bottom"/>
            <w:shd w:val="clear" w:color="auto" w:fill="E4E4E4"/>
          </w:tcPr>
          <w:p>
            <w:pPr>
              <w:spacing w:after="0"/>
              <w:rPr>
                <w:sz w:val="8"/>
                <w:szCs w:val="8"/>
                <w:color w:val="auto"/>
              </w:rPr>
            </w:pPr>
          </w:p>
        </w:tc>
        <w:tc>
          <w:tcPr>
            <w:tcW w:w="980" w:type="dxa"/>
            <w:vAlign w:val="bottom"/>
            <w:shd w:val="clear" w:color="auto" w:fill="E4E4E4"/>
          </w:tcPr>
          <w:p>
            <w:pPr>
              <w:spacing w:after="0"/>
              <w:rPr>
                <w:sz w:val="8"/>
                <w:szCs w:val="8"/>
                <w:color w:val="auto"/>
              </w:rPr>
            </w:pPr>
          </w:p>
        </w:tc>
        <w:tc>
          <w:tcPr>
            <w:tcW w:w="1080" w:type="dxa"/>
            <w:vAlign w:val="bottom"/>
            <w:shd w:val="clear" w:color="auto" w:fill="E4E4E4"/>
          </w:tcPr>
          <w:p>
            <w:pPr>
              <w:spacing w:after="0"/>
              <w:rPr>
                <w:sz w:val="8"/>
                <w:szCs w:val="8"/>
                <w:color w:val="auto"/>
              </w:rPr>
            </w:pPr>
          </w:p>
        </w:tc>
        <w:tc>
          <w:tcPr>
            <w:tcW w:w="4840" w:type="dxa"/>
            <w:vAlign w:val="bottom"/>
            <w:shd w:val="clear" w:color="auto" w:fill="E4E4E4"/>
          </w:tcPr>
          <w:p>
            <w:pPr>
              <w:spacing w:after="0"/>
              <w:rPr>
                <w:sz w:val="8"/>
                <w:szCs w:val="8"/>
                <w:color w:val="auto"/>
              </w:rPr>
            </w:pPr>
          </w:p>
        </w:tc>
        <w:tc>
          <w:tcPr>
            <w:tcW w:w="1380" w:type="dxa"/>
            <w:vAlign w:val="bottom"/>
            <w:shd w:val="clear" w:color="auto" w:fill="E4E4E4"/>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1400" w:type="dxa"/>
            <w:vAlign w:val="bottom"/>
            <w:shd w:val="clear" w:color="auto" w:fill="E4E4E4"/>
          </w:tcPr>
          <w:p>
            <w:pPr>
              <w:spacing w:after="0"/>
              <w:rPr>
                <w:sz w:val="23"/>
                <w:szCs w:val="23"/>
                <w:color w:val="auto"/>
              </w:rPr>
            </w:pPr>
          </w:p>
        </w:tc>
        <w:tc>
          <w:tcPr>
            <w:tcW w:w="920" w:type="dxa"/>
            <w:vAlign w:val="bottom"/>
          </w:tcPr>
          <w:p>
            <w:pPr>
              <w:spacing w:after="0"/>
              <w:rPr>
                <w:sz w:val="23"/>
                <w:szCs w:val="23"/>
                <w:color w:val="auto"/>
              </w:rPr>
            </w:pPr>
          </w:p>
        </w:tc>
        <w:tc>
          <w:tcPr>
            <w:tcW w:w="2060" w:type="dxa"/>
            <w:vAlign w:val="bottom"/>
            <w:gridSpan w:val="2"/>
          </w:tcPr>
          <w:p>
            <w:pPr>
              <w:spacing w:after="0"/>
              <w:rPr>
                <w:rFonts w:ascii="Arial" w:cs="Arial" w:eastAsia="Arial" w:hAnsi="Arial"/>
                <w:sz w:val="12"/>
                <w:szCs w:val="12"/>
                <w:color w:val="0000FF"/>
              </w:rPr>
            </w:pPr>
            <w:hyperlink w:anchor="page3">
              <w:r>
                <w:rPr>
                  <w:rFonts w:ascii="Arial" w:cs="Arial" w:eastAsia="Arial" w:hAnsi="Arial"/>
                  <w:sz w:val="12"/>
                  <w:szCs w:val="12"/>
                  <w:color w:val="0000FF"/>
                </w:rPr>
                <w:t>Table of Contents</w:t>
              </w:r>
            </w:hyperlink>
          </w:p>
        </w:tc>
        <w:tc>
          <w:tcPr>
            <w:tcW w:w="4840" w:type="dxa"/>
            <w:vAlign w:val="bottom"/>
          </w:tcPr>
          <w:p>
            <w:pPr>
              <w:spacing w:after="0"/>
              <w:rPr>
                <w:sz w:val="23"/>
                <w:szCs w:val="23"/>
                <w:color w:val="auto"/>
              </w:rPr>
            </w:pPr>
          </w:p>
        </w:tc>
        <w:tc>
          <w:tcPr>
            <w:tcW w:w="1380" w:type="dxa"/>
            <w:vAlign w:val="bottom"/>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E4E4E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40" w:type="dxa"/>
            <w:vAlign w:val="bottom"/>
            <w:vMerge w:val="restart"/>
          </w:tcPr>
          <w:p>
            <w:pPr>
              <w:ind w:left="20"/>
              <w:spacing w:after="0"/>
              <w:rPr>
                <w:sz w:val="20"/>
                <w:szCs w:val="20"/>
                <w:color w:val="auto"/>
              </w:rPr>
            </w:pPr>
            <w:r>
              <w:rPr>
                <w:rFonts w:ascii="Arial" w:cs="Arial" w:eastAsia="Arial" w:hAnsi="Arial"/>
                <w:sz w:val="12"/>
                <w:szCs w:val="12"/>
                <w:color w:val="auto"/>
              </w:rPr>
              <w:t>A standardized measure of consumer satisfaction and loyalty that</w:t>
            </w:r>
          </w:p>
        </w:tc>
        <w:tc>
          <w:tcPr>
            <w:tcW w:w="138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5"/>
        </w:trPr>
        <w:tc>
          <w:tcPr>
            <w:tcW w:w="1400" w:type="dxa"/>
            <w:vAlign w:val="bottom"/>
            <w:shd w:val="clear" w:color="auto" w:fill="E4E4E4"/>
          </w:tcPr>
          <w:p>
            <w:pPr>
              <w:spacing w:after="0"/>
              <w:rPr>
                <w:sz w:val="24"/>
                <w:szCs w:val="24"/>
                <w:color w:val="auto"/>
              </w:rPr>
            </w:pPr>
          </w:p>
        </w:tc>
        <w:tc>
          <w:tcPr>
            <w:tcW w:w="920" w:type="dxa"/>
            <w:vAlign w:val="bottom"/>
          </w:tcPr>
          <w:p>
            <w:pPr>
              <w:spacing w:after="0"/>
              <w:rPr>
                <w:sz w:val="24"/>
                <w:szCs w:val="24"/>
                <w:color w:val="auto"/>
              </w:rPr>
            </w:pPr>
          </w:p>
        </w:tc>
        <w:tc>
          <w:tcPr>
            <w:tcW w:w="2060" w:type="dxa"/>
            <w:vAlign w:val="bottom"/>
            <w:gridSpan w:val="2"/>
          </w:tcPr>
          <w:p>
            <w:pPr>
              <w:ind w:left="40"/>
              <w:spacing w:after="0"/>
              <w:rPr>
                <w:sz w:val="20"/>
                <w:szCs w:val="20"/>
                <w:color w:val="auto"/>
              </w:rPr>
            </w:pPr>
            <w:r>
              <w:rPr>
                <w:rFonts w:ascii="Arial" w:cs="Arial" w:eastAsia="Arial" w:hAnsi="Arial"/>
                <w:sz w:val="12"/>
                <w:szCs w:val="12"/>
                <w:i w:val="1"/>
                <w:iCs w:val="1"/>
                <w:color w:val="auto"/>
              </w:rPr>
              <w:t xml:space="preserve">Net Promoter Score (or NPS) </w:t>
            </w:r>
            <w:r>
              <w:rPr>
                <w:rFonts w:ascii="Times New Roman" w:cs="Times New Roman" w:eastAsia="Times New Roman" w:hAnsi="Times New Roman"/>
                <w:sz w:val="12"/>
                <w:szCs w:val="12"/>
                <w:color w:val="B4B4B4"/>
              </w:rPr>
              <w:t>..........</w:t>
            </w:r>
          </w:p>
        </w:tc>
        <w:tc>
          <w:tcPr>
            <w:tcW w:w="4840" w:type="dxa"/>
            <w:vAlign w:val="bottom"/>
            <w:vMerge w:val="continue"/>
          </w:tcPr>
          <w:p>
            <w:pPr>
              <w:spacing w:after="0"/>
              <w:rPr>
                <w:sz w:val="24"/>
                <w:szCs w:val="24"/>
                <w:color w:val="auto"/>
              </w:rPr>
            </w:pPr>
          </w:p>
        </w:tc>
        <w:tc>
          <w:tcPr>
            <w:tcW w:w="138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can range from a low of negative 100 to a high of positive 100. To</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calculate NPS, Navan users receive a survey asking, “How likely</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are you to recommend Navan to a friend or colleague?” on a scale</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from 0 to 10. Respondents are segmented into three groups:</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Promoters (score of 9 or 10), Passives (score of 7 or 8) and</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Detractors (score of 6 or less). NPS is then calculated by</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subtracting the number of Detractors from the number of Promoters,</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then dividing that number by the total number of respondents, then</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multiplying by 100. NPS benchmarks can vary significantly by</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industry, but a score greater than zero represents a company that</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has more promoters than detractors. Our NPS is calculated by us</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on a third-party platform, and we believe the methodology employed</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is substantially consistent with how other businesses and industries</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typically calculate their NPS. Our methodology for calculating NPS</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reflects responses from our customers who choose to respond to</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the survey question. Accordingly, NPS gives no weight to</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customers who decline to answer the survey question. Our NPS</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disclosed in this prospectus was derived from a sample size of</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approximately 20,000 users per month. We use NPS to assess the</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willingness of customers to recommend our offerings to others and</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generally regard NPS as a proxy for measuring brand loyalty and</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satisfaction. To calculate NPS, we take an average over the</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400" w:type="dxa"/>
            <w:vAlign w:val="bottom"/>
            <w:shd w:val="clear" w:color="auto" w:fill="E4E4E4"/>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measurement period.</w:t>
            </w:r>
          </w:p>
        </w:tc>
        <w:tc>
          <w:tcPr>
            <w:tcW w:w="1380" w:type="dxa"/>
            <w:vAlign w:val="bottom"/>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400" w:type="dxa"/>
            <w:vAlign w:val="bottom"/>
            <w:shd w:val="clear" w:color="auto" w:fill="E4E4E4"/>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gridSpan w:val="2"/>
          </w:tcPr>
          <w:p>
            <w:pPr>
              <w:ind w:left="40"/>
              <w:spacing w:after="0"/>
              <w:rPr>
                <w:sz w:val="20"/>
                <w:szCs w:val="20"/>
                <w:color w:val="auto"/>
              </w:rPr>
            </w:pPr>
            <w:r>
              <w:rPr>
                <w:rFonts w:ascii="Arial" w:cs="Arial" w:eastAsia="Arial" w:hAnsi="Arial"/>
                <w:sz w:val="12"/>
                <w:szCs w:val="12"/>
                <w:i w:val="1"/>
                <w:iCs w:val="1"/>
                <w:color w:val="auto"/>
              </w:rPr>
              <w:t>New Distribution Capability (or</w:t>
            </w:r>
          </w:p>
        </w:tc>
        <w:tc>
          <w:tcPr>
            <w:tcW w:w="4840" w:type="dxa"/>
            <w:vAlign w:val="bottom"/>
            <w:vMerge w:val="restart"/>
          </w:tcPr>
          <w:p>
            <w:pPr>
              <w:ind w:left="20"/>
              <w:spacing w:after="0"/>
              <w:rPr>
                <w:sz w:val="20"/>
                <w:szCs w:val="20"/>
                <w:color w:val="auto"/>
              </w:rPr>
            </w:pPr>
            <w:r>
              <w:rPr>
                <w:rFonts w:ascii="Arial" w:cs="Arial" w:eastAsia="Arial" w:hAnsi="Arial"/>
                <w:sz w:val="12"/>
                <w:szCs w:val="12"/>
                <w:color w:val="auto"/>
              </w:rPr>
              <w:t>An International Air Transport Association technical standard that</w:t>
            </w:r>
          </w:p>
        </w:tc>
        <w:tc>
          <w:tcPr>
            <w:tcW w:w="1380" w:type="dxa"/>
            <w:vAlign w:val="bottom"/>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6900" w:type="dxa"/>
            <w:vAlign w:val="bottom"/>
            <w:gridSpan w:val="3"/>
          </w:tcPr>
          <w:p>
            <w:pPr>
              <w:ind w:left="140"/>
              <w:spacing w:after="0" w:line="125" w:lineRule="exact"/>
              <w:rPr>
                <w:sz w:val="20"/>
                <w:szCs w:val="20"/>
                <w:color w:val="auto"/>
              </w:rPr>
            </w:pPr>
            <w:r>
              <w:rPr>
                <w:rFonts w:ascii="Arial" w:cs="Arial" w:eastAsia="Arial" w:hAnsi="Arial"/>
                <w:sz w:val="12"/>
                <w:szCs w:val="12"/>
                <w:i w:val="1"/>
                <w:iCs w:val="1"/>
                <w:color w:val="auto"/>
              </w:rPr>
              <w:t xml:space="preserve">NDC) </w:t>
            </w:r>
            <w:r>
              <w:rPr>
                <w:rFonts w:ascii="Times New Roman" w:cs="Times New Roman" w:eastAsia="Times New Roman" w:hAnsi="Times New Roman"/>
                <w:sz w:val="12"/>
                <w:szCs w:val="12"/>
                <w:color w:val="B4B4B4"/>
              </w:rPr>
              <w:t>................................................</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enables airlines to offer dynamically priced fares, ancillary products,</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and rich content (such as seat maps and branded fares) through</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application programming interfaces, or APIs, that bypass certain</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shd w:val="clear" w:color="auto" w:fill="E4E4E4"/>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legacy limitations of GDS.</w:t>
            </w:r>
          </w:p>
        </w:tc>
        <w:tc>
          <w:tcPr>
            <w:tcW w:w="1380" w:type="dxa"/>
            <w:vAlign w:val="bottom"/>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00" w:type="dxa"/>
            <w:vAlign w:val="bottom"/>
            <w:shd w:val="clear" w:color="auto" w:fill="E4E4E4"/>
          </w:tcPr>
          <w:p>
            <w:pPr>
              <w:spacing w:after="0"/>
              <w:rPr>
                <w:sz w:val="12"/>
                <w:szCs w:val="12"/>
                <w:color w:val="auto"/>
              </w:rPr>
            </w:pPr>
          </w:p>
        </w:tc>
        <w:tc>
          <w:tcPr>
            <w:tcW w:w="920" w:type="dxa"/>
            <w:vAlign w:val="bottom"/>
          </w:tcPr>
          <w:p>
            <w:pPr>
              <w:spacing w:after="0"/>
              <w:rPr>
                <w:sz w:val="12"/>
                <w:szCs w:val="12"/>
                <w:color w:val="auto"/>
              </w:rPr>
            </w:pPr>
          </w:p>
        </w:tc>
        <w:tc>
          <w:tcPr>
            <w:tcW w:w="2060" w:type="dxa"/>
            <w:vAlign w:val="bottom"/>
            <w:gridSpan w:val="2"/>
          </w:tcPr>
          <w:p>
            <w:pPr>
              <w:ind w:left="40"/>
              <w:spacing w:after="0"/>
              <w:rPr>
                <w:sz w:val="20"/>
                <w:szCs w:val="20"/>
                <w:color w:val="auto"/>
              </w:rPr>
            </w:pPr>
            <w:r>
              <w:rPr>
                <w:rFonts w:ascii="Arial" w:cs="Arial" w:eastAsia="Arial" w:hAnsi="Arial"/>
                <w:sz w:val="12"/>
                <w:szCs w:val="12"/>
                <w:i w:val="1"/>
                <w:iCs w:val="1"/>
                <w:color w:val="auto"/>
              </w:rPr>
              <w:t xml:space="preserve">Offerings </w:t>
            </w:r>
            <w:r>
              <w:rPr>
                <w:rFonts w:ascii="Times New Roman" w:cs="Times New Roman" w:eastAsia="Times New Roman" w:hAnsi="Times New Roman"/>
                <w:sz w:val="12"/>
                <w:szCs w:val="12"/>
                <w:color w:val="B4B4B4"/>
              </w:rPr>
              <w:t>.............................................</w:t>
            </w:r>
          </w:p>
        </w:tc>
        <w:tc>
          <w:tcPr>
            <w:tcW w:w="4840" w:type="dxa"/>
            <w:vAlign w:val="bottom"/>
          </w:tcPr>
          <w:p>
            <w:pPr>
              <w:ind w:left="20"/>
              <w:spacing w:after="0"/>
              <w:rPr>
                <w:sz w:val="20"/>
                <w:szCs w:val="20"/>
                <w:color w:val="auto"/>
              </w:rPr>
            </w:pPr>
            <w:r>
              <w:rPr>
                <w:rFonts w:ascii="Arial" w:cs="Arial" w:eastAsia="Arial" w:hAnsi="Arial"/>
                <w:sz w:val="12"/>
                <w:szCs w:val="12"/>
                <w:color w:val="auto"/>
              </w:rPr>
              <w:t>The suite of integrated products and services available on our</w:t>
            </w:r>
          </w:p>
        </w:tc>
        <w:tc>
          <w:tcPr>
            <w:tcW w:w="1380" w:type="dxa"/>
            <w:vAlign w:val="bottom"/>
            <w:shd w:val="clear" w:color="auto" w:fill="E4E4E4"/>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platform. These offerings currently consist of Travel, Corporate</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Payments, Expense Management, Meetings and Events, VIP, and</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Bleisure. These offerings are accessible through our platform and</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may be adopted individually or in combination by our customers.</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See the section titled “Business—Our Offerings” for more</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shd w:val="clear" w:color="auto" w:fill="E4E4E4"/>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information.</w:t>
            </w:r>
          </w:p>
        </w:tc>
        <w:tc>
          <w:tcPr>
            <w:tcW w:w="1380" w:type="dxa"/>
            <w:vAlign w:val="bottom"/>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00" w:type="dxa"/>
            <w:vAlign w:val="bottom"/>
            <w:shd w:val="clear" w:color="auto" w:fill="E4E4E4"/>
          </w:tcPr>
          <w:p>
            <w:pPr>
              <w:spacing w:after="0"/>
              <w:rPr>
                <w:sz w:val="12"/>
                <w:szCs w:val="12"/>
                <w:color w:val="auto"/>
              </w:rPr>
            </w:pPr>
          </w:p>
        </w:tc>
        <w:tc>
          <w:tcPr>
            <w:tcW w:w="920" w:type="dxa"/>
            <w:vAlign w:val="bottom"/>
          </w:tcPr>
          <w:p>
            <w:pPr>
              <w:spacing w:after="0"/>
              <w:rPr>
                <w:sz w:val="12"/>
                <w:szCs w:val="12"/>
                <w:color w:val="auto"/>
              </w:rPr>
            </w:pPr>
          </w:p>
        </w:tc>
        <w:tc>
          <w:tcPr>
            <w:tcW w:w="2060" w:type="dxa"/>
            <w:vAlign w:val="bottom"/>
            <w:gridSpan w:val="2"/>
          </w:tcPr>
          <w:p>
            <w:pPr>
              <w:ind w:left="40"/>
              <w:spacing w:after="0"/>
              <w:rPr>
                <w:sz w:val="20"/>
                <w:szCs w:val="20"/>
                <w:color w:val="auto"/>
              </w:rPr>
            </w:pPr>
            <w:r>
              <w:rPr>
                <w:rFonts w:ascii="Arial" w:cs="Arial" w:eastAsia="Arial" w:hAnsi="Arial"/>
                <w:sz w:val="12"/>
                <w:szCs w:val="12"/>
                <w:i w:val="1"/>
                <w:iCs w:val="1"/>
                <w:color w:val="auto"/>
              </w:rPr>
              <w:t xml:space="preserve">Payment volume </w:t>
            </w:r>
            <w:r>
              <w:rPr>
                <w:rFonts w:ascii="Times New Roman" w:cs="Times New Roman" w:eastAsia="Times New Roman" w:hAnsi="Times New Roman"/>
                <w:sz w:val="12"/>
                <w:szCs w:val="12"/>
                <w:color w:val="B4B4B4"/>
              </w:rPr>
              <w:t>................................</w:t>
            </w:r>
          </w:p>
        </w:tc>
        <w:tc>
          <w:tcPr>
            <w:tcW w:w="4840" w:type="dxa"/>
            <w:vAlign w:val="bottom"/>
          </w:tcPr>
          <w:p>
            <w:pPr>
              <w:ind w:left="20"/>
              <w:spacing w:after="0"/>
              <w:rPr>
                <w:sz w:val="20"/>
                <w:szCs w:val="20"/>
                <w:color w:val="auto"/>
              </w:rPr>
            </w:pPr>
            <w:r>
              <w:rPr>
                <w:rFonts w:ascii="Arial" w:cs="Arial" w:eastAsia="Arial" w:hAnsi="Arial"/>
                <w:sz w:val="12"/>
                <w:szCs w:val="12"/>
                <w:color w:val="auto"/>
              </w:rPr>
              <w:t>The aggregate dollar amount of spend through Navan issued cards,</w:t>
            </w:r>
          </w:p>
        </w:tc>
        <w:tc>
          <w:tcPr>
            <w:tcW w:w="1380" w:type="dxa"/>
            <w:vAlign w:val="bottom"/>
            <w:shd w:val="clear" w:color="auto" w:fill="E4E4E4"/>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settled during a given period and net of any chargebacks,</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cancellations, or refunds. See the section titled “Management’s</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Discussion and Analysis of Financial Condition and Results of</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shd w:val="clear" w:color="auto" w:fill="E4E4E4"/>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Operations–Key Business Metrics” for more information.</w:t>
            </w:r>
          </w:p>
        </w:tc>
        <w:tc>
          <w:tcPr>
            <w:tcW w:w="1380" w:type="dxa"/>
            <w:vAlign w:val="bottom"/>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400" w:type="dxa"/>
            <w:vAlign w:val="bottom"/>
            <w:shd w:val="clear" w:color="auto" w:fill="E4E4E4"/>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gridSpan w:val="2"/>
          </w:tcPr>
          <w:p>
            <w:pPr>
              <w:ind w:left="40"/>
              <w:spacing w:after="0"/>
              <w:rPr>
                <w:sz w:val="20"/>
                <w:szCs w:val="20"/>
                <w:color w:val="auto"/>
              </w:rPr>
            </w:pPr>
            <w:r>
              <w:rPr>
                <w:rFonts w:ascii="Arial" w:cs="Arial" w:eastAsia="Arial" w:hAnsi="Arial"/>
                <w:sz w:val="12"/>
                <w:szCs w:val="12"/>
                <w:i w:val="1"/>
                <w:iCs w:val="1"/>
                <w:color w:val="auto"/>
              </w:rPr>
              <w:t xml:space="preserve">Product-led growth (or PLG)  </w:t>
            </w:r>
            <w:r>
              <w:rPr>
                <w:rFonts w:ascii="Times New Roman" w:cs="Times New Roman" w:eastAsia="Times New Roman" w:hAnsi="Times New Roman"/>
                <w:sz w:val="12"/>
                <w:szCs w:val="12"/>
                <w:color w:val="B4B4B4"/>
              </w:rPr>
              <w:t>...........</w:t>
            </w:r>
          </w:p>
        </w:tc>
        <w:tc>
          <w:tcPr>
            <w:tcW w:w="4840" w:type="dxa"/>
            <w:vAlign w:val="bottom"/>
          </w:tcPr>
          <w:p>
            <w:pPr>
              <w:ind w:left="20"/>
              <w:spacing w:after="0"/>
              <w:rPr>
                <w:sz w:val="20"/>
                <w:szCs w:val="20"/>
                <w:color w:val="auto"/>
              </w:rPr>
            </w:pPr>
            <w:r>
              <w:rPr>
                <w:rFonts w:ascii="Arial" w:cs="Arial" w:eastAsia="Arial" w:hAnsi="Arial"/>
                <w:sz w:val="12"/>
                <w:szCs w:val="12"/>
                <w:color w:val="auto"/>
              </w:rPr>
              <w:t>Our go-to-market strategy in which our platform and our suite of</w:t>
            </w:r>
          </w:p>
        </w:tc>
        <w:tc>
          <w:tcPr>
            <w:tcW w:w="1380" w:type="dxa"/>
            <w:vAlign w:val="bottom"/>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400" w:type="dxa"/>
            <w:vAlign w:val="bottom"/>
            <w:shd w:val="clear" w:color="auto" w:fill="E4E4E4"/>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offerings serve as the primary drivers of customer acquisition,</w:t>
            </w:r>
          </w:p>
        </w:tc>
        <w:tc>
          <w:tcPr>
            <w:tcW w:w="1380" w:type="dxa"/>
            <w:vAlign w:val="bottom"/>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00" w:type="dxa"/>
            <w:vAlign w:val="bottom"/>
            <w:shd w:val="clear" w:color="auto" w:fill="E4E4E4"/>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expansion, and retention. In our PLG model, customers typically</w:t>
            </w:r>
          </w:p>
        </w:tc>
        <w:tc>
          <w:tcPr>
            <w:tcW w:w="1380" w:type="dxa"/>
            <w:vAlign w:val="bottom"/>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shd w:val="clear" w:color="auto" w:fill="E4E4E4"/>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discover, sign up for, and begin using our offerings through our</w:t>
            </w:r>
          </w:p>
        </w:tc>
        <w:tc>
          <w:tcPr>
            <w:tcW w:w="1380" w:type="dxa"/>
            <w:vAlign w:val="bottom"/>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1400" w:type="dxa"/>
            <w:vAlign w:val="bottom"/>
            <w:shd w:val="clear" w:color="auto" w:fill="E4E4E4"/>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40" w:type="dxa"/>
            <w:vAlign w:val="bottom"/>
          </w:tcPr>
          <w:p>
            <w:pPr>
              <w:spacing w:after="0"/>
              <w:rPr>
                <w:sz w:val="5"/>
                <w:szCs w:val="5"/>
                <w:color w:val="auto"/>
              </w:rPr>
            </w:pPr>
          </w:p>
        </w:tc>
        <w:tc>
          <w:tcPr>
            <w:tcW w:w="1380" w:type="dxa"/>
            <w:vAlign w:val="bottom"/>
            <w:shd w:val="clear" w:color="auto" w:fill="E4E4E4"/>
          </w:tcPr>
          <w:p>
            <w:pPr>
              <w:spacing w:after="0"/>
              <w:rPr>
                <w:sz w:val="5"/>
                <w:szCs w:val="5"/>
                <w:color w:val="auto"/>
              </w:rPr>
            </w:pPr>
          </w:p>
        </w:tc>
        <w:tc>
          <w:tcPr>
            <w:tcW w:w="0" w:type="dxa"/>
            <w:vAlign w:val="bottom"/>
          </w:tcPr>
          <w:p>
            <w:pPr>
              <w:spacing w:after="0"/>
              <w:rPr>
                <w:sz w:val="1"/>
                <w:szCs w:val="1"/>
                <w:color w:val="auto"/>
              </w:rPr>
            </w:pPr>
          </w:p>
        </w:tc>
      </w:tr>
    </w:tbl>
    <w:p>
      <w:pPr>
        <w:sectPr>
          <w:pgSz w:w="11900" w:h="16840" w:orient="portrait"/>
          <w:cols w:equalWidth="0" w:num="1">
            <w:col w:w="10600"/>
          </w:cols>
          <w:pgMar w:left="640" w:top="546" w:right="660" w:bottom="4"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tbl>
      <w:tblPr>
        <w:tblLayout w:type="fixed"/>
        <w:tblInd w:w="600" w:type="dxa"/>
        <w:tblCellMar>
          <w:top w:w="0" w:type="dxa"/>
          <w:left w:w="0" w:type="dxa"/>
          <w:bottom w:w="0" w:type="dxa"/>
          <w:right w:w="0" w:type="dxa"/>
        </w:tblCellMar>
      </w:tblPr>
      <w:tr>
        <w:trPr>
          <w:trHeight w:val="138"/>
        </w:trPr>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website or application, often with limited involvement from a sales</w:t>
            </w:r>
          </w:p>
        </w:tc>
        <w:tc>
          <w:tcPr>
            <w:tcW w:w="0" w:type="dxa"/>
            <w:vAlign w:val="bottom"/>
          </w:tcPr>
          <w:p>
            <w:pPr>
              <w:spacing w:after="0"/>
              <w:rPr>
                <w:sz w:val="1"/>
                <w:szCs w:val="1"/>
                <w:color w:val="auto"/>
              </w:rPr>
            </w:pPr>
          </w:p>
        </w:tc>
      </w:tr>
      <w:tr>
        <w:trPr>
          <w:trHeight w:val="105"/>
        </w:trPr>
        <w:tc>
          <w:tcPr>
            <w:tcW w:w="9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840" w:type="dxa"/>
            <w:vAlign w:val="bottom"/>
          </w:tcPr>
          <w:p>
            <w:pPr>
              <w:ind w:left="20"/>
              <w:spacing w:after="0" w:line="105" w:lineRule="exact"/>
              <w:rPr>
                <w:sz w:val="20"/>
                <w:szCs w:val="20"/>
                <w:color w:val="auto"/>
              </w:rPr>
            </w:pPr>
            <w:r>
              <w:rPr>
                <w:rFonts w:ascii="Arial" w:cs="Arial" w:eastAsia="Arial" w:hAnsi="Arial"/>
                <w:sz w:val="12"/>
                <w:szCs w:val="12"/>
                <w:color w:val="auto"/>
              </w:rPr>
              <w:t>representative.</w:t>
            </w:r>
          </w:p>
        </w:tc>
        <w:tc>
          <w:tcPr>
            <w:tcW w:w="0" w:type="dxa"/>
            <w:vAlign w:val="bottom"/>
          </w:tcPr>
          <w:p>
            <w:pPr>
              <w:spacing w:after="0"/>
              <w:rPr>
                <w:sz w:val="1"/>
                <w:szCs w:val="1"/>
                <w:color w:val="auto"/>
              </w:rPr>
            </w:pPr>
          </w:p>
        </w:tc>
      </w:tr>
      <w:tr>
        <w:trPr>
          <w:trHeight w:val="125"/>
        </w:trPr>
        <w:tc>
          <w:tcPr>
            <w:tcW w:w="920" w:type="dxa"/>
            <w:vAlign w:val="bottom"/>
          </w:tcPr>
          <w:p>
            <w:pPr>
              <w:spacing w:after="0"/>
              <w:rPr>
                <w:sz w:val="10"/>
                <w:szCs w:val="10"/>
                <w:color w:val="auto"/>
              </w:rPr>
            </w:pPr>
          </w:p>
        </w:tc>
        <w:tc>
          <w:tcPr>
            <w:tcW w:w="2060" w:type="dxa"/>
            <w:vAlign w:val="bottom"/>
            <w:gridSpan w:val="2"/>
          </w:tcPr>
          <w:p>
            <w:pPr>
              <w:ind w:left="40"/>
              <w:spacing w:after="0" w:line="125" w:lineRule="exact"/>
              <w:rPr>
                <w:sz w:val="20"/>
                <w:szCs w:val="20"/>
                <w:color w:val="auto"/>
              </w:rPr>
            </w:pPr>
            <w:r>
              <w:rPr>
                <w:rFonts w:ascii="Arial" w:cs="Arial" w:eastAsia="Arial" w:hAnsi="Arial"/>
                <w:sz w:val="12"/>
                <w:szCs w:val="12"/>
                <w:i w:val="1"/>
                <w:iCs w:val="1"/>
                <w:color w:val="auto"/>
              </w:rPr>
              <w:t xml:space="preserve">Sales-led growth (or SLG) </w:t>
            </w:r>
            <w:r>
              <w:rPr>
                <w:rFonts w:ascii="Times New Roman" w:cs="Times New Roman" w:eastAsia="Times New Roman" w:hAnsi="Times New Roman"/>
                <w:sz w:val="12"/>
                <w:szCs w:val="12"/>
                <w:color w:val="B4B4B4"/>
              </w:rPr>
              <w:t>...............</w:t>
            </w: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Our go-to-market strategy in which qualified sales professionals</w:t>
            </w: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actively identify, engage, and support prospective customers</w:t>
            </w:r>
          </w:p>
        </w:tc>
        <w:tc>
          <w:tcPr>
            <w:tcW w:w="0" w:type="dxa"/>
            <w:vAlign w:val="bottom"/>
          </w:tcPr>
          <w:p>
            <w:pPr>
              <w:spacing w:after="0"/>
              <w:rPr>
                <w:sz w:val="1"/>
                <w:szCs w:val="1"/>
                <w:color w:val="auto"/>
              </w:rPr>
            </w:pPr>
          </w:p>
        </w:tc>
      </w:tr>
      <w:tr>
        <w:trPr>
          <w:trHeight w:val="125"/>
        </w:trPr>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through the evaluation and purchasing process. In our SLG model,</w:t>
            </w: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sales representatives directly prospect, engage, and guide potential</w:t>
            </w: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customers through a structured and consultative buying process.</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60" w:type="dxa"/>
            <w:vAlign w:val="bottom"/>
            <w:gridSpan w:val="2"/>
          </w:tcPr>
          <w:p>
            <w:pPr>
              <w:ind w:left="40"/>
              <w:spacing w:after="0"/>
              <w:rPr>
                <w:sz w:val="20"/>
                <w:szCs w:val="20"/>
                <w:color w:val="auto"/>
              </w:rPr>
            </w:pPr>
            <w:r>
              <w:rPr>
                <w:rFonts w:ascii="Arial" w:cs="Arial" w:eastAsia="Arial" w:hAnsi="Arial"/>
                <w:sz w:val="12"/>
                <w:szCs w:val="12"/>
                <w:i w:val="1"/>
                <w:iCs w:val="1"/>
                <w:color w:val="auto"/>
              </w:rPr>
              <w:t xml:space="preserve">Supplier </w:t>
            </w:r>
            <w:r>
              <w:rPr>
                <w:rFonts w:ascii="Times New Roman" w:cs="Times New Roman" w:eastAsia="Times New Roman" w:hAnsi="Times New Roman"/>
                <w:sz w:val="12"/>
                <w:szCs w:val="12"/>
                <w:color w:val="B4B4B4"/>
              </w:rPr>
              <w:t>...............................................</w:t>
            </w:r>
          </w:p>
        </w:tc>
        <w:tc>
          <w:tcPr>
            <w:tcW w:w="4840" w:type="dxa"/>
            <w:vAlign w:val="bottom"/>
          </w:tcPr>
          <w:p>
            <w:pPr>
              <w:ind w:left="20"/>
              <w:spacing w:after="0"/>
              <w:rPr>
                <w:sz w:val="20"/>
                <w:szCs w:val="20"/>
                <w:color w:val="auto"/>
              </w:rPr>
            </w:pPr>
            <w:r>
              <w:rPr>
                <w:rFonts w:ascii="Arial" w:cs="Arial" w:eastAsia="Arial" w:hAnsi="Arial"/>
                <w:sz w:val="12"/>
                <w:szCs w:val="12"/>
                <w:color w:val="auto"/>
              </w:rPr>
              <w:t>A third-party provider of travel inventory or distribution services,</w:t>
            </w: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including commercial airlines, low-cost carriers, hotel operators,</w:t>
            </w:r>
          </w:p>
        </w:tc>
        <w:tc>
          <w:tcPr>
            <w:tcW w:w="0" w:type="dxa"/>
            <w:vAlign w:val="bottom"/>
          </w:tcPr>
          <w:p>
            <w:pPr>
              <w:spacing w:after="0"/>
              <w:rPr>
                <w:sz w:val="1"/>
                <w:szCs w:val="1"/>
                <w:color w:val="auto"/>
              </w:rPr>
            </w:pPr>
          </w:p>
        </w:tc>
      </w:tr>
      <w:tr>
        <w:trPr>
          <w:trHeight w:val="125"/>
        </w:trPr>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lodging aggregators, rail carriers, car rental companies, black car or</w:t>
            </w: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ground transportation providers, and operators of GDSs. Suppliers</w:t>
            </w: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contract with us to make their inventory available for booking by</w:t>
            </w:r>
          </w:p>
        </w:tc>
        <w:tc>
          <w:tcPr>
            <w:tcW w:w="0" w:type="dxa"/>
            <w:vAlign w:val="bottom"/>
          </w:tcPr>
          <w:p>
            <w:pPr>
              <w:spacing w:after="0"/>
              <w:rPr>
                <w:sz w:val="1"/>
                <w:szCs w:val="1"/>
                <w:color w:val="auto"/>
              </w:rPr>
            </w:pPr>
          </w:p>
        </w:tc>
      </w:tr>
      <w:tr>
        <w:trPr>
          <w:trHeight w:val="125"/>
        </w:trPr>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customers and users on our platform and may compensate us</w:t>
            </w: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through commissions, incentives, or transactional fee</w:t>
            </w: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arrangements.</w:t>
            </w:r>
          </w:p>
        </w:tc>
        <w:tc>
          <w:tcPr>
            <w:tcW w:w="0" w:type="dxa"/>
            <w:vAlign w:val="bottom"/>
          </w:tcPr>
          <w:p>
            <w:pPr>
              <w:spacing w:after="0"/>
              <w:rPr>
                <w:sz w:val="1"/>
                <w:szCs w:val="1"/>
                <w:color w:val="auto"/>
              </w:rPr>
            </w:pPr>
          </w:p>
        </w:tc>
      </w:tr>
      <w:tr>
        <w:trPr>
          <w:trHeight w:val="497"/>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40" w:type="dxa"/>
            <w:vAlign w:val="bottom"/>
          </w:tcPr>
          <w:p>
            <w:pPr>
              <w:ind w:left="880"/>
              <w:spacing w:after="0"/>
              <w:rPr>
                <w:sz w:val="20"/>
                <w:szCs w:val="20"/>
                <w:color w:val="auto"/>
              </w:rPr>
            </w:pPr>
            <w:r>
              <w:rPr>
                <w:rFonts w:ascii="Arial" w:cs="Arial" w:eastAsia="Arial" w:hAnsi="Arial"/>
                <w:sz w:val="12"/>
                <w:szCs w:val="12"/>
                <w:color w:val="auto"/>
              </w:rPr>
              <w:t>iv</w:t>
            </w:r>
          </w:p>
        </w:tc>
        <w:tc>
          <w:tcPr>
            <w:tcW w:w="0" w:type="dxa"/>
            <w:vAlign w:val="bottom"/>
          </w:tcPr>
          <w:p>
            <w:pPr>
              <w:spacing w:after="0"/>
              <w:rPr>
                <w:sz w:val="1"/>
                <w:szCs w:val="1"/>
                <w:color w:val="auto"/>
              </w:rPr>
            </w:pPr>
          </w:p>
        </w:tc>
      </w:tr>
      <w:tr>
        <w:trPr>
          <w:trHeight w:val="525"/>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20" w:type="dxa"/>
            <w:vAlign w:val="bottom"/>
          </w:tcPr>
          <w:p>
            <w:pPr>
              <w:spacing w:after="0"/>
              <w:rPr>
                <w:sz w:val="24"/>
                <w:szCs w:val="24"/>
                <w:color w:val="auto"/>
              </w:rPr>
            </w:pPr>
          </w:p>
        </w:tc>
        <w:tc>
          <w:tcPr>
            <w:tcW w:w="2060" w:type="dxa"/>
            <w:vAlign w:val="bottom"/>
            <w:gridSpan w:val="2"/>
          </w:tcPr>
          <w:p>
            <w:pPr>
              <w:spacing w:after="0"/>
              <w:rPr>
                <w:rFonts w:ascii="Arial" w:cs="Arial" w:eastAsia="Arial" w:hAnsi="Arial"/>
                <w:sz w:val="12"/>
                <w:szCs w:val="12"/>
                <w:color w:val="0000FF"/>
              </w:rPr>
            </w:pPr>
            <w:hyperlink w:anchor="page3">
              <w:r>
                <w:rPr>
                  <w:rFonts w:ascii="Arial" w:cs="Arial" w:eastAsia="Arial" w:hAnsi="Arial"/>
                  <w:sz w:val="12"/>
                  <w:szCs w:val="12"/>
                  <w:color w:val="0000FF"/>
                </w:rPr>
                <w:t>Table of Contents</w:t>
              </w:r>
            </w:hyperlink>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40" w:type="dxa"/>
            <w:vAlign w:val="bottom"/>
            <w:vMerge w:val="restart"/>
          </w:tcPr>
          <w:p>
            <w:pPr>
              <w:ind w:left="20"/>
              <w:spacing w:after="0"/>
              <w:rPr>
                <w:sz w:val="20"/>
                <w:szCs w:val="20"/>
                <w:color w:val="auto"/>
              </w:rPr>
            </w:pPr>
            <w:r>
              <w:rPr>
                <w:rFonts w:ascii="Arial" w:cs="Arial" w:eastAsia="Arial" w:hAnsi="Arial"/>
                <w:sz w:val="12"/>
                <w:szCs w:val="12"/>
                <w:color w:val="auto"/>
              </w:rPr>
              <w:t>Travel and expense.</w:t>
            </w:r>
          </w:p>
        </w:tc>
        <w:tc>
          <w:tcPr>
            <w:tcW w:w="0" w:type="dxa"/>
            <w:vAlign w:val="bottom"/>
          </w:tcPr>
          <w:p>
            <w:pPr>
              <w:spacing w:after="0" w:line="20" w:lineRule="exact"/>
              <w:rPr>
                <w:sz w:val="1"/>
                <w:szCs w:val="1"/>
                <w:color w:val="auto"/>
              </w:rPr>
            </w:pPr>
          </w:p>
        </w:tc>
      </w:tr>
      <w:tr>
        <w:trPr>
          <w:trHeight w:val="785"/>
        </w:trPr>
        <w:tc>
          <w:tcPr>
            <w:tcW w:w="920" w:type="dxa"/>
            <w:vAlign w:val="bottom"/>
          </w:tcPr>
          <w:p>
            <w:pPr>
              <w:spacing w:after="0"/>
              <w:rPr>
                <w:sz w:val="24"/>
                <w:szCs w:val="24"/>
                <w:color w:val="auto"/>
              </w:rPr>
            </w:pPr>
          </w:p>
        </w:tc>
        <w:tc>
          <w:tcPr>
            <w:tcW w:w="6900" w:type="dxa"/>
            <w:vAlign w:val="bottom"/>
            <w:gridSpan w:val="3"/>
          </w:tcPr>
          <w:p>
            <w:pPr>
              <w:ind w:left="40"/>
              <w:spacing w:after="0"/>
              <w:rPr>
                <w:sz w:val="20"/>
                <w:szCs w:val="20"/>
                <w:color w:val="auto"/>
              </w:rPr>
            </w:pPr>
            <w:r>
              <w:rPr>
                <w:rFonts w:ascii="Arial" w:cs="Arial" w:eastAsia="Arial" w:hAnsi="Arial"/>
                <w:sz w:val="12"/>
                <w:szCs w:val="12"/>
                <w:i w:val="1"/>
                <w:iCs w:val="1"/>
                <w:color w:val="auto"/>
              </w:rPr>
              <w:t>T&amp;E</w:t>
            </w:r>
            <w:r>
              <w:rPr>
                <w:rFonts w:ascii="Times New Roman" w:cs="Times New Roman" w:eastAsia="Times New Roman" w:hAnsi="Times New Roman"/>
                <w:sz w:val="12"/>
                <w:szCs w:val="12"/>
                <w:color w:val="B4B4B4"/>
              </w:rPr>
              <w:t>.......................................................</w:t>
            </w:r>
          </w:p>
        </w:tc>
        <w:tc>
          <w:tcPr>
            <w:tcW w:w="0" w:type="dxa"/>
            <w:vAlign w:val="bottom"/>
          </w:tcPr>
          <w:p>
            <w:pPr>
              <w:spacing w:after="0"/>
              <w:rPr>
                <w:sz w:val="1"/>
                <w:szCs w:val="1"/>
                <w:color w:val="auto"/>
              </w:rPr>
            </w:pPr>
          </w:p>
        </w:tc>
      </w:tr>
      <w:tr>
        <w:trPr>
          <w:trHeight w:val="266"/>
        </w:trPr>
        <w:tc>
          <w:tcPr>
            <w:tcW w:w="920" w:type="dxa"/>
            <w:vAlign w:val="bottom"/>
          </w:tcPr>
          <w:p>
            <w:pPr>
              <w:spacing w:after="0"/>
              <w:rPr>
                <w:sz w:val="23"/>
                <w:szCs w:val="23"/>
                <w:color w:val="auto"/>
              </w:rPr>
            </w:pPr>
          </w:p>
        </w:tc>
        <w:tc>
          <w:tcPr>
            <w:tcW w:w="2060" w:type="dxa"/>
            <w:vAlign w:val="bottom"/>
            <w:gridSpan w:val="2"/>
          </w:tcPr>
          <w:p>
            <w:pPr>
              <w:ind w:left="40"/>
              <w:spacing w:after="0"/>
              <w:rPr>
                <w:sz w:val="20"/>
                <w:szCs w:val="20"/>
                <w:color w:val="auto"/>
              </w:rPr>
            </w:pPr>
            <w:r>
              <w:rPr>
                <w:rFonts w:ascii="Arial" w:cs="Arial" w:eastAsia="Arial" w:hAnsi="Arial"/>
                <w:sz w:val="12"/>
                <w:szCs w:val="12"/>
                <w:i w:val="1"/>
                <w:iCs w:val="1"/>
                <w:color w:val="auto"/>
              </w:rPr>
              <w:t>Travel management company (or</w:t>
            </w:r>
          </w:p>
        </w:tc>
        <w:tc>
          <w:tcPr>
            <w:tcW w:w="4840" w:type="dxa"/>
            <w:vAlign w:val="bottom"/>
            <w:vMerge w:val="restart"/>
          </w:tcPr>
          <w:p>
            <w:pPr>
              <w:ind w:left="20"/>
              <w:spacing w:after="0"/>
              <w:rPr>
                <w:sz w:val="20"/>
                <w:szCs w:val="20"/>
                <w:color w:val="auto"/>
              </w:rPr>
            </w:pPr>
            <w:r>
              <w:rPr>
                <w:rFonts w:ascii="Arial" w:cs="Arial" w:eastAsia="Arial" w:hAnsi="Arial"/>
                <w:sz w:val="12"/>
                <w:szCs w:val="12"/>
                <w:color w:val="auto"/>
              </w:rPr>
              <w:t>A travel agency or organization that provides businesses with</w:t>
            </w: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6900" w:type="dxa"/>
            <w:vAlign w:val="bottom"/>
            <w:gridSpan w:val="3"/>
          </w:tcPr>
          <w:p>
            <w:pPr>
              <w:ind w:left="140"/>
              <w:spacing w:after="0" w:line="125" w:lineRule="exact"/>
              <w:rPr>
                <w:sz w:val="20"/>
                <w:szCs w:val="20"/>
                <w:color w:val="auto"/>
              </w:rPr>
            </w:pPr>
            <w:r>
              <w:rPr>
                <w:rFonts w:ascii="Arial" w:cs="Arial" w:eastAsia="Arial" w:hAnsi="Arial"/>
                <w:sz w:val="12"/>
                <w:szCs w:val="12"/>
                <w:i w:val="1"/>
                <w:iCs w:val="1"/>
                <w:color w:val="auto"/>
              </w:rPr>
              <w:t xml:space="preserve">TMC) </w:t>
            </w:r>
            <w:r>
              <w:rPr>
                <w:rFonts w:ascii="Times New Roman" w:cs="Times New Roman" w:eastAsia="Times New Roman" w:hAnsi="Times New Roman"/>
                <w:sz w:val="12"/>
                <w:szCs w:val="12"/>
                <w:color w:val="B4B4B4"/>
              </w:rPr>
              <w:t>................................................</w:t>
            </w: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managed travel services such as offline booking support, policy</w:t>
            </w: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compliance, duty-of-care assistance, and supplier negotiations.</w:t>
            </w: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TMCs may access travel content through GDSs, direct supplier</w:t>
            </w:r>
          </w:p>
        </w:tc>
        <w:tc>
          <w:tcPr>
            <w:tcW w:w="0" w:type="dxa"/>
            <w:vAlign w:val="bottom"/>
          </w:tcPr>
          <w:p>
            <w:pPr>
              <w:spacing w:after="0"/>
              <w:rPr>
                <w:sz w:val="1"/>
                <w:szCs w:val="1"/>
                <w:color w:val="auto"/>
              </w:rPr>
            </w:pPr>
          </w:p>
        </w:tc>
      </w:tr>
      <w:tr>
        <w:trPr>
          <w:trHeight w:val="125"/>
        </w:trPr>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connections, or other distribution mechanisms, and typically earn</w:t>
            </w: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revenue from supplier commissions, client service fees, and</w:t>
            </w: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ancillary charges.</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060" w:type="dxa"/>
            <w:vAlign w:val="bottom"/>
            <w:gridSpan w:val="2"/>
          </w:tcPr>
          <w:p>
            <w:pPr>
              <w:ind w:left="40"/>
              <w:spacing w:after="0"/>
              <w:rPr>
                <w:sz w:val="20"/>
                <w:szCs w:val="20"/>
                <w:color w:val="auto"/>
              </w:rPr>
            </w:pPr>
            <w:r>
              <w:rPr>
                <w:rFonts w:ascii="Arial" w:cs="Arial" w:eastAsia="Arial" w:hAnsi="Arial"/>
                <w:sz w:val="12"/>
                <w:szCs w:val="12"/>
                <w:i w:val="1"/>
                <w:iCs w:val="1"/>
                <w:color w:val="auto"/>
              </w:rPr>
              <w:t xml:space="preserve">Travel Management offerings  </w:t>
            </w:r>
            <w:r>
              <w:rPr>
                <w:rFonts w:ascii="Times New Roman" w:cs="Times New Roman" w:eastAsia="Times New Roman" w:hAnsi="Times New Roman"/>
                <w:sz w:val="12"/>
                <w:szCs w:val="12"/>
                <w:color w:val="B4B4B4"/>
              </w:rPr>
              <w:t>.........</w:t>
            </w:r>
          </w:p>
        </w:tc>
        <w:tc>
          <w:tcPr>
            <w:tcW w:w="4840" w:type="dxa"/>
            <w:vAlign w:val="bottom"/>
          </w:tcPr>
          <w:p>
            <w:pPr>
              <w:ind w:left="20"/>
              <w:spacing w:after="0"/>
              <w:rPr>
                <w:sz w:val="20"/>
                <w:szCs w:val="20"/>
                <w:color w:val="auto"/>
              </w:rPr>
            </w:pPr>
            <w:r>
              <w:rPr>
                <w:rFonts w:ascii="Arial" w:cs="Arial" w:eastAsia="Arial" w:hAnsi="Arial"/>
                <w:sz w:val="12"/>
                <w:szCs w:val="12"/>
                <w:color w:val="auto"/>
              </w:rPr>
              <w:t>A category of offerings available through our platform that includes</w:t>
            </w: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our Meetings and Events, VIP, and Bleisure offerings, in addition to</w:t>
            </w:r>
          </w:p>
        </w:tc>
        <w:tc>
          <w:tcPr>
            <w:tcW w:w="0" w:type="dxa"/>
            <w:vAlign w:val="bottom"/>
          </w:tcPr>
          <w:p>
            <w:pPr>
              <w:spacing w:after="0"/>
              <w:rPr>
                <w:sz w:val="1"/>
                <w:szCs w:val="1"/>
                <w:color w:val="auto"/>
              </w:rPr>
            </w:pPr>
          </w:p>
        </w:tc>
      </w:tr>
      <w:tr>
        <w:trPr>
          <w:trHeight w:val="125"/>
        </w:trPr>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our Travel offering. These additional offerings are designed to</w:t>
            </w: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support more complex or personalized travel needs beyond</w:t>
            </w: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standard business travel, such as executive itineraries, group travel</w:t>
            </w:r>
          </w:p>
        </w:tc>
        <w:tc>
          <w:tcPr>
            <w:tcW w:w="0" w:type="dxa"/>
            <w:vAlign w:val="bottom"/>
          </w:tcPr>
          <w:p>
            <w:pPr>
              <w:spacing w:after="0"/>
              <w:rPr>
                <w:sz w:val="1"/>
                <w:szCs w:val="1"/>
                <w:color w:val="auto"/>
              </w:rPr>
            </w:pPr>
          </w:p>
        </w:tc>
      </w:tr>
      <w:tr>
        <w:trPr>
          <w:trHeight w:val="125"/>
        </w:trPr>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coordination, and personal travel booked in connection with</w:t>
            </w: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business trips.</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060" w:type="dxa"/>
            <w:vAlign w:val="bottom"/>
            <w:gridSpan w:val="2"/>
          </w:tcPr>
          <w:p>
            <w:pPr>
              <w:ind w:left="40"/>
              <w:spacing w:after="0"/>
              <w:rPr>
                <w:sz w:val="20"/>
                <w:szCs w:val="20"/>
                <w:color w:val="auto"/>
              </w:rPr>
            </w:pPr>
            <w:r>
              <w:rPr>
                <w:rFonts w:ascii="Arial" w:cs="Arial" w:eastAsia="Arial" w:hAnsi="Arial"/>
                <w:sz w:val="12"/>
                <w:szCs w:val="12"/>
                <w:i w:val="1"/>
                <w:iCs w:val="1"/>
                <w:color w:val="auto"/>
              </w:rPr>
              <w:t xml:space="preserve">Unmanaged category </w:t>
            </w:r>
            <w:r>
              <w:rPr>
                <w:rFonts w:ascii="Times New Roman" w:cs="Times New Roman" w:eastAsia="Times New Roman" w:hAnsi="Times New Roman"/>
                <w:sz w:val="12"/>
                <w:szCs w:val="12"/>
                <w:color w:val="B4B4B4"/>
              </w:rPr>
              <w:t>.......................</w:t>
            </w:r>
          </w:p>
        </w:tc>
        <w:tc>
          <w:tcPr>
            <w:tcW w:w="4840" w:type="dxa"/>
            <w:vAlign w:val="bottom"/>
          </w:tcPr>
          <w:p>
            <w:pPr>
              <w:ind w:left="20"/>
              <w:spacing w:after="0"/>
              <w:rPr>
                <w:sz w:val="20"/>
                <w:szCs w:val="20"/>
                <w:color w:val="auto"/>
              </w:rPr>
            </w:pPr>
            <w:r>
              <w:rPr>
                <w:rFonts w:ascii="Arial" w:cs="Arial" w:eastAsia="Arial" w:hAnsi="Arial"/>
                <w:sz w:val="12"/>
                <w:szCs w:val="12"/>
                <w:color w:val="auto"/>
              </w:rPr>
              <w:t>The category of the business travel market defined by business</w:t>
            </w: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travel that is not subject to a formal travel program or mandated</w:t>
            </w:r>
          </w:p>
        </w:tc>
        <w:tc>
          <w:tcPr>
            <w:tcW w:w="0" w:type="dxa"/>
            <w:vAlign w:val="bottom"/>
          </w:tcPr>
          <w:p>
            <w:pPr>
              <w:spacing w:after="0"/>
              <w:rPr>
                <w:sz w:val="1"/>
                <w:szCs w:val="1"/>
                <w:color w:val="auto"/>
              </w:rPr>
            </w:pPr>
          </w:p>
        </w:tc>
      </w:tr>
      <w:tr>
        <w:trPr>
          <w:trHeight w:val="125"/>
        </w:trPr>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booking channel. In an unmanaged environment, individual</w:t>
            </w: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employees or teams arrange travel independently, often using</w:t>
            </w: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consumer channels.</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60" w:type="dxa"/>
            <w:vAlign w:val="bottom"/>
            <w:gridSpan w:val="2"/>
          </w:tcPr>
          <w:p>
            <w:pPr>
              <w:ind w:left="40"/>
              <w:spacing w:after="0"/>
              <w:rPr>
                <w:sz w:val="20"/>
                <w:szCs w:val="20"/>
                <w:color w:val="auto"/>
              </w:rPr>
            </w:pPr>
            <w:r>
              <w:rPr>
                <w:rFonts w:ascii="Arial" w:cs="Arial" w:eastAsia="Arial" w:hAnsi="Arial"/>
                <w:sz w:val="12"/>
                <w:szCs w:val="12"/>
                <w:i w:val="1"/>
                <w:iCs w:val="1"/>
                <w:color w:val="auto"/>
              </w:rPr>
              <w:t xml:space="preserve">User </w:t>
            </w:r>
            <w:r>
              <w:rPr>
                <w:rFonts w:ascii="Times New Roman" w:cs="Times New Roman" w:eastAsia="Times New Roman" w:hAnsi="Times New Roman"/>
                <w:sz w:val="12"/>
                <w:szCs w:val="12"/>
                <w:color w:val="B4B4B4"/>
              </w:rPr>
              <w:t>.....................................................</w:t>
            </w:r>
          </w:p>
        </w:tc>
        <w:tc>
          <w:tcPr>
            <w:tcW w:w="4840" w:type="dxa"/>
            <w:vAlign w:val="bottom"/>
          </w:tcPr>
          <w:p>
            <w:pPr>
              <w:ind w:left="20"/>
              <w:spacing w:after="0"/>
              <w:rPr>
                <w:sz w:val="20"/>
                <w:szCs w:val="20"/>
                <w:color w:val="auto"/>
              </w:rPr>
            </w:pPr>
            <w:r>
              <w:rPr>
                <w:rFonts w:ascii="Arial" w:cs="Arial" w:eastAsia="Arial" w:hAnsi="Arial"/>
                <w:sz w:val="12"/>
                <w:szCs w:val="12"/>
                <w:color w:val="auto"/>
              </w:rPr>
              <w:t>Any individual authorized by a customer to access and use our</w:t>
            </w: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platform. Users may include business travelers, executive</w:t>
            </w:r>
          </w:p>
        </w:tc>
        <w:tc>
          <w:tcPr>
            <w:tcW w:w="0" w:type="dxa"/>
            <w:vAlign w:val="bottom"/>
          </w:tcPr>
          <w:p>
            <w:pPr>
              <w:spacing w:after="0"/>
              <w:rPr>
                <w:sz w:val="1"/>
                <w:szCs w:val="1"/>
                <w:color w:val="auto"/>
              </w:rPr>
            </w:pPr>
          </w:p>
        </w:tc>
      </w:tr>
      <w:tr>
        <w:trPr>
          <w:trHeight w:val="125"/>
        </w:trPr>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assistants, travel coordinators, finance, accounting, or human</w:t>
            </w: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resources personnel, and travel and expense administrators.</w:t>
            </w: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Depending on their role and permissions, users may book or modify</w:t>
            </w:r>
          </w:p>
        </w:tc>
        <w:tc>
          <w:tcPr>
            <w:tcW w:w="0" w:type="dxa"/>
            <w:vAlign w:val="bottom"/>
          </w:tcPr>
          <w:p>
            <w:pPr>
              <w:spacing w:after="0"/>
              <w:rPr>
                <w:sz w:val="1"/>
                <w:szCs w:val="1"/>
                <w:color w:val="auto"/>
              </w:rPr>
            </w:pPr>
          </w:p>
        </w:tc>
      </w:tr>
      <w:tr>
        <w:trPr>
          <w:trHeight w:val="125"/>
        </w:trPr>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travel itineraries, initiate or reconcile expenses, transact using our</w:t>
            </w: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40" w:type="dxa"/>
            <w:vAlign w:val="bottom"/>
          </w:tcPr>
          <w:p>
            <w:pPr>
              <w:ind w:left="20"/>
              <w:spacing w:after="0" w:line="125" w:lineRule="exact"/>
              <w:rPr>
                <w:sz w:val="20"/>
                <w:szCs w:val="20"/>
                <w:color w:val="auto"/>
              </w:rPr>
            </w:pPr>
            <w:r>
              <w:rPr>
                <w:rFonts w:ascii="Arial" w:cs="Arial" w:eastAsia="Arial" w:hAnsi="Arial"/>
                <w:sz w:val="12"/>
                <w:szCs w:val="12"/>
                <w:color w:val="auto"/>
              </w:rPr>
              <w:t>corporate card solutions, or configure and manage customer-</w:t>
            </w: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40" w:type="dxa"/>
            <w:vAlign w:val="bottom"/>
          </w:tcPr>
          <w:p>
            <w:pPr>
              <w:ind w:left="20"/>
              <w:spacing w:after="0" w:line="134" w:lineRule="exact"/>
              <w:rPr>
                <w:sz w:val="20"/>
                <w:szCs w:val="20"/>
                <w:color w:val="auto"/>
              </w:rPr>
            </w:pPr>
            <w:r>
              <w:rPr>
                <w:rFonts w:ascii="Arial" w:cs="Arial" w:eastAsia="Arial" w:hAnsi="Arial"/>
                <w:sz w:val="12"/>
                <w:szCs w:val="12"/>
                <w:color w:val="auto"/>
              </w:rPr>
              <w:t>specific travel, payment, or expense policies within the platform’s</w:t>
            </w: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2"/>
                <w:szCs w:val="12"/>
                <w:color w:val="auto"/>
              </w:rPr>
              <w:t>administrative modules.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v</w:t>
      </w:r>
    </w:p>
    <w:p>
      <w:pPr>
        <w:sectPr>
          <w:pgSz w:w="11900" w:h="16840" w:orient="portrait"/>
          <w:cols w:equalWidth="0" w:num="1">
            <w:col w:w="9020"/>
          </w:cols>
          <w:pgMar w:left="1440" w:top="546" w:right="1440" w:bottom="1440"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PROSPECTUS SUMMARY</w:t>
      </w:r>
    </w:p>
    <w:p>
      <w:pPr>
        <w:spacing w:after="0" w:line="132" w:lineRule="exact"/>
        <w:rPr>
          <w:sz w:val="20"/>
          <w:szCs w:val="20"/>
          <w:color w:val="auto"/>
        </w:rPr>
      </w:pPr>
    </w:p>
    <w:p>
      <w:pPr>
        <w:ind w:left="1520" w:right="1800" w:firstLine="230"/>
        <w:spacing w:after="0" w:line="271" w:lineRule="auto"/>
        <w:rPr>
          <w:sz w:val="20"/>
          <w:szCs w:val="20"/>
          <w:color w:val="auto"/>
        </w:rPr>
      </w:pPr>
      <w:r>
        <w:rPr>
          <w:rFonts w:ascii="Arial" w:cs="Arial" w:eastAsia="Arial" w:hAnsi="Arial"/>
          <w:sz w:val="12"/>
          <w:szCs w:val="12"/>
          <w:i w:val="1"/>
          <w:iCs w:val="1"/>
          <w:color w:val="auto"/>
        </w:rPr>
        <w:t>The following summary highlights selected information that is presented in greater detail elsewhere in this prospectus. This summary does not contain all the information you should consider before investing in our Class A common stock. You should carefully read this prospectus in its entirety before investing in our Class A common stock, including the sections titled “Risk Factors,” “Special Note Regarding Forward-Looking Statements,” “Management’s Discussion and Analysis of Financial Condition and Results of Operations,” and our consolidated financial statements and the accompanying notes included elsewhere in this prospectus. Our fiscal year ends on January 31, and our fiscal quarters end on April 30, July 31, October 31, and January 31 . Our fiscal years ended January 31, 2025 and 2024 are referred to herein as fiscal 2025 and fiscal 2024, respectively.</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Overview</w:t>
      </w:r>
    </w:p>
    <w:p>
      <w:pPr>
        <w:spacing w:after="0" w:line="130" w:lineRule="exact"/>
        <w:rPr>
          <w:sz w:val="20"/>
          <w:szCs w:val="20"/>
          <w:color w:val="auto"/>
        </w:rPr>
      </w:pPr>
    </w:p>
    <w:p>
      <w:pPr>
        <w:ind w:left="1520" w:right="1780" w:firstLine="230"/>
        <w:spacing w:after="0" w:line="312" w:lineRule="auto"/>
        <w:rPr>
          <w:sz w:val="20"/>
          <w:szCs w:val="20"/>
          <w:color w:val="auto"/>
        </w:rPr>
      </w:pPr>
      <w:r>
        <w:rPr>
          <w:rFonts w:ascii="Arial" w:cs="Arial" w:eastAsia="Arial" w:hAnsi="Arial"/>
          <w:sz w:val="12"/>
          <w:szCs w:val="12"/>
          <w:color w:val="auto"/>
        </w:rPr>
        <w:t>Travel is more than just getting from point A to point B; it's the lifeblood of connection in the modern business world. It's about forging those critical in-person relationships with clients and partners, sparking</w:t>
      </w:r>
    </w:p>
    <w:p>
      <w:pPr>
        <w:sectPr>
          <w:pgSz w:w="11900" w:h="16840" w:orient="portrait"/>
          <w:cols w:equalWidth="0" w:num="1">
            <w:col w:w="9020"/>
          </w:cols>
          <w:pgMar w:left="1440" w:top="1440" w:right="1440" w:bottom="0" w:gutter="0" w:footer="0" w:header="0"/>
        </w:sectPr>
      </w:pPr>
    </w:p>
    <w:bookmarkStart w:id="8" w:name="page9"/>
    <w:bookmarkEnd w:id="8"/>
    <w:p>
      <w:pPr>
        <w:ind w:left="1520" w:right="1720"/>
        <w:spacing w:after="0" w:line="277" w:lineRule="auto"/>
        <w:rPr>
          <w:sz w:val="20"/>
          <w:szCs w:val="20"/>
          <w:color w:val="auto"/>
        </w:rPr>
      </w:pPr>
      <w:r>
        <w:rPr>
          <w:rFonts w:ascii="Arial" w:cs="Arial" w:eastAsia="Arial" w:hAnsi="Arial"/>
          <w:sz w:val="12"/>
          <w:szCs w:val="12"/>
          <w:color w:val="auto"/>
        </w:rPr>
        <w:t>innovation through team collaboration, and empowering employees to grow and succeed. These moments matter, and they demand a travel experience worthy of their importance. We built Navan for the road warriors, for CEOs and CFOs who understand travel’s critical importance to their strategy, the finance teams who demand precision and control, the executive assistants juggling itineraries, and the program admins ensuring seamless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-504825</wp:posOffset>
            </wp:positionV>
            <wp:extent cx="6732270" cy="9970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64" w:lineRule="exact"/>
        <w:rPr>
          <w:sz w:val="20"/>
          <w:szCs w:val="20"/>
          <w:color w:val="auto"/>
        </w:rPr>
      </w:pPr>
    </w:p>
    <w:p>
      <w:pPr>
        <w:ind w:left="1520" w:right="1720" w:firstLine="230"/>
        <w:spacing w:after="0" w:line="277" w:lineRule="auto"/>
        <w:rPr>
          <w:sz w:val="20"/>
          <w:szCs w:val="20"/>
          <w:color w:val="auto"/>
        </w:rPr>
      </w:pPr>
      <w:r>
        <w:rPr>
          <w:rFonts w:ascii="Arial" w:cs="Arial" w:eastAsia="Arial" w:hAnsi="Arial"/>
          <w:sz w:val="12"/>
          <w:szCs w:val="12"/>
          <w:color w:val="auto"/>
        </w:rPr>
        <w:t xml:space="preserve">Navan is an end-to-end, AI-powered software platform built to simplify the global business T&amp;E experience, benefiting users, customers, and suppliers. </w:t>
      </w:r>
      <w:r>
        <w:rPr>
          <w:rFonts w:ascii="Arial" w:cs="Arial" w:eastAsia="Arial" w:hAnsi="Arial"/>
          <w:sz w:val="12"/>
          <w:szCs w:val="12"/>
          <w:color w:val="auto"/>
          <w:highlight w:val="white"/>
        </w:rPr>
        <w:t>From day one, we leveraged technology to</w:t>
      </w:r>
      <w:r>
        <w:rPr>
          <w:rFonts w:ascii="Arial" w:cs="Arial" w:eastAsia="Arial" w:hAnsi="Arial"/>
          <w:sz w:val="12"/>
          <w:szCs w:val="12"/>
          <w:color w:val="auto"/>
        </w:rPr>
        <w:t xml:space="preserve"> </w:t>
      </w:r>
      <w:r>
        <w:rPr>
          <w:rFonts w:ascii="Arial" w:cs="Arial" w:eastAsia="Arial" w:hAnsi="Arial"/>
          <w:sz w:val="12"/>
          <w:szCs w:val="12"/>
          <w:color w:val="auto"/>
          <w:highlight w:val="white"/>
        </w:rPr>
        <w:t>reimagine business travel. We built a comprehensive platform that serves as the foundation for further disruption. We deliver delightful, personalized experiences for users, efficiency and control for customers, and direct market access for suppliers—all powered by our proprietary AI framework , Navan Cognition.</w:t>
      </w:r>
    </w:p>
    <w:p>
      <w:pPr>
        <w:spacing w:after="0" w:line="84" w:lineRule="exact"/>
        <w:rPr>
          <w:sz w:val="20"/>
          <w:szCs w:val="20"/>
          <w:color w:val="auto"/>
        </w:rPr>
      </w:pPr>
    </w:p>
    <w:p>
      <w:pPr>
        <w:ind w:left="1520" w:right="1720" w:firstLine="230"/>
        <w:spacing w:after="0" w:line="275" w:lineRule="auto"/>
        <w:rPr>
          <w:sz w:val="20"/>
          <w:szCs w:val="20"/>
          <w:color w:val="auto"/>
        </w:rPr>
      </w:pPr>
      <w:r>
        <w:rPr>
          <w:rFonts w:ascii="Arial" w:cs="Arial" w:eastAsia="Arial" w:hAnsi="Arial"/>
          <w:sz w:val="12"/>
          <w:szCs w:val="12"/>
          <w:color w:val="auto"/>
        </w:rPr>
        <w:t>We saw firsthand the frustration of clunky, outdated systems. Travelers were forced to cobble together solutions, wait for hours on hold to book or change travel, and negotiate with travel agents. They struggled to adhere to company policies, with little visibility into those policies, and after all that, they spent even more time on tedious expense reports after a trip. We felt the pain of finance teams struggling to gain visibility into fragmented travel spending and to enforce policies, and the frustration of suppliers unable to connect directly with the high-value business travelers they sought to serve.</w:t>
      </w:r>
    </w:p>
    <w:p>
      <w:pPr>
        <w:spacing w:after="0" w:line="85" w:lineRule="exact"/>
        <w:rPr>
          <w:sz w:val="20"/>
          <w:szCs w:val="20"/>
          <w:color w:val="auto"/>
        </w:rPr>
      </w:pPr>
    </w:p>
    <w:p>
      <w:pPr>
        <w:ind w:left="1520" w:right="1700" w:firstLine="230"/>
        <w:spacing w:after="0" w:line="274" w:lineRule="auto"/>
        <w:rPr>
          <w:sz w:val="20"/>
          <w:szCs w:val="20"/>
          <w:color w:val="auto"/>
        </w:rPr>
      </w:pPr>
      <w:r>
        <w:rPr>
          <w:rFonts w:ascii="Arial" w:cs="Arial" w:eastAsia="Arial" w:hAnsi="Arial"/>
          <w:sz w:val="12"/>
          <w:szCs w:val="12"/>
          <w:color w:val="auto"/>
        </w:rPr>
        <w:t>Navan challenges this status quo by putting all three constituents—users, customers, and suppliers— at the heart of an integrated global platform. With Navan, users enjoy intuitive, AI-powered booking that anticipates users’ needs and takes a fraction of the time of legacy booking systems. Users also get expense management and clear policy guidance built-in. Customers gain real-time visibility, cost control, and safety oversight, and suppliers gain direct access to the customers who matter most. Instead of having to compromise, every group benefits, and the whole network becomes greater than the sum of its parts.</w:t>
      </w:r>
    </w:p>
    <w:p>
      <w:pPr>
        <w:spacing w:after="0" w:line="241" w:lineRule="exact"/>
        <w:rPr>
          <w:sz w:val="20"/>
          <w:szCs w:val="20"/>
          <w:color w:val="auto"/>
        </w:rPr>
      </w:pPr>
    </w:p>
    <w:p>
      <w:pPr>
        <w:ind w:left="1520" w:right="1780" w:firstLine="230"/>
        <w:spacing w:after="0" w:line="277" w:lineRule="auto"/>
        <w:rPr>
          <w:sz w:val="20"/>
          <w:szCs w:val="20"/>
          <w:color w:val="auto"/>
        </w:rPr>
      </w:pPr>
      <w:r>
        <w:rPr>
          <w:rFonts w:ascii="Arial" w:cs="Arial" w:eastAsia="Arial" w:hAnsi="Arial"/>
          <w:sz w:val="12"/>
          <w:szCs w:val="12"/>
          <w:color w:val="auto"/>
        </w:rPr>
        <w:t>Navan was built on the premise that to win, all players in the ecosystem must be integrated on one platform with AI at its core. Our platform was built from the ground up to connect distinct stakeholders, and unify traditionally disparate product features, through a single system that unlocks new efficiencies and experiences. By building true connectivity into the core of its cohesive offering, Navan is unlocking a smarter, more rewarding future for travel—one where everyone wins.</w:t>
      </w:r>
    </w:p>
    <w:p>
      <w:pPr>
        <w:spacing w:after="0" w:line="84" w:lineRule="exact"/>
        <w:rPr>
          <w:sz w:val="20"/>
          <w:szCs w:val="20"/>
          <w:color w:val="auto"/>
        </w:rPr>
      </w:pPr>
    </w:p>
    <w:p>
      <w:pPr>
        <w:ind w:left="1520" w:right="1780" w:firstLine="230"/>
        <w:spacing w:after="0" w:line="273" w:lineRule="auto"/>
        <w:rPr>
          <w:sz w:val="20"/>
          <w:szCs w:val="20"/>
          <w:color w:val="auto"/>
        </w:rPr>
      </w:pPr>
      <w:r>
        <w:rPr>
          <w:rFonts w:ascii="Arial" w:cs="Arial" w:eastAsia="Arial" w:hAnsi="Arial"/>
          <w:sz w:val="12"/>
          <w:szCs w:val="12"/>
          <w:color w:val="auto"/>
        </w:rPr>
        <w:t>The Navan platform creates a powerful flywheel effect where the user, customer, and supplier benefits reinforce each other. Our enterprise-grade platform is characterized by its intuitive design, ease of use, and tangible time-saving features, which foster a user-centric experience that travelers genuinely appreciate. This is reflected in our overall CSAT score of 96%, our virtual agent CSAT score of 78%, which is on par with human agent performance , and NPS of 43, each for the six months ended July 31, 2025. When frequent travelers have a positive, efficient experience and earn rewards, they are more likely to use Navan. The increased adoption gives the customer greater visibility into spending, stronger</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40"/>
        <w:spacing w:after="0" w:line="281" w:lineRule="auto"/>
        <w:rPr>
          <w:sz w:val="20"/>
          <w:szCs w:val="20"/>
          <w:color w:val="auto"/>
        </w:rPr>
      </w:pPr>
      <w:r>
        <w:rPr>
          <w:rFonts w:ascii="Arial" w:cs="Arial" w:eastAsia="Arial" w:hAnsi="Arial"/>
          <w:sz w:val="12"/>
          <w:szCs w:val="12"/>
          <w:color w:val="auto"/>
        </w:rPr>
        <w:t>policy control, and cost savings, making them more invested in the platform. This, in turn, attracts more suppliers who want access to our large and loyal user base. With more suppliers and inventory available, we can offer better options and competitive pricing, further enhancing the experience for frequent travelers. This virtuous cycle strengthens each flywheel, creating a robust and self-sustaining ecosystem.</w:t>
      </w:r>
    </w:p>
    <w:p>
      <w:pPr>
        <w:spacing w:after="0" w:line="81" w:lineRule="exact"/>
        <w:rPr>
          <w:sz w:val="20"/>
          <w:szCs w:val="20"/>
          <w:color w:val="auto"/>
        </w:rPr>
      </w:pPr>
    </w:p>
    <w:p>
      <w:pPr>
        <w:ind w:left="1520" w:right="1720" w:firstLine="230"/>
        <w:spacing w:after="0" w:line="270" w:lineRule="auto"/>
        <w:rPr>
          <w:sz w:val="20"/>
          <w:szCs w:val="20"/>
          <w:color w:val="auto"/>
        </w:rPr>
      </w:pPr>
      <w:r>
        <w:rPr>
          <w:rFonts w:ascii="Arial" w:cs="Arial" w:eastAsia="Arial" w:hAnsi="Arial"/>
          <w:sz w:val="12"/>
          <w:szCs w:val="12"/>
          <w:color w:val="auto"/>
        </w:rPr>
        <w:t>Our proprietary infrastructure, which we call Navan Cloud, enables us to provide global, real-time inventory for users and forms the foundation of our platform. We aggregate supply through direct supplier relationships, real-time API integrations, and a robust network of partnerships. From day one, Navan has leveraged artificial intelligence as a cornerstone of our platform. We built Navan Cognition, a new paradigm in AI-powered travel management. This proprietary framework enables us to create, train, deploy, and supervise specialized virtual agents that can handle many complex tasks previously requiring human intervention. We make every step of the pre-booking, in-travel, and post-trip process as delightful and automated as possible. In fiscal 2025, 90% of bookings were made online or through mobile applications on the Navan platform. Our users on average are able to book a trip in seven minutes, far faster than the industry average of 45 minutes, according to Booking.com. And, in the majority of cases, users can resolve trip changes with a virtual agent, which Navan was one of the first in its industry to offer.</w:t>
      </w:r>
    </w:p>
    <w:p>
      <w:pPr>
        <w:spacing w:after="0" w:line="244" w:lineRule="exact"/>
        <w:rPr>
          <w:sz w:val="20"/>
          <w:szCs w:val="20"/>
          <w:color w:val="auto"/>
        </w:rPr>
      </w:pPr>
    </w:p>
    <w:p>
      <w:pPr>
        <w:ind w:left="1520" w:right="1720" w:firstLine="230"/>
        <w:spacing w:after="0" w:line="272" w:lineRule="auto"/>
        <w:rPr>
          <w:sz w:val="20"/>
          <w:szCs w:val="20"/>
          <w:color w:val="auto"/>
        </w:rPr>
      </w:pPr>
      <w:r>
        <w:rPr>
          <w:rFonts w:ascii="Arial" w:cs="Arial" w:eastAsia="Arial" w:hAnsi="Arial"/>
          <w:sz w:val="12"/>
          <w:szCs w:val="12"/>
          <w:color w:val="auto"/>
        </w:rPr>
        <w:t>Our strategy is to land a customer with our Travel offering, delight our users and customers, broaden their engagement with Navan, and seek to manage all of their payments, expenses, VIP needs, meetings and events, and bleisure travel on our platform. As of January 31, 2025, 36% of our customers attached to three or more offerings. Because Navan unifies all aspects of travel in one system, it is used by employees across departments and seniority levels, driving deep organizational adoption. This integrated approach streamlines trip planning, digitizes in-trip expenses, and automates post-trip reconciliation, all while enhancing the overall customer experience. Our platform also provides actionable analytics and intelligence for managers to monitor and approve travel and entertainment spend in real-time.</w:t>
      </w:r>
    </w:p>
    <w:p>
      <w:pPr>
        <w:spacing w:after="0" w:line="88" w:lineRule="exact"/>
        <w:rPr>
          <w:sz w:val="20"/>
          <w:szCs w:val="20"/>
          <w:color w:val="auto"/>
        </w:rPr>
      </w:pPr>
    </w:p>
    <w:p>
      <w:pPr>
        <w:ind w:left="1520" w:right="1680" w:firstLine="230"/>
        <w:spacing w:after="0" w:line="270" w:lineRule="auto"/>
        <w:rPr>
          <w:sz w:val="20"/>
          <w:szCs w:val="20"/>
          <w:color w:val="auto"/>
        </w:rPr>
      </w:pPr>
      <w:r>
        <w:rPr>
          <w:rFonts w:ascii="Arial" w:cs="Arial" w:eastAsia="Arial" w:hAnsi="Arial"/>
          <w:sz w:val="12"/>
          <w:szCs w:val="12"/>
          <w:color w:val="auto"/>
        </w:rPr>
        <w:t>Our platform is easy-to-use, yet powerful enough to address customers of all sizes across any industry vertical. Our revenue grew 33% year-over-year from $402 million in fiscal 2024 to $537 million in fiscal 2025, and grew 30% period-over-period from $254 million for the six months ended July 31, 2024 to $329 million for the six months ended July 31, 2025. Our net loss decreased 45% year-over-year from $332 million in fiscal 2024 to $181 million in fiscal 2025, and increased 8% period-over-period from $93 million for the six months ended July 31, 2024 to $100 million for the six months ended July 31, 2025. Our gross booking volume grew 32% year-over-year from $5.0 billion in fiscal 2024 to $6.6 billion in fiscal 2025, and grew 34% period-over-period from $3.1 billion for the six months ended July 31, 2024 to $4.1 billion for the six months ended July 31, 2025. Our payment volume grew 35% year-over-year from $2.7 billion in fiscal 2024 to $3.7 billion in fiscal 2025, and grew 10% period-over-period from $1.8 billion for the six months ended July 31, 2024 to $2.0 billion for the six months ended July 31, 2025.</w:t>
      </w:r>
    </w:p>
    <w:p>
      <w:pPr>
        <w:spacing w:after="0" w:line="91" w:lineRule="exact"/>
        <w:rPr>
          <w:sz w:val="20"/>
          <w:szCs w:val="20"/>
          <w:color w:val="auto"/>
        </w:rPr>
      </w:pPr>
    </w:p>
    <w:p>
      <w:pPr>
        <w:ind w:left="1520" w:right="1560" w:firstLine="230"/>
        <w:spacing w:after="0" w:line="271" w:lineRule="auto"/>
        <w:rPr>
          <w:sz w:val="20"/>
          <w:szCs w:val="20"/>
          <w:color w:val="auto"/>
        </w:rPr>
      </w:pPr>
      <w:r>
        <w:rPr>
          <w:rFonts w:ascii="Arial" w:cs="Arial" w:eastAsia="Arial" w:hAnsi="Arial"/>
          <w:sz w:val="12"/>
          <w:szCs w:val="12"/>
          <w:color w:val="auto"/>
        </w:rPr>
        <w:t>Our proprietary AI framework, Navan Cognition, significantly enhances support capabilities and has improved our gross margins, while leveraging powerful technology capabilities across our platform, making Navan an increasingly formidable competitor. For example, our AI-powered virtual agent chatbot, Ava, handled approximately 50% of user interactions during the six months ended July 31, 2025. Our gross margin improved from 60% in fiscal 2024 to 68% in fiscal 2025, and improved from 67% for the six months ended July 31, 2024 to 72% for the six months ended July 31, 2025. Our non- GAAP gross margin improved from 62% in fiscal 2024 to 69% in fiscal 2025, and improved from 68% for the six months ended July 31, 2024 to 73% for the six months ended July 31, 2025. See the section titled “Management’s Discussion and Analysis of Financial Condition and Results of Operations—Non-GAAP Financial Measures” for information regarding our use of non-GAAP gross margin and a reconciliation of gross margin to non-GAAP gross margin.</w:t>
      </w:r>
    </w:p>
    <w:p>
      <w:pPr>
        <w:spacing w:after="0" w:line="24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Limitations of Existing Solutions for Key Stakeholders in Business Travel</w:t>
      </w:r>
    </w:p>
    <w:p>
      <w:pPr>
        <w:sectPr>
          <w:pgSz w:w="11900" w:h="16840" w:orient="portrait"/>
          <w:cols w:equalWidth="0" w:num="1">
            <w:col w:w="9020"/>
          </w:cols>
          <w:pgMar w:left="1440" w:top="569" w:right="1440" w:bottom="86" w:gutter="0" w:footer="0" w:header="0"/>
        </w:sectPr>
      </w:pPr>
    </w:p>
    <w:bookmarkStart w:id="9" w:name="page10"/>
    <w:bookmarkEnd w:id="9"/>
    <w:p>
      <w:pPr>
        <w:jc w:val="both"/>
        <w:ind w:left="1980" w:right="1780" w:hanging="228"/>
        <w:spacing w:after="0" w:line="312" w:lineRule="auto"/>
        <w:tabs>
          <w:tab w:leader="none" w:pos="198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For Travelers</w:t>
      </w:r>
      <w:r>
        <w:rPr>
          <w:rFonts w:ascii="Arial" w:cs="Arial" w:eastAsia="Arial" w:hAnsi="Arial"/>
          <w:sz w:val="12"/>
          <w:szCs w:val="12"/>
          <w:color w:val="auto"/>
        </w:rPr>
        <w:t>: When working with legacy solutions, users are forced to navigate a global web of</w:t>
      </w:r>
      <w:r>
        <w:rPr>
          <w:rFonts w:ascii="Arial" w:cs="Arial" w:eastAsia="Arial" w:hAnsi="Arial"/>
          <w:sz w:val="12"/>
          <w:szCs w:val="12"/>
          <w:i w:val="1"/>
          <w:iCs w:val="1"/>
          <w:color w:val="auto"/>
        </w:rPr>
        <w:t xml:space="preserve"> </w:t>
      </w:r>
      <w:r>
        <w:rPr>
          <w:rFonts w:ascii="Arial" w:cs="Arial" w:eastAsia="Arial" w:hAnsi="Arial"/>
          <w:sz w:val="12"/>
          <w:szCs w:val="12"/>
          <w:color w:val="auto"/>
        </w:rPr>
        <w:t>challenging interfaces that present limited booking options and offer little guidance on company</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980" w:right="1700"/>
        <w:spacing w:after="0" w:line="275" w:lineRule="auto"/>
        <w:rPr>
          <w:sz w:val="20"/>
          <w:szCs w:val="20"/>
          <w:color w:val="auto"/>
        </w:rPr>
      </w:pPr>
      <w:r>
        <w:rPr>
          <w:rFonts w:ascii="Arial" w:cs="Arial" w:eastAsia="Arial" w:hAnsi="Arial"/>
          <w:sz w:val="12"/>
          <w:szCs w:val="12"/>
          <w:color w:val="auto"/>
        </w:rPr>
        <w:t>travel and expense policy. It is difficult to assess which travel options are compliant with company policy, especially as users rely heavily on live booking agents to assist. Additionally, travelers are tasked with the frustrating process of tracking and uploading receipts, filling out cumbersome forms, and often needing to front personal dollars for their company spend. Travelers who book outside of approved systems can also miss critical travel alerts and support services provided by corporate programs.</w:t>
      </w:r>
    </w:p>
    <w:p>
      <w:pPr>
        <w:spacing w:after="0" w:line="85" w:lineRule="exact"/>
        <w:rPr>
          <w:sz w:val="20"/>
          <w:szCs w:val="20"/>
          <w:color w:val="auto"/>
        </w:rPr>
      </w:pPr>
    </w:p>
    <w:p>
      <w:pPr>
        <w:ind w:left="1980" w:right="1680" w:hanging="228"/>
        <w:spacing w:after="0" w:line="272" w:lineRule="auto"/>
        <w:tabs>
          <w:tab w:leader="none" w:pos="198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For Companies </w:t>
      </w:r>
      <w:r>
        <w:rPr>
          <w:rFonts w:ascii="Arial" w:cs="Arial" w:eastAsia="Arial" w:hAnsi="Arial"/>
          <w:sz w:val="12"/>
          <w:szCs w:val="12"/>
          <w:color w:val="auto"/>
        </w:rPr>
        <w:t>: Frustration with limited booking options, siloed systems, and poor user</w:t>
      </w:r>
      <w:r>
        <w:rPr>
          <w:rFonts w:ascii="Arial" w:cs="Arial" w:eastAsia="Arial" w:hAnsi="Arial"/>
          <w:sz w:val="12"/>
          <w:szCs w:val="12"/>
          <w:i w:val="1"/>
          <w:iCs w:val="1"/>
          <w:color w:val="auto"/>
        </w:rPr>
        <w:t xml:space="preserve"> </w:t>
      </w:r>
      <w:r>
        <w:rPr>
          <w:rFonts w:ascii="Arial" w:cs="Arial" w:eastAsia="Arial" w:hAnsi="Arial"/>
          <w:sz w:val="12"/>
          <w:szCs w:val="12"/>
          <w:color w:val="auto"/>
        </w:rPr>
        <w:t>experience can often lead to limited adoption of systems by travelers. Existing solutions may require travelers to book or modify travel through a travel agent, resulting in the company paying additional fees. Companies also lose the cost-saving benefits from negotiated corporate discounts and volume commitments, increasing overall travel costs. Without centralized booking, companies also struggle to track and manage travel spend effectively, undermining budget control and forecasting. Low adoption of T&amp;E solutions also impairs a company’s ability to locate and assist travelers during emergencies, such as natural disasters or geopolitical crises, exposing companies to legal and reputational risks.</w:t>
      </w:r>
    </w:p>
    <w:p>
      <w:pPr>
        <w:spacing w:after="0" w:line="85" w:lineRule="exact"/>
        <w:rPr>
          <w:rFonts w:ascii="Arial" w:cs="Arial" w:eastAsia="Arial" w:hAnsi="Arial"/>
          <w:sz w:val="12"/>
          <w:szCs w:val="12"/>
          <w:color w:val="auto"/>
        </w:rPr>
      </w:pPr>
    </w:p>
    <w:p>
      <w:pPr>
        <w:ind w:left="1980" w:right="1680" w:hanging="228"/>
        <w:spacing w:after="0" w:line="272" w:lineRule="auto"/>
        <w:tabs>
          <w:tab w:leader="none" w:pos="198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For Suppliers </w:t>
      </w:r>
      <w:r>
        <w:rPr>
          <w:rFonts w:ascii="Arial" w:cs="Arial" w:eastAsia="Arial" w:hAnsi="Arial"/>
          <w:sz w:val="12"/>
          <w:szCs w:val="12"/>
          <w:color w:val="auto"/>
        </w:rPr>
        <w:t>: Fragmented, legacy travel infrastructure makes it more challenging for suppliers to</w:t>
      </w:r>
      <w:r>
        <w:rPr>
          <w:rFonts w:ascii="Arial" w:cs="Arial" w:eastAsia="Arial" w:hAnsi="Arial"/>
          <w:sz w:val="12"/>
          <w:szCs w:val="12"/>
          <w:i w:val="1"/>
          <w:iCs w:val="1"/>
          <w:color w:val="auto"/>
        </w:rPr>
        <w:t xml:space="preserve"> </w:t>
      </w:r>
      <w:r>
        <w:rPr>
          <w:rFonts w:ascii="Arial" w:cs="Arial" w:eastAsia="Arial" w:hAnsi="Arial"/>
          <w:sz w:val="12"/>
          <w:szCs w:val="12"/>
          <w:color w:val="auto"/>
        </w:rPr>
        <w:t>consistently access a large base of frequent travelers given user dissatisfaction and frequency of off-platform spend. Travel infrastructure providers may not have invested in their technology to enable suppliers to present their inventory in a way that differentiates their offerings, including more granular details about class fares, seating options, description of amenities, and other benefits. In addition, legacy players can lack brand experience, preventing suppliers from showcasing unique products, building loyalty with frequent travelers, or facilitating the opportunity to upsell additional products and services for suppliers.</w:t>
      </w:r>
    </w:p>
    <w:p>
      <w:pPr>
        <w:spacing w:after="0" w:line="88" w:lineRule="exact"/>
        <w:rPr>
          <w:sz w:val="20"/>
          <w:szCs w:val="20"/>
          <w:color w:val="auto"/>
        </w:rPr>
      </w:pPr>
    </w:p>
    <w:p>
      <w:pPr>
        <w:ind w:left="1520" w:right="1740" w:firstLine="230"/>
        <w:spacing w:after="0" w:line="277" w:lineRule="auto"/>
        <w:rPr>
          <w:sz w:val="20"/>
          <w:szCs w:val="20"/>
          <w:color w:val="auto"/>
        </w:rPr>
      </w:pPr>
      <w:r>
        <w:rPr>
          <w:rFonts w:ascii="Arial" w:cs="Arial" w:eastAsia="Arial" w:hAnsi="Arial"/>
          <w:sz w:val="12"/>
          <w:szCs w:val="12"/>
          <w:color w:val="auto"/>
        </w:rPr>
        <w:t>These disjointed steps to book business travel and manage expenses are not designed with the user in mind, resulting in inefficiencies, frustration, data silos, lack of convenience and flexibility, and limited spend control and policy enforcement. We believe that traditional T&amp;E platforms have limited adoption in the market because they are expensive and have significant implementation requirements that limit their feasibility. Navan was built to solve these challenges.</w:t>
      </w:r>
    </w:p>
    <w:p>
      <w:pPr>
        <w:spacing w:after="0" w:line="84"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Our Solution</w:t>
      </w:r>
    </w:p>
    <w:p>
      <w:pPr>
        <w:spacing w:after="0" w:line="130" w:lineRule="exact"/>
        <w:rPr>
          <w:sz w:val="20"/>
          <w:szCs w:val="20"/>
          <w:color w:val="auto"/>
        </w:rPr>
      </w:pPr>
    </w:p>
    <w:p>
      <w:pPr>
        <w:ind w:left="1520" w:right="1780" w:firstLine="230"/>
        <w:spacing w:after="0" w:line="289" w:lineRule="auto"/>
        <w:rPr>
          <w:sz w:val="20"/>
          <w:szCs w:val="20"/>
          <w:color w:val="auto"/>
        </w:rPr>
      </w:pPr>
      <w:r>
        <w:rPr>
          <w:rFonts w:ascii="Arial" w:cs="Arial" w:eastAsia="Arial" w:hAnsi="Arial"/>
          <w:sz w:val="12"/>
          <w:szCs w:val="12"/>
          <w:color w:val="auto"/>
        </w:rPr>
        <w:t>Our end-to-end, AI-powered software platform is purpose-built to deliver a personalized global travel booking experience for our users, combined with next-generation expense management and payments solutions that provide real-time visibility and control over T&amp;E spend.</w:t>
      </w:r>
    </w:p>
    <w:p>
      <w:pPr>
        <w:spacing w:after="0" w:line="76" w:lineRule="exact"/>
        <w:rPr>
          <w:sz w:val="20"/>
          <w:szCs w:val="20"/>
          <w:color w:val="auto"/>
        </w:rPr>
      </w:pPr>
    </w:p>
    <w:p>
      <w:pPr>
        <w:ind w:left="1980" w:right="1720" w:hanging="228"/>
        <w:spacing w:after="0" w:line="271" w:lineRule="auto"/>
        <w:tabs>
          <w:tab w:leader="none" w:pos="198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Navan Cloud—The Infrastructure of Our Travel Experience </w:t>
      </w:r>
      <w:r>
        <w:rPr>
          <w:rFonts w:ascii="Arial" w:cs="Arial" w:eastAsia="Arial" w:hAnsi="Arial"/>
          <w:sz w:val="12"/>
          <w:szCs w:val="12"/>
          <w:color w:val="auto"/>
        </w:rPr>
        <w:t>: We built our proprietary technology</w:t>
      </w:r>
      <w:r>
        <w:rPr>
          <w:rFonts w:ascii="Arial" w:cs="Arial" w:eastAsia="Arial" w:hAnsi="Arial"/>
          <w:sz w:val="12"/>
          <w:szCs w:val="12"/>
          <w:i w:val="1"/>
          <w:iCs w:val="1"/>
          <w:color w:val="auto"/>
        </w:rPr>
        <w:t xml:space="preserve"> </w:t>
      </w:r>
      <w:r>
        <w:rPr>
          <w:rFonts w:ascii="Arial" w:cs="Arial" w:eastAsia="Arial" w:hAnsi="Arial"/>
          <w:sz w:val="12"/>
          <w:szCs w:val="12"/>
          <w:color w:val="auto"/>
        </w:rPr>
        <w:t>and partner infrastructure from the ground up to provide a global, real-time inventory that maximizes choice for our users. Our platform is truly global, with broad inventory including smaller suppliers, and our human and virtual agents have access to all of the bookings on our platform, globally. Acting as a proprietary, in-house aggregator platform, our highly scalable Navan Cloud aggregates and dynamically accesses our broad inventory through direct relationships, API integrations, and partnerships to provide high levels of choice. Our direct connections and integrations give us access to sell over 600 airlines via GDSs, NDC, and LCCs, and over two million individual lodging properties through our platform globally. We have connections to the major credit card networks and over 200 banks and partnerships with multiple issuing partners in Navan Cloud.</w:t>
      </w:r>
    </w:p>
    <w:p>
      <w:pPr>
        <w:spacing w:after="0" w:line="241" w:lineRule="exact"/>
        <w:rPr>
          <w:sz w:val="20"/>
          <w:szCs w:val="20"/>
          <w:color w:val="auto"/>
        </w:rPr>
      </w:pPr>
    </w:p>
    <w:p>
      <w:pPr>
        <w:ind w:left="1980" w:right="1720" w:hanging="219"/>
        <w:spacing w:after="0" w:line="277" w:lineRule="auto"/>
        <w:tabs>
          <w:tab w:leader="none" w:pos="196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i w:val="1"/>
          <w:iCs w:val="1"/>
          <w:color w:val="auto"/>
        </w:rPr>
        <w:t xml:space="preserve">Navan Cognition—Our New Paradigm in AI-Powered Travel Management </w:t>
      </w:r>
      <w:r>
        <w:rPr>
          <w:rFonts w:ascii="Arial" w:cs="Arial" w:eastAsia="Arial" w:hAnsi="Arial"/>
          <w:sz w:val="12"/>
          <w:szCs w:val="12"/>
          <w:color w:val="auto"/>
        </w:rPr>
        <w:t>: Navan Cognition is</w:t>
      </w:r>
      <w:r>
        <w:rPr>
          <w:rFonts w:ascii="Arial" w:cs="Arial" w:eastAsia="Arial" w:hAnsi="Arial"/>
          <w:sz w:val="12"/>
          <w:szCs w:val="12"/>
          <w:i w:val="1"/>
          <w:iCs w:val="1"/>
          <w:color w:val="auto"/>
        </w:rPr>
        <w:t xml:space="preserve"> </w:t>
      </w:r>
      <w:r>
        <w:rPr>
          <w:rFonts w:ascii="Arial" w:cs="Arial" w:eastAsia="Arial" w:hAnsi="Arial"/>
          <w:sz w:val="12"/>
          <w:szCs w:val="12"/>
          <w:color w:val="auto"/>
        </w:rPr>
        <w:t>our third-generation innovative proprietary AI framework that combines the precision and predictive power of ML with the reasoning capabilities of large language models, or LLMs. Navan Cognition is designed to leverage third-party LLMs in combination with our own proprietary, internally developed software to operate a modular framework of virtual agents using a graph-</w:t>
      </w: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980" w:right="1720"/>
        <w:spacing w:after="0" w:line="281" w:lineRule="auto"/>
        <w:rPr>
          <w:sz w:val="20"/>
          <w:szCs w:val="20"/>
          <w:color w:val="auto"/>
        </w:rPr>
      </w:pPr>
      <w:r>
        <w:rPr>
          <w:rFonts w:ascii="Arial" w:cs="Arial" w:eastAsia="Arial" w:hAnsi="Arial"/>
          <w:sz w:val="12"/>
          <w:szCs w:val="12"/>
          <w:color w:val="auto"/>
        </w:rPr>
        <w:t>based workflow. On our platform, Navan Cognition enables us to create, train, deploy, and supervise our specialized virtual agents that can handle many complex tasks previously requiring human intervention. Designed with built-in safeguards and real-time oversight, Navan Cognition works to ensure that AI-driven actions are reliable, secure, and aligned with enterprise needs.</w:t>
      </w:r>
    </w:p>
    <w:p>
      <w:pPr>
        <w:spacing w:after="0" w:line="81" w:lineRule="exact"/>
        <w:rPr>
          <w:sz w:val="20"/>
          <w:szCs w:val="20"/>
          <w:color w:val="auto"/>
        </w:rPr>
      </w:pPr>
    </w:p>
    <w:p>
      <w:pPr>
        <w:ind w:left="1980" w:right="1720" w:hanging="228"/>
        <w:spacing w:after="0" w:line="271" w:lineRule="auto"/>
        <w:tabs>
          <w:tab w:leader="none" w:pos="198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Navan Native Apps and Enterprise Integrations </w:t>
      </w:r>
      <w:r>
        <w:rPr>
          <w:rFonts w:ascii="Arial" w:cs="Arial" w:eastAsia="Arial" w:hAnsi="Arial"/>
          <w:sz w:val="12"/>
          <w:szCs w:val="12"/>
          <w:color w:val="auto"/>
        </w:rPr>
        <w:t>: We have developed simple and intuitive front-end experiences for travel, payments, and expense management. Users can interface with our platform through web and mobile applications, omnichannel support, and white label travel solutions. We also offer deep enterprise integrations with leading human resource information systems, enterprise resource planning systems, and financial systems, which enable real-time syncing of employee directories, expense categories, and policy controls. This seamless connection also allows customers to streamline onboarding, enforce compliance automatically, and accelerate month-end reconciliation. By embedding Navan into existing enterprise infrastructure, finance and HR teams can maintain a single source of truth across systems and significantly reduce the operational burden of manual data entry and cross-platform coordination.</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Key Benefits of Our Platform</w:t>
      </w:r>
    </w:p>
    <w:p>
      <w:pPr>
        <w:spacing w:after="0" w:line="130"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Our users experience the following key benefits:</w:t>
      </w:r>
    </w:p>
    <w:p>
      <w:pPr>
        <w:spacing w:after="0" w:line="130"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i w:val="1"/>
          <w:iCs w:val="1"/>
          <w:color w:val="auto"/>
        </w:rPr>
        <w:t xml:space="preserve">Highly personalized experience </w:t>
      </w:r>
      <w:r>
        <w:rPr>
          <w:rFonts w:ascii="Arial" w:cs="Arial" w:eastAsia="Arial" w:hAnsi="Arial"/>
          <w:sz w:val="12"/>
          <w:szCs w:val="12"/>
          <w:color w:val="auto"/>
        </w:rPr>
        <w:t>. Our AI capabilities enable us to curate results based on the</w:t>
      </w:r>
    </w:p>
    <w:p>
      <w:pPr>
        <w:sectPr>
          <w:pgSz w:w="11900" w:h="16840" w:orient="portrait"/>
          <w:cols w:equalWidth="0" w:num="1">
            <w:col w:w="9020"/>
          </w:cols>
          <w:pgMar w:left="1440" w:top="617" w:right="1440" w:bottom="95" w:gutter="0" w:footer="0" w:header="0"/>
        </w:sectPr>
      </w:pPr>
    </w:p>
    <w:bookmarkStart w:id="10" w:name="page11"/>
    <w:bookmarkEnd w:id="10"/>
    <w:p>
      <w:pPr>
        <w:ind w:left="1980" w:right="1780"/>
        <w:spacing w:after="0" w:line="218" w:lineRule="auto"/>
        <w:rPr>
          <w:sz w:val="20"/>
          <w:szCs w:val="20"/>
          <w:color w:val="auto"/>
        </w:rPr>
      </w:pPr>
      <w:r>
        <w:rPr>
          <w:rFonts w:ascii="Arial" w:cs="Arial" w:eastAsia="Arial" w:hAnsi="Arial"/>
          <w:sz w:val="12"/>
          <w:szCs w:val="12"/>
          <w:color w:val="auto"/>
        </w:rPr>
        <w:t>user’s past preferences, trips, and travel. The more a user spends on our platform, the more we can deliver a personalized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-152400</wp:posOffset>
            </wp:positionV>
            <wp:extent cx="6732270" cy="9970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83" w:lineRule="exact"/>
        <w:rPr>
          <w:sz w:val="20"/>
          <w:szCs w:val="20"/>
          <w:color w:val="auto"/>
        </w:rPr>
      </w:pPr>
    </w:p>
    <w:p>
      <w:pPr>
        <w:ind w:left="1980" w:right="1760" w:hanging="228"/>
        <w:spacing w:after="0" w:line="281" w:lineRule="auto"/>
        <w:tabs>
          <w:tab w:leader="none" w:pos="198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 xml:space="preserve">Centralized platform for user needs </w:t>
      </w:r>
      <w:r>
        <w:rPr>
          <w:rFonts w:ascii="Arial" w:cs="Arial" w:eastAsia="Arial" w:hAnsi="Arial"/>
          <w:sz w:val="12"/>
          <w:szCs w:val="12"/>
          <w:color w:val="auto"/>
        </w:rPr>
        <w:t>. Previously, users relied on a fragmented set of point</w:t>
      </w:r>
      <w:r>
        <w:rPr>
          <w:rFonts w:ascii="Arial" w:cs="Arial" w:eastAsia="Arial" w:hAnsi="Arial"/>
          <w:sz w:val="12"/>
          <w:szCs w:val="12"/>
          <w:i w:val="1"/>
          <w:iCs w:val="1"/>
          <w:color w:val="auto"/>
        </w:rPr>
        <w:t xml:space="preserve"> </w:t>
      </w:r>
      <w:r>
        <w:rPr>
          <w:rFonts w:ascii="Arial" w:cs="Arial" w:eastAsia="Arial" w:hAnsi="Arial"/>
          <w:sz w:val="12"/>
          <w:szCs w:val="12"/>
          <w:color w:val="auto"/>
        </w:rPr>
        <w:t>solutions that required users to toggle between multiple applications. With Navan, users can find what they need all in one place. In fiscal 2025, 90% of bookings were made online or through mobile applications on our platform.</w:t>
      </w:r>
    </w:p>
    <w:p>
      <w:pPr>
        <w:spacing w:after="0" w:line="80" w:lineRule="exact"/>
        <w:rPr>
          <w:rFonts w:ascii="Arial" w:cs="Arial" w:eastAsia="Arial" w:hAnsi="Arial"/>
          <w:sz w:val="12"/>
          <w:szCs w:val="12"/>
          <w:color w:val="auto"/>
        </w:rPr>
      </w:pPr>
    </w:p>
    <w:p>
      <w:pPr>
        <w:ind w:left="1980" w:right="1640" w:hanging="228"/>
        <w:spacing w:after="0" w:line="277" w:lineRule="auto"/>
        <w:tabs>
          <w:tab w:leader="none" w:pos="198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 xml:space="preserve">Differentiated support experience </w:t>
      </w:r>
      <w:r>
        <w:rPr>
          <w:rFonts w:ascii="Arial" w:cs="Arial" w:eastAsia="Arial" w:hAnsi="Arial"/>
          <w:sz w:val="12"/>
          <w:szCs w:val="12"/>
          <w:color w:val="auto"/>
        </w:rPr>
        <w:t>. We offer an exceptional support experience that combines our</w:t>
      </w:r>
      <w:r>
        <w:rPr>
          <w:rFonts w:ascii="Arial" w:cs="Arial" w:eastAsia="Arial" w:hAnsi="Arial"/>
          <w:sz w:val="12"/>
          <w:szCs w:val="12"/>
          <w:i w:val="1"/>
          <w:iCs w:val="1"/>
          <w:color w:val="auto"/>
        </w:rPr>
        <w:t xml:space="preserve"> </w:t>
      </w:r>
      <w:r>
        <w:rPr>
          <w:rFonts w:ascii="Arial" w:cs="Arial" w:eastAsia="Arial" w:hAnsi="Arial"/>
          <w:sz w:val="12"/>
          <w:szCs w:val="12"/>
          <w:color w:val="auto"/>
        </w:rPr>
        <w:t>self-serve support tools with 24/7 live service through chat or phone. Users can select from three different levels of support, typically connecting with a dedicated agent within minutes. Approximately 50% of user interactions were handled without live agent intervention during the six months ended July 31, 2025.</w:t>
      </w:r>
    </w:p>
    <w:p>
      <w:pPr>
        <w:spacing w:after="0" w:line="83" w:lineRule="exact"/>
        <w:rPr>
          <w:rFonts w:ascii="Arial" w:cs="Arial" w:eastAsia="Arial" w:hAnsi="Arial"/>
          <w:sz w:val="12"/>
          <w:szCs w:val="12"/>
          <w:color w:val="auto"/>
        </w:rPr>
      </w:pPr>
    </w:p>
    <w:p>
      <w:pPr>
        <w:ind w:left="1980" w:right="1820" w:hanging="228"/>
        <w:spacing w:after="0" w:line="272" w:lineRule="auto"/>
        <w:tabs>
          <w:tab w:leader="none" w:pos="198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 xml:space="preserve">Increased productivity. </w:t>
      </w:r>
      <w:r>
        <w:rPr>
          <w:rFonts w:ascii="Arial" w:cs="Arial" w:eastAsia="Arial" w:hAnsi="Arial"/>
          <w:sz w:val="12"/>
          <w:szCs w:val="12"/>
          <w:color w:val="auto"/>
        </w:rPr>
        <w:t>Our platform makes changes simple and fast. Users receive timely</w:t>
      </w:r>
      <w:r>
        <w:rPr>
          <w:rFonts w:ascii="Arial" w:cs="Arial" w:eastAsia="Arial" w:hAnsi="Arial"/>
          <w:sz w:val="12"/>
          <w:szCs w:val="12"/>
          <w:i w:val="1"/>
          <w:iCs w:val="1"/>
          <w:color w:val="auto"/>
        </w:rPr>
        <w:t xml:space="preserve"> </w:t>
      </w:r>
      <w:r>
        <w:rPr>
          <w:rFonts w:ascii="Arial" w:cs="Arial" w:eastAsia="Arial" w:hAnsi="Arial"/>
          <w:sz w:val="12"/>
          <w:szCs w:val="12"/>
          <w:color w:val="auto"/>
        </w:rPr>
        <w:t>notifications as a trip approaches, and our AI-powered virtual agent chatbot, Ava, can make trip changes directly without involving a live agent. With Navan, the average time to book a trip is</w:t>
      </w:r>
    </w:p>
    <w:p>
      <w:pPr>
        <w:spacing w:after="0" w:line="2" w:lineRule="exact"/>
        <w:rPr>
          <w:sz w:val="20"/>
          <w:szCs w:val="20"/>
          <w:color w:val="auto"/>
        </w:rPr>
      </w:pPr>
    </w:p>
    <w:p>
      <w:pPr>
        <w:ind w:left="1980"/>
        <w:spacing w:after="0"/>
        <w:tabs>
          <w:tab w:leader="none" w:pos="5880" w:val="left"/>
        </w:tabs>
        <w:rPr>
          <w:sz w:val="20"/>
          <w:szCs w:val="20"/>
          <w:color w:val="auto"/>
        </w:rPr>
      </w:pPr>
      <w:r>
        <w:rPr>
          <w:rFonts w:ascii="Arial" w:cs="Arial" w:eastAsia="Arial" w:hAnsi="Arial"/>
          <w:sz w:val="12"/>
          <w:szCs w:val="12"/>
          <w:color w:val="auto"/>
        </w:rPr>
        <w:t>seven minutes, compared with 45 minutes through outside channels,</w:t>
        <w:tab/>
        <w:t>according to Booking.com .</w:t>
      </w:r>
    </w:p>
    <w:p>
      <w:pPr>
        <w:spacing w:after="0" w:line="118" w:lineRule="exact"/>
        <w:rPr>
          <w:sz w:val="20"/>
          <w:szCs w:val="20"/>
          <w:color w:val="auto"/>
        </w:rPr>
      </w:pPr>
    </w:p>
    <w:p>
      <w:pPr>
        <w:ind w:left="1980" w:right="1660" w:hanging="228"/>
        <w:spacing w:after="0" w:line="281" w:lineRule="auto"/>
        <w:tabs>
          <w:tab w:leader="none" w:pos="1980"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 xml:space="preserve">Ability to share in rewards </w:t>
      </w:r>
      <w:r>
        <w:rPr>
          <w:rFonts w:ascii="Arial" w:cs="Arial" w:eastAsia="Arial" w:hAnsi="Arial"/>
          <w:sz w:val="12"/>
          <w:szCs w:val="12"/>
          <w:color w:val="auto"/>
        </w:rPr>
        <w:t>. Our rewards program allows users to share in a portion of the savings</w:t>
      </w:r>
      <w:r>
        <w:rPr>
          <w:rFonts w:ascii="Arial" w:cs="Arial" w:eastAsia="Arial" w:hAnsi="Arial"/>
          <w:sz w:val="12"/>
          <w:szCs w:val="12"/>
          <w:i w:val="1"/>
          <w:iCs w:val="1"/>
          <w:color w:val="auto"/>
        </w:rPr>
        <w:t xml:space="preserve"> </w:t>
      </w:r>
      <w:r>
        <w:rPr>
          <w:rFonts w:ascii="Arial" w:cs="Arial" w:eastAsia="Arial" w:hAnsi="Arial"/>
          <w:sz w:val="12"/>
          <w:szCs w:val="12"/>
          <w:color w:val="auto"/>
        </w:rPr>
        <w:t>realized by their businesses. Our platform gives users a “price to beat,” designed to incentivize users to save money by focusing on what a booking should reasonably cost. Users can redeem rewards for personal travel, travel upgrades, or gift cards.</w:t>
      </w:r>
    </w:p>
    <w:p>
      <w:pPr>
        <w:spacing w:after="0" w:line="80" w:lineRule="exact"/>
        <w:rPr>
          <w:rFonts w:ascii="Arial" w:cs="Arial" w:eastAsia="Arial" w:hAnsi="Arial"/>
          <w:sz w:val="12"/>
          <w:szCs w:val="12"/>
          <w:color w:val="auto"/>
        </w:rPr>
      </w:pPr>
    </w:p>
    <w:p>
      <w:pPr>
        <w:ind w:left="1980" w:right="1820" w:hanging="228"/>
        <w:spacing w:after="0" w:line="289" w:lineRule="auto"/>
        <w:tabs>
          <w:tab w:leader="none" w:pos="1980"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 xml:space="preserve">Real-time visibility into expenses and faster reimbursement process. </w:t>
      </w:r>
      <w:r>
        <w:rPr>
          <w:rFonts w:ascii="Arial" w:cs="Arial" w:eastAsia="Arial" w:hAnsi="Arial"/>
          <w:sz w:val="12"/>
          <w:szCs w:val="12"/>
          <w:color w:val="auto"/>
        </w:rPr>
        <w:t>Users are able to track</w:t>
      </w:r>
      <w:r>
        <w:rPr>
          <w:rFonts w:ascii="Arial" w:cs="Arial" w:eastAsia="Arial" w:hAnsi="Arial"/>
          <w:sz w:val="12"/>
          <w:szCs w:val="12"/>
          <w:i w:val="1"/>
          <w:iCs w:val="1"/>
          <w:color w:val="auto"/>
        </w:rPr>
        <w:t xml:space="preserve"> </w:t>
      </w:r>
      <w:r>
        <w:rPr>
          <w:rFonts w:ascii="Arial" w:cs="Arial" w:eastAsia="Arial" w:hAnsi="Arial"/>
          <w:sz w:val="12"/>
          <w:szCs w:val="12"/>
          <w:color w:val="auto"/>
        </w:rPr>
        <w:t>expenses in real-time and can easily check spend relative to per diems. We also streamline the reimbursement process to enable users to get paid back faster.</w:t>
      </w:r>
    </w:p>
    <w:p>
      <w:pPr>
        <w:spacing w:after="0" w:line="76"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Customers experience the following key benefits:</w:t>
      </w:r>
    </w:p>
    <w:p>
      <w:pPr>
        <w:spacing w:after="0" w:line="130" w:lineRule="exact"/>
        <w:rPr>
          <w:sz w:val="20"/>
          <w:szCs w:val="20"/>
          <w:color w:val="auto"/>
        </w:rPr>
      </w:pPr>
    </w:p>
    <w:p>
      <w:pPr>
        <w:ind w:left="1980" w:right="1660" w:hanging="228"/>
        <w:spacing w:after="0" w:line="277" w:lineRule="auto"/>
        <w:tabs>
          <w:tab w:leader="none" w:pos="198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 xml:space="preserve">Cost savings and reduced administrative burden. </w:t>
      </w:r>
      <w:r>
        <w:rPr>
          <w:rFonts w:ascii="Arial" w:cs="Arial" w:eastAsia="Arial" w:hAnsi="Arial"/>
          <w:sz w:val="12"/>
          <w:szCs w:val="12"/>
          <w:color w:val="auto"/>
        </w:rPr>
        <w:t>Cost savings from automation and operational</w:t>
      </w:r>
      <w:r>
        <w:rPr>
          <w:rFonts w:ascii="Arial" w:cs="Arial" w:eastAsia="Arial" w:hAnsi="Arial"/>
          <w:sz w:val="12"/>
          <w:szCs w:val="12"/>
          <w:i w:val="1"/>
          <w:iCs w:val="1"/>
          <w:color w:val="auto"/>
        </w:rPr>
        <w:t xml:space="preserve"> </w:t>
      </w:r>
      <w:r>
        <w:rPr>
          <w:rFonts w:ascii="Arial" w:cs="Arial" w:eastAsia="Arial" w:hAnsi="Arial"/>
          <w:sz w:val="12"/>
          <w:szCs w:val="12"/>
          <w:color w:val="auto"/>
        </w:rPr>
        <w:t>improvements significantly reduce administrative burden and enable customers to close their books faster. In fiscal 2025, customers using our platform realized median savings of approximately 15% on travel compared to their budgeted travel spend, with certain customers saving as much as 25%. We believe use of our platform also helps customers unlock greater</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980" w:right="2200"/>
        <w:spacing w:after="0" w:line="312" w:lineRule="auto"/>
        <w:rPr>
          <w:sz w:val="20"/>
          <w:szCs w:val="20"/>
          <w:color w:val="auto"/>
        </w:rPr>
      </w:pPr>
      <w:r>
        <w:rPr>
          <w:rFonts w:ascii="Arial" w:cs="Arial" w:eastAsia="Arial" w:hAnsi="Arial"/>
          <w:sz w:val="12"/>
          <w:szCs w:val="12"/>
          <w:color w:val="auto"/>
        </w:rPr>
        <w:t>value through time savings and reduced overhead, delivering a step change in total T&amp;E efficiency.</w:t>
      </w:r>
    </w:p>
    <w:p>
      <w:pPr>
        <w:spacing w:after="0" w:line="62" w:lineRule="exact"/>
        <w:rPr>
          <w:sz w:val="20"/>
          <w:szCs w:val="20"/>
          <w:color w:val="auto"/>
        </w:rPr>
      </w:pPr>
    </w:p>
    <w:p>
      <w:pPr>
        <w:ind w:left="1980" w:right="1840" w:hanging="228"/>
        <w:spacing w:after="0" w:line="281" w:lineRule="auto"/>
        <w:tabs>
          <w:tab w:leader="none" w:pos="1980" w:val="left"/>
        </w:tabs>
        <w:numPr>
          <w:ilvl w:val="0"/>
          <w:numId w:val="9"/>
        </w:numPr>
        <w:rPr>
          <w:rFonts w:ascii="Arial" w:cs="Arial" w:eastAsia="Arial" w:hAnsi="Arial"/>
          <w:sz w:val="12"/>
          <w:szCs w:val="12"/>
          <w:color w:val="auto"/>
        </w:rPr>
      </w:pPr>
      <w:r>
        <w:rPr>
          <w:rFonts w:ascii="Arial" w:cs="Arial" w:eastAsia="Arial" w:hAnsi="Arial"/>
          <w:sz w:val="12"/>
          <w:szCs w:val="12"/>
          <w:i w:val="1"/>
          <w:iCs w:val="1"/>
          <w:color w:val="auto"/>
        </w:rPr>
        <w:t xml:space="preserve">Unified platform experience. </w:t>
      </w:r>
      <w:r>
        <w:rPr>
          <w:rFonts w:ascii="Arial" w:cs="Arial" w:eastAsia="Arial" w:hAnsi="Arial"/>
          <w:sz w:val="12"/>
          <w:szCs w:val="12"/>
          <w:color w:val="auto"/>
        </w:rPr>
        <w:t>Our intuitive interface and dedicated customer success teams</w:t>
      </w:r>
      <w:r>
        <w:rPr>
          <w:rFonts w:ascii="Arial" w:cs="Arial" w:eastAsia="Arial" w:hAnsi="Arial"/>
          <w:sz w:val="12"/>
          <w:szCs w:val="12"/>
          <w:i w:val="1"/>
          <w:iCs w:val="1"/>
          <w:color w:val="auto"/>
        </w:rPr>
        <w:t xml:space="preserve"> </w:t>
      </w:r>
      <w:r>
        <w:rPr>
          <w:rFonts w:ascii="Arial" w:cs="Arial" w:eastAsia="Arial" w:hAnsi="Arial"/>
          <w:sz w:val="12"/>
          <w:szCs w:val="12"/>
          <w:color w:val="auto"/>
        </w:rPr>
        <w:t>simplify adoption across companies. Flexible payment options through Navan Connect and our partnerships give customers the ability to choose their preferred mechanisms, making our platform intuitive and delightful to both travelers and administrators alike.</w:t>
      </w:r>
    </w:p>
    <w:p>
      <w:pPr>
        <w:spacing w:after="0" w:line="82" w:lineRule="exact"/>
        <w:rPr>
          <w:rFonts w:ascii="Arial" w:cs="Arial" w:eastAsia="Arial" w:hAnsi="Arial"/>
          <w:sz w:val="12"/>
          <w:szCs w:val="12"/>
          <w:color w:val="auto"/>
        </w:rPr>
      </w:pPr>
    </w:p>
    <w:p>
      <w:pPr>
        <w:ind w:left="1980" w:right="1880" w:hanging="228"/>
        <w:spacing w:after="0" w:line="276" w:lineRule="auto"/>
        <w:tabs>
          <w:tab w:leader="none" w:pos="1980" w:val="left"/>
        </w:tabs>
        <w:numPr>
          <w:ilvl w:val="0"/>
          <w:numId w:val="9"/>
        </w:numPr>
        <w:rPr>
          <w:rFonts w:ascii="Arial" w:cs="Arial" w:eastAsia="Arial" w:hAnsi="Arial"/>
          <w:sz w:val="12"/>
          <w:szCs w:val="12"/>
          <w:color w:val="auto"/>
        </w:rPr>
      </w:pPr>
      <w:r>
        <w:rPr>
          <w:rFonts w:ascii="Arial" w:cs="Arial" w:eastAsia="Arial" w:hAnsi="Arial"/>
          <w:sz w:val="12"/>
          <w:szCs w:val="12"/>
          <w:i w:val="1"/>
          <w:iCs w:val="1"/>
          <w:color w:val="auto"/>
        </w:rPr>
        <w:t xml:space="preserve">Increased user adoption of our platform for all travel, payments, and expense management needs. </w:t>
      </w:r>
      <w:r>
        <w:rPr>
          <w:rFonts w:ascii="Arial" w:cs="Arial" w:eastAsia="Arial" w:hAnsi="Arial"/>
          <w:sz w:val="12"/>
          <w:szCs w:val="12"/>
          <w:color w:val="auto"/>
        </w:rPr>
        <w:t>By enabling customers to ramp faster and incentivizing users to increase spend on our</w:t>
      </w:r>
      <w:r>
        <w:rPr>
          <w:rFonts w:ascii="Arial" w:cs="Arial" w:eastAsia="Arial" w:hAnsi="Arial"/>
          <w:sz w:val="12"/>
          <w:szCs w:val="12"/>
          <w:i w:val="1"/>
          <w:iCs w:val="1"/>
          <w:color w:val="auto"/>
        </w:rPr>
        <w:t xml:space="preserve"> </w:t>
      </w:r>
      <w:r>
        <w:rPr>
          <w:rFonts w:ascii="Arial" w:cs="Arial" w:eastAsia="Arial" w:hAnsi="Arial"/>
          <w:sz w:val="12"/>
          <w:szCs w:val="12"/>
          <w:color w:val="auto"/>
        </w:rPr>
        <w:t>platform, we create visibility and cost savings for customers. We also allow companies to maintain their duty of care for users by providing critical travel alerts or locating and assisting travelers during emergencies.</w:t>
      </w:r>
    </w:p>
    <w:p>
      <w:pPr>
        <w:spacing w:after="0" w:line="85" w:lineRule="exact"/>
        <w:rPr>
          <w:sz w:val="20"/>
          <w:szCs w:val="20"/>
          <w:color w:val="auto"/>
        </w:rPr>
      </w:pPr>
    </w:p>
    <w:p>
      <w:pPr>
        <w:ind w:left="1980" w:right="1900" w:hanging="219"/>
        <w:spacing w:after="0" w:line="277" w:lineRule="auto"/>
        <w:tabs>
          <w:tab w:leader="none" w:pos="196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i w:val="1"/>
          <w:iCs w:val="1"/>
          <w:color w:val="auto"/>
        </w:rPr>
        <w:t xml:space="preserve">Real-time visibility into spend trends and ability to forecast costs </w:t>
      </w:r>
      <w:r>
        <w:rPr>
          <w:rFonts w:ascii="Arial" w:cs="Arial" w:eastAsia="Arial" w:hAnsi="Arial"/>
          <w:sz w:val="12"/>
          <w:szCs w:val="12"/>
          <w:color w:val="auto"/>
        </w:rPr>
        <w:t>. Our dashboards include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company-specific benchmarks and trend analysis across trips and travelers, enabling visibility into total and per-user spend in real-time. These reporting capabilities support proactive budgeting, save company cost, improve forecasting accuracy, and streamline reporting workflows.</w:t>
      </w:r>
    </w:p>
    <w:p>
      <w:pPr>
        <w:spacing w:after="0" w:line="84" w:lineRule="exact"/>
        <w:rPr>
          <w:sz w:val="20"/>
          <w:szCs w:val="20"/>
          <w:color w:val="auto"/>
        </w:rPr>
      </w:pPr>
    </w:p>
    <w:p>
      <w:pPr>
        <w:ind w:left="1980" w:right="1740" w:hanging="228"/>
        <w:spacing w:after="0" w:line="281" w:lineRule="auto"/>
        <w:tabs>
          <w:tab w:leader="none" w:pos="1980"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auto"/>
        </w:rPr>
        <w:t xml:space="preserve">Automated expense management. </w:t>
      </w:r>
      <w:r>
        <w:rPr>
          <w:rFonts w:ascii="Arial" w:cs="Arial" w:eastAsia="Arial" w:hAnsi="Arial"/>
          <w:sz w:val="12"/>
          <w:szCs w:val="12"/>
          <w:color w:val="auto"/>
        </w:rPr>
        <w:t>Navan automates the entire expense workflow, aiming to</w:t>
      </w:r>
      <w:r>
        <w:rPr>
          <w:rFonts w:ascii="Arial" w:cs="Arial" w:eastAsia="Arial" w:hAnsi="Arial"/>
          <w:sz w:val="12"/>
          <w:szCs w:val="12"/>
          <w:i w:val="1"/>
          <w:iCs w:val="1"/>
          <w:color w:val="auto"/>
        </w:rPr>
        <w:t xml:space="preserve"> </w:t>
      </w:r>
      <w:r>
        <w:rPr>
          <w:rFonts w:ascii="Arial" w:cs="Arial" w:eastAsia="Arial" w:hAnsi="Arial"/>
          <w:sz w:val="12"/>
          <w:szCs w:val="12"/>
          <w:color w:val="auto"/>
        </w:rPr>
        <w:t>eliminate the need for employees to front personal money, chase down receipts, or fill out forms, while giving finance teams real-time visibility into spend, faster month-end close, and direct ERP integrations.</w:t>
      </w:r>
    </w:p>
    <w:p>
      <w:pPr>
        <w:spacing w:after="0" w:line="80" w:lineRule="exact"/>
        <w:rPr>
          <w:rFonts w:ascii="Arial" w:cs="Arial" w:eastAsia="Arial" w:hAnsi="Arial"/>
          <w:sz w:val="12"/>
          <w:szCs w:val="12"/>
          <w:color w:val="auto"/>
        </w:rPr>
      </w:pPr>
    </w:p>
    <w:p>
      <w:pPr>
        <w:ind w:left="1980" w:right="1620" w:hanging="228"/>
        <w:spacing w:after="0" w:line="289" w:lineRule="auto"/>
        <w:tabs>
          <w:tab w:leader="none" w:pos="1980"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auto"/>
        </w:rPr>
        <w:t xml:space="preserve">Deepest range of content on the market. </w:t>
      </w:r>
      <w:r>
        <w:rPr>
          <w:rFonts w:ascii="Arial" w:cs="Arial" w:eastAsia="Arial" w:hAnsi="Arial"/>
          <w:sz w:val="12"/>
          <w:szCs w:val="12"/>
          <w:color w:val="auto"/>
        </w:rPr>
        <w:t>Navan has direct connections and integrations with over</w:t>
      </w:r>
      <w:r>
        <w:rPr>
          <w:rFonts w:ascii="Arial" w:cs="Arial" w:eastAsia="Arial" w:hAnsi="Arial"/>
          <w:sz w:val="12"/>
          <w:szCs w:val="12"/>
          <w:i w:val="1"/>
          <w:iCs w:val="1"/>
          <w:color w:val="auto"/>
        </w:rPr>
        <w:t xml:space="preserve"> </w:t>
      </w:r>
      <w:r>
        <w:rPr>
          <w:rFonts w:ascii="Arial" w:cs="Arial" w:eastAsia="Arial" w:hAnsi="Arial"/>
          <w:sz w:val="12"/>
          <w:szCs w:val="12"/>
          <w:color w:val="auto"/>
        </w:rPr>
        <w:t>600 airlines via GDSs, NDC, and LCCs and over two million lodging properties, which provide our customers with access to dynamic pricing and ultimately cost savings.</w:t>
      </w:r>
    </w:p>
    <w:p>
      <w:pPr>
        <w:spacing w:after="0" w:line="76" w:lineRule="exact"/>
        <w:rPr>
          <w:sz w:val="20"/>
          <w:szCs w:val="20"/>
          <w:color w:val="auto"/>
        </w:rPr>
      </w:pPr>
    </w:p>
    <w:p>
      <w:pPr>
        <w:ind w:left="1520" w:right="2000" w:firstLine="230"/>
        <w:spacing w:after="0" w:line="312" w:lineRule="auto"/>
        <w:rPr>
          <w:sz w:val="20"/>
          <w:szCs w:val="20"/>
          <w:color w:val="auto"/>
        </w:rPr>
      </w:pPr>
      <w:r>
        <w:rPr>
          <w:rFonts w:ascii="Arial" w:cs="Arial" w:eastAsia="Arial" w:hAnsi="Arial"/>
          <w:sz w:val="12"/>
          <w:szCs w:val="12"/>
          <w:color w:val="auto"/>
        </w:rPr>
        <w:t>Our global platform provides the following key benefits to our key categories of supplier partners (such as inventory suppliers and GDSs):</w:t>
      </w:r>
    </w:p>
    <w:p>
      <w:pPr>
        <w:spacing w:after="0" w:line="62" w:lineRule="exact"/>
        <w:rPr>
          <w:sz w:val="20"/>
          <w:szCs w:val="20"/>
          <w:color w:val="auto"/>
        </w:rPr>
      </w:pPr>
    </w:p>
    <w:p>
      <w:pPr>
        <w:ind w:left="1980" w:right="1820" w:hanging="228"/>
        <w:spacing w:after="0" w:line="281" w:lineRule="auto"/>
        <w:tabs>
          <w:tab w:leader="none" w:pos="1980" w:val="left"/>
        </w:tabs>
        <w:numPr>
          <w:ilvl w:val="0"/>
          <w:numId w:val="11"/>
        </w:numPr>
        <w:rPr>
          <w:rFonts w:ascii="Arial" w:cs="Arial" w:eastAsia="Arial" w:hAnsi="Arial"/>
          <w:sz w:val="12"/>
          <w:szCs w:val="12"/>
          <w:color w:val="auto"/>
        </w:rPr>
      </w:pPr>
      <w:r>
        <w:rPr>
          <w:rFonts w:ascii="Arial" w:cs="Arial" w:eastAsia="Arial" w:hAnsi="Arial"/>
          <w:sz w:val="12"/>
          <w:szCs w:val="12"/>
          <w:i w:val="1"/>
          <w:iCs w:val="1"/>
          <w:color w:val="auto"/>
        </w:rPr>
        <w:t xml:space="preserve">Direct access to high-value travelers. </w:t>
      </w:r>
      <w:r>
        <w:rPr>
          <w:rFonts w:ascii="Arial" w:cs="Arial" w:eastAsia="Arial" w:hAnsi="Arial"/>
          <w:sz w:val="12"/>
          <w:szCs w:val="12"/>
          <w:color w:val="auto"/>
        </w:rPr>
        <w:t>We give suppliers access to a large and highly engaged</w:t>
      </w:r>
      <w:r>
        <w:rPr>
          <w:rFonts w:ascii="Arial" w:cs="Arial" w:eastAsia="Arial" w:hAnsi="Arial"/>
          <w:sz w:val="12"/>
          <w:szCs w:val="12"/>
          <w:i w:val="1"/>
          <w:iCs w:val="1"/>
          <w:color w:val="auto"/>
        </w:rPr>
        <w:t xml:space="preserve"> </w:t>
      </w:r>
      <w:r>
        <w:rPr>
          <w:rFonts w:ascii="Arial" w:cs="Arial" w:eastAsia="Arial" w:hAnsi="Arial"/>
          <w:sz w:val="12"/>
          <w:szCs w:val="12"/>
          <w:color w:val="auto"/>
        </w:rPr>
        <w:t>user base of frequent travelers, enabling them to reach premium, high-margin customers in a consistent and repeatable way. This helps to drive better yield and more strategic distribution compared to fragmented legacy platforms.</w:t>
      </w:r>
    </w:p>
    <w:p>
      <w:pPr>
        <w:spacing w:after="0" w:line="80" w:lineRule="exact"/>
        <w:rPr>
          <w:rFonts w:ascii="Arial" w:cs="Arial" w:eastAsia="Arial" w:hAnsi="Arial"/>
          <w:sz w:val="12"/>
          <w:szCs w:val="12"/>
          <w:color w:val="auto"/>
        </w:rPr>
      </w:pPr>
    </w:p>
    <w:p>
      <w:pPr>
        <w:ind w:left="1980" w:right="1700" w:hanging="228"/>
        <w:spacing w:after="0" w:line="277" w:lineRule="auto"/>
        <w:tabs>
          <w:tab w:leader="none" w:pos="1980" w:val="left"/>
        </w:tabs>
        <w:numPr>
          <w:ilvl w:val="0"/>
          <w:numId w:val="11"/>
        </w:numPr>
        <w:rPr>
          <w:rFonts w:ascii="Arial" w:cs="Arial" w:eastAsia="Arial" w:hAnsi="Arial"/>
          <w:sz w:val="12"/>
          <w:szCs w:val="12"/>
          <w:color w:val="auto"/>
        </w:rPr>
      </w:pPr>
      <w:r>
        <w:rPr>
          <w:rFonts w:ascii="Arial" w:cs="Arial" w:eastAsia="Arial" w:hAnsi="Arial"/>
          <w:sz w:val="12"/>
          <w:szCs w:val="12"/>
          <w:i w:val="1"/>
          <w:iCs w:val="1"/>
          <w:color w:val="auto"/>
        </w:rPr>
        <w:t xml:space="preserve">Flexible retailing and brand control. </w:t>
      </w:r>
      <w:r>
        <w:rPr>
          <w:rFonts w:ascii="Arial" w:cs="Arial" w:eastAsia="Arial" w:hAnsi="Arial"/>
          <w:sz w:val="12"/>
          <w:szCs w:val="12"/>
          <w:color w:val="auto"/>
        </w:rPr>
        <w:t>We provide a single, integrated system where suppliers can</w:t>
      </w:r>
      <w:r>
        <w:rPr>
          <w:rFonts w:ascii="Arial" w:cs="Arial" w:eastAsia="Arial" w:hAnsi="Arial"/>
          <w:sz w:val="12"/>
          <w:szCs w:val="12"/>
          <w:i w:val="1"/>
          <w:iCs w:val="1"/>
          <w:color w:val="auto"/>
        </w:rPr>
        <w:t xml:space="preserve"> </w:t>
      </w:r>
      <w:r>
        <w:rPr>
          <w:rFonts w:ascii="Arial" w:cs="Arial" w:eastAsia="Arial" w:hAnsi="Arial"/>
          <w:sz w:val="12"/>
          <w:szCs w:val="12"/>
          <w:color w:val="auto"/>
        </w:rPr>
        <w:t>showcase brand-forward content, control fare and ancillary pricing, and iterate on their merchandising strategy in real-time. This allows suppliers to differentiate their offerings, adjust to market dynamics, and align their retail goals with how their products are discovered and booked by end users.</w:t>
      </w:r>
    </w:p>
    <w:p>
      <w:pPr>
        <w:spacing w:after="0" w:line="83" w:lineRule="exact"/>
        <w:rPr>
          <w:rFonts w:ascii="Arial" w:cs="Arial" w:eastAsia="Arial" w:hAnsi="Arial"/>
          <w:sz w:val="12"/>
          <w:szCs w:val="12"/>
          <w:color w:val="auto"/>
        </w:rPr>
      </w:pPr>
    </w:p>
    <w:p>
      <w:pPr>
        <w:ind w:left="1980" w:right="1740" w:hanging="228"/>
        <w:spacing w:after="0" w:line="277" w:lineRule="auto"/>
        <w:tabs>
          <w:tab w:leader="none" w:pos="1980" w:val="left"/>
        </w:tabs>
        <w:numPr>
          <w:ilvl w:val="0"/>
          <w:numId w:val="11"/>
        </w:numPr>
        <w:rPr>
          <w:rFonts w:ascii="Arial" w:cs="Arial" w:eastAsia="Arial" w:hAnsi="Arial"/>
          <w:sz w:val="12"/>
          <w:szCs w:val="12"/>
          <w:color w:val="auto"/>
        </w:rPr>
      </w:pPr>
      <w:r>
        <w:rPr>
          <w:rFonts w:ascii="Arial" w:cs="Arial" w:eastAsia="Arial" w:hAnsi="Arial"/>
          <w:sz w:val="12"/>
          <w:szCs w:val="12"/>
          <w:i w:val="1"/>
          <w:iCs w:val="1"/>
          <w:color w:val="auto"/>
        </w:rPr>
        <w:t xml:space="preserve">Accelerated innovation through collaborative distribution. </w:t>
      </w:r>
      <w:r>
        <w:rPr>
          <w:rFonts w:ascii="Arial" w:cs="Arial" w:eastAsia="Arial" w:hAnsi="Arial"/>
          <w:sz w:val="12"/>
          <w:szCs w:val="12"/>
          <w:color w:val="auto"/>
        </w:rPr>
        <w:t>Our NDC technology enables us to</w:t>
      </w:r>
      <w:r>
        <w:rPr>
          <w:rFonts w:ascii="Arial" w:cs="Arial" w:eastAsia="Arial" w:hAnsi="Arial"/>
          <w:sz w:val="12"/>
          <w:szCs w:val="12"/>
          <w:i w:val="1"/>
          <w:iCs w:val="1"/>
          <w:color w:val="auto"/>
        </w:rPr>
        <w:t xml:space="preserve"> </w:t>
      </w:r>
      <w:r>
        <w:rPr>
          <w:rFonts w:ascii="Arial" w:cs="Arial" w:eastAsia="Arial" w:hAnsi="Arial"/>
          <w:sz w:val="12"/>
          <w:szCs w:val="12"/>
          <w:color w:val="auto"/>
        </w:rPr>
        <w:t>have swift access to updates to the travel distribution ecosystem and positions us as a partner to these suppliers. Suppliers can test, launch, and evolve their offerings in a controlled and collaborative environment, unlocking speed-to-market and visibility that legacy intermediaries often cannot provide.</w:t>
      </w:r>
    </w:p>
    <w:p>
      <w:pPr>
        <w:spacing w:after="0" w:line="84"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Our Market Opportunity</w:t>
      </w:r>
    </w:p>
    <w:p>
      <w:pPr>
        <w:spacing w:after="0" w:line="130" w:lineRule="exact"/>
        <w:rPr>
          <w:sz w:val="20"/>
          <w:szCs w:val="20"/>
          <w:color w:val="auto"/>
        </w:rPr>
      </w:pPr>
    </w:p>
    <w:p>
      <w:pPr>
        <w:ind w:left="1520" w:right="1720" w:firstLine="230"/>
        <w:spacing w:after="0" w:line="277" w:lineRule="auto"/>
        <w:rPr>
          <w:sz w:val="20"/>
          <w:szCs w:val="20"/>
          <w:color w:val="auto"/>
        </w:rPr>
      </w:pPr>
      <w:r>
        <w:rPr>
          <w:rFonts w:ascii="Arial" w:cs="Arial" w:eastAsia="Arial" w:hAnsi="Arial"/>
          <w:sz w:val="12"/>
          <w:szCs w:val="12"/>
          <w:color w:val="auto"/>
        </w:rPr>
        <w:t>Navan addresses a large, growing, and global total addressable market, or TAM, by providing an all-in-one software platform for customers of all sizes. Even in the face of macroeconomic uncertainty, our data suggests that companies continue to prioritize business travel. The Navan Business Travel Index, or Navan BTI, is our own proprietary indicator of the strength of the business travel economy, based on volume- and spend-based data derived from our platform. The Navan BTI indicates that business travel</w:t>
      </w:r>
    </w:p>
    <w:p>
      <w:pPr>
        <w:sectPr>
          <w:pgSz w:w="11900" w:h="16840" w:orient="portrait"/>
          <w:cols w:equalWidth="0" w:num="1">
            <w:col w:w="9020"/>
          </w:cols>
          <w:pgMar w:left="1440" w:top="560" w:right="1440" w:bottom="461" w:gutter="0" w:footer="0" w:header="0"/>
        </w:sectPr>
      </w:pPr>
    </w:p>
    <w:bookmarkStart w:id="11" w:name="page12"/>
    <w:bookmarkEnd w:id="11"/>
    <w:p>
      <w:pPr>
        <w:jc w:val="center"/>
        <w:ind w:right="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940"/>
        <w:spacing w:after="0" w:line="312" w:lineRule="auto"/>
        <w:rPr>
          <w:sz w:val="20"/>
          <w:szCs w:val="20"/>
          <w:color w:val="auto"/>
        </w:rPr>
      </w:pPr>
      <w:r>
        <w:rPr>
          <w:rFonts w:ascii="Arial" w:cs="Arial" w:eastAsia="Arial" w:hAnsi="Arial"/>
          <w:sz w:val="12"/>
          <w:szCs w:val="12"/>
          <w:color w:val="auto"/>
        </w:rPr>
        <w:t>activity during the period from April 1, 2025 through June 30, 2025 grew at an annualized rate of 15% relative to the same period in 2024.</w:t>
      </w:r>
    </w:p>
    <w:p>
      <w:pPr>
        <w:spacing w:after="0" w:line="62" w:lineRule="exact"/>
        <w:rPr>
          <w:sz w:val="20"/>
          <w:szCs w:val="20"/>
          <w:color w:val="auto"/>
        </w:rPr>
      </w:pPr>
    </w:p>
    <w:p>
      <w:pPr>
        <w:ind w:left="1520" w:right="1720" w:firstLine="230"/>
        <w:spacing w:after="0" w:line="277" w:lineRule="auto"/>
        <w:rPr>
          <w:sz w:val="20"/>
          <w:szCs w:val="20"/>
          <w:color w:val="auto"/>
        </w:rPr>
      </w:pPr>
      <w:r>
        <w:rPr>
          <w:rFonts w:ascii="Arial" w:cs="Arial" w:eastAsia="Arial" w:hAnsi="Arial"/>
          <w:sz w:val="12"/>
          <w:szCs w:val="12"/>
          <w:color w:val="auto"/>
        </w:rPr>
        <w:t>Our TAM spans travel management, both managed and traditionally unmanaged, as well as expense management and payments. We estimate the TAM for the services we offer today to be approximately $185 billion globally. To estimate our total TAM, we identified four categories of market opportunities: (1) managed and unmanaged business travel management, referred to as the managed and unmanaged categories, (2) bleisure, (3) expense management, and (4) payments.</w:t>
      </w:r>
    </w:p>
    <w:p>
      <w:pPr>
        <w:spacing w:after="0" w:line="84" w:lineRule="exact"/>
        <w:rPr>
          <w:sz w:val="20"/>
          <w:szCs w:val="20"/>
          <w:color w:val="auto"/>
        </w:rPr>
      </w:pPr>
    </w:p>
    <w:p>
      <w:pPr>
        <w:ind w:left="1980" w:right="1860" w:hanging="228"/>
        <w:spacing w:after="0" w:line="289" w:lineRule="auto"/>
        <w:tabs>
          <w:tab w:leader="none" w:pos="1980" w:val="left"/>
        </w:tabs>
        <w:numPr>
          <w:ilvl w:val="0"/>
          <w:numId w:val="12"/>
        </w:numPr>
        <w:rPr>
          <w:rFonts w:ascii="Arial" w:cs="Arial" w:eastAsia="Arial" w:hAnsi="Arial"/>
          <w:sz w:val="12"/>
          <w:szCs w:val="12"/>
          <w:color w:val="auto"/>
        </w:rPr>
      </w:pPr>
      <w:r>
        <w:rPr>
          <w:rFonts w:ascii="Arial" w:cs="Arial" w:eastAsia="Arial" w:hAnsi="Arial"/>
          <w:sz w:val="12"/>
          <w:szCs w:val="12"/>
          <w:i w:val="1"/>
          <w:iCs w:val="1"/>
          <w:color w:val="auto"/>
        </w:rPr>
        <w:t xml:space="preserve">Business Travel Management. </w:t>
      </w:r>
      <w:r>
        <w:rPr>
          <w:rFonts w:ascii="Arial" w:cs="Arial" w:eastAsia="Arial" w:hAnsi="Arial"/>
          <w:sz w:val="12"/>
          <w:szCs w:val="12"/>
          <w:color w:val="auto"/>
        </w:rPr>
        <w:t>We estimate our revenue opportunity in the business travel</w:t>
      </w:r>
      <w:r>
        <w:rPr>
          <w:rFonts w:ascii="Arial" w:cs="Arial" w:eastAsia="Arial" w:hAnsi="Arial"/>
          <w:sz w:val="12"/>
          <w:szCs w:val="12"/>
          <w:i w:val="1"/>
          <w:iCs w:val="1"/>
          <w:color w:val="auto"/>
        </w:rPr>
        <w:t xml:space="preserve"> </w:t>
      </w:r>
      <w:r>
        <w:rPr>
          <w:rFonts w:ascii="Arial" w:cs="Arial" w:eastAsia="Arial" w:hAnsi="Arial"/>
          <w:sz w:val="12"/>
          <w:szCs w:val="12"/>
          <w:color w:val="auto"/>
        </w:rPr>
        <w:t>management category today to be approximately $86 billion globally across both the managed and unmanaged categories, based on our own monetization of business travel.</w:t>
      </w:r>
    </w:p>
    <w:p>
      <w:pPr>
        <w:spacing w:after="0" w:line="75" w:lineRule="exact"/>
        <w:rPr>
          <w:rFonts w:ascii="Arial" w:cs="Arial" w:eastAsia="Arial" w:hAnsi="Arial"/>
          <w:sz w:val="12"/>
          <w:szCs w:val="12"/>
          <w:color w:val="auto"/>
        </w:rPr>
      </w:pPr>
    </w:p>
    <w:p>
      <w:pPr>
        <w:ind w:left="1980" w:right="1700" w:hanging="228"/>
        <w:spacing w:after="0" w:line="277" w:lineRule="auto"/>
        <w:tabs>
          <w:tab w:leader="none" w:pos="1980" w:val="left"/>
        </w:tabs>
        <w:numPr>
          <w:ilvl w:val="0"/>
          <w:numId w:val="12"/>
        </w:numPr>
        <w:rPr>
          <w:rFonts w:ascii="Arial" w:cs="Arial" w:eastAsia="Arial" w:hAnsi="Arial"/>
          <w:sz w:val="12"/>
          <w:szCs w:val="12"/>
          <w:color w:val="auto"/>
        </w:rPr>
      </w:pPr>
      <w:r>
        <w:rPr>
          <w:rFonts w:ascii="Arial" w:cs="Arial" w:eastAsia="Arial" w:hAnsi="Arial"/>
          <w:sz w:val="12"/>
          <w:szCs w:val="12"/>
          <w:i w:val="1"/>
          <w:iCs w:val="1"/>
          <w:color w:val="auto"/>
        </w:rPr>
        <w:t>Bleisure</w:t>
      </w:r>
      <w:r>
        <w:rPr>
          <w:rFonts w:ascii="Arial" w:cs="Arial" w:eastAsia="Arial" w:hAnsi="Arial"/>
          <w:sz w:val="12"/>
          <w:szCs w:val="12"/>
          <w:color w:val="auto"/>
        </w:rPr>
        <w:t>. We estimate our revenue opportunity in the bleisure category today to be approximately</w:t>
      </w:r>
      <w:r>
        <w:rPr>
          <w:rFonts w:ascii="Arial" w:cs="Arial" w:eastAsia="Arial" w:hAnsi="Arial"/>
          <w:sz w:val="12"/>
          <w:szCs w:val="12"/>
          <w:i w:val="1"/>
          <w:iCs w:val="1"/>
          <w:color w:val="auto"/>
        </w:rPr>
        <w:t xml:space="preserve"> </w:t>
      </w:r>
      <w:r>
        <w:rPr>
          <w:rFonts w:ascii="Arial" w:cs="Arial" w:eastAsia="Arial" w:hAnsi="Arial"/>
          <w:sz w:val="12"/>
          <w:szCs w:val="12"/>
          <w:color w:val="auto"/>
        </w:rPr>
        <w:t>$24 billion. According to a Euromonitor report commissioned by us, the bleisure serviceable addressable market was estimated to be $324 billion in 2024, which, when multiplied by our usage yield of approximately 7% for fiscal 2025, results in a revenue opportunity of $24 billion. We currently penetrate a small portion of this category.</w:t>
      </w:r>
    </w:p>
    <w:p>
      <w:pPr>
        <w:spacing w:after="0" w:line="83" w:lineRule="exact"/>
        <w:rPr>
          <w:rFonts w:ascii="Arial" w:cs="Arial" w:eastAsia="Arial" w:hAnsi="Arial"/>
          <w:sz w:val="12"/>
          <w:szCs w:val="12"/>
          <w:color w:val="auto"/>
        </w:rPr>
      </w:pPr>
    </w:p>
    <w:p>
      <w:pPr>
        <w:ind w:left="1980" w:right="1680" w:hanging="228"/>
        <w:spacing w:after="0" w:line="277" w:lineRule="auto"/>
        <w:tabs>
          <w:tab w:leader="none" w:pos="1980" w:val="left"/>
        </w:tabs>
        <w:numPr>
          <w:ilvl w:val="0"/>
          <w:numId w:val="12"/>
        </w:numPr>
        <w:rPr>
          <w:rFonts w:ascii="Arial" w:cs="Arial" w:eastAsia="Arial" w:hAnsi="Arial"/>
          <w:sz w:val="12"/>
          <w:szCs w:val="12"/>
          <w:color w:val="auto"/>
        </w:rPr>
      </w:pPr>
      <w:r>
        <w:rPr>
          <w:rFonts w:ascii="Arial" w:cs="Arial" w:eastAsia="Arial" w:hAnsi="Arial"/>
          <w:sz w:val="12"/>
          <w:szCs w:val="12"/>
          <w:i w:val="1"/>
          <w:iCs w:val="1"/>
          <w:color w:val="auto"/>
        </w:rPr>
        <w:t xml:space="preserve">Expense Management. </w:t>
      </w:r>
      <w:r>
        <w:rPr>
          <w:rFonts w:ascii="Arial" w:cs="Arial" w:eastAsia="Arial" w:hAnsi="Arial"/>
          <w:sz w:val="12"/>
          <w:szCs w:val="12"/>
          <w:color w:val="auto"/>
        </w:rPr>
        <w:t>We estimate the revenue opportunity in the expense management</w:t>
      </w:r>
      <w:r>
        <w:rPr>
          <w:rFonts w:ascii="Arial" w:cs="Arial" w:eastAsia="Arial" w:hAnsi="Arial"/>
          <w:sz w:val="12"/>
          <w:szCs w:val="12"/>
          <w:i w:val="1"/>
          <w:iCs w:val="1"/>
          <w:color w:val="auto"/>
        </w:rPr>
        <w:t xml:space="preserve"> </w:t>
      </w:r>
      <w:r>
        <w:rPr>
          <w:rFonts w:ascii="Arial" w:cs="Arial" w:eastAsia="Arial" w:hAnsi="Arial"/>
          <w:sz w:val="12"/>
          <w:szCs w:val="12"/>
          <w:color w:val="auto"/>
        </w:rPr>
        <w:t>category today to be approximately $39 billion globally. Our Expense Management offering is a software-driven expense and payments management system, and we calculate the $39 billion global addressable market by multiplying the total number of small-and-medium-sized businesses, according to FactSet data, by our internal estimate of average revenue per customer.</w:t>
      </w:r>
    </w:p>
    <w:p>
      <w:pPr>
        <w:spacing w:after="0" w:line="83" w:lineRule="exact"/>
        <w:rPr>
          <w:rFonts w:ascii="Arial" w:cs="Arial" w:eastAsia="Arial" w:hAnsi="Arial"/>
          <w:sz w:val="12"/>
          <w:szCs w:val="12"/>
          <w:color w:val="auto"/>
        </w:rPr>
      </w:pPr>
    </w:p>
    <w:p>
      <w:pPr>
        <w:ind w:left="1980" w:right="1680" w:hanging="228"/>
        <w:spacing w:after="0" w:line="275" w:lineRule="auto"/>
        <w:tabs>
          <w:tab w:leader="none" w:pos="1980" w:val="left"/>
        </w:tabs>
        <w:numPr>
          <w:ilvl w:val="0"/>
          <w:numId w:val="12"/>
        </w:numPr>
        <w:rPr>
          <w:rFonts w:ascii="Arial" w:cs="Arial" w:eastAsia="Arial" w:hAnsi="Arial"/>
          <w:sz w:val="12"/>
          <w:szCs w:val="12"/>
          <w:color w:val="auto"/>
        </w:rPr>
      </w:pPr>
      <w:r>
        <w:rPr>
          <w:rFonts w:ascii="Arial" w:cs="Arial" w:eastAsia="Arial" w:hAnsi="Arial"/>
          <w:sz w:val="12"/>
          <w:szCs w:val="12"/>
          <w:i w:val="1"/>
          <w:iCs w:val="1"/>
          <w:color w:val="auto"/>
        </w:rPr>
        <w:t>Payments</w:t>
      </w:r>
      <w:r>
        <w:rPr>
          <w:rFonts w:ascii="Arial" w:cs="Arial" w:eastAsia="Arial" w:hAnsi="Arial"/>
          <w:sz w:val="12"/>
          <w:szCs w:val="12"/>
          <w:color w:val="auto"/>
        </w:rPr>
        <w:t>. We estimate the revenue opportunity in the payments category based on total</w:t>
      </w:r>
      <w:r>
        <w:rPr>
          <w:rFonts w:ascii="Arial" w:cs="Arial" w:eastAsia="Arial" w:hAnsi="Arial"/>
          <w:sz w:val="12"/>
          <w:szCs w:val="12"/>
          <w:i w:val="1"/>
          <w:iCs w:val="1"/>
          <w:color w:val="auto"/>
        </w:rPr>
        <w:t xml:space="preserve"> </w:t>
      </w:r>
      <w:r>
        <w:rPr>
          <w:rFonts w:ascii="Arial" w:cs="Arial" w:eastAsia="Arial" w:hAnsi="Arial"/>
          <w:sz w:val="12"/>
          <w:szCs w:val="12"/>
          <w:color w:val="auto"/>
        </w:rPr>
        <w:t>spending to be approximately $37 billion for fiscal 2025 globally. According to Euromonitor, commercial charge and credit card spend is estimated to be $3.1 trillion by the end of 2025. To calculate our addressable market in the payments category, we multiplied the total spend by our internal estimate of net interchange. We believe we have significant room to grow our relationship with partners and expand in the corporate card market opportunity.</w:t>
      </w:r>
    </w:p>
    <w:p>
      <w:pPr>
        <w:spacing w:after="0" w:line="85"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Our Growth Strategies</w:t>
      </w:r>
    </w:p>
    <w:p>
      <w:pPr>
        <w:spacing w:after="0" w:line="130"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Key elements of our growth strategy include the following:</w:t>
      </w:r>
    </w:p>
    <w:p>
      <w:pPr>
        <w:spacing w:after="0" w:line="130" w:lineRule="exact"/>
        <w:rPr>
          <w:sz w:val="20"/>
          <w:szCs w:val="20"/>
          <w:color w:val="auto"/>
        </w:rPr>
      </w:pPr>
    </w:p>
    <w:p>
      <w:pPr>
        <w:ind w:left="1980" w:right="1700" w:hanging="228"/>
        <w:spacing w:after="0" w:line="271" w:lineRule="auto"/>
        <w:tabs>
          <w:tab w:leader="none" w:pos="1980" w:val="left"/>
        </w:tabs>
        <w:numPr>
          <w:ilvl w:val="0"/>
          <w:numId w:val="13"/>
        </w:numPr>
        <w:rPr>
          <w:rFonts w:ascii="Arial" w:cs="Arial" w:eastAsia="Arial" w:hAnsi="Arial"/>
          <w:sz w:val="12"/>
          <w:szCs w:val="12"/>
          <w:color w:val="auto"/>
        </w:rPr>
      </w:pPr>
      <w:r>
        <w:rPr>
          <w:rFonts w:ascii="Arial" w:cs="Arial" w:eastAsia="Arial" w:hAnsi="Arial"/>
          <w:sz w:val="12"/>
          <w:szCs w:val="12"/>
          <w:i w:val="1"/>
          <w:iCs w:val="1"/>
          <w:color w:val="auto"/>
        </w:rPr>
        <w:t xml:space="preserve">Add new customers to the Navan platform </w:t>
      </w:r>
      <w:r>
        <w:rPr>
          <w:rFonts w:ascii="Arial" w:cs="Arial" w:eastAsia="Arial" w:hAnsi="Arial"/>
          <w:sz w:val="12"/>
          <w:szCs w:val="12"/>
          <w:color w:val="auto"/>
        </w:rPr>
        <w:t>. We believe the market for our solutions is large. Our</w:t>
      </w:r>
      <w:r>
        <w:rPr>
          <w:rFonts w:ascii="Arial" w:cs="Arial" w:eastAsia="Arial" w:hAnsi="Arial"/>
          <w:sz w:val="12"/>
          <w:szCs w:val="12"/>
          <w:i w:val="1"/>
          <w:iCs w:val="1"/>
          <w:color w:val="auto"/>
        </w:rPr>
        <w:t xml:space="preserve"> </w:t>
      </w:r>
      <w:r>
        <w:rPr>
          <w:rFonts w:ascii="Arial" w:cs="Arial" w:eastAsia="Arial" w:hAnsi="Arial"/>
          <w:sz w:val="12"/>
          <w:szCs w:val="12"/>
          <w:color w:val="auto"/>
        </w:rPr>
        <w:t>platform is intuitive to use and scalable for customers of all sizes across industries and geographies. We believe that customers with travel and expense systems today (managed customers) are underserved by existing vendors and frustrated by the fragmented experience that they face via these solutions. In addition to this managed category of the market, we believe there is sizable greenfield opportunity in helping manage travel and expense spend across customers who do not have a travel and expense platform today. We believe our end-to-end, intuitive, and easy to implement solution is well positioned to meet the needs of both the managed and unmanaged categories, and we have successfully grown to have over 10,000 active customers as of January 31, 2025.</w:t>
      </w:r>
    </w:p>
    <w:p>
      <w:pPr>
        <w:spacing w:after="0" w:line="88" w:lineRule="exact"/>
        <w:rPr>
          <w:sz w:val="20"/>
          <w:szCs w:val="20"/>
          <w:color w:val="auto"/>
        </w:rPr>
      </w:pPr>
    </w:p>
    <w:p>
      <w:pPr>
        <w:ind w:left="1980" w:right="1720" w:hanging="219"/>
        <w:spacing w:after="0" w:line="272" w:lineRule="auto"/>
        <w:tabs>
          <w:tab w:leader="none" w:pos="196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i w:val="1"/>
          <w:iCs w:val="1"/>
          <w:color w:val="auto"/>
        </w:rPr>
        <w:t xml:space="preserve">Drive higher penetration and adoption across our existing customers </w:t>
      </w:r>
      <w:r>
        <w:rPr>
          <w:rFonts w:ascii="Arial" w:cs="Arial" w:eastAsia="Arial" w:hAnsi="Arial"/>
          <w:sz w:val="12"/>
          <w:szCs w:val="12"/>
          <w:color w:val="auto"/>
        </w:rPr>
        <w:t>. We are focused on</w:t>
      </w:r>
      <w:r>
        <w:rPr>
          <w:rFonts w:ascii="Arial" w:cs="Arial" w:eastAsia="Arial" w:hAnsi="Arial"/>
          <w:sz w:val="12"/>
          <w:szCs w:val="12"/>
          <w:i w:val="1"/>
          <w:iCs w:val="1"/>
          <w:color w:val="auto"/>
        </w:rPr>
        <w:t xml:space="preserve"> </w:t>
      </w:r>
      <w:r>
        <w:rPr>
          <w:rFonts w:ascii="Arial" w:cs="Arial" w:eastAsia="Arial" w:hAnsi="Arial"/>
          <w:sz w:val="12"/>
          <w:szCs w:val="12"/>
          <w:color w:val="auto"/>
        </w:rPr>
        <w:t>continuing to expand our wallet share across existing customer relationships by driving cross-sell and increasing platform adoption. We typically land our customers with our Travel offering. We then help customers integrate additional offerings across our platform such as Corporate Payments, Expense Management, and VIP, based on the customer’s evolving needs, especially as the customer continues to grow and scale their own business and employee base. Our Bleisure capability expands this potential by enabling employees to seamlessly add personal travel to business trips, further deepening adoption and increasing engagement. This cross-sell motion remains a significant whitespace opportunity for us to grow within our customer base. For</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980" w:right="1700"/>
        <w:spacing w:after="0" w:line="277" w:lineRule="auto"/>
        <w:rPr>
          <w:sz w:val="20"/>
          <w:szCs w:val="20"/>
          <w:color w:val="auto"/>
        </w:rPr>
      </w:pPr>
      <w:r>
        <w:rPr>
          <w:rFonts w:ascii="Arial" w:cs="Arial" w:eastAsia="Arial" w:hAnsi="Arial"/>
          <w:sz w:val="12"/>
          <w:szCs w:val="12"/>
          <w:color w:val="auto"/>
        </w:rPr>
        <w:t>example, as of January 31, 2025, 36% of our customers attached to three or more offerings. In addition to benefiting from continued underlying growth in business travel spend, we also see significant opportunity for growth alongside our customers as they scale their underlying business and increase their investment in T&amp;E to support their growth. We also see opportunities to increase platform adoption across the existing user base for our customers.</w:t>
      </w:r>
    </w:p>
    <w:p>
      <w:pPr>
        <w:spacing w:after="0" w:line="84" w:lineRule="exact"/>
        <w:rPr>
          <w:sz w:val="20"/>
          <w:szCs w:val="20"/>
          <w:color w:val="auto"/>
        </w:rPr>
      </w:pPr>
    </w:p>
    <w:p>
      <w:pPr>
        <w:ind w:left="1980" w:right="1720" w:hanging="228"/>
        <w:spacing w:after="0" w:line="268" w:lineRule="auto"/>
        <w:tabs>
          <w:tab w:leader="none" w:pos="1980" w:val="left"/>
        </w:tabs>
        <w:numPr>
          <w:ilvl w:val="0"/>
          <w:numId w:val="14"/>
        </w:numPr>
        <w:rPr>
          <w:rFonts w:ascii="Arial" w:cs="Arial" w:eastAsia="Arial" w:hAnsi="Arial"/>
          <w:sz w:val="12"/>
          <w:szCs w:val="12"/>
          <w:color w:val="auto"/>
        </w:rPr>
      </w:pPr>
      <w:r>
        <w:rPr>
          <w:rFonts w:ascii="Arial" w:cs="Arial" w:eastAsia="Arial" w:hAnsi="Arial"/>
          <w:sz w:val="12"/>
          <w:szCs w:val="12"/>
          <w:i w:val="1"/>
          <w:iCs w:val="1"/>
          <w:color w:val="auto"/>
        </w:rPr>
        <w:t xml:space="preserve">Continue to invest in our platform and offerings. </w:t>
      </w:r>
      <w:r>
        <w:rPr>
          <w:rFonts w:ascii="Arial" w:cs="Arial" w:eastAsia="Arial" w:hAnsi="Arial"/>
          <w:sz w:val="12"/>
          <w:szCs w:val="12"/>
          <w:color w:val="auto"/>
        </w:rPr>
        <w:t>We have a strong history of technology</w:t>
      </w:r>
      <w:r>
        <w:rPr>
          <w:rFonts w:ascii="Arial" w:cs="Arial" w:eastAsia="Arial" w:hAnsi="Arial"/>
          <w:sz w:val="12"/>
          <w:szCs w:val="12"/>
          <w:i w:val="1"/>
          <w:iCs w:val="1"/>
          <w:color w:val="auto"/>
        </w:rPr>
        <w:t xml:space="preserve"> </w:t>
      </w:r>
      <w:r>
        <w:rPr>
          <w:rFonts w:ascii="Arial" w:cs="Arial" w:eastAsia="Arial" w:hAnsi="Arial"/>
          <w:sz w:val="12"/>
          <w:szCs w:val="12"/>
          <w:color w:val="auto"/>
        </w:rPr>
        <w:t>innovation, and we believe there is ample opportunity for growth as we continue to invest in the development of our platform capabilities to serve current and future travelers and customers. Across our platform, we see a particularly strong opportunity to continue to scale our capabilities through the continued deployment of advanced technologies to streamline the overall booking experience for travelers and drive costs down for our customers, as well as evolve our customer-facing UI to further simplify and personalize their booking and support experience. In addition to our ML investments, we have invested heavily in deploying generative artificial intelligence, or Gen AI, capabilities to complement our ML-based capabilities, leading to our development of Navan Cognition. Navan Cognition is our innovative proprietary AI framework that combines the precision and predictive power of ML with the reasoning capabilities of LLMs. On our platform, Navan Cognition enables us to create, train, deploy, and supervise specialized virtual agents that can handle complex tasks previously requiring human intervention. Navan Cognition has also been core to helping improve the service offering of our platform without adding cost to our customers and enabling us to further optimize margins. We view our AI-enabled capabilities as core to our platform and expect the continued advancement of these capabilities to enable us to continuously improve user experiences, further streamline workflows and unlock new use cases, which should in turn continue to expand the value we are able to deliver to customers as we move forward. Looking ahead, we expect to continue to invest in Navan Cognition in order to further enable us, and potentially to enable outside organizations, to create and oversee AI-</w:t>
      </w:r>
    </w:p>
    <w:p>
      <w:pPr>
        <w:sectPr>
          <w:pgSz w:w="11900" w:h="16840" w:orient="portrait"/>
          <w:cols w:equalWidth="0" w:num="1">
            <w:col w:w="9020"/>
          </w:cols>
          <w:pgMar w:left="1440" w:top="560" w:right="1440" w:bottom="0" w:gutter="0" w:footer="0" w:header="0"/>
        </w:sectPr>
      </w:pPr>
    </w:p>
    <w:bookmarkStart w:id="12" w:name="page13"/>
    <w:bookmarkEnd w:id="12"/>
    <w:p>
      <w:pPr>
        <w:ind w:left="1980" w:right="1700"/>
        <w:spacing w:after="0" w:line="272" w:lineRule="auto"/>
        <w:rPr>
          <w:sz w:val="20"/>
          <w:szCs w:val="20"/>
          <w:color w:val="auto"/>
        </w:rPr>
      </w:pPr>
      <w:r>
        <w:rPr>
          <w:rFonts w:ascii="Arial" w:cs="Arial" w:eastAsia="Arial" w:hAnsi="Arial"/>
          <w:sz w:val="12"/>
          <w:szCs w:val="12"/>
          <w:color w:val="auto"/>
        </w:rPr>
        <w:t>powered virtual agents with enterprise-grade reliability. We also expect to continue to invest in future product interface enhancements such as Navan Go, which is powered by Navan Cognition and designed to redefine how travelers book, modify, and manage trips on the go via their mobile devices. In addition to making investments to grow our platform organically, we have selectively pursued inorganic growth opportunities from time to time. Our history of acquisitions for both platform expansion and the development of greater geographic expertise has demonstrated our ability to grow effectively. Should the opportunity for future inorganic growth present itself for developing future capabilities, supplier relationships, geographic expertise, or other means of serving our travelers and customers, we may consider pursuing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-892810</wp:posOffset>
            </wp:positionV>
            <wp:extent cx="6732270" cy="9970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65" w:lineRule="exact"/>
        <w:rPr>
          <w:sz w:val="20"/>
          <w:szCs w:val="20"/>
          <w:color w:val="auto"/>
        </w:rPr>
      </w:pPr>
    </w:p>
    <w:p>
      <w:pPr>
        <w:ind w:left="1980" w:right="1620" w:hanging="228"/>
        <w:spacing w:after="0" w:line="269" w:lineRule="auto"/>
        <w:tabs>
          <w:tab w:leader="none" w:pos="1980" w:val="left"/>
        </w:tabs>
        <w:numPr>
          <w:ilvl w:val="0"/>
          <w:numId w:val="15"/>
        </w:numPr>
        <w:rPr>
          <w:rFonts w:ascii="Arial" w:cs="Arial" w:eastAsia="Arial" w:hAnsi="Arial"/>
          <w:sz w:val="12"/>
          <w:szCs w:val="12"/>
          <w:color w:val="auto"/>
        </w:rPr>
      </w:pPr>
      <w:r>
        <w:rPr>
          <w:rFonts w:ascii="Arial" w:cs="Arial" w:eastAsia="Arial" w:hAnsi="Arial"/>
          <w:sz w:val="12"/>
          <w:szCs w:val="12"/>
          <w:i w:val="1"/>
          <w:iCs w:val="1"/>
          <w:color w:val="auto"/>
        </w:rPr>
        <w:t xml:space="preserve">Grow our international presence. </w:t>
      </w:r>
      <w:r>
        <w:rPr>
          <w:rFonts w:ascii="Arial" w:cs="Arial" w:eastAsia="Arial" w:hAnsi="Arial"/>
          <w:sz w:val="12"/>
          <w:szCs w:val="12"/>
          <w:color w:val="auto"/>
        </w:rPr>
        <w:t>We continue to broaden the scope and extent of our offerings</w:t>
      </w:r>
      <w:r>
        <w:rPr>
          <w:rFonts w:ascii="Arial" w:cs="Arial" w:eastAsia="Arial" w:hAnsi="Arial"/>
          <w:sz w:val="12"/>
          <w:szCs w:val="12"/>
          <w:i w:val="1"/>
          <w:iCs w:val="1"/>
          <w:color w:val="auto"/>
        </w:rPr>
        <w:t xml:space="preserve"> </w:t>
      </w:r>
      <w:r>
        <w:rPr>
          <w:rFonts w:ascii="Arial" w:cs="Arial" w:eastAsia="Arial" w:hAnsi="Arial"/>
          <w:sz w:val="12"/>
          <w:szCs w:val="12"/>
          <w:color w:val="auto"/>
        </w:rPr>
        <w:t>outside of the United States. The inherently international nature of travel has meant that we invested in building out a global infrastructure for our platform from the very beginning. These early investments in integrating travel suppliers from across the globe, as well as the development of localized partner relationships, has allowed us to offer a truly global inventory of travel offerings, as well as supplement our platform with regional knowledge, personalized support, and multi-currency payment services. For fiscal 2025 and for the six months ended July 31, 2025, revenue generated from customers and suppliers outside of the United States represented 41% and 39%, respectively, of our revenue, underscoring the success we have had to date in growing across international markets and the sizable opportunity that remains across those markets for us to increase our presence . We have been active in pursuing both organic and inorganic actions to expand the geographic reach of our platform and improve cross-selling capabilities of our offerings to international customers, with plans to continue to invest in these areas to drive continued growth across these international markets.</w:t>
      </w:r>
    </w:p>
    <w:p>
      <w:pPr>
        <w:spacing w:after="0" w:line="95"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Risk Factors Summary</w:t>
      </w:r>
    </w:p>
    <w:p>
      <w:pPr>
        <w:spacing w:after="0" w:line="128" w:lineRule="exact"/>
        <w:rPr>
          <w:sz w:val="20"/>
          <w:szCs w:val="20"/>
          <w:color w:val="auto"/>
        </w:rPr>
      </w:pPr>
    </w:p>
    <w:p>
      <w:pPr>
        <w:ind w:left="1520" w:right="1960" w:firstLine="230"/>
        <w:spacing w:after="0" w:line="312" w:lineRule="auto"/>
        <w:rPr>
          <w:sz w:val="20"/>
          <w:szCs w:val="20"/>
          <w:color w:val="auto"/>
        </w:rPr>
      </w:pPr>
      <w:r>
        <w:rPr>
          <w:rFonts w:ascii="Arial" w:cs="Arial" w:eastAsia="Arial" w:hAnsi="Arial"/>
          <w:sz w:val="12"/>
          <w:szCs w:val="12"/>
          <w:color w:val="auto"/>
        </w:rPr>
        <w:t>Investing in our Class A common stock involves numerous risks, including those described in the section titled “Risk Factors” immediately following this prospectus summary and elsewhere in this</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840"/>
        <w:spacing w:after="0" w:line="289" w:lineRule="auto"/>
        <w:rPr>
          <w:sz w:val="20"/>
          <w:szCs w:val="20"/>
          <w:color w:val="auto"/>
        </w:rPr>
      </w:pPr>
      <w:r>
        <w:rPr>
          <w:rFonts w:ascii="Arial" w:cs="Arial" w:eastAsia="Arial" w:hAnsi="Arial"/>
          <w:sz w:val="12"/>
          <w:szCs w:val="12"/>
          <w:color w:val="auto"/>
        </w:rPr>
        <w:t>prospectus. You should carefully consider these risks before making an investment. Below are some of these risks, any one of which could negatively impact our business, financial condition, results of operations, and growth prospects.</w:t>
      </w:r>
    </w:p>
    <w:p>
      <w:pPr>
        <w:spacing w:after="0" w:line="76" w:lineRule="exact"/>
        <w:rPr>
          <w:sz w:val="20"/>
          <w:szCs w:val="20"/>
          <w:color w:val="auto"/>
        </w:rPr>
      </w:pPr>
    </w:p>
    <w:p>
      <w:pPr>
        <w:ind w:left="1980" w:right="1900" w:hanging="228"/>
        <w:spacing w:after="0" w:line="289" w:lineRule="auto"/>
        <w:tabs>
          <w:tab w:leader="none" w:pos="19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have experienced rapid growth and operational and strategic expansion in recent periods. Such historical trends, including growth rates, may not continue in the future, and failure to effectively manage our growth could harm our business and results of operations.</w:t>
      </w:r>
    </w:p>
    <w:p>
      <w:pPr>
        <w:spacing w:after="0" w:line="75" w:lineRule="exact"/>
        <w:rPr>
          <w:rFonts w:ascii="Arial" w:cs="Arial" w:eastAsia="Arial" w:hAnsi="Arial"/>
          <w:sz w:val="12"/>
          <w:szCs w:val="12"/>
          <w:color w:val="auto"/>
        </w:rPr>
      </w:pPr>
    </w:p>
    <w:p>
      <w:pPr>
        <w:ind w:left="1980" w:right="1800" w:hanging="228"/>
        <w:spacing w:after="0" w:line="289" w:lineRule="auto"/>
        <w:tabs>
          <w:tab w:leader="none" w:pos="1980" w:val="left"/>
        </w:tabs>
        <w:numPr>
          <w:ilvl w:val="0"/>
          <w:numId w:val="16"/>
        </w:numPr>
        <w:rPr>
          <w:rFonts w:ascii="Arial" w:cs="Arial" w:eastAsia="Arial" w:hAnsi="Arial"/>
          <w:sz w:val="12"/>
          <w:szCs w:val="12"/>
          <w:color w:val="auto"/>
        </w:rPr>
      </w:pPr>
      <w:r>
        <w:rPr>
          <w:rFonts w:ascii="Arial" w:cs="Arial" w:eastAsia="Arial" w:hAnsi="Arial"/>
          <w:sz w:val="12"/>
          <w:szCs w:val="12"/>
          <w:color w:val="auto"/>
          <w:highlight w:val="white"/>
        </w:rPr>
        <w:t>Our revenue has historically been, and is expected to continue to be, significantly dependent on our Travel Management offerings, and a prolonged or substantial decrease in, or systemic disruptions to, global travel could adversely affect us.</w:t>
      </w:r>
    </w:p>
    <w:p>
      <w:pPr>
        <w:spacing w:after="0" w:line="75" w:lineRule="exact"/>
        <w:rPr>
          <w:rFonts w:ascii="Arial" w:cs="Arial" w:eastAsia="Arial" w:hAnsi="Arial"/>
          <w:sz w:val="12"/>
          <w:szCs w:val="12"/>
          <w:color w:val="auto"/>
        </w:rPr>
      </w:pPr>
    </w:p>
    <w:p>
      <w:pPr>
        <w:ind w:left="1980" w:right="1720" w:hanging="228"/>
        <w:spacing w:after="0" w:line="312" w:lineRule="auto"/>
        <w:tabs>
          <w:tab w:leader="none" w:pos="1980" w:val="left"/>
        </w:tabs>
        <w:numPr>
          <w:ilvl w:val="0"/>
          <w:numId w:val="16"/>
        </w:numPr>
        <w:rPr>
          <w:rFonts w:ascii="Arial" w:cs="Arial" w:eastAsia="Arial" w:hAnsi="Arial"/>
          <w:sz w:val="12"/>
          <w:szCs w:val="12"/>
          <w:color w:val="auto"/>
        </w:rPr>
      </w:pPr>
      <w:r>
        <w:rPr>
          <w:rFonts w:ascii="Arial" w:cs="Arial" w:eastAsia="Arial" w:hAnsi="Arial"/>
          <w:sz w:val="12"/>
          <w:szCs w:val="12"/>
          <w:color w:val="auto"/>
          <w:highlight w:val="white"/>
        </w:rPr>
        <w:t>Shifts in business travel trends or any decline in business travel demand would negatively impact our business, growth, results of operations, and financial condition.</w:t>
      </w:r>
    </w:p>
    <w:p>
      <w:pPr>
        <w:spacing w:after="0" w:line="62" w:lineRule="exact"/>
        <w:rPr>
          <w:rFonts w:ascii="Arial" w:cs="Arial" w:eastAsia="Arial" w:hAnsi="Arial"/>
          <w:sz w:val="12"/>
          <w:szCs w:val="12"/>
          <w:color w:val="auto"/>
        </w:rPr>
      </w:pPr>
    </w:p>
    <w:p>
      <w:pPr>
        <w:ind w:left="1980" w:right="2260" w:hanging="228"/>
        <w:spacing w:after="0" w:line="312" w:lineRule="auto"/>
        <w:tabs>
          <w:tab w:leader="none" w:pos="1980" w:val="left"/>
        </w:tabs>
        <w:numPr>
          <w:ilvl w:val="0"/>
          <w:numId w:val="16"/>
        </w:numPr>
        <w:rPr>
          <w:rFonts w:ascii="Arial" w:cs="Arial" w:eastAsia="Arial" w:hAnsi="Arial"/>
          <w:sz w:val="12"/>
          <w:szCs w:val="12"/>
          <w:color w:val="auto"/>
        </w:rPr>
      </w:pPr>
      <w:r>
        <w:rPr>
          <w:rFonts w:ascii="Arial" w:cs="Arial" w:eastAsia="Arial" w:hAnsi="Arial"/>
          <w:sz w:val="12"/>
          <w:szCs w:val="12"/>
          <w:color w:val="auto"/>
          <w:highlight w:val="white"/>
        </w:rPr>
        <w:t>We may be unable to attract new customers and grow our customer base, which would negatively impact our revenue growth and results of operations.</w:t>
      </w:r>
    </w:p>
    <w:p>
      <w:pPr>
        <w:spacing w:after="0" w:line="62" w:lineRule="exact"/>
        <w:rPr>
          <w:rFonts w:ascii="Arial" w:cs="Arial" w:eastAsia="Arial" w:hAnsi="Arial"/>
          <w:sz w:val="12"/>
          <w:szCs w:val="12"/>
          <w:color w:val="auto"/>
        </w:rPr>
      </w:pPr>
    </w:p>
    <w:p>
      <w:pPr>
        <w:ind w:left="1980" w:right="1680" w:hanging="228"/>
        <w:spacing w:after="0" w:line="289" w:lineRule="auto"/>
        <w:tabs>
          <w:tab w:leader="none" w:pos="1980" w:val="left"/>
        </w:tabs>
        <w:numPr>
          <w:ilvl w:val="0"/>
          <w:numId w:val="16"/>
        </w:numPr>
        <w:rPr>
          <w:rFonts w:ascii="Arial" w:cs="Arial" w:eastAsia="Arial" w:hAnsi="Arial"/>
          <w:sz w:val="12"/>
          <w:szCs w:val="12"/>
          <w:color w:val="auto"/>
        </w:rPr>
      </w:pPr>
      <w:r>
        <w:rPr>
          <w:rFonts w:ascii="Arial" w:cs="Arial" w:eastAsia="Arial" w:hAnsi="Arial"/>
          <w:sz w:val="12"/>
          <w:szCs w:val="12"/>
          <w:color w:val="auto"/>
          <w:highlight w:val="white"/>
        </w:rPr>
        <w:t>We may not be successful in our efforts to retain and increase revenue from our customers, including by promoting and expanding adoption and usage of our offerings, which could adversely impact our business, financial condition, and results of operations.</w:t>
      </w:r>
    </w:p>
    <w:p>
      <w:pPr>
        <w:spacing w:after="0" w:line="75" w:lineRule="exact"/>
        <w:rPr>
          <w:rFonts w:ascii="Arial" w:cs="Arial" w:eastAsia="Arial" w:hAnsi="Arial"/>
          <w:sz w:val="12"/>
          <w:szCs w:val="12"/>
          <w:color w:val="auto"/>
        </w:rPr>
      </w:pPr>
    </w:p>
    <w:p>
      <w:pPr>
        <w:ind w:left="1980" w:right="1740" w:hanging="228"/>
        <w:spacing w:after="0" w:line="289" w:lineRule="auto"/>
        <w:tabs>
          <w:tab w:leader="none" w:pos="1980" w:val="left"/>
        </w:tabs>
        <w:numPr>
          <w:ilvl w:val="0"/>
          <w:numId w:val="16"/>
        </w:numPr>
        <w:rPr>
          <w:rFonts w:ascii="Arial" w:cs="Arial" w:eastAsia="Arial" w:hAnsi="Arial"/>
          <w:sz w:val="12"/>
          <w:szCs w:val="12"/>
          <w:color w:val="auto"/>
        </w:rPr>
      </w:pPr>
      <w:r>
        <w:rPr>
          <w:rFonts w:ascii="Arial" w:cs="Arial" w:eastAsia="Arial" w:hAnsi="Arial"/>
          <w:sz w:val="12"/>
          <w:szCs w:val="12"/>
          <w:color w:val="auto"/>
          <w:highlight w:val="white"/>
        </w:rPr>
        <w:t>If we fail to offer high-quality customer support, including through our AI-powered virtual agents, or if our support is more expensive than anticipated, our business, margins, and reputation could suffer.</w:t>
      </w:r>
    </w:p>
    <w:p>
      <w:pPr>
        <w:spacing w:after="0" w:line="75" w:lineRule="exact"/>
        <w:rPr>
          <w:rFonts w:ascii="Arial" w:cs="Arial" w:eastAsia="Arial" w:hAnsi="Arial"/>
          <w:sz w:val="12"/>
          <w:szCs w:val="12"/>
          <w:color w:val="auto"/>
        </w:rPr>
      </w:pPr>
    </w:p>
    <w:p>
      <w:pPr>
        <w:ind w:left="1980" w:hanging="228"/>
        <w:spacing w:after="0"/>
        <w:tabs>
          <w:tab w:leader="none" w:pos="1980" w:val="left"/>
        </w:tabs>
        <w:numPr>
          <w:ilvl w:val="0"/>
          <w:numId w:val="16"/>
        </w:numPr>
        <w:rPr>
          <w:rFonts w:ascii="Arial" w:cs="Arial" w:eastAsia="Arial" w:hAnsi="Arial"/>
          <w:sz w:val="12"/>
          <w:szCs w:val="12"/>
          <w:color w:val="auto"/>
        </w:rPr>
      </w:pPr>
      <w:r>
        <w:rPr>
          <w:rFonts w:ascii="Arial" w:cs="Arial" w:eastAsia="Arial" w:hAnsi="Arial"/>
          <w:sz w:val="12"/>
          <w:szCs w:val="12"/>
          <w:color w:val="auto"/>
          <w:highlight w:val="white"/>
        </w:rPr>
        <w:t>Our Travel Management offerings depend on our relationships with suppliers.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6"/>
        </w:numPr>
        <w:rPr>
          <w:rFonts w:ascii="Arial" w:cs="Arial" w:eastAsia="Arial" w:hAnsi="Arial"/>
          <w:sz w:val="12"/>
          <w:szCs w:val="12"/>
          <w:color w:val="auto"/>
        </w:rPr>
      </w:pPr>
      <w:r>
        <w:rPr>
          <w:rFonts w:ascii="Arial" w:cs="Arial" w:eastAsia="Arial" w:hAnsi="Arial"/>
          <w:sz w:val="12"/>
          <w:szCs w:val="12"/>
          <w:color w:val="auto"/>
          <w:highlight w:val="white"/>
        </w:rPr>
        <w:t>We have a history of operating losses and may not achieve or sustain profitability in the future.</w:t>
      </w:r>
    </w:p>
    <w:p>
      <w:pPr>
        <w:spacing w:after="0" w:line="129" w:lineRule="exact"/>
        <w:rPr>
          <w:rFonts w:ascii="Arial" w:cs="Arial" w:eastAsia="Arial" w:hAnsi="Arial"/>
          <w:sz w:val="12"/>
          <w:szCs w:val="12"/>
          <w:color w:val="auto"/>
        </w:rPr>
      </w:pPr>
    </w:p>
    <w:p>
      <w:pPr>
        <w:ind w:left="1980" w:right="1720" w:hanging="228"/>
        <w:spacing w:after="0" w:line="281" w:lineRule="auto"/>
        <w:tabs>
          <w:tab w:leader="none" w:pos="1980" w:val="left"/>
        </w:tabs>
        <w:numPr>
          <w:ilvl w:val="0"/>
          <w:numId w:val="16"/>
        </w:numPr>
        <w:rPr>
          <w:rFonts w:ascii="Arial" w:cs="Arial" w:eastAsia="Arial" w:hAnsi="Arial"/>
          <w:sz w:val="12"/>
          <w:szCs w:val="12"/>
          <w:color w:val="auto"/>
        </w:rPr>
      </w:pPr>
      <w:r>
        <w:rPr>
          <w:rFonts w:ascii="Arial" w:cs="Arial" w:eastAsia="Arial" w:hAnsi="Arial"/>
          <w:sz w:val="12"/>
          <w:szCs w:val="12"/>
          <w:color w:val="auto"/>
          <w:highlight w:val="white"/>
        </w:rPr>
        <w:t>We have a limited history operating our business at its current scale, scope, and complexity in an evolving market and economic environment, which makes it difficult to evaluate our current business, plan for future operations and strategic initiatives, predict future results, and evaluate our future prospects, increasing the risks associated with your investment.</w:t>
      </w:r>
    </w:p>
    <w:p>
      <w:pPr>
        <w:spacing w:after="0" w:line="80" w:lineRule="exact"/>
        <w:rPr>
          <w:rFonts w:ascii="Arial" w:cs="Arial" w:eastAsia="Arial" w:hAnsi="Arial"/>
          <w:sz w:val="12"/>
          <w:szCs w:val="12"/>
          <w:color w:val="auto"/>
        </w:rPr>
      </w:pPr>
    </w:p>
    <w:p>
      <w:pPr>
        <w:ind w:left="1980" w:right="1780" w:hanging="228"/>
        <w:spacing w:after="0" w:line="312" w:lineRule="auto"/>
        <w:tabs>
          <w:tab w:leader="none" w:pos="1980" w:val="left"/>
        </w:tabs>
        <w:numPr>
          <w:ilvl w:val="0"/>
          <w:numId w:val="16"/>
        </w:numPr>
        <w:rPr>
          <w:rFonts w:ascii="Arial" w:cs="Arial" w:eastAsia="Arial" w:hAnsi="Arial"/>
          <w:sz w:val="12"/>
          <w:szCs w:val="12"/>
          <w:color w:val="auto"/>
        </w:rPr>
      </w:pPr>
      <w:r>
        <w:rPr>
          <w:rFonts w:ascii="Arial" w:cs="Arial" w:eastAsia="Arial" w:hAnsi="Arial"/>
          <w:sz w:val="12"/>
          <w:szCs w:val="12"/>
          <w:color w:val="auto"/>
          <w:highlight w:val="white"/>
        </w:rPr>
        <w:t>Our results of operations may fluctuate significantly, which could make our future results difficult to predict and could cause our results of operations to fall below expectations.</w:t>
      </w:r>
    </w:p>
    <w:p>
      <w:pPr>
        <w:spacing w:after="0" w:line="62" w:lineRule="exact"/>
        <w:rPr>
          <w:rFonts w:ascii="Arial" w:cs="Arial" w:eastAsia="Arial" w:hAnsi="Arial"/>
          <w:sz w:val="12"/>
          <w:szCs w:val="12"/>
          <w:color w:val="auto"/>
        </w:rPr>
      </w:pPr>
    </w:p>
    <w:p>
      <w:pPr>
        <w:ind w:left="1980" w:right="1800" w:hanging="228"/>
        <w:spacing w:after="0" w:line="281" w:lineRule="auto"/>
        <w:tabs>
          <w:tab w:leader="none" w:pos="1980" w:val="left"/>
        </w:tabs>
        <w:numPr>
          <w:ilvl w:val="0"/>
          <w:numId w:val="16"/>
        </w:numPr>
        <w:rPr>
          <w:rFonts w:ascii="Arial" w:cs="Arial" w:eastAsia="Arial" w:hAnsi="Arial"/>
          <w:sz w:val="12"/>
          <w:szCs w:val="12"/>
          <w:color w:val="auto"/>
        </w:rPr>
      </w:pPr>
      <w:r>
        <w:rPr>
          <w:rFonts w:ascii="Arial" w:cs="Arial" w:eastAsia="Arial" w:hAnsi="Arial"/>
          <w:sz w:val="12"/>
          <w:szCs w:val="12"/>
          <w:color w:val="auto"/>
          <w:highlight w:val="white"/>
        </w:rPr>
        <w:t>Future acquisitions, strategic investments, partnerships, collaborations, or alliances could be difficult to identify and integrate, divert the attention of management, disrupt our business, dilute stockholder value, and adversely affect our business, financial condition, results of operations, and prospects.</w:t>
      </w:r>
    </w:p>
    <w:p>
      <w:pPr>
        <w:spacing w:after="0" w:line="80" w:lineRule="exact"/>
        <w:rPr>
          <w:rFonts w:ascii="Arial" w:cs="Arial" w:eastAsia="Arial" w:hAnsi="Arial"/>
          <w:sz w:val="12"/>
          <w:szCs w:val="12"/>
          <w:color w:val="auto"/>
        </w:rPr>
      </w:pPr>
    </w:p>
    <w:p>
      <w:pPr>
        <w:ind w:left="1980" w:right="1820" w:hanging="228"/>
        <w:spacing w:after="0" w:line="312" w:lineRule="auto"/>
        <w:tabs>
          <w:tab w:leader="none" w:pos="1980" w:val="left"/>
        </w:tabs>
        <w:numPr>
          <w:ilvl w:val="0"/>
          <w:numId w:val="16"/>
        </w:numPr>
        <w:rPr>
          <w:rFonts w:ascii="Arial" w:cs="Arial" w:eastAsia="Arial" w:hAnsi="Arial"/>
          <w:sz w:val="12"/>
          <w:szCs w:val="12"/>
          <w:color w:val="auto"/>
        </w:rPr>
      </w:pPr>
      <w:r>
        <w:rPr>
          <w:rFonts w:ascii="Arial" w:cs="Arial" w:eastAsia="Arial" w:hAnsi="Arial"/>
          <w:sz w:val="12"/>
          <w:szCs w:val="12"/>
          <w:color w:val="auto"/>
          <w:highlight w:val="white"/>
        </w:rPr>
        <w:t>We plan to continue expanding our international operations which could subject us to additional costs and risks, and our continued expansion internationally may not be successful.</w:t>
      </w:r>
    </w:p>
    <w:p>
      <w:pPr>
        <w:spacing w:after="0" w:line="62" w:lineRule="exact"/>
        <w:rPr>
          <w:rFonts w:ascii="Arial" w:cs="Arial" w:eastAsia="Arial" w:hAnsi="Arial"/>
          <w:sz w:val="12"/>
          <w:szCs w:val="12"/>
          <w:color w:val="auto"/>
        </w:rPr>
      </w:pPr>
    </w:p>
    <w:p>
      <w:pPr>
        <w:jc w:val="both"/>
        <w:ind w:left="1980" w:right="1900" w:hanging="228"/>
        <w:spacing w:after="0" w:line="312" w:lineRule="auto"/>
        <w:tabs>
          <w:tab w:leader="none" w:pos="19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Failure to effectively develop and expand our sales and marketing capabilities could harm our ability to increase our customer base and achieve broader market acceptance of our platform.</w:t>
      </w:r>
    </w:p>
    <w:p>
      <w:pPr>
        <w:spacing w:after="0" w:line="62" w:lineRule="exact"/>
        <w:rPr>
          <w:rFonts w:ascii="Arial" w:cs="Arial" w:eastAsia="Arial" w:hAnsi="Arial"/>
          <w:sz w:val="12"/>
          <w:szCs w:val="12"/>
          <w:color w:val="auto"/>
        </w:rPr>
      </w:pPr>
    </w:p>
    <w:p>
      <w:pPr>
        <w:ind w:left="1980" w:right="2080" w:hanging="228"/>
        <w:spacing w:after="0" w:line="289" w:lineRule="auto"/>
        <w:tabs>
          <w:tab w:leader="none" w:pos="19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If we fail to adapt and respond effectively to rapidly changing technology, evolving industry standards, and changing customer needs or preferences, our platform may become less competitive.</w:t>
      </w:r>
    </w:p>
    <w:p>
      <w:pPr>
        <w:spacing w:after="0" w:line="75" w:lineRule="exact"/>
        <w:rPr>
          <w:rFonts w:ascii="Arial" w:cs="Arial" w:eastAsia="Arial" w:hAnsi="Arial"/>
          <w:sz w:val="12"/>
          <w:szCs w:val="12"/>
          <w:color w:val="auto"/>
        </w:rPr>
      </w:pPr>
    </w:p>
    <w:p>
      <w:pPr>
        <w:ind w:left="1980" w:right="1680" w:hanging="228"/>
        <w:spacing w:after="0" w:line="289" w:lineRule="auto"/>
        <w:tabs>
          <w:tab w:leader="none" w:pos="19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use of artificial intelligence, including Gen AI and ML, gives rise to legal, business, and operational risks, which may result in diminished performance, regulatory scrutiny, social impacts, reputational harm, and liability arising from the use of this technology.</w:t>
      </w:r>
    </w:p>
    <w:p>
      <w:pPr>
        <w:sectPr>
          <w:pgSz w:w="11900" w:h="16840" w:orient="portrait"/>
          <w:cols w:equalWidth="0" w:num="1">
            <w:col w:w="9020"/>
          </w:cols>
          <w:pgMar w:left="1440" w:top="569" w:right="1440" w:bottom="775"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w:t>
      </w:r>
    </w:p>
    <w:p>
      <w:pPr>
        <w:sectPr>
          <w:pgSz w:w="11900" w:h="16840" w:orient="portrait"/>
          <w:cols w:equalWidth="0" w:num="1">
            <w:col w:w="9020"/>
          </w:cols>
          <w:pgMar w:left="1440" w:top="569" w:right="1440" w:bottom="775" w:gutter="0" w:footer="0" w:header="0"/>
          <w:type w:val="continuous"/>
        </w:sectPr>
      </w:pPr>
    </w:p>
    <w:bookmarkStart w:id="13" w:name="page14"/>
    <w:bookmarkEnd w:id="13"/>
    <w:p>
      <w:pPr>
        <w:ind w:left="1520"/>
        <w:spacing w:after="0"/>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980" w:right="1760" w:hanging="228"/>
        <w:spacing w:after="0" w:line="277" w:lineRule="auto"/>
        <w:tabs>
          <w:tab w:leader="none" w:pos="1980" w:val="left"/>
        </w:tabs>
        <w:numPr>
          <w:ilvl w:val="0"/>
          <w:numId w:val="17"/>
        </w:numPr>
        <w:rPr>
          <w:rFonts w:ascii="Arial" w:cs="Arial" w:eastAsia="Arial" w:hAnsi="Arial"/>
          <w:sz w:val="12"/>
          <w:szCs w:val="12"/>
          <w:color w:val="auto"/>
        </w:rPr>
      </w:pPr>
      <w:r>
        <w:rPr>
          <w:rFonts w:ascii="Arial" w:cs="Arial" w:eastAsia="Arial" w:hAnsi="Arial"/>
          <w:sz w:val="12"/>
          <w:szCs w:val="12"/>
          <w:color w:val="auto"/>
          <w:highlight w:val="white"/>
        </w:rPr>
        <w:t>The material weakness in our internal control over financial reporting, which we first identified in the fiscal year ended January 31, 2023, has been remediated as of the end of fiscal 2025. In the future, we may identify additional material weaknesses or otherwise fail to maintain an effective system of internal controls, which could result in material misstatements of our annual or interim consolidated financial statements or cause us to fail to meet our periodic reporting obligations.</w:t>
      </w:r>
    </w:p>
    <w:p>
      <w:pPr>
        <w:spacing w:after="0" w:line="83" w:lineRule="exact"/>
        <w:rPr>
          <w:rFonts w:ascii="Arial" w:cs="Arial" w:eastAsia="Arial" w:hAnsi="Arial"/>
          <w:sz w:val="12"/>
          <w:szCs w:val="12"/>
          <w:color w:val="auto"/>
        </w:rPr>
      </w:pPr>
    </w:p>
    <w:p>
      <w:pPr>
        <w:ind w:left="1980" w:right="1800" w:hanging="228"/>
        <w:spacing w:after="0" w:line="312" w:lineRule="auto"/>
        <w:tabs>
          <w:tab w:leader="none" w:pos="1980" w:val="left"/>
        </w:tabs>
        <w:numPr>
          <w:ilvl w:val="0"/>
          <w:numId w:val="17"/>
        </w:numPr>
        <w:rPr>
          <w:rFonts w:ascii="Arial" w:cs="Arial" w:eastAsia="Arial" w:hAnsi="Arial"/>
          <w:sz w:val="12"/>
          <w:szCs w:val="12"/>
          <w:color w:val="auto"/>
        </w:rPr>
      </w:pPr>
      <w:r>
        <w:rPr>
          <w:rFonts w:ascii="Arial" w:cs="Arial" w:eastAsia="Arial" w:hAnsi="Arial"/>
          <w:sz w:val="12"/>
          <w:szCs w:val="12"/>
          <w:color w:val="auto"/>
          <w:highlight w:val="white"/>
        </w:rPr>
        <w:t>The market price of our Class A common stock may be volatile, and you could lose all or part of your investment.</w:t>
      </w:r>
    </w:p>
    <w:p>
      <w:pPr>
        <w:spacing w:after="0" w:line="62" w:lineRule="exact"/>
        <w:rPr>
          <w:rFonts w:ascii="Arial" w:cs="Arial" w:eastAsia="Arial" w:hAnsi="Arial"/>
          <w:sz w:val="12"/>
          <w:szCs w:val="12"/>
          <w:color w:val="auto"/>
        </w:rPr>
      </w:pPr>
    </w:p>
    <w:p>
      <w:pPr>
        <w:ind w:left="1980" w:right="1680" w:hanging="228"/>
        <w:spacing w:after="0" w:line="289" w:lineRule="auto"/>
        <w:tabs>
          <w:tab w:leader="none" w:pos="1980" w:val="left"/>
        </w:tabs>
        <w:numPr>
          <w:ilvl w:val="0"/>
          <w:numId w:val="17"/>
        </w:numPr>
        <w:rPr>
          <w:rFonts w:ascii="Arial" w:cs="Arial" w:eastAsia="Arial" w:hAnsi="Arial"/>
          <w:sz w:val="12"/>
          <w:szCs w:val="12"/>
          <w:color w:val="auto"/>
        </w:rPr>
      </w:pPr>
      <w:r>
        <w:rPr>
          <w:rFonts w:ascii="Arial" w:cs="Arial" w:eastAsia="Arial" w:hAnsi="Arial"/>
          <w:sz w:val="12"/>
          <w:szCs w:val="12"/>
          <w:color w:val="auto"/>
          <w:highlight w:val="white"/>
        </w:rPr>
        <w:t>The dual class structure of our common stock has the effect of concentrating voting power with Ariel Cohen and Ilan Twig, our co-founders, which will limit your ability to influence the outcome of important transactions, including a change in control.</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Channels for Disclosure of Information</w:t>
      </w:r>
    </w:p>
    <w:p>
      <w:pPr>
        <w:spacing w:after="0" w:line="128"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Following the effectiveness of the registration statement of which this prospectus forms a part, we intend to announce material information to the public through filings with the Securities and Exchange Commission, or the SEC, the investor relations page on our website (www.investors. navan .com), press releases, public conference calls, public webcasts, our X account (@Navan), our co-founders’ X accounts (@arielcoco and @itwig), our LinkedIn page (www.linkedin.com/company/navan/), our co-founders’ LinkedIn pages (www.linkedin.com/in/arielmcohen/ and www.linkedin.com/in/itwig/), our company news site (www.navan.com/press), and our company blog (www.navan.com/blog). The information contained on, or that can be accessed through, the foregoing websites are not a part of this prospectus. Investors should not rely on any such information in deciding whether to purchase our Class A common stock.</w:t>
      </w:r>
    </w:p>
    <w:p>
      <w:pPr>
        <w:spacing w:after="0" w:line="85" w:lineRule="exact"/>
        <w:rPr>
          <w:sz w:val="20"/>
          <w:szCs w:val="20"/>
          <w:color w:val="auto"/>
        </w:rPr>
      </w:pPr>
    </w:p>
    <w:p>
      <w:pPr>
        <w:ind w:left="1520" w:right="1760" w:firstLine="230"/>
        <w:spacing w:after="0" w:line="289" w:lineRule="auto"/>
        <w:rPr>
          <w:sz w:val="20"/>
          <w:szCs w:val="20"/>
          <w:color w:val="auto"/>
        </w:rPr>
      </w:pPr>
      <w:r>
        <w:rPr>
          <w:rFonts w:ascii="Arial" w:cs="Arial" w:eastAsia="Arial" w:hAnsi="Arial"/>
          <w:sz w:val="12"/>
          <w:szCs w:val="12"/>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76" w:lineRule="exact"/>
        <w:rPr>
          <w:sz w:val="20"/>
          <w:szCs w:val="20"/>
          <w:color w:val="auto"/>
        </w:rPr>
      </w:pPr>
    </w:p>
    <w:p>
      <w:pPr>
        <w:ind w:left="1520" w:right="1960" w:firstLine="230"/>
        <w:spacing w:after="0" w:line="289" w:lineRule="auto"/>
        <w:rPr>
          <w:sz w:val="20"/>
          <w:szCs w:val="20"/>
          <w:color w:val="auto"/>
        </w:rPr>
      </w:pPr>
      <w:r>
        <w:rPr>
          <w:rFonts w:ascii="Arial" w:cs="Arial" w:eastAsia="Arial" w:hAnsi="Arial"/>
          <w:sz w:val="12"/>
          <w:szCs w:val="12"/>
          <w:color w:val="auto"/>
        </w:rPr>
        <w:t>Any updates to the list of disclosure channels through which we will announce information will be posted on the investor relations page on our website and in our periodic reports filed with the SEC following this offering.</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Corporate Information</w:t>
      </w:r>
    </w:p>
    <w:p>
      <w:pPr>
        <w:spacing w:after="0" w:line="128" w:lineRule="exact"/>
        <w:rPr>
          <w:sz w:val="20"/>
          <w:szCs w:val="20"/>
          <w:color w:val="auto"/>
        </w:rPr>
      </w:pPr>
    </w:p>
    <w:p>
      <w:pPr>
        <w:ind w:left="1520" w:right="1680" w:firstLine="230"/>
        <w:spacing w:after="0" w:line="277" w:lineRule="auto"/>
        <w:rPr>
          <w:sz w:val="20"/>
          <w:szCs w:val="20"/>
          <w:color w:val="auto"/>
        </w:rPr>
      </w:pPr>
      <w:r>
        <w:rPr>
          <w:rFonts w:ascii="Arial" w:cs="Arial" w:eastAsia="Arial" w:hAnsi="Arial"/>
          <w:sz w:val="12"/>
          <w:szCs w:val="12"/>
          <w:color w:val="auto"/>
        </w:rPr>
        <w:t>We were incorporated in the State of Delaware in February 2015. Our principal executive offices are located at 3045 Park Boulevard, Palo Alto, California 94306. Our telephone number is (888) 505-8747. Our website address is www.navan.com. The information contained on, or that can be accessed through, our website is not a part of this prospectus. Investors should not rely on any such information in deciding whether to purchase our Class A common stock.</w:t>
      </w:r>
    </w:p>
    <w:p>
      <w:pPr>
        <w:spacing w:after="0" w:line="84" w:lineRule="exact"/>
        <w:rPr>
          <w:sz w:val="20"/>
          <w:szCs w:val="20"/>
          <w:color w:val="auto"/>
        </w:rPr>
      </w:pPr>
    </w:p>
    <w:p>
      <w:pPr>
        <w:ind w:left="1520" w:right="1720" w:firstLine="230"/>
        <w:spacing w:after="0" w:line="271" w:lineRule="auto"/>
        <w:rPr>
          <w:sz w:val="20"/>
          <w:szCs w:val="20"/>
          <w:color w:val="auto"/>
        </w:rPr>
      </w:pPr>
      <w:r>
        <w:rPr>
          <w:rFonts w:ascii="Arial" w:cs="Arial" w:eastAsia="Arial" w:hAnsi="Arial"/>
          <w:sz w:val="12"/>
          <w:szCs w:val="12"/>
          <w:color w:val="auto"/>
        </w:rPr>
        <w:t>Navan, the Navan logo, and other registered or common law trade names, trademarks, or service marks of Navan appearing in this prospectus are the property of Navan. This prospectus contains additional trade names, trademarks, and service marks of ours and of other companies. We do not intend our use or display of other companies’ trade names, trademarks, or service marks to imply a relationship with these other companies, or endorsement or sponsorship of us by these other companies. Other trademarks appearing in this prospectus are the property of their respective holders. Solely for convenience, our trademarks and trade names referred to in this prospectus appear without the ® and ™ symbols, but those references are not intended to indicate, in any way, that we will not assert, to the fullest extent under applicable law, our rights, or the right of the applicable licensor, to these trademarks and trade names.</w:t>
      </w:r>
    </w:p>
    <w:p>
      <w:pPr>
        <w:spacing w:after="0" w:line="245"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Implications of Being an Emerging Growth Company</w:t>
      </w:r>
    </w:p>
    <w:p>
      <w:pPr>
        <w:spacing w:after="0" w:line="128" w:lineRule="exact"/>
        <w:rPr>
          <w:sz w:val="20"/>
          <w:szCs w:val="20"/>
          <w:color w:val="auto"/>
        </w:rPr>
      </w:pPr>
    </w:p>
    <w:p>
      <w:pPr>
        <w:ind w:left="1520" w:right="1700" w:firstLine="230"/>
        <w:spacing w:after="0" w:line="312" w:lineRule="auto"/>
        <w:rPr>
          <w:sz w:val="20"/>
          <w:szCs w:val="20"/>
          <w:color w:val="auto"/>
        </w:rPr>
      </w:pPr>
      <w:r>
        <w:rPr>
          <w:rFonts w:ascii="Arial" w:cs="Arial" w:eastAsia="Arial" w:hAnsi="Arial"/>
          <w:sz w:val="12"/>
          <w:szCs w:val="12"/>
          <w:color w:val="auto"/>
        </w:rPr>
        <w:t>As a company with less than $1.235 billion in revenue during our most recently completed fiscal year, we qualify as an “emerging growth company” as defined in Section 2(a) of the Securities Act of 1933, as</w:t>
      </w: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20"/>
        <w:spacing w:after="0" w:line="281" w:lineRule="auto"/>
        <w:rPr>
          <w:sz w:val="20"/>
          <w:szCs w:val="20"/>
          <w:color w:val="auto"/>
        </w:rPr>
      </w:pPr>
      <w:r>
        <w:rPr>
          <w:rFonts w:ascii="Arial" w:cs="Arial" w:eastAsia="Arial" w:hAnsi="Arial"/>
          <w:sz w:val="12"/>
          <w:szCs w:val="12"/>
          <w:color w:val="auto"/>
        </w:rPr>
        <w:t>amended, or the Securities Act, as modified by the Jumpstart Our Business Startups Act of 2012, or the JOBS Act. As an emerging growth company, we may take advantage of specified reduced disclosure and other requirements that are otherwise applicable, in general, to public companies that are not emerging growth companies. These provisions include:</w:t>
      </w:r>
    </w:p>
    <w:p>
      <w:pPr>
        <w:spacing w:after="0" w:line="81" w:lineRule="exact"/>
        <w:rPr>
          <w:sz w:val="20"/>
          <w:szCs w:val="20"/>
          <w:color w:val="auto"/>
        </w:rPr>
      </w:pPr>
    </w:p>
    <w:p>
      <w:pPr>
        <w:ind w:left="1980" w:right="1840" w:hanging="228"/>
        <w:spacing w:after="0" w:line="289" w:lineRule="auto"/>
        <w:tabs>
          <w:tab w:leader="none" w:pos="1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being permitted to present only two years of audited financial statements and only two years of related “Management’s Discussion and Analysis of Financial Condition and Results of Operations” disclosure in this prospectus;</w:t>
      </w:r>
    </w:p>
    <w:p>
      <w:pPr>
        <w:spacing w:after="0" w:line="75" w:lineRule="exact"/>
        <w:rPr>
          <w:rFonts w:ascii="Arial" w:cs="Arial" w:eastAsia="Arial" w:hAnsi="Arial"/>
          <w:sz w:val="12"/>
          <w:szCs w:val="12"/>
          <w:color w:val="auto"/>
        </w:rPr>
      </w:pPr>
    </w:p>
    <w:p>
      <w:pPr>
        <w:jc w:val="both"/>
        <w:ind w:left="1980" w:right="1680" w:hanging="228"/>
        <w:spacing w:after="0" w:line="312" w:lineRule="auto"/>
        <w:tabs>
          <w:tab w:leader="none" w:pos="1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an exemption from compliance with the auditor attestation requirement on the effectiveness of our internal control over financial reporting pursuant to the Sarbanes-Oxley Act of 2002, as amended;</w:t>
      </w:r>
    </w:p>
    <w:p>
      <w:pPr>
        <w:spacing w:after="0" w:line="62" w:lineRule="exact"/>
        <w:rPr>
          <w:rFonts w:ascii="Arial" w:cs="Arial" w:eastAsia="Arial" w:hAnsi="Arial"/>
          <w:sz w:val="12"/>
          <w:szCs w:val="12"/>
          <w:color w:val="auto"/>
        </w:rPr>
      </w:pPr>
    </w:p>
    <w:p>
      <w:pPr>
        <w:ind w:left="1980" w:right="1700" w:hanging="228"/>
        <w:spacing w:after="0" w:line="281" w:lineRule="auto"/>
        <w:tabs>
          <w:tab w:leader="none" w:pos="1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an exemption from the requirement that critical audit matters be discussed in our independent auditor’s reports on our audited financial statements or any other requirements that may be adopted by the Public Company Accounting Oversight Board unless the SEC determines that the application of such requirements to emerging growth companies is in the public interest;</w:t>
      </w:r>
    </w:p>
    <w:p>
      <w:pPr>
        <w:spacing w:after="0" w:line="80" w:lineRule="exact"/>
        <w:rPr>
          <w:rFonts w:ascii="Arial" w:cs="Arial" w:eastAsia="Arial" w:hAnsi="Arial"/>
          <w:sz w:val="12"/>
          <w:szCs w:val="12"/>
          <w:color w:val="auto"/>
        </w:rPr>
      </w:pPr>
    </w:p>
    <w:p>
      <w:pPr>
        <w:ind w:left="1980" w:hanging="228"/>
        <w:spacing w:after="0"/>
        <w:tabs>
          <w:tab w:leader="none" w:pos="1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reduced disclosure about our executive compensation arrangements;</w:t>
      </w:r>
    </w:p>
    <w:p>
      <w:pPr>
        <w:spacing w:after="0" w:line="129" w:lineRule="exact"/>
        <w:rPr>
          <w:rFonts w:ascii="Arial" w:cs="Arial" w:eastAsia="Arial" w:hAnsi="Arial"/>
          <w:sz w:val="12"/>
          <w:szCs w:val="12"/>
          <w:color w:val="auto"/>
        </w:rPr>
      </w:pPr>
    </w:p>
    <w:p>
      <w:pPr>
        <w:jc w:val="both"/>
        <w:ind w:left="1980" w:right="2360" w:hanging="228"/>
        <w:spacing w:after="0" w:line="312" w:lineRule="auto"/>
        <w:tabs>
          <w:tab w:leader="none" w:pos="1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exemptions from the requirements to obtain a non-binding advisory vote on executive compensation or a stockholder approval of any golden parachute arrangements; and</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extended transition periods for complying with new or revised accounting standards.</w:t>
      </w:r>
    </w:p>
    <w:p>
      <w:pPr>
        <w:spacing w:after="0" w:line="130" w:lineRule="exact"/>
        <w:rPr>
          <w:sz w:val="20"/>
          <w:szCs w:val="20"/>
          <w:color w:val="auto"/>
        </w:rPr>
      </w:pPr>
    </w:p>
    <w:p>
      <w:pPr>
        <w:ind w:left="1520" w:right="1720" w:firstLine="230"/>
        <w:spacing w:after="0" w:line="275" w:lineRule="auto"/>
        <w:rPr>
          <w:sz w:val="20"/>
          <w:szCs w:val="20"/>
          <w:color w:val="auto"/>
        </w:rPr>
      </w:pPr>
      <w:r>
        <w:rPr>
          <w:rFonts w:ascii="Arial" w:cs="Arial" w:eastAsia="Arial" w:hAnsi="Arial"/>
          <w:sz w:val="12"/>
          <w:szCs w:val="12"/>
          <w:color w:val="auto"/>
        </w:rPr>
        <w:t>We will remain an emerging growth company until the earliest to occur of: (i) the last day of the fiscal year in which we have more than $1.235 billion in annual revenue, (ii) the date we qualify as a “large accelerated filer,” as defined in the rules under the Securities Exchange Act of 1934, as amended, with at least $700 million of common equity securities held by non-affiliates, (iii) the date on which we have issued, in any three-year period, more than $1.0 billion in non-convertible debt securities, and (iv) the last day of the fiscal year ending after the fifth anniversary of the completion of this offering.</w:t>
      </w:r>
    </w:p>
    <w:p>
      <w:pPr>
        <w:spacing w:after="0" w:line="85" w:lineRule="exact"/>
        <w:rPr>
          <w:sz w:val="20"/>
          <w:szCs w:val="20"/>
          <w:color w:val="auto"/>
        </w:rPr>
      </w:pPr>
    </w:p>
    <w:p>
      <w:pPr>
        <w:ind w:left="1520" w:right="1740" w:firstLine="230"/>
        <w:spacing w:after="0" w:line="312" w:lineRule="auto"/>
        <w:rPr>
          <w:sz w:val="20"/>
          <w:szCs w:val="20"/>
          <w:color w:val="auto"/>
        </w:rPr>
      </w:pPr>
      <w:r>
        <w:rPr>
          <w:rFonts w:ascii="Arial" w:cs="Arial" w:eastAsia="Arial" w:hAnsi="Arial"/>
          <w:sz w:val="12"/>
          <w:szCs w:val="12"/>
          <w:color w:val="auto"/>
        </w:rPr>
        <w:t>We may take advantage of these exemptions until such time that we are no longer an emerging growth company. Accordingly, the information contained herein may be different from the information you</w:t>
      </w:r>
    </w:p>
    <w:p>
      <w:pPr>
        <w:sectPr>
          <w:pgSz w:w="11900" w:h="16840" w:orient="portrait"/>
          <w:cols w:equalWidth="0" w:num="1">
            <w:col w:w="9020"/>
          </w:cols>
          <w:pgMar w:left="1440" w:top="636" w:right="1440" w:bottom="0" w:gutter="0" w:footer="0" w:header="0"/>
        </w:sectPr>
      </w:pPr>
    </w:p>
    <w:bookmarkStart w:id="14" w:name="page15"/>
    <w:bookmarkEnd w:id="14"/>
    <w:p>
      <w:pPr>
        <w:jc w:val="both"/>
        <w:ind w:left="1520" w:right="1700"/>
        <w:spacing w:after="0" w:line="273" w:lineRule="auto"/>
        <w:rPr>
          <w:sz w:val="20"/>
          <w:szCs w:val="20"/>
          <w:color w:val="auto"/>
        </w:rPr>
      </w:pPr>
      <w:r>
        <w:rPr>
          <w:rFonts w:ascii="Arial" w:cs="Arial" w:eastAsia="Arial" w:hAnsi="Arial"/>
          <w:sz w:val="12"/>
          <w:szCs w:val="12"/>
          <w:color w:val="auto"/>
        </w:rPr>
        <w:t xml:space="preserve">receive from other public companies.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w:t>
      </w:r>
      <w:r>
        <w:rPr>
          <w:rFonts w:ascii="Arial" w:cs="Arial" w:eastAsia="Arial" w:hAnsi="Arial"/>
          <w:sz w:val="12"/>
          <w:szCs w:val="12"/>
          <w:color w:val="auto"/>
          <w:highlight w:val="white"/>
        </w:rPr>
        <w:t>results of operations</w:t>
      </w:r>
      <w:r>
        <w:rPr>
          <w:rFonts w:ascii="Arial" w:cs="Arial" w:eastAsia="Arial" w:hAnsi="Arial"/>
          <w:sz w:val="12"/>
          <w:szCs w:val="12"/>
          <w:color w:val="auto"/>
        </w:rPr>
        <w:t xml:space="preserve"> and financial statements may not be comparable to the </w:t>
      </w:r>
      <w:r>
        <w:rPr>
          <w:rFonts w:ascii="Arial" w:cs="Arial" w:eastAsia="Arial" w:hAnsi="Arial"/>
          <w:sz w:val="12"/>
          <w:szCs w:val="12"/>
          <w:color w:val="auto"/>
          <w:highlight w:val="white"/>
        </w:rPr>
        <w:t>results of</w:t>
      </w:r>
      <w:r>
        <w:rPr>
          <w:rFonts w:ascii="Arial" w:cs="Arial" w:eastAsia="Arial" w:hAnsi="Arial"/>
          <w:sz w:val="12"/>
          <w:szCs w:val="12"/>
          <w:color w:val="auto"/>
        </w:rPr>
        <w:t xml:space="preserve"> </w:t>
      </w:r>
      <w:r>
        <w:rPr>
          <w:rFonts w:ascii="Arial" w:cs="Arial" w:eastAsia="Arial" w:hAnsi="Arial"/>
          <w:sz w:val="12"/>
          <w:szCs w:val="12"/>
          <w:color w:val="auto"/>
          <w:highlight w:val="white"/>
        </w:rPr>
        <w:t xml:space="preserve">operations </w:t>
      </w:r>
      <w:r>
        <w:rPr>
          <w:rFonts w:ascii="Arial" w:cs="Arial" w:eastAsia="Arial" w:hAnsi="Arial"/>
          <w:sz w:val="12"/>
          <w:szCs w:val="12"/>
          <w:color w:val="auto"/>
        </w:rPr>
        <w:t>and financial statements of other companies that have adopted the new or revised accounting</w:t>
      </w:r>
      <w:r>
        <w:rPr>
          <w:rFonts w:ascii="Arial" w:cs="Arial" w:eastAsia="Arial" w:hAnsi="Arial"/>
          <w:sz w:val="12"/>
          <w:szCs w:val="12"/>
          <w:color w:val="auto"/>
          <w:highlight w:val="white"/>
        </w:rPr>
        <w:t xml:space="preserve"> </w:t>
      </w:r>
      <w:r>
        <w:rPr>
          <w:rFonts w:ascii="Arial" w:cs="Arial" w:eastAsia="Arial" w:hAnsi="Arial"/>
          <w:sz w:val="12"/>
          <w:szCs w:val="12"/>
          <w:color w:val="auto"/>
        </w:rPr>
        <w:t>standards. It is possible that some investors will find our Class A common stock less attractive as a result, which may result in a less active trading market for our Class A common stock and higher volatility in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-697230</wp:posOffset>
            </wp:positionV>
            <wp:extent cx="6732270" cy="9970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THE OFFERING</w:t>
      </w:r>
    </w:p>
    <w:p>
      <w:pPr>
        <w:sectPr>
          <w:pgSz w:w="11900" w:h="16840" w:orient="portrait"/>
          <w:cols w:equalWidth="0" w:num="1">
            <w:col w:w="9020"/>
          </w:cols>
          <w:pgMar w:left="1440" w:top="569" w:right="1440" w:bottom="603" w:gutter="0" w:footer="0" w:header="0"/>
        </w:sectPr>
      </w:pPr>
    </w:p>
    <w:p>
      <w:pPr>
        <w:spacing w:after="0" w:line="158"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 xml:space="preserve">Class A common stock offered by us </w:t>
      </w:r>
      <w:r>
        <w:rPr>
          <w:rFonts w:ascii="Times New Roman" w:cs="Times New Roman" w:eastAsia="Times New Roman" w:hAnsi="Times New Roman"/>
          <w:sz w:val="12"/>
          <w:szCs w:val="12"/>
          <w:color w:val="B4B4B4"/>
        </w:rPr>
        <w:t>.........</w:t>
      </w:r>
    </w:p>
    <w:p>
      <w:pPr>
        <w:spacing w:after="0" w:line="80"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Class A common stock offered by the</w:t>
      </w:r>
    </w:p>
    <w:p>
      <w:pPr>
        <w:ind w:left="1660"/>
        <w:spacing w:after="0"/>
        <w:rPr>
          <w:sz w:val="20"/>
          <w:szCs w:val="20"/>
          <w:color w:val="auto"/>
        </w:rPr>
      </w:pPr>
      <w:r>
        <w:rPr>
          <w:rFonts w:ascii="Arial" w:cs="Arial" w:eastAsia="Arial" w:hAnsi="Arial"/>
          <w:sz w:val="12"/>
          <w:szCs w:val="12"/>
          <w:color w:val="auto"/>
        </w:rPr>
        <w:t xml:space="preserve">selling stockholders </w:t>
      </w:r>
      <w:r>
        <w:rPr>
          <w:rFonts w:ascii="Times New Roman" w:cs="Times New Roman" w:eastAsia="Times New Roman" w:hAnsi="Times New Roman"/>
          <w:sz w:val="12"/>
          <w:szCs w:val="12"/>
          <w:color w:val="B4B4B4"/>
        </w:rPr>
        <w:t>...................................</w:t>
      </w:r>
    </w:p>
    <w:p>
      <w:pPr>
        <w:spacing w:after="0" w:line="79" w:lineRule="exact"/>
        <w:rPr>
          <w:sz w:val="20"/>
          <w:szCs w:val="20"/>
          <w:color w:val="auto"/>
        </w:rPr>
      </w:pPr>
    </w:p>
    <w:p>
      <w:pPr>
        <w:ind w:left="1660" w:right="200" w:hanging="114"/>
        <w:spacing w:after="0" w:line="235" w:lineRule="auto"/>
        <w:rPr>
          <w:sz w:val="20"/>
          <w:szCs w:val="20"/>
          <w:color w:val="auto"/>
        </w:rPr>
      </w:pPr>
      <w:r>
        <w:rPr>
          <w:rFonts w:ascii="Arial" w:cs="Arial" w:eastAsia="Arial" w:hAnsi="Arial"/>
          <w:sz w:val="12"/>
          <w:szCs w:val="12"/>
          <w:color w:val="auto"/>
        </w:rPr>
        <w:t>Underwriters’ option to purchase additional shares of Class A common</w:t>
      </w:r>
    </w:p>
    <w:p>
      <w:pPr>
        <w:ind w:left="1660"/>
        <w:spacing w:after="0"/>
        <w:rPr>
          <w:sz w:val="20"/>
          <w:szCs w:val="20"/>
          <w:color w:val="auto"/>
        </w:rPr>
      </w:pPr>
      <w:r>
        <w:rPr>
          <w:rFonts w:ascii="Arial" w:cs="Arial" w:eastAsia="Arial" w:hAnsi="Arial"/>
          <w:sz w:val="12"/>
          <w:szCs w:val="12"/>
          <w:color w:val="auto"/>
        </w:rPr>
        <w:t xml:space="preserve">stock from us  </w:t>
      </w:r>
      <w:r>
        <w:rPr>
          <w:rFonts w:ascii="Times New Roman" w:cs="Times New Roman" w:eastAsia="Times New Roman" w:hAnsi="Times New Roman"/>
          <w:sz w:val="12"/>
          <w:szCs w:val="12"/>
          <w:color w:val="B4B4B4"/>
        </w:rPr>
        <w: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30,000,000 shares</w:t>
      </w: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color w:val="auto"/>
        </w:rPr>
        <w:t>6,924,406 shares</w:t>
      </w: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color w:val="auto"/>
        </w:rPr>
        <w:t>5,538,660 shares</w:t>
      </w:r>
    </w:p>
    <w:p>
      <w:pPr>
        <w:spacing w:after="0" w:line="80" w:lineRule="exact"/>
        <w:rPr>
          <w:sz w:val="20"/>
          <w:szCs w:val="20"/>
          <w:color w:val="auto"/>
        </w:rPr>
      </w:pPr>
    </w:p>
    <w:p>
      <w:pPr>
        <w:sectPr>
          <w:pgSz w:w="11900" w:h="16840" w:orient="portrait"/>
          <w:cols w:equalWidth="0" w:num="2">
            <w:col w:w="3920" w:space="80"/>
            <w:col w:w="5020"/>
          </w:cols>
          <w:pgMar w:left="1440" w:top="569" w:right="1440" w:bottom="603" w:gutter="0" w:footer="0" w:header="0"/>
          <w:type w:val="continuous"/>
        </w:sectPr>
      </w:pPr>
    </w:p>
    <w:p>
      <w:pPr>
        <w:ind w:left="1560"/>
        <w:spacing w:after="0"/>
        <w:rPr>
          <w:sz w:val="20"/>
          <w:szCs w:val="20"/>
          <w:color w:val="auto"/>
        </w:rPr>
      </w:pPr>
      <w:r>
        <w:rPr>
          <w:rFonts w:ascii="Arial" w:cs="Arial" w:eastAsia="Arial" w:hAnsi="Arial"/>
          <w:sz w:val="12"/>
          <w:szCs w:val="12"/>
          <w:color w:val="auto"/>
        </w:rPr>
        <w:t>Class A common stock to be outstanding</w:t>
      </w:r>
    </w:p>
    <w:p>
      <w:pPr>
        <w:ind w:left="1660"/>
        <w:spacing w:after="0"/>
        <w:rPr>
          <w:sz w:val="20"/>
          <w:szCs w:val="20"/>
          <w:color w:val="auto"/>
        </w:rPr>
      </w:pPr>
      <w:r>
        <w:rPr>
          <w:rFonts w:ascii="Arial" w:cs="Arial" w:eastAsia="Arial" w:hAnsi="Arial"/>
          <w:sz w:val="12"/>
          <w:szCs w:val="12"/>
          <w:color w:val="auto"/>
        </w:rPr>
        <w:t xml:space="preserve">after this offering </w:t>
      </w:r>
      <w:r>
        <w:rPr>
          <w:rFonts w:ascii="Times New Roman" w:cs="Times New Roman" w:eastAsia="Times New Roman" w:hAnsi="Times New Roman"/>
          <w:sz w:val="12"/>
          <w:szCs w:val="12"/>
          <w:color w:val="B4B4B4"/>
        </w:rPr>
        <w:t>.........................................</w:t>
      </w:r>
    </w:p>
    <w:p>
      <w:pPr>
        <w:spacing w:after="0" w:line="200" w:lineRule="exact"/>
        <w:rPr>
          <w:sz w:val="20"/>
          <w:szCs w:val="20"/>
          <w:color w:val="auto"/>
        </w:rPr>
      </w:pPr>
    </w:p>
    <w:p>
      <w:pPr>
        <w:spacing w:after="0" w:line="299"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Class B common stock to be outstanding</w:t>
      </w:r>
    </w:p>
    <w:p>
      <w:pPr>
        <w:ind w:left="1660"/>
        <w:spacing w:after="0"/>
        <w:rPr>
          <w:sz w:val="20"/>
          <w:szCs w:val="20"/>
          <w:color w:val="auto"/>
        </w:rPr>
      </w:pPr>
      <w:r>
        <w:rPr>
          <w:rFonts w:ascii="Arial" w:cs="Arial" w:eastAsia="Arial" w:hAnsi="Arial"/>
          <w:sz w:val="12"/>
          <w:szCs w:val="12"/>
          <w:color w:val="auto"/>
        </w:rPr>
        <w:t xml:space="preserve">after this offering </w:t>
      </w:r>
      <w:r>
        <w:rPr>
          <w:rFonts w:ascii="Times New Roman" w:cs="Times New Roman" w:eastAsia="Times New Roman" w:hAnsi="Times New Roman"/>
          <w:sz w:val="12"/>
          <w:szCs w:val="12"/>
          <w:color w:val="B4B4B4"/>
        </w:rPr>
        <w:t>.........................................</w:t>
      </w:r>
    </w:p>
    <w:p>
      <w:pPr>
        <w:spacing w:after="0" w:line="79" w:lineRule="exact"/>
        <w:rPr>
          <w:sz w:val="20"/>
          <w:szCs w:val="20"/>
          <w:color w:val="auto"/>
        </w:rPr>
      </w:pPr>
    </w:p>
    <w:p>
      <w:pPr>
        <w:ind w:left="1660" w:right="60" w:hanging="114"/>
        <w:spacing w:after="0" w:line="235" w:lineRule="auto"/>
        <w:rPr>
          <w:sz w:val="20"/>
          <w:szCs w:val="20"/>
          <w:color w:val="auto"/>
        </w:rPr>
      </w:pPr>
      <w:r>
        <w:rPr>
          <w:rFonts w:ascii="Arial" w:cs="Arial" w:eastAsia="Arial" w:hAnsi="Arial"/>
          <w:sz w:val="12"/>
          <w:szCs w:val="12"/>
          <w:color w:val="auto"/>
        </w:rPr>
        <w:t>Total Class A common stock and Class B common stock to be outstanding after</w:t>
      </w:r>
    </w:p>
    <w:p>
      <w:pPr>
        <w:ind w:left="1660"/>
        <w:spacing w:after="0"/>
        <w:rPr>
          <w:sz w:val="20"/>
          <w:szCs w:val="20"/>
          <w:color w:val="auto"/>
        </w:rPr>
      </w:pPr>
      <w:r>
        <w:rPr>
          <w:rFonts w:ascii="Arial" w:cs="Arial" w:eastAsia="Arial" w:hAnsi="Arial"/>
          <w:sz w:val="12"/>
          <w:szCs w:val="12"/>
          <w:color w:val="auto"/>
        </w:rPr>
        <w:t xml:space="preserve">this offering </w:t>
      </w:r>
      <w:r>
        <w:rPr>
          <w:rFonts w:ascii="Times New Roman" w:cs="Times New Roman" w:eastAsia="Times New Roman" w:hAnsi="Times New Roman"/>
          <w:sz w:val="12"/>
          <w:szCs w:val="12"/>
          <w:color w:val="B4B4B4"/>
        </w:rPr>
        <w:t>..................................................</w:t>
      </w:r>
    </w:p>
    <w:p>
      <w:pPr>
        <w:spacing w:after="0" w:line="194"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 xml:space="preserve">Use of proceeds </w:t>
      </w:r>
      <w:r>
        <w:rPr>
          <w:rFonts w:ascii="Times New Roman" w:cs="Times New Roman" w:eastAsia="Times New Roman" w:hAnsi="Times New Roman"/>
          <w:sz w:val="12"/>
          <w:szCs w:val="12"/>
          <w:color w:val="B4B4B4"/>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1680"/>
        <w:spacing w:after="0" w:line="235" w:lineRule="auto"/>
        <w:rPr>
          <w:sz w:val="20"/>
          <w:szCs w:val="20"/>
          <w:color w:val="auto"/>
        </w:rPr>
      </w:pPr>
      <w:r>
        <w:rPr>
          <w:rFonts w:ascii="Arial" w:cs="Arial" w:eastAsia="Arial" w:hAnsi="Arial"/>
          <w:sz w:val="12"/>
          <w:szCs w:val="12"/>
          <w:color w:val="auto"/>
        </w:rPr>
        <w:t>232,937,219 shares (238,475,879 shares if the underwriters exercise their option to purchase additional shares in full),</w:t>
      </w:r>
    </w:p>
    <w:p>
      <w:pPr>
        <w:ind w:right="1800"/>
        <w:spacing w:after="0" w:line="232" w:lineRule="auto"/>
        <w:rPr>
          <w:sz w:val="20"/>
          <w:szCs w:val="20"/>
          <w:color w:val="auto"/>
        </w:rPr>
      </w:pPr>
      <w:r>
        <w:rPr>
          <w:rFonts w:ascii="Arial" w:cs="Arial" w:eastAsia="Arial" w:hAnsi="Arial"/>
          <w:sz w:val="12"/>
          <w:szCs w:val="12"/>
          <w:color w:val="auto"/>
        </w:rPr>
        <w:t>including shares of our Class A common stock from the Option Cash Exercise (as defined below) for certain selling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auto"/>
        </w:rPr>
        <w:t>15,304,696 shares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248,241,915 shares (253,780,575 shares if the underwriters</w:t>
      </w:r>
    </w:p>
    <w:p>
      <w:pPr>
        <w:spacing w:after="0" w:line="8" w:lineRule="exact"/>
        <w:rPr>
          <w:sz w:val="20"/>
          <w:szCs w:val="20"/>
          <w:color w:val="auto"/>
        </w:rPr>
      </w:pPr>
    </w:p>
    <w:p>
      <w:pPr>
        <w:jc w:val="both"/>
        <w:ind w:right="1800"/>
        <w:spacing w:after="0" w:line="232" w:lineRule="auto"/>
        <w:rPr>
          <w:sz w:val="20"/>
          <w:szCs w:val="20"/>
          <w:color w:val="auto"/>
        </w:rPr>
      </w:pPr>
      <w:r>
        <w:rPr>
          <w:rFonts w:ascii="Arial" w:cs="Arial" w:eastAsia="Arial" w:hAnsi="Arial"/>
          <w:sz w:val="12"/>
          <w:szCs w:val="12"/>
          <w:color w:val="auto"/>
        </w:rPr>
        <w:t>exercise their option to purchase additional shares in full), including shares of Class A common stock from the Option Cash Exercise for certain selling stockholders.</w:t>
      </w:r>
    </w:p>
    <w:p>
      <w:pPr>
        <w:spacing w:after="0" w:line="76" w:lineRule="exact"/>
        <w:rPr>
          <w:sz w:val="20"/>
          <w:szCs w:val="20"/>
          <w:color w:val="auto"/>
        </w:rPr>
      </w:pPr>
    </w:p>
    <w:p>
      <w:pPr>
        <w:ind w:right="1980"/>
        <w:spacing w:after="0" w:line="228" w:lineRule="auto"/>
        <w:rPr>
          <w:sz w:val="20"/>
          <w:szCs w:val="20"/>
          <w:color w:val="auto"/>
        </w:rPr>
      </w:pPr>
      <w:r>
        <w:rPr>
          <w:rFonts w:ascii="Arial" w:cs="Arial" w:eastAsia="Arial" w:hAnsi="Arial"/>
          <w:sz w:val="12"/>
          <w:szCs w:val="12"/>
          <w:color w:val="auto"/>
        </w:rPr>
        <w:t>We estimate that the net proceeds from our sale of 30,000,000 shares of our Class A common stock in this offering will be approximately $ 699.6 million, or</w:t>
      </w:r>
    </w:p>
    <w:p>
      <w:pPr>
        <w:spacing w:after="0" w:line="1" w:lineRule="exact"/>
        <w:rPr>
          <w:sz w:val="20"/>
          <w:szCs w:val="20"/>
          <w:color w:val="auto"/>
        </w:rPr>
      </w:pPr>
    </w:p>
    <w:p>
      <w:pPr>
        <w:ind w:right="1680"/>
        <w:spacing w:after="0" w:line="221" w:lineRule="auto"/>
        <w:rPr>
          <w:sz w:val="20"/>
          <w:szCs w:val="20"/>
          <w:color w:val="auto"/>
        </w:rPr>
      </w:pPr>
      <w:r>
        <w:rPr>
          <w:rFonts w:ascii="Arial" w:cs="Arial" w:eastAsia="Arial" w:hAnsi="Arial"/>
          <w:sz w:val="12"/>
          <w:szCs w:val="12"/>
          <w:color w:val="auto"/>
        </w:rPr>
        <w:t>approximately $830.3 million if the underwriters’ option to purchase additional shares is exercised in full, based upon the assumed initial public offering price of $25.00 per share,</w:t>
      </w:r>
    </w:p>
    <w:p>
      <w:pPr>
        <w:spacing w:after="0" w:line="2" w:lineRule="exact"/>
        <w:rPr>
          <w:sz w:val="20"/>
          <w:szCs w:val="20"/>
          <w:color w:val="auto"/>
        </w:rPr>
      </w:pPr>
    </w:p>
    <w:p>
      <w:pPr>
        <w:ind w:right="1780"/>
        <w:spacing w:after="0" w:line="221" w:lineRule="auto"/>
        <w:rPr>
          <w:sz w:val="20"/>
          <w:szCs w:val="20"/>
          <w:color w:val="auto"/>
        </w:rPr>
      </w:pPr>
      <w:r>
        <w:rPr>
          <w:rFonts w:ascii="Arial" w:cs="Arial" w:eastAsia="Arial" w:hAnsi="Arial"/>
          <w:sz w:val="12"/>
          <w:szCs w:val="12"/>
          <w:color w:val="auto"/>
        </w:rPr>
        <w:t>which is the midpoint of the offering price range set forth on the cover page of this prospectus, and after deducting underwriting discounts and commissions and estimated</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offering expenses payable by us.</w:t>
      </w:r>
    </w:p>
    <w:p>
      <w:pPr>
        <w:spacing w:after="0" w:line="89" w:lineRule="exact"/>
        <w:rPr>
          <w:sz w:val="20"/>
          <w:szCs w:val="20"/>
          <w:color w:val="auto"/>
        </w:rPr>
      </w:pPr>
    </w:p>
    <w:p>
      <w:pPr>
        <w:ind w:right="1660"/>
        <w:spacing w:after="0" w:line="235" w:lineRule="auto"/>
        <w:rPr>
          <w:sz w:val="20"/>
          <w:szCs w:val="20"/>
          <w:color w:val="auto"/>
        </w:rPr>
      </w:pPr>
      <w:r>
        <w:rPr>
          <w:rFonts w:ascii="Arial" w:cs="Arial" w:eastAsia="Arial" w:hAnsi="Arial"/>
          <w:sz w:val="12"/>
          <w:szCs w:val="12"/>
          <w:color w:val="auto"/>
        </w:rPr>
        <w:t>We primarily intend to use the net proceeds from this offering for working capital and other general corporate purposes. We</w:t>
      </w:r>
    </w:p>
    <w:p>
      <w:pPr>
        <w:ind w:right="1800"/>
        <w:spacing w:after="0" w:line="221" w:lineRule="auto"/>
        <w:rPr>
          <w:sz w:val="20"/>
          <w:szCs w:val="20"/>
          <w:color w:val="auto"/>
        </w:rPr>
      </w:pPr>
      <w:r>
        <w:rPr>
          <w:rFonts w:ascii="Arial" w:cs="Arial" w:eastAsia="Arial" w:hAnsi="Arial"/>
          <w:sz w:val="12"/>
          <w:szCs w:val="12"/>
          <w:color w:val="auto"/>
        </w:rPr>
        <w:t>intend to use approximately $133.8 million of the net proceeds from this offering to repay the outstanding term loans, including accrued and unpaid interest and estimated</w:t>
      </w:r>
    </w:p>
    <w:p>
      <w:pPr>
        <w:spacing w:after="0" w:line="2" w:lineRule="exact"/>
        <w:rPr>
          <w:sz w:val="20"/>
          <w:szCs w:val="20"/>
          <w:color w:val="auto"/>
        </w:rPr>
      </w:pPr>
    </w:p>
    <w:p>
      <w:pPr>
        <w:ind w:right="1660"/>
        <w:spacing w:after="0" w:line="221" w:lineRule="auto"/>
        <w:rPr>
          <w:sz w:val="20"/>
          <w:szCs w:val="20"/>
          <w:color w:val="auto"/>
        </w:rPr>
      </w:pPr>
      <w:r>
        <w:rPr>
          <w:rFonts w:ascii="Arial" w:cs="Arial" w:eastAsia="Arial" w:hAnsi="Arial"/>
          <w:sz w:val="12"/>
          <w:szCs w:val="12"/>
          <w:color w:val="auto"/>
        </w:rPr>
        <w:t>lenders’ legal fees, under and terminate our credit agreement with VCP Capital Markets, LLC, referred to as the Vista Facility, the terms of which are described further in the</w:t>
      </w:r>
    </w:p>
    <w:p>
      <w:pPr>
        <w:spacing w:after="0" w:line="2" w:lineRule="exact"/>
        <w:rPr>
          <w:sz w:val="20"/>
          <w:szCs w:val="20"/>
          <w:color w:val="auto"/>
        </w:rPr>
      </w:pPr>
    </w:p>
    <w:p>
      <w:pPr>
        <w:jc w:val="both"/>
        <w:ind w:right="1640"/>
        <w:spacing w:after="0" w:line="221" w:lineRule="auto"/>
        <w:rPr>
          <w:sz w:val="20"/>
          <w:szCs w:val="20"/>
          <w:color w:val="auto"/>
        </w:rPr>
      </w:pPr>
      <w:r>
        <w:rPr>
          <w:rFonts w:ascii="Arial" w:cs="Arial" w:eastAsia="Arial" w:hAnsi="Arial"/>
          <w:sz w:val="12"/>
          <w:szCs w:val="12"/>
          <w:color w:val="auto"/>
        </w:rPr>
        <w:t>section titled “Description of Material Indebtedness.” We also intend to use approximately $17.4 million of the net proceeds to satisfy the anticipated tax withholding and remittance</w:t>
      </w:r>
    </w:p>
    <w:p>
      <w:pPr>
        <w:spacing w:after="0" w:line="2" w:lineRule="exact"/>
        <w:rPr>
          <w:sz w:val="20"/>
          <w:szCs w:val="20"/>
          <w:color w:val="auto"/>
        </w:rPr>
      </w:pPr>
    </w:p>
    <w:p>
      <w:pPr>
        <w:ind w:right="1800"/>
        <w:spacing w:after="0" w:line="221" w:lineRule="auto"/>
        <w:rPr>
          <w:sz w:val="20"/>
          <w:szCs w:val="20"/>
          <w:color w:val="auto"/>
        </w:rPr>
      </w:pPr>
      <w:r>
        <w:rPr>
          <w:rFonts w:ascii="Arial" w:cs="Arial" w:eastAsia="Arial" w:hAnsi="Arial"/>
          <w:sz w:val="12"/>
          <w:szCs w:val="12"/>
          <w:color w:val="auto"/>
        </w:rPr>
        <w:t>obligations related to the RSU Net Settlement (as defined below), assuming (i) the fair market value of our Class A common stock at the time of settlement will be equal to the</w:t>
      </w:r>
    </w:p>
    <w:p>
      <w:pPr>
        <w:spacing w:after="0" w:line="2" w:lineRule="exact"/>
        <w:rPr>
          <w:sz w:val="20"/>
          <w:szCs w:val="20"/>
          <w:color w:val="auto"/>
        </w:rPr>
      </w:pPr>
    </w:p>
    <w:p>
      <w:pPr>
        <w:jc w:val="both"/>
        <w:ind w:right="1660"/>
        <w:spacing w:after="0" w:line="221" w:lineRule="auto"/>
        <w:rPr>
          <w:sz w:val="20"/>
          <w:szCs w:val="20"/>
          <w:color w:val="auto"/>
        </w:rPr>
      </w:pPr>
      <w:r>
        <w:rPr>
          <w:rFonts w:ascii="Arial" w:cs="Arial" w:eastAsia="Arial" w:hAnsi="Arial"/>
          <w:sz w:val="12"/>
          <w:szCs w:val="12"/>
          <w:color w:val="auto"/>
        </w:rPr>
        <w:t>assumed initial public offering price per share of $25.00, the midpoint of the price range set forth on the cover page of this prospectus, and (ii) an assumed 44% tax withholding rate.</w:t>
      </w:r>
    </w:p>
    <w:p>
      <w:pPr>
        <w:spacing w:after="0" w:line="2" w:lineRule="exact"/>
        <w:rPr>
          <w:sz w:val="20"/>
          <w:szCs w:val="20"/>
          <w:color w:val="auto"/>
        </w:rPr>
      </w:pPr>
    </w:p>
    <w:p>
      <w:pPr>
        <w:ind w:right="1660"/>
        <w:spacing w:after="0" w:line="221" w:lineRule="auto"/>
        <w:rPr>
          <w:sz w:val="20"/>
          <w:szCs w:val="20"/>
          <w:color w:val="auto"/>
        </w:rPr>
      </w:pPr>
      <w:r>
        <w:rPr>
          <w:rFonts w:ascii="Arial" w:cs="Arial" w:eastAsia="Arial" w:hAnsi="Arial"/>
          <w:sz w:val="12"/>
          <w:szCs w:val="12"/>
          <w:color w:val="auto"/>
        </w:rPr>
        <w:t>We may also use a portion of the proceeds for the acquisition of, or investment in, technologies, solutions, or businesses that complement our business. However, we do not have</w:t>
      </w:r>
    </w:p>
    <w:p>
      <w:pPr>
        <w:spacing w:after="0" w:line="2" w:lineRule="exact"/>
        <w:rPr>
          <w:sz w:val="20"/>
          <w:szCs w:val="20"/>
          <w:color w:val="auto"/>
        </w:rPr>
      </w:pPr>
    </w:p>
    <w:p>
      <w:pPr>
        <w:ind w:right="1800"/>
        <w:spacing w:after="0" w:line="221" w:lineRule="auto"/>
        <w:rPr>
          <w:sz w:val="20"/>
          <w:szCs w:val="20"/>
          <w:color w:val="auto"/>
        </w:rPr>
      </w:pPr>
      <w:r>
        <w:rPr>
          <w:rFonts w:ascii="Arial" w:cs="Arial" w:eastAsia="Arial" w:hAnsi="Arial"/>
          <w:sz w:val="12"/>
          <w:szCs w:val="12"/>
          <w:color w:val="auto"/>
        </w:rPr>
        <w:t>agreements or commitments for any acquisitions or investments outside the ordinary course of business at this time. See the section titled “Use of Proceeds” for additional</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information.</w:t>
      </w:r>
    </w:p>
    <w:p>
      <w:pPr>
        <w:spacing w:after="0" w:line="89" w:lineRule="exact"/>
        <w:rPr>
          <w:sz w:val="20"/>
          <w:szCs w:val="20"/>
          <w:color w:val="auto"/>
        </w:rPr>
      </w:pPr>
    </w:p>
    <w:p>
      <w:pPr>
        <w:ind w:right="1920"/>
        <w:spacing w:after="0" w:line="262" w:lineRule="auto"/>
        <w:rPr>
          <w:sz w:val="20"/>
          <w:szCs w:val="20"/>
          <w:color w:val="auto"/>
        </w:rPr>
      </w:pPr>
      <w:r>
        <w:rPr>
          <w:rFonts w:ascii="Arial" w:cs="Arial" w:eastAsia="Arial" w:hAnsi="Arial"/>
          <w:sz w:val="12"/>
          <w:szCs w:val="12"/>
          <w:color w:val="auto"/>
        </w:rPr>
        <w:t>We will not receive any proceeds from sales of shares of Class A common stock by the selling stockholders.</w:t>
      </w:r>
    </w:p>
    <w:p>
      <w:pPr>
        <w:spacing w:after="0" w:line="200" w:lineRule="exact"/>
        <w:rPr>
          <w:sz w:val="20"/>
          <w:szCs w:val="20"/>
          <w:color w:val="auto"/>
        </w:rPr>
      </w:pPr>
    </w:p>
    <w:p>
      <w:pPr>
        <w:sectPr>
          <w:pgSz w:w="11900" w:h="16840" w:orient="portrait"/>
          <w:cols w:equalWidth="0" w:num="2">
            <w:col w:w="3880" w:space="120"/>
            <w:col w:w="5020"/>
          </w:cols>
          <w:pgMar w:left="1440" w:top="569" w:right="1440" w:bottom="603" w:gutter="0" w:footer="0" w:header="0"/>
          <w:type w:val="continuous"/>
        </w:sect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11</w:t>
      </w:r>
    </w:p>
    <w:p>
      <w:pPr>
        <w:sectPr>
          <w:pgSz w:w="11900" w:h="16840" w:orient="portrait"/>
          <w:cols w:equalWidth="0" w:num="1">
            <w:col w:w="9020"/>
          </w:cols>
          <w:pgMar w:left="1440" w:top="569" w:right="1440" w:bottom="60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ectPr>
          <w:pgSz w:w="11900" w:h="16840" w:orient="portrait"/>
          <w:cols w:equalWidth="0" w:num="1">
            <w:col w:w="9020"/>
          </w:cols>
          <w:pgMar w:left="1440" w:top="569" w:right="1440" w:bottom="603" w:gutter="0" w:footer="0" w:header="0"/>
          <w:type w:val="continuous"/>
        </w:sectPr>
      </w:pPr>
    </w:p>
    <w:bookmarkStart w:id="15" w:name="page16"/>
    <w:bookmarkEnd w:id="15"/>
    <w:tbl>
      <w:tblPr>
        <w:tblLayout w:type="fixed"/>
        <w:tblInd w:w="1560" w:type="dxa"/>
        <w:tblCellMar>
          <w:top w:w="0" w:type="dxa"/>
          <w:left w:w="0" w:type="dxa"/>
          <w:bottom w:w="0" w:type="dxa"/>
          <w:right w:w="0" w:type="dxa"/>
        </w:tblCellMar>
      </w:tblPr>
      <w:tr>
        <w:trPr>
          <w:trHeight w:val="139"/>
        </w:trPr>
        <w:tc>
          <w:tcPr>
            <w:tcW w:w="2400" w:type="dxa"/>
            <w:vAlign w:val="bottom"/>
          </w:tcPr>
          <w:p>
            <w:pPr>
              <w:spacing w:after="0"/>
              <w:rPr>
                <w:sz w:val="20"/>
                <w:szCs w:val="20"/>
                <w:color w:val="auto"/>
              </w:rPr>
            </w:pPr>
            <w:r>
              <w:rPr>
                <w:rFonts w:ascii="Arial" w:cs="Arial" w:eastAsia="Arial" w:hAnsi="Arial"/>
                <w:sz w:val="12"/>
                <w:szCs w:val="12"/>
                <w:color w:val="auto"/>
              </w:rPr>
              <w:t xml:space="preserve">Voting rights </w:t>
            </w:r>
            <w:r>
              <w:rPr>
                <w:rFonts w:ascii="Times New Roman" w:cs="Times New Roman" w:eastAsia="Times New Roman" w:hAnsi="Times New Roman"/>
                <w:sz w:val="12"/>
                <w:szCs w:val="12"/>
                <w:color w:val="B4B4B4"/>
              </w:rPr>
              <w:t>....................................................</w:t>
            </w:r>
          </w:p>
        </w:tc>
        <w:tc>
          <w:tcPr>
            <w:tcW w:w="3380" w:type="dxa"/>
            <w:vAlign w:val="bottom"/>
            <w:gridSpan w:val="3"/>
          </w:tcPr>
          <w:p>
            <w:pPr>
              <w:ind w:left="40"/>
              <w:spacing w:after="0"/>
              <w:rPr>
                <w:sz w:val="20"/>
                <w:szCs w:val="20"/>
                <w:color w:val="auto"/>
              </w:rPr>
            </w:pPr>
            <w:r>
              <w:rPr>
                <w:rFonts w:ascii="Arial" w:cs="Arial" w:eastAsia="Arial" w:hAnsi="Arial"/>
                <w:sz w:val="12"/>
                <w:szCs w:val="12"/>
                <w:color w:val="auto"/>
              </w:rPr>
              <w:t>Following the completion of this offering, shares of our</w:t>
            </w:r>
          </w:p>
        </w:tc>
      </w:tr>
      <w:tr>
        <w:trPr>
          <w:trHeight w:val="124"/>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Class A common stock will be entitled to one vote per share.</w:t>
            </w:r>
          </w:p>
        </w:tc>
      </w:tr>
      <w:tr>
        <w:trPr>
          <w:trHeight w:val="125"/>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Shares of our Class B common stock will be entitled</w:t>
            </w:r>
          </w:p>
        </w:tc>
      </w:tr>
      <w:tr>
        <w:trPr>
          <w:trHeight w:val="124"/>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to 30 votes per share. Holders of our Class A common stock</w:t>
            </w:r>
          </w:p>
        </w:tc>
      </w:tr>
      <w:tr>
        <w:trPr>
          <w:trHeight w:val="134"/>
        </w:trPr>
        <w:tc>
          <w:tcPr>
            <w:tcW w:w="2400" w:type="dxa"/>
            <w:vAlign w:val="bottom"/>
          </w:tcPr>
          <w:p>
            <w:pPr>
              <w:spacing w:after="0"/>
              <w:rPr>
                <w:sz w:val="11"/>
                <w:szCs w:val="11"/>
                <w:color w:val="auto"/>
              </w:rPr>
            </w:pPr>
          </w:p>
        </w:tc>
        <w:tc>
          <w:tcPr>
            <w:tcW w:w="3380" w:type="dxa"/>
            <w:vAlign w:val="bottom"/>
            <w:gridSpan w:val="3"/>
          </w:tcPr>
          <w:p>
            <w:pPr>
              <w:ind w:left="40"/>
              <w:spacing w:after="0" w:line="134" w:lineRule="exact"/>
              <w:rPr>
                <w:sz w:val="20"/>
                <w:szCs w:val="20"/>
                <w:color w:val="auto"/>
              </w:rPr>
            </w:pPr>
            <w:r>
              <w:rPr>
                <w:rFonts w:ascii="Arial" w:cs="Arial" w:eastAsia="Arial" w:hAnsi="Arial"/>
                <w:sz w:val="12"/>
                <w:szCs w:val="12"/>
                <w:color w:val="auto"/>
              </w:rPr>
              <w:t>and Class B common stock will generally vote together as a</w:t>
            </w:r>
          </w:p>
        </w:tc>
      </w:tr>
      <w:tr>
        <w:trPr>
          <w:trHeight w:val="125"/>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single class, unless otherwise required by law or our</w:t>
            </w:r>
          </w:p>
        </w:tc>
      </w:tr>
      <w:tr>
        <w:trPr>
          <w:trHeight w:val="124"/>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amended and restated certificate of incorporation.</w:t>
            </w:r>
          </w:p>
        </w:tc>
      </w:tr>
      <w:tr>
        <w:trPr>
          <w:trHeight w:val="134"/>
        </w:trPr>
        <w:tc>
          <w:tcPr>
            <w:tcW w:w="2400" w:type="dxa"/>
            <w:vAlign w:val="bottom"/>
          </w:tcPr>
          <w:p>
            <w:pPr>
              <w:spacing w:after="0"/>
              <w:rPr>
                <w:sz w:val="11"/>
                <w:szCs w:val="11"/>
                <w:color w:val="auto"/>
              </w:rPr>
            </w:pPr>
          </w:p>
        </w:tc>
        <w:tc>
          <w:tcPr>
            <w:tcW w:w="3380" w:type="dxa"/>
            <w:vAlign w:val="bottom"/>
            <w:gridSpan w:val="3"/>
          </w:tcPr>
          <w:p>
            <w:pPr>
              <w:ind w:left="40"/>
              <w:spacing w:after="0" w:line="134" w:lineRule="exact"/>
              <w:rPr>
                <w:sz w:val="20"/>
                <w:szCs w:val="20"/>
                <w:color w:val="auto"/>
              </w:rPr>
            </w:pPr>
            <w:r>
              <w:rPr>
                <w:rFonts w:ascii="Arial" w:cs="Arial" w:eastAsia="Arial" w:hAnsi="Arial"/>
                <w:sz w:val="12"/>
                <w:szCs w:val="12"/>
                <w:color w:val="auto"/>
              </w:rPr>
              <w:t>Immediately following the completion of this offering, and</w:t>
            </w:r>
          </w:p>
        </w:tc>
      </w:tr>
      <w:tr>
        <w:trPr>
          <w:trHeight w:val="125"/>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assuming no exercise of the underwriters’ option to purchase</w:t>
            </w:r>
          </w:p>
        </w:tc>
      </w:tr>
      <w:tr>
        <w:trPr>
          <w:trHeight w:val="124"/>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additional shares, Ariel Cohen, our co-founder, chairperson</w:t>
            </w:r>
          </w:p>
        </w:tc>
      </w:tr>
      <w:tr>
        <w:trPr>
          <w:trHeight w:val="134"/>
        </w:trPr>
        <w:tc>
          <w:tcPr>
            <w:tcW w:w="2400" w:type="dxa"/>
            <w:vAlign w:val="bottom"/>
          </w:tcPr>
          <w:p>
            <w:pPr>
              <w:spacing w:after="0"/>
              <w:rPr>
                <w:sz w:val="11"/>
                <w:szCs w:val="11"/>
                <w:color w:val="auto"/>
              </w:rPr>
            </w:pPr>
          </w:p>
        </w:tc>
        <w:tc>
          <w:tcPr>
            <w:tcW w:w="3380" w:type="dxa"/>
            <w:vAlign w:val="bottom"/>
            <w:gridSpan w:val="3"/>
          </w:tcPr>
          <w:p>
            <w:pPr>
              <w:ind w:left="40"/>
              <w:spacing w:after="0" w:line="134" w:lineRule="exact"/>
              <w:rPr>
                <w:sz w:val="20"/>
                <w:szCs w:val="20"/>
                <w:color w:val="auto"/>
              </w:rPr>
            </w:pPr>
            <w:r>
              <w:rPr>
                <w:rFonts w:ascii="Arial" w:cs="Arial" w:eastAsia="Arial" w:hAnsi="Arial"/>
                <w:sz w:val="12"/>
                <w:szCs w:val="12"/>
                <w:color w:val="auto"/>
              </w:rPr>
              <w:t>of our board of directors, and Chief Executive Officer, and a</w:t>
            </w:r>
          </w:p>
        </w:tc>
      </w:tr>
      <w:tr>
        <w:trPr>
          <w:trHeight w:val="125"/>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member of our board of directors, will hold</w:t>
            </w:r>
          </w:p>
        </w:tc>
      </w:tr>
      <w:tr>
        <w:trPr>
          <w:trHeight w:val="124"/>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approximately 24% of the voting power of our outstanding</w:t>
            </w:r>
          </w:p>
        </w:tc>
      </w:tr>
      <w:tr>
        <w:trPr>
          <w:trHeight w:val="134"/>
        </w:trPr>
        <w:tc>
          <w:tcPr>
            <w:tcW w:w="2400" w:type="dxa"/>
            <w:vAlign w:val="bottom"/>
          </w:tcPr>
          <w:p>
            <w:pPr>
              <w:spacing w:after="0"/>
              <w:rPr>
                <w:sz w:val="11"/>
                <w:szCs w:val="11"/>
                <w:color w:val="auto"/>
              </w:rPr>
            </w:pPr>
          </w:p>
        </w:tc>
        <w:tc>
          <w:tcPr>
            <w:tcW w:w="3380" w:type="dxa"/>
            <w:vAlign w:val="bottom"/>
            <w:gridSpan w:val="3"/>
          </w:tcPr>
          <w:p>
            <w:pPr>
              <w:ind w:left="40"/>
              <w:spacing w:after="0" w:line="134" w:lineRule="exact"/>
              <w:rPr>
                <w:sz w:val="20"/>
                <w:szCs w:val="20"/>
                <w:color w:val="auto"/>
              </w:rPr>
            </w:pPr>
            <w:r>
              <w:rPr>
                <w:rFonts w:ascii="Arial" w:cs="Arial" w:eastAsia="Arial" w:hAnsi="Arial"/>
                <w:sz w:val="12"/>
                <w:szCs w:val="12"/>
                <w:color w:val="auto"/>
              </w:rPr>
              <w:t>capital stock, and Ilan Twig, our co-founder, Chief</w:t>
            </w:r>
          </w:p>
        </w:tc>
      </w:tr>
      <w:tr>
        <w:trPr>
          <w:trHeight w:val="125"/>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Technology Officer, and a member of our board of directors,</w:t>
            </w:r>
          </w:p>
        </w:tc>
      </w:tr>
      <w:tr>
        <w:trPr>
          <w:trHeight w:val="124"/>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will hold approximately 43% of the voting power of our</w:t>
            </w:r>
          </w:p>
        </w:tc>
      </w:tr>
      <w:tr>
        <w:trPr>
          <w:trHeight w:val="134"/>
        </w:trPr>
        <w:tc>
          <w:tcPr>
            <w:tcW w:w="2400" w:type="dxa"/>
            <w:vAlign w:val="bottom"/>
          </w:tcPr>
          <w:p>
            <w:pPr>
              <w:spacing w:after="0"/>
              <w:rPr>
                <w:sz w:val="11"/>
                <w:szCs w:val="11"/>
                <w:color w:val="auto"/>
              </w:rPr>
            </w:pPr>
          </w:p>
        </w:tc>
        <w:tc>
          <w:tcPr>
            <w:tcW w:w="3380" w:type="dxa"/>
            <w:vAlign w:val="bottom"/>
            <w:gridSpan w:val="3"/>
          </w:tcPr>
          <w:p>
            <w:pPr>
              <w:ind w:left="40"/>
              <w:spacing w:after="0" w:line="134" w:lineRule="exact"/>
              <w:rPr>
                <w:sz w:val="20"/>
                <w:szCs w:val="20"/>
                <w:color w:val="auto"/>
              </w:rPr>
            </w:pPr>
            <w:r>
              <w:rPr>
                <w:rFonts w:ascii="Arial" w:cs="Arial" w:eastAsia="Arial" w:hAnsi="Arial"/>
                <w:sz w:val="12"/>
                <w:szCs w:val="12"/>
                <w:color w:val="auto"/>
              </w:rPr>
              <w:t>outstanding capital stock, which voting power may increase</w:t>
            </w:r>
          </w:p>
        </w:tc>
      </w:tr>
      <w:tr>
        <w:trPr>
          <w:trHeight w:val="125"/>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over time upon the exercise or settlement and exchange of</w:t>
            </w:r>
          </w:p>
        </w:tc>
      </w:tr>
      <w:tr>
        <w:trPr>
          <w:trHeight w:val="124"/>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equity awards held by our co-founders pursuant to their</w:t>
            </w:r>
          </w:p>
        </w:tc>
      </w:tr>
      <w:tr>
        <w:trPr>
          <w:trHeight w:val="165"/>
        </w:trPr>
        <w:tc>
          <w:tcPr>
            <w:tcW w:w="2400" w:type="dxa"/>
            <w:vAlign w:val="bottom"/>
          </w:tcPr>
          <w:p>
            <w:pPr>
              <w:spacing w:after="0"/>
              <w:rPr>
                <w:sz w:val="14"/>
                <w:szCs w:val="14"/>
                <w:color w:val="auto"/>
              </w:rPr>
            </w:pPr>
          </w:p>
        </w:tc>
        <w:tc>
          <w:tcPr>
            <w:tcW w:w="3380" w:type="dxa"/>
            <w:vAlign w:val="bottom"/>
            <w:gridSpan w:val="3"/>
          </w:tcPr>
          <w:p>
            <w:pPr>
              <w:ind w:left="40"/>
              <w:spacing w:after="0"/>
              <w:rPr>
                <w:sz w:val="20"/>
                <w:szCs w:val="20"/>
                <w:color w:val="auto"/>
              </w:rPr>
            </w:pPr>
            <w:r>
              <w:rPr>
                <w:rFonts w:ascii="Arial" w:cs="Arial" w:eastAsia="Arial" w:hAnsi="Arial"/>
                <w:sz w:val="12"/>
                <w:szCs w:val="12"/>
                <w:color w:val="auto"/>
              </w:rPr>
              <w:t>Equity Exchange Rights (as defined below).</w:t>
            </w:r>
          </w:p>
        </w:tc>
      </w:tr>
      <w:tr>
        <w:trPr>
          <w:trHeight w:val="314"/>
        </w:trPr>
        <w:tc>
          <w:tcPr>
            <w:tcW w:w="2400" w:type="dxa"/>
            <w:vAlign w:val="bottom"/>
          </w:tcPr>
          <w:p>
            <w:pPr>
              <w:spacing w:after="0"/>
              <w:rPr>
                <w:sz w:val="24"/>
                <w:szCs w:val="24"/>
                <w:color w:val="auto"/>
              </w:rPr>
            </w:pPr>
          </w:p>
        </w:tc>
        <w:tc>
          <w:tcPr>
            <w:tcW w:w="3380" w:type="dxa"/>
            <w:vAlign w:val="bottom"/>
            <w:gridSpan w:val="3"/>
          </w:tcPr>
          <w:p>
            <w:pPr>
              <w:ind w:left="40"/>
              <w:spacing w:after="0"/>
              <w:rPr>
                <w:sz w:val="20"/>
                <w:szCs w:val="20"/>
                <w:color w:val="auto"/>
              </w:rPr>
            </w:pPr>
            <w:r>
              <w:rPr>
                <w:rFonts w:ascii="Arial" w:cs="Arial" w:eastAsia="Arial" w:hAnsi="Arial"/>
                <w:sz w:val="12"/>
                <w:szCs w:val="12"/>
                <w:color w:val="auto"/>
              </w:rPr>
              <w:t>If all currently outstanding stock options to purchase shares</w:t>
            </w:r>
          </w:p>
        </w:tc>
      </w:tr>
      <w:tr>
        <w:trPr>
          <w:trHeight w:val="134"/>
        </w:trPr>
        <w:tc>
          <w:tcPr>
            <w:tcW w:w="2400" w:type="dxa"/>
            <w:vAlign w:val="bottom"/>
          </w:tcPr>
          <w:p>
            <w:pPr>
              <w:spacing w:after="0"/>
              <w:rPr>
                <w:sz w:val="11"/>
                <w:szCs w:val="11"/>
                <w:color w:val="auto"/>
              </w:rPr>
            </w:pPr>
          </w:p>
        </w:tc>
        <w:tc>
          <w:tcPr>
            <w:tcW w:w="3380" w:type="dxa"/>
            <w:vAlign w:val="bottom"/>
            <w:gridSpan w:val="3"/>
          </w:tcPr>
          <w:p>
            <w:pPr>
              <w:ind w:left="40"/>
              <w:spacing w:after="0" w:line="134" w:lineRule="exact"/>
              <w:rPr>
                <w:sz w:val="20"/>
                <w:szCs w:val="20"/>
                <w:color w:val="auto"/>
              </w:rPr>
            </w:pPr>
            <w:r>
              <w:rPr>
                <w:rFonts w:ascii="Arial" w:cs="Arial" w:eastAsia="Arial" w:hAnsi="Arial"/>
                <w:sz w:val="12"/>
                <w:szCs w:val="12"/>
                <w:color w:val="auto"/>
              </w:rPr>
              <w:t>of our Class A common stock and all RSUs held by our co-</w:t>
            </w:r>
          </w:p>
        </w:tc>
      </w:tr>
      <w:tr>
        <w:trPr>
          <w:trHeight w:val="125"/>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founders that are settleable for shares of our Class A</w:t>
            </w:r>
          </w:p>
        </w:tc>
      </w:tr>
      <w:tr>
        <w:trPr>
          <w:trHeight w:val="124"/>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common stock were exercised or settled, as applicable, and</w:t>
            </w:r>
          </w:p>
        </w:tc>
      </w:tr>
      <w:tr>
        <w:trPr>
          <w:trHeight w:val="134"/>
        </w:trPr>
        <w:tc>
          <w:tcPr>
            <w:tcW w:w="2400" w:type="dxa"/>
            <w:vAlign w:val="bottom"/>
          </w:tcPr>
          <w:p>
            <w:pPr>
              <w:spacing w:after="0"/>
              <w:rPr>
                <w:sz w:val="11"/>
                <w:szCs w:val="11"/>
                <w:color w:val="auto"/>
              </w:rPr>
            </w:pPr>
          </w:p>
        </w:tc>
        <w:tc>
          <w:tcPr>
            <w:tcW w:w="3380" w:type="dxa"/>
            <w:vAlign w:val="bottom"/>
            <w:gridSpan w:val="3"/>
          </w:tcPr>
          <w:p>
            <w:pPr>
              <w:ind w:left="40"/>
              <w:spacing w:after="0" w:line="134" w:lineRule="exact"/>
              <w:rPr>
                <w:sz w:val="20"/>
                <w:szCs w:val="20"/>
                <w:color w:val="auto"/>
              </w:rPr>
            </w:pPr>
            <w:r>
              <w:rPr>
                <w:rFonts w:ascii="Arial" w:cs="Arial" w:eastAsia="Arial" w:hAnsi="Arial"/>
                <w:sz w:val="12"/>
                <w:szCs w:val="12"/>
                <w:color w:val="auto"/>
              </w:rPr>
              <w:t>the resulting shares were exchanged for an equal number of</w:t>
            </w:r>
          </w:p>
        </w:tc>
      </w:tr>
      <w:tr>
        <w:trPr>
          <w:trHeight w:val="125"/>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shares of Class B common stock pursuant to the Equity</w:t>
            </w:r>
          </w:p>
        </w:tc>
      </w:tr>
      <w:tr>
        <w:trPr>
          <w:trHeight w:val="124"/>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Exchange Rights, then immediately following the completion</w:t>
            </w:r>
          </w:p>
        </w:tc>
      </w:tr>
      <w:tr>
        <w:trPr>
          <w:trHeight w:val="134"/>
        </w:trPr>
        <w:tc>
          <w:tcPr>
            <w:tcW w:w="2400" w:type="dxa"/>
            <w:vAlign w:val="bottom"/>
          </w:tcPr>
          <w:p>
            <w:pPr>
              <w:spacing w:after="0"/>
              <w:rPr>
                <w:sz w:val="11"/>
                <w:szCs w:val="11"/>
                <w:color w:val="auto"/>
              </w:rPr>
            </w:pPr>
          </w:p>
        </w:tc>
        <w:tc>
          <w:tcPr>
            <w:tcW w:w="3380" w:type="dxa"/>
            <w:vAlign w:val="bottom"/>
            <w:gridSpan w:val="3"/>
          </w:tcPr>
          <w:p>
            <w:pPr>
              <w:ind w:left="40"/>
              <w:spacing w:after="0" w:line="134" w:lineRule="exact"/>
              <w:rPr>
                <w:sz w:val="20"/>
                <w:szCs w:val="20"/>
                <w:color w:val="auto"/>
              </w:rPr>
            </w:pPr>
            <w:r>
              <w:rPr>
                <w:rFonts w:ascii="Arial" w:cs="Arial" w:eastAsia="Arial" w:hAnsi="Arial"/>
                <w:sz w:val="12"/>
                <w:szCs w:val="12"/>
                <w:color w:val="auto"/>
              </w:rPr>
              <w:t>of this offering, Messrs. Cohen and Twig would hold</w:t>
            </w:r>
          </w:p>
        </w:tc>
      </w:tr>
      <w:tr>
        <w:trPr>
          <w:trHeight w:val="125"/>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approximately 35% and 42%, respectively, of the voting</w:t>
            </w:r>
          </w:p>
        </w:tc>
      </w:tr>
      <w:tr>
        <w:trPr>
          <w:trHeight w:val="165"/>
        </w:trPr>
        <w:tc>
          <w:tcPr>
            <w:tcW w:w="2400" w:type="dxa"/>
            <w:vAlign w:val="bottom"/>
          </w:tcPr>
          <w:p>
            <w:pPr>
              <w:spacing w:after="0"/>
              <w:rPr>
                <w:sz w:val="14"/>
                <w:szCs w:val="14"/>
                <w:color w:val="auto"/>
              </w:rPr>
            </w:pPr>
          </w:p>
        </w:tc>
        <w:tc>
          <w:tcPr>
            <w:tcW w:w="3380" w:type="dxa"/>
            <w:vAlign w:val="bottom"/>
            <w:gridSpan w:val="3"/>
          </w:tcPr>
          <w:p>
            <w:pPr>
              <w:ind w:left="40"/>
              <w:spacing w:after="0"/>
              <w:rPr>
                <w:sz w:val="20"/>
                <w:szCs w:val="20"/>
                <w:color w:val="auto"/>
              </w:rPr>
            </w:pPr>
            <w:r>
              <w:rPr>
                <w:rFonts w:ascii="Arial" w:cs="Arial" w:eastAsia="Arial" w:hAnsi="Arial"/>
                <w:sz w:val="12"/>
                <w:szCs w:val="12"/>
                <w:color w:val="auto"/>
              </w:rPr>
              <w:t>power of our outstanding capital stock.</w:t>
            </w:r>
          </w:p>
        </w:tc>
      </w:tr>
      <w:tr>
        <w:trPr>
          <w:trHeight w:val="208"/>
        </w:trPr>
        <w:tc>
          <w:tcPr>
            <w:tcW w:w="2400" w:type="dxa"/>
            <w:vAlign w:val="bottom"/>
          </w:tcPr>
          <w:p>
            <w:pPr>
              <w:spacing w:after="0"/>
              <w:rPr>
                <w:sz w:val="18"/>
                <w:szCs w:val="18"/>
                <w:color w:val="auto"/>
              </w:rPr>
            </w:pPr>
          </w:p>
        </w:tc>
        <w:tc>
          <w:tcPr>
            <w:tcW w:w="3380" w:type="dxa"/>
            <w:vAlign w:val="bottom"/>
            <w:gridSpan w:val="3"/>
          </w:tcPr>
          <w:p>
            <w:pPr>
              <w:ind w:left="40"/>
              <w:spacing w:after="0"/>
              <w:rPr>
                <w:sz w:val="20"/>
                <w:szCs w:val="20"/>
                <w:color w:val="auto"/>
              </w:rPr>
            </w:pPr>
            <w:r>
              <w:rPr>
                <w:rFonts w:ascii="Arial" w:cs="Arial" w:eastAsia="Arial" w:hAnsi="Arial"/>
                <w:sz w:val="12"/>
                <w:szCs w:val="12"/>
                <w:color w:val="auto"/>
              </w:rPr>
              <w:t>As a result, our co-founders may have significant influence</w:t>
            </w:r>
          </w:p>
        </w:tc>
      </w:tr>
      <w:tr>
        <w:trPr>
          <w:trHeight w:val="125"/>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over the outcome of matters submitted to our stockholders</w:t>
            </w:r>
          </w:p>
        </w:tc>
      </w:tr>
      <w:tr>
        <w:trPr>
          <w:trHeight w:val="124"/>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for approval, including the election of our directors and the</w:t>
            </w:r>
          </w:p>
        </w:tc>
      </w:tr>
      <w:tr>
        <w:trPr>
          <w:trHeight w:val="134"/>
        </w:trPr>
        <w:tc>
          <w:tcPr>
            <w:tcW w:w="2400" w:type="dxa"/>
            <w:vAlign w:val="bottom"/>
          </w:tcPr>
          <w:p>
            <w:pPr>
              <w:spacing w:after="0"/>
              <w:rPr>
                <w:sz w:val="11"/>
                <w:szCs w:val="11"/>
                <w:color w:val="auto"/>
              </w:rPr>
            </w:pPr>
          </w:p>
        </w:tc>
        <w:tc>
          <w:tcPr>
            <w:tcW w:w="3380" w:type="dxa"/>
            <w:vAlign w:val="bottom"/>
            <w:gridSpan w:val="3"/>
          </w:tcPr>
          <w:p>
            <w:pPr>
              <w:ind w:left="40"/>
              <w:spacing w:after="0" w:line="134" w:lineRule="exact"/>
              <w:rPr>
                <w:sz w:val="20"/>
                <w:szCs w:val="20"/>
                <w:color w:val="auto"/>
              </w:rPr>
            </w:pPr>
            <w:r>
              <w:rPr>
                <w:rFonts w:ascii="Arial" w:cs="Arial" w:eastAsia="Arial" w:hAnsi="Arial"/>
                <w:sz w:val="12"/>
                <w:szCs w:val="12"/>
                <w:color w:val="auto"/>
              </w:rPr>
              <w:t>approval of any change of control transaction. These risks</w:t>
            </w:r>
          </w:p>
        </w:tc>
      </w:tr>
      <w:tr>
        <w:trPr>
          <w:trHeight w:val="125"/>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are more fully described in the section titled “Risk Factors.”</w:t>
            </w:r>
          </w:p>
        </w:tc>
      </w:tr>
      <w:tr>
        <w:trPr>
          <w:trHeight w:val="124"/>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See the sections titled “Principal and Selling Stockholders”</w:t>
            </w:r>
          </w:p>
        </w:tc>
      </w:tr>
      <w:tr>
        <w:trPr>
          <w:trHeight w:val="165"/>
        </w:trPr>
        <w:tc>
          <w:tcPr>
            <w:tcW w:w="2400" w:type="dxa"/>
            <w:vAlign w:val="bottom"/>
          </w:tcPr>
          <w:p>
            <w:pPr>
              <w:spacing w:after="0"/>
              <w:rPr>
                <w:sz w:val="14"/>
                <w:szCs w:val="14"/>
                <w:color w:val="auto"/>
              </w:rPr>
            </w:pPr>
          </w:p>
        </w:tc>
        <w:tc>
          <w:tcPr>
            <w:tcW w:w="3380" w:type="dxa"/>
            <w:vAlign w:val="bottom"/>
            <w:gridSpan w:val="3"/>
          </w:tcPr>
          <w:p>
            <w:pPr>
              <w:ind w:left="40"/>
              <w:spacing w:after="0"/>
              <w:rPr>
                <w:sz w:val="20"/>
                <w:szCs w:val="20"/>
                <w:color w:val="auto"/>
              </w:rPr>
            </w:pPr>
            <w:r>
              <w:rPr>
                <w:rFonts w:ascii="Arial" w:cs="Arial" w:eastAsia="Arial" w:hAnsi="Arial"/>
                <w:sz w:val="12"/>
                <w:szCs w:val="12"/>
                <w:color w:val="auto"/>
              </w:rPr>
              <w:t>and “Description of Capital Stock” for additional information.</w:t>
            </w:r>
          </w:p>
        </w:tc>
      </w:tr>
      <w:tr>
        <w:trPr>
          <w:trHeight w:val="189"/>
        </w:trPr>
        <w:tc>
          <w:tcPr>
            <w:tcW w:w="2400" w:type="dxa"/>
            <w:vAlign w:val="bottom"/>
          </w:tcPr>
          <w:p>
            <w:pPr>
              <w:spacing w:after="0"/>
              <w:rPr>
                <w:sz w:val="20"/>
                <w:szCs w:val="20"/>
                <w:color w:val="auto"/>
              </w:rPr>
            </w:pPr>
            <w:r>
              <w:rPr>
                <w:rFonts w:ascii="Arial" w:cs="Arial" w:eastAsia="Arial" w:hAnsi="Arial"/>
                <w:sz w:val="12"/>
                <w:szCs w:val="12"/>
                <w:color w:val="auto"/>
              </w:rPr>
              <w:t xml:space="preserve">Risk factors </w:t>
            </w:r>
            <w:r>
              <w:rPr>
                <w:rFonts w:ascii="Times New Roman" w:cs="Times New Roman" w:eastAsia="Times New Roman" w:hAnsi="Times New Roman"/>
                <w:sz w:val="12"/>
                <w:szCs w:val="12"/>
                <w:color w:val="B4B4B4"/>
              </w:rPr>
              <w:t>.....................................................</w:t>
            </w:r>
          </w:p>
        </w:tc>
        <w:tc>
          <w:tcPr>
            <w:tcW w:w="3380" w:type="dxa"/>
            <w:vAlign w:val="bottom"/>
            <w:gridSpan w:val="3"/>
          </w:tcPr>
          <w:p>
            <w:pPr>
              <w:ind w:left="40"/>
              <w:spacing w:after="0"/>
              <w:rPr>
                <w:rFonts w:ascii="Arial" w:cs="Arial" w:eastAsia="Arial" w:hAnsi="Arial"/>
                <w:sz w:val="12"/>
                <w:szCs w:val="12"/>
                <w:color w:val="auto"/>
              </w:rPr>
            </w:pPr>
            <w:r>
              <w:rPr>
                <w:rFonts w:ascii="Arial" w:cs="Arial" w:eastAsia="Arial" w:hAnsi="Arial"/>
                <w:sz w:val="12"/>
                <w:szCs w:val="12"/>
                <w:color w:val="auto"/>
              </w:rPr>
              <w:t xml:space="preserve">See the section titled “ </w:t>
            </w:r>
            <w:hyperlink w:anchor="page24">
              <w:r>
                <w:rPr>
                  <w:rFonts w:ascii="Arial" w:cs="Arial" w:eastAsia="Arial" w:hAnsi="Arial"/>
                  <w:sz w:val="12"/>
                  <w:szCs w:val="12"/>
                  <w:color w:val="0000FF"/>
                </w:rPr>
                <w:t>Risk Factors</w:t>
              </w:r>
              <w:r>
                <w:rPr>
                  <w:rFonts w:ascii="Arial" w:cs="Arial" w:eastAsia="Arial" w:hAnsi="Arial"/>
                  <w:sz w:val="12"/>
                  <w:szCs w:val="12"/>
                  <w:color w:val="auto"/>
                </w:rPr>
                <w:t xml:space="preserve"> </w:t>
              </w:r>
            </w:hyperlink>
            <w:r>
              <w:rPr>
                <w:rFonts w:ascii="Arial" w:cs="Arial" w:eastAsia="Arial" w:hAnsi="Arial"/>
                <w:sz w:val="12"/>
                <w:szCs w:val="12"/>
                <w:color w:val="auto"/>
              </w:rPr>
              <w:t>” and other information</w:t>
            </w:r>
          </w:p>
        </w:tc>
      </w:tr>
      <w:tr>
        <w:trPr>
          <w:trHeight w:val="20"/>
        </w:trPr>
        <w:tc>
          <w:tcPr>
            <w:tcW w:w="2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04"/>
        </w:trPr>
        <w:tc>
          <w:tcPr>
            <w:tcW w:w="2400" w:type="dxa"/>
            <w:vAlign w:val="bottom"/>
          </w:tcPr>
          <w:p>
            <w:pPr>
              <w:spacing w:after="0"/>
              <w:rPr>
                <w:sz w:val="9"/>
                <w:szCs w:val="9"/>
                <w:color w:val="auto"/>
              </w:rPr>
            </w:pPr>
          </w:p>
        </w:tc>
        <w:tc>
          <w:tcPr>
            <w:tcW w:w="3380" w:type="dxa"/>
            <w:vAlign w:val="bottom"/>
            <w:gridSpan w:val="3"/>
          </w:tcPr>
          <w:p>
            <w:pPr>
              <w:ind w:left="40"/>
              <w:spacing w:after="0" w:line="105" w:lineRule="exact"/>
              <w:rPr>
                <w:sz w:val="20"/>
                <w:szCs w:val="20"/>
                <w:color w:val="auto"/>
              </w:rPr>
            </w:pPr>
            <w:r>
              <w:rPr>
                <w:rFonts w:ascii="Arial" w:cs="Arial" w:eastAsia="Arial" w:hAnsi="Arial"/>
                <w:sz w:val="12"/>
                <w:szCs w:val="12"/>
                <w:color w:val="auto"/>
              </w:rPr>
              <w:t>included in this prospectus for a discussion of some of the</w:t>
            </w:r>
          </w:p>
        </w:tc>
      </w:tr>
      <w:tr>
        <w:trPr>
          <w:trHeight w:val="124"/>
        </w:trPr>
        <w:tc>
          <w:tcPr>
            <w:tcW w:w="2400" w:type="dxa"/>
            <w:vAlign w:val="bottom"/>
          </w:tcPr>
          <w:p>
            <w:pPr>
              <w:spacing w:after="0"/>
              <w:rPr>
                <w:sz w:val="10"/>
                <w:szCs w:val="10"/>
                <w:color w:val="auto"/>
              </w:rPr>
            </w:pPr>
          </w:p>
        </w:tc>
        <w:tc>
          <w:tcPr>
            <w:tcW w:w="338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factors you should consider before deciding to purchase</w:t>
            </w:r>
          </w:p>
        </w:tc>
      </w:tr>
      <w:tr>
        <w:trPr>
          <w:trHeight w:val="165"/>
        </w:trPr>
        <w:tc>
          <w:tcPr>
            <w:tcW w:w="2400" w:type="dxa"/>
            <w:vAlign w:val="bottom"/>
          </w:tcPr>
          <w:p>
            <w:pPr>
              <w:spacing w:after="0"/>
              <w:rPr>
                <w:sz w:val="14"/>
                <w:szCs w:val="14"/>
                <w:color w:val="auto"/>
              </w:rPr>
            </w:pPr>
          </w:p>
        </w:tc>
        <w:tc>
          <w:tcPr>
            <w:tcW w:w="3380" w:type="dxa"/>
            <w:vAlign w:val="bottom"/>
            <w:gridSpan w:val="3"/>
          </w:tcPr>
          <w:p>
            <w:pPr>
              <w:ind w:left="40"/>
              <w:spacing w:after="0"/>
              <w:rPr>
                <w:sz w:val="20"/>
                <w:szCs w:val="20"/>
                <w:color w:val="auto"/>
              </w:rPr>
            </w:pPr>
            <w:r>
              <w:rPr>
                <w:rFonts w:ascii="Arial" w:cs="Arial" w:eastAsia="Arial" w:hAnsi="Arial"/>
                <w:sz w:val="12"/>
                <w:szCs w:val="12"/>
                <w:color w:val="auto"/>
              </w:rPr>
              <w:t>shares of our Class A common stock.</w:t>
            </w:r>
          </w:p>
        </w:tc>
      </w:tr>
      <w:tr>
        <w:trPr>
          <w:trHeight w:val="220"/>
        </w:trPr>
        <w:tc>
          <w:tcPr>
            <w:tcW w:w="2400" w:type="dxa"/>
            <w:vAlign w:val="bottom"/>
          </w:tcPr>
          <w:p>
            <w:pPr>
              <w:spacing w:after="0"/>
              <w:rPr>
                <w:sz w:val="20"/>
                <w:szCs w:val="20"/>
                <w:color w:val="auto"/>
              </w:rPr>
            </w:pPr>
            <w:r>
              <w:rPr>
                <w:rFonts w:ascii="Arial" w:cs="Arial" w:eastAsia="Arial" w:hAnsi="Arial"/>
                <w:sz w:val="12"/>
                <w:szCs w:val="12"/>
                <w:color w:val="auto"/>
              </w:rPr>
              <w:t xml:space="preserve">Proposed Nasdaq trading symbol </w:t>
            </w:r>
            <w:r>
              <w:rPr>
                <w:rFonts w:ascii="Times New Roman" w:cs="Times New Roman" w:eastAsia="Times New Roman" w:hAnsi="Times New Roman"/>
                <w:sz w:val="12"/>
                <w:szCs w:val="12"/>
                <w:color w:val="B4B4B4"/>
              </w:rPr>
              <w:t>...............</w:t>
            </w:r>
          </w:p>
        </w:tc>
        <w:tc>
          <w:tcPr>
            <w:tcW w:w="3380" w:type="dxa"/>
            <w:vAlign w:val="bottom"/>
            <w:gridSpan w:val="3"/>
          </w:tcPr>
          <w:p>
            <w:pPr>
              <w:ind w:left="40"/>
              <w:spacing w:after="0"/>
              <w:rPr>
                <w:sz w:val="20"/>
                <w:szCs w:val="20"/>
                <w:color w:val="auto"/>
              </w:rPr>
            </w:pPr>
            <w:r>
              <w:rPr>
                <w:rFonts w:ascii="Arial" w:cs="Arial" w:eastAsia="Arial" w:hAnsi="Arial"/>
                <w:sz w:val="12"/>
                <w:szCs w:val="12"/>
                <w:color w:val="auto"/>
              </w:rPr>
              <w:t>“NAVN”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-3743325</wp:posOffset>
            </wp:positionV>
            <wp:extent cx="6732270" cy="9970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141" w:lineRule="exact"/>
        <w:rPr>
          <w:sz w:val="20"/>
          <w:szCs w:val="20"/>
          <w:color w:val="auto"/>
        </w:rPr>
      </w:pPr>
    </w:p>
    <w:p>
      <w:pPr>
        <w:ind w:left="1520" w:right="1700" w:firstLine="230"/>
        <w:spacing w:after="0" w:line="275" w:lineRule="auto"/>
        <w:rPr>
          <w:sz w:val="20"/>
          <w:szCs w:val="20"/>
          <w:color w:val="auto"/>
        </w:rPr>
      </w:pPr>
      <w:r>
        <w:rPr>
          <w:rFonts w:ascii="Arial" w:cs="Arial" w:eastAsia="Arial" w:hAnsi="Arial"/>
          <w:sz w:val="12"/>
          <w:szCs w:val="12"/>
          <w:color w:val="auto"/>
        </w:rPr>
        <w:t>The number of shares of our Class A common stock and Class B common stock that will be outstanding after this offering is based on 200,961,542 shares of our Class A common stock outstanding and 15,304,696 shares of our Class B common stock outstanding (after giving effect to the Capital Stock Conversion, the Class B Stock Exchange, the Note Conversion, the SAFE Conversion, the Warrant Exercises, and the RSU Net Settlement, and before giving effect to the Option Cash Exercise, each as defined below), as of July 31, 2025 , except otherwise stated, and excludes:</w:t>
      </w:r>
    </w:p>
    <w:p>
      <w:pPr>
        <w:spacing w:after="0" w:line="85" w:lineRule="exact"/>
        <w:rPr>
          <w:sz w:val="20"/>
          <w:szCs w:val="20"/>
          <w:color w:val="auto"/>
        </w:rPr>
      </w:pPr>
    </w:p>
    <w:p>
      <w:pPr>
        <w:ind w:left="1980" w:right="1760" w:hanging="228"/>
        <w:spacing w:after="0" w:line="277" w:lineRule="auto"/>
        <w:tabs>
          <w:tab w:leader="none" w:pos="19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41,581,733 shares of our Class A common stock issuable upon the exercise of stock options outstanding as of July 31, 2025 under our 2015 Equity Incentive Plan, or our 2015 Plan, with a weighted-average exercise price of $13.32 per share, of which 8,611,649 shares will be exchangeable for an equal number of shares of Class B common stock at the election of our co-founders upon exercise;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980" w:hanging="228"/>
        <w:spacing w:after="0"/>
        <w:tabs>
          <w:tab w:leader="none" w:pos="19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339,246 shares of our Class A common stock issuable upon the exercise of stock options granted</w:t>
      </w:r>
    </w:p>
    <w:p>
      <w:pPr>
        <w:spacing w:after="0" w:line="27" w:lineRule="exact"/>
        <w:rPr>
          <w:sz w:val="20"/>
          <w:szCs w:val="20"/>
          <w:color w:val="auto"/>
        </w:rPr>
      </w:pPr>
    </w:p>
    <w:p>
      <w:pPr>
        <w:ind w:left="1980" w:right="1780"/>
        <w:spacing w:after="0" w:line="292" w:lineRule="auto"/>
        <w:rPr>
          <w:sz w:val="20"/>
          <w:szCs w:val="20"/>
          <w:color w:val="auto"/>
        </w:rPr>
      </w:pPr>
      <w:r>
        <w:rPr>
          <w:rFonts w:ascii="Arial" w:cs="Arial" w:eastAsia="Arial" w:hAnsi="Arial"/>
          <w:sz w:val="12"/>
          <w:szCs w:val="12"/>
          <w:color w:val="auto"/>
        </w:rPr>
        <w:t>after July 31, 2025 under our 2015 Plan with a weighted-average exercise price of $25.35 per share;</w:t>
      </w:r>
    </w:p>
    <w:p>
      <w:pPr>
        <w:spacing w:after="0" w:line="74" w:lineRule="exact"/>
        <w:rPr>
          <w:sz w:val="20"/>
          <w:szCs w:val="20"/>
          <w:color w:val="auto"/>
        </w:rPr>
      </w:pPr>
    </w:p>
    <w:p>
      <w:pPr>
        <w:ind w:left="1980" w:right="1660" w:hanging="228"/>
        <w:spacing w:after="0" w:line="273" w:lineRule="auto"/>
        <w:tabs>
          <w:tab w:leader="none" w:pos="19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 xml:space="preserve">7,942,200 </w:t>
      </w:r>
      <w:r>
        <w:rPr>
          <w:rFonts w:ascii="Arial" w:cs="Arial" w:eastAsia="Arial" w:hAnsi="Arial"/>
          <w:sz w:val="12"/>
          <w:szCs w:val="12"/>
          <w:color w:val="auto"/>
          <w:highlight w:val="white"/>
        </w:rPr>
        <w:t>shares of Class A common stock issuable upon the vesting and settlement of restricted</w:t>
      </w:r>
      <w:r>
        <w:rPr>
          <w:rFonts w:ascii="Arial" w:cs="Arial" w:eastAsia="Arial" w:hAnsi="Arial"/>
          <w:sz w:val="12"/>
          <w:szCs w:val="12"/>
          <w:color w:val="auto"/>
        </w:rPr>
        <w:t xml:space="preserve"> </w:t>
      </w:r>
      <w:r>
        <w:rPr>
          <w:rFonts w:ascii="Arial" w:cs="Arial" w:eastAsia="Arial" w:hAnsi="Arial"/>
          <w:sz w:val="12"/>
          <w:szCs w:val="12"/>
          <w:color w:val="auto"/>
          <w:highlight w:val="white"/>
        </w:rPr>
        <w:t xml:space="preserve">stock units, or RSUs, outstanding as of the date of this prospectus subject to time-based service and/or performance-based conditions, for which (i) the service-based condition was not satisfied as of such date and (ii) the performance-based condition , if applicable , will be satisfied upon the effectiveness of the registration statement of which this prospectus forms a part, of which </w:t>
      </w:r>
      <w:r>
        <w:rPr>
          <w:rFonts w:ascii="Arial" w:cs="Arial" w:eastAsia="Arial" w:hAnsi="Arial"/>
          <w:sz w:val="12"/>
          <w:szCs w:val="12"/>
          <w:color w:val="auto"/>
        </w:rPr>
        <w:t xml:space="preserve">1,742,147 shares will be exchangeable for an equal number of shares of Class B common stock at the election of our co-founders upon settlement </w:t>
      </w:r>
      <w:r>
        <w:rPr>
          <w:rFonts w:ascii="Arial" w:cs="Arial" w:eastAsia="Arial" w:hAnsi="Arial"/>
          <w:sz w:val="12"/>
          <w:szCs w:val="12"/>
          <w:color w:val="auto"/>
          <w:highlight w:val="white"/>
        </w:rPr>
        <w:t>;</w:t>
      </w:r>
    </w:p>
    <w:p>
      <w:pPr>
        <w:spacing w:after="0" w:line="87" w:lineRule="exact"/>
        <w:rPr>
          <w:rFonts w:ascii="Arial" w:cs="Arial" w:eastAsia="Arial" w:hAnsi="Arial"/>
          <w:sz w:val="12"/>
          <w:szCs w:val="12"/>
          <w:color w:val="auto"/>
        </w:rPr>
      </w:pPr>
    </w:p>
    <w:p>
      <w:pPr>
        <w:ind w:left="1980" w:hanging="228"/>
        <w:spacing w:after="0"/>
        <w:tabs>
          <w:tab w:leader="none" w:pos="19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40,160 shares of our Class A common stock issuable upon the exercise of warrants outstanding</w:t>
      </w:r>
    </w:p>
    <w:p>
      <w:pPr>
        <w:spacing w:after="0" w:line="27" w:lineRule="exact"/>
        <w:rPr>
          <w:sz w:val="20"/>
          <w:szCs w:val="20"/>
          <w:color w:val="auto"/>
        </w:rPr>
      </w:pPr>
    </w:p>
    <w:p>
      <w:pPr>
        <w:ind w:left="1980"/>
        <w:spacing w:after="0"/>
        <w:tabs>
          <w:tab w:leader="none" w:pos="4500" w:val="left"/>
        </w:tabs>
        <w:rPr>
          <w:sz w:val="20"/>
          <w:szCs w:val="20"/>
          <w:color w:val="auto"/>
        </w:rPr>
      </w:pPr>
      <w:r>
        <w:rPr>
          <w:rFonts w:ascii="Arial" w:cs="Arial" w:eastAsia="Arial" w:hAnsi="Arial"/>
          <w:sz w:val="12"/>
          <w:szCs w:val="12"/>
          <w:color w:val="auto"/>
        </w:rPr>
        <w:t>as of July 31, 2025, with an exercise price of</w:t>
        <w:tab/>
        <w:t>$1.87 per share;</w:t>
      </w:r>
    </w:p>
    <w:p>
      <w:pPr>
        <w:spacing w:after="0" w:line="118" w:lineRule="exact"/>
        <w:rPr>
          <w:sz w:val="20"/>
          <w:szCs w:val="20"/>
          <w:color w:val="auto"/>
        </w:rPr>
      </w:pPr>
    </w:p>
    <w:p>
      <w:pPr>
        <w:ind w:left="1980" w:right="1700" w:hanging="228"/>
        <w:spacing w:after="0" w:line="276" w:lineRule="auto"/>
        <w:tabs>
          <w:tab w:leader="none" w:pos="19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 number of shares of Class A common stock issuable upon the exercise of a stock option to be granted to an executive officer immediately following pricing of this offering, which will be subject to a time-based service vesting condition, with an exercise price equal to the initial public offering price per share set forth on the cover page of this prospectus, with such number of shares having a grant date value of $9.325 million and to be calculated based on the Black-Scholes option-pricing model;</w:t>
      </w:r>
    </w:p>
    <w:p>
      <w:pPr>
        <w:spacing w:after="0" w:line="239" w:lineRule="exact"/>
        <w:rPr>
          <w:rFonts w:ascii="Arial" w:cs="Arial" w:eastAsia="Arial" w:hAnsi="Arial"/>
          <w:sz w:val="12"/>
          <w:szCs w:val="12"/>
          <w:color w:val="auto"/>
        </w:rPr>
      </w:pPr>
    </w:p>
    <w:p>
      <w:pPr>
        <w:ind w:left="1980" w:hanging="228"/>
        <w:spacing w:after="0"/>
        <w:tabs>
          <w:tab w:leader="none" w:pos="19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up to 82,887,502 shares of our Class A common stock reserved for future issuance under our</w:t>
      </w:r>
    </w:p>
    <w:p>
      <w:pPr>
        <w:spacing w:after="0" w:line="27" w:lineRule="exact"/>
        <w:rPr>
          <w:sz w:val="20"/>
          <w:szCs w:val="20"/>
          <w:color w:val="auto"/>
        </w:rPr>
      </w:pPr>
    </w:p>
    <w:p>
      <w:pPr>
        <w:ind w:left="1980" w:right="1620"/>
        <w:spacing w:after="0" w:line="271" w:lineRule="auto"/>
        <w:rPr>
          <w:sz w:val="20"/>
          <w:szCs w:val="20"/>
          <w:color w:val="auto"/>
        </w:rPr>
      </w:pPr>
      <w:r>
        <w:rPr>
          <w:rFonts w:ascii="Arial" w:cs="Arial" w:eastAsia="Arial" w:hAnsi="Arial"/>
          <w:sz w:val="12"/>
          <w:szCs w:val="12"/>
          <w:color w:val="auto"/>
        </w:rPr>
        <w:t>2025 Equity Incentive Plan, or the 2025 Plan, which will become effective upon the effectiveness of the registration statement of which this prospectus forms a part, consisting of 35,000,000 new shares and up to 47,887,502 shares underlying outstanding awards granted under our 2015 Plan that, after the date the 2025 Plan becomes effective, either are not issued (due to the awards expiring or being settled in cash) , are forfeited or repurchased due to failure to vest , or are withheld to satisfy the exercise, strike, or purchase price or tax withholding obligations ; and</w:t>
      </w:r>
    </w:p>
    <w:p>
      <w:pPr>
        <w:spacing w:after="0" w:line="87" w:lineRule="exact"/>
        <w:rPr>
          <w:sz w:val="20"/>
          <w:szCs w:val="20"/>
          <w:color w:val="auto"/>
        </w:rPr>
      </w:pPr>
    </w:p>
    <w:p>
      <w:pPr>
        <w:jc w:val="both"/>
        <w:ind w:left="1980" w:right="1960" w:hanging="228"/>
        <w:spacing w:after="0" w:line="312" w:lineRule="auto"/>
        <w:tabs>
          <w:tab w:leader="none" w:pos="19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5,000,000 shares of our Class A common stock reserved for future issuance under our 2025 Employee Stock Purchase Plan, which will become effective in connection with this offering.</w:t>
      </w:r>
    </w:p>
    <w:p>
      <w:pPr>
        <w:spacing w:after="0" w:line="62" w:lineRule="exact"/>
        <w:rPr>
          <w:sz w:val="20"/>
          <w:szCs w:val="20"/>
          <w:color w:val="auto"/>
        </w:rPr>
      </w:pPr>
    </w:p>
    <w:p>
      <w:pPr>
        <w:jc w:val="both"/>
        <w:ind w:left="1520" w:right="2040" w:firstLine="230"/>
        <w:spacing w:after="0" w:line="289" w:lineRule="auto"/>
        <w:rPr>
          <w:sz w:val="20"/>
          <w:szCs w:val="20"/>
          <w:color w:val="auto"/>
        </w:rPr>
      </w:pPr>
      <w:r>
        <w:rPr>
          <w:rFonts w:ascii="Arial" w:cs="Arial" w:eastAsia="Arial" w:hAnsi="Arial"/>
          <w:sz w:val="12"/>
          <w:szCs w:val="12"/>
          <w:color w:val="auto"/>
        </w:rPr>
        <w:t>Our 2025 Plan and 2025 ESPP provide for annual automatic increases in the number of shares reserved thereunder. See the section titled “Executive Compensation—Equity Plans” for additional information.</w:t>
      </w:r>
    </w:p>
    <w:p>
      <w:pPr>
        <w:spacing w:after="0" w:line="76"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Unless otherwise noted, the information in this prospectus reflects and assumes the following:</w:t>
      </w:r>
    </w:p>
    <w:p>
      <w:pPr>
        <w:sectPr>
          <w:pgSz w:w="11900" w:h="16840" w:orient="portrait"/>
          <w:cols w:equalWidth="0" w:num="1">
            <w:col w:w="9020"/>
          </w:cols>
          <w:pgMar w:left="1440" w:top="546" w:right="1440" w:bottom="19" w:gutter="0" w:footer="0" w:header="0"/>
        </w:sectPr>
      </w:pPr>
    </w:p>
    <w:bookmarkStart w:id="16" w:name="page17"/>
    <w:bookmarkEnd w:id="16"/>
    <w:p>
      <w:pPr>
        <w:ind w:left="1980" w:hanging="228"/>
        <w:spacing w:after="0"/>
        <w:tabs>
          <w:tab w:leader="none" w:pos="1980" w:val="left"/>
        </w:tabs>
        <w:numPr>
          <w:ilvl w:val="0"/>
          <w:numId w:val="2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a 1-for-3 reverse stock split of our capital stock that became effective on September 18, 2025;</w:t>
      </w:r>
    </w:p>
    <w:p>
      <w:pPr>
        <w:spacing w:after="0" w:line="129" w:lineRule="exact"/>
        <w:rPr>
          <w:rFonts w:ascii="Arial" w:cs="Arial" w:eastAsia="Arial" w:hAnsi="Arial"/>
          <w:sz w:val="12"/>
          <w:szCs w:val="12"/>
          <w:color w:val="auto"/>
        </w:rPr>
      </w:pPr>
    </w:p>
    <w:p>
      <w:pPr>
        <w:ind w:left="1980" w:right="1740" w:hanging="228"/>
        <w:spacing w:after="0" w:line="275" w:lineRule="auto"/>
        <w:tabs>
          <w:tab w:leader="none" w:pos="19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automatic conversion of all shares of our redeemable convertible preferred stock outstanding as of July 31, 2025 into 146,589,046 shares of Class A common stock in connection with the completion of this offering pursuant to the terms of our amended and restated certificate of incorporation, as is currently in effect, and based on the assumed public offering price per share of $25.00 per share, which is the midpoint of the offering price range set forth on the cover page of this prospectus, which we ref er to as the Capital Stock Conversion;</w:t>
      </w:r>
    </w:p>
    <w:p>
      <w:pPr>
        <w:spacing w:after="0" w:line="84" w:lineRule="exact"/>
        <w:rPr>
          <w:rFonts w:ascii="Arial" w:cs="Arial" w:eastAsia="Arial" w:hAnsi="Arial"/>
          <w:sz w:val="12"/>
          <w:szCs w:val="12"/>
          <w:color w:val="auto"/>
        </w:rPr>
      </w:pPr>
    </w:p>
    <w:p>
      <w:pPr>
        <w:ind w:left="1980" w:right="1740" w:hanging="228"/>
        <w:spacing w:after="0" w:line="289" w:lineRule="auto"/>
        <w:tabs>
          <w:tab w:leader="none" w:pos="19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filing and effectiveness of our amended and restated certificate of incorporation and the effectiveness of our amended and restated bylaws, each of which will occur upon the completion of this offering;</w:t>
      </w:r>
    </w:p>
    <w:p>
      <w:pPr>
        <w:spacing w:after="0" w:line="75" w:lineRule="exact"/>
        <w:rPr>
          <w:rFonts w:ascii="Arial" w:cs="Arial" w:eastAsia="Arial" w:hAnsi="Arial"/>
          <w:sz w:val="12"/>
          <w:szCs w:val="12"/>
          <w:color w:val="auto"/>
        </w:rPr>
      </w:pPr>
    </w:p>
    <w:p>
      <w:pPr>
        <w:ind w:left="1980" w:hanging="228"/>
        <w:spacing w:after="0"/>
        <w:tabs>
          <w:tab w:leader="none" w:pos="19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automatic exchange of an aggregate of  15,304,696 shares of our Class A common stock for</w:t>
      </w:r>
    </w:p>
    <w:p>
      <w:pPr>
        <w:spacing w:after="0" w:line="27" w:lineRule="exact"/>
        <w:rPr>
          <w:sz w:val="20"/>
          <w:szCs w:val="20"/>
          <w:color w:val="auto"/>
        </w:rPr>
      </w:pPr>
    </w:p>
    <w:p>
      <w:pPr>
        <w:ind w:left="1980" w:right="1720"/>
        <w:spacing w:after="0" w:line="292" w:lineRule="auto"/>
        <w:rPr>
          <w:sz w:val="20"/>
          <w:szCs w:val="20"/>
          <w:color w:val="auto"/>
        </w:rPr>
      </w:pPr>
      <w:r>
        <w:rPr>
          <w:rFonts w:ascii="Arial" w:cs="Arial" w:eastAsia="Arial" w:hAnsi="Arial"/>
          <w:sz w:val="12"/>
          <w:szCs w:val="12"/>
          <w:color w:val="auto"/>
        </w:rPr>
        <w:t>an equivalent number of shares of our Class B common stock pursuant to the Class B Stock Exchange upon the completion of this offering, which number excludes 1,924,332 shares to be</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980" w:right="1760"/>
        <w:spacing w:after="0" w:line="312" w:lineRule="auto"/>
        <w:rPr>
          <w:sz w:val="20"/>
          <w:szCs w:val="20"/>
          <w:color w:val="auto"/>
        </w:rPr>
      </w:pPr>
      <w:r>
        <w:rPr>
          <w:rFonts w:ascii="Arial" w:cs="Arial" w:eastAsia="Arial" w:hAnsi="Arial"/>
          <w:sz w:val="12"/>
          <w:szCs w:val="12"/>
          <w:color w:val="auto"/>
        </w:rPr>
        <w:t>sold by our co-founders and their affiliated entities, as applicable, in this offering, as described in the section titled “Principal and Selling Stockholders”;</w:t>
      </w:r>
    </w:p>
    <w:p>
      <w:pPr>
        <w:spacing w:after="0" w:line="62" w:lineRule="exact"/>
        <w:rPr>
          <w:sz w:val="20"/>
          <w:szCs w:val="20"/>
          <w:color w:val="auto"/>
        </w:rPr>
      </w:pPr>
    </w:p>
    <w:p>
      <w:pPr>
        <w:ind w:left="1980" w:right="1740" w:hanging="228"/>
        <w:spacing w:after="0" w:line="312" w:lineRule="auto"/>
        <w:tabs>
          <w:tab w:leader="none" w:pos="19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12,836,457 shares of our Class A common stock issuable upon the Note Conversion (as defined below), based on the assumptions described in the section titled “—Note Conversion”;</w:t>
      </w:r>
    </w:p>
    <w:p>
      <w:pPr>
        <w:spacing w:after="0" w:line="62" w:lineRule="exact"/>
        <w:rPr>
          <w:rFonts w:ascii="Arial" w:cs="Arial" w:eastAsia="Arial" w:hAnsi="Arial"/>
          <w:sz w:val="12"/>
          <w:szCs w:val="12"/>
          <w:color w:val="auto"/>
        </w:rPr>
      </w:pPr>
    </w:p>
    <w:p>
      <w:pPr>
        <w:ind w:left="1980" w:right="1740" w:hanging="228"/>
        <w:spacing w:after="0" w:line="312" w:lineRule="auto"/>
        <w:tabs>
          <w:tab w:leader="none" w:pos="19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7,858,204 shares of our Class A common stock issuable upon the SAFE Conversion (as defined below), based on the assumptions described in the section titled “—SAFE Conversion”;</w:t>
      </w:r>
    </w:p>
    <w:p>
      <w:pPr>
        <w:spacing w:after="0" w:line="62" w:lineRule="exact"/>
        <w:rPr>
          <w:rFonts w:ascii="Arial" w:cs="Arial" w:eastAsia="Arial" w:hAnsi="Arial"/>
          <w:sz w:val="12"/>
          <w:szCs w:val="12"/>
          <w:color w:val="auto"/>
        </w:rPr>
      </w:pPr>
    </w:p>
    <w:p>
      <w:pPr>
        <w:ind w:left="1980" w:right="1900" w:hanging="228"/>
        <w:spacing w:after="0" w:line="289" w:lineRule="auto"/>
        <w:tabs>
          <w:tab w:leader="none" w:pos="19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1,216,284 shares of our Class A common stock issuable upon the cash exercise of the SAFE Warrants (as defined below) with an exercise price per share of $0.03, or the SAFE Warrant Exercise;</w:t>
      </w:r>
    </w:p>
    <w:p>
      <w:pPr>
        <w:spacing w:after="0" w:line="75" w:lineRule="exact"/>
        <w:rPr>
          <w:rFonts w:ascii="Arial" w:cs="Arial" w:eastAsia="Arial" w:hAnsi="Arial"/>
          <w:sz w:val="12"/>
          <w:szCs w:val="12"/>
          <w:color w:val="auto"/>
        </w:rPr>
      </w:pPr>
    </w:p>
    <w:p>
      <w:pPr>
        <w:ind w:left="1980" w:right="1900" w:hanging="228"/>
        <w:spacing w:after="0" w:line="289" w:lineRule="auto"/>
        <w:tabs>
          <w:tab w:leader="none" w:pos="19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486,005 shares of our Class A common stock issuable upon the net exercise of outstanding Class A common stock warrants with an exercise price per share of $0.03, or the Warrant Net Exercise, and together with the SAFE Warrant Exercise, the Warrant Exercises;</w:t>
      </w:r>
    </w:p>
    <w:p>
      <w:pPr>
        <w:spacing w:after="0" w:line="75" w:lineRule="exact"/>
        <w:rPr>
          <w:rFonts w:ascii="Arial" w:cs="Arial" w:eastAsia="Arial" w:hAnsi="Arial"/>
          <w:sz w:val="12"/>
          <w:szCs w:val="12"/>
          <w:color w:val="auto"/>
        </w:rPr>
      </w:pPr>
    </w:p>
    <w:p>
      <w:pPr>
        <w:ind w:left="1980" w:right="1680" w:hanging="228"/>
        <w:spacing w:after="0" w:line="271" w:lineRule="auto"/>
        <w:tabs>
          <w:tab w:leader="none" w:pos="19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net issuance of 948,970 shares of Class A common stock in connection with the vesting and settlement of certain RSUs outstanding as of the date of this prospectus subject to time-based service and performance-based conditions, for which (i) the time-based service condition was fully or partially satisfied as of such date and (ii) the performance-based condition will be satisfied</w:t>
      </w:r>
    </w:p>
    <w:p>
      <w:pPr>
        <w:spacing w:after="0" w:line="1" w:lineRule="exact"/>
        <w:rPr>
          <w:sz w:val="20"/>
          <w:szCs w:val="20"/>
          <w:color w:val="auto"/>
        </w:rPr>
      </w:pPr>
    </w:p>
    <w:p>
      <w:pPr>
        <w:ind w:left="1980" w:right="1580"/>
        <w:spacing w:after="0" w:line="270" w:lineRule="auto"/>
        <w:rPr>
          <w:sz w:val="20"/>
          <w:szCs w:val="20"/>
          <w:color w:val="auto"/>
        </w:rPr>
      </w:pPr>
      <w:r>
        <w:rPr>
          <w:rFonts w:ascii="Arial" w:cs="Arial" w:eastAsia="Arial" w:hAnsi="Arial"/>
          <w:sz w:val="12"/>
          <w:szCs w:val="12"/>
          <w:color w:val="auto"/>
        </w:rPr>
        <w:t>upon the effectiveness of the registration statement of which this prospectus forms a part, which we refer to as the IPO Vesting RSUs, after giving effect to the withholding of 694,607 shares of our Class A common stock to satisfy the associated estimated tax withholding and remittance obligations for the portion of the IPO Vesting RSUs subject to such withholding and remittance obligations (based on the assumed initial public offering price of $25.00 per share, the midpoint of the price range set forth on the cover page of this prospectus, and an assumed 44% tax withholding rate), which we refer to as the RSU Net Settlement;</w:t>
      </w:r>
    </w:p>
    <w:p>
      <w:pPr>
        <w:spacing w:after="0" w:line="88" w:lineRule="exact"/>
        <w:rPr>
          <w:sz w:val="20"/>
          <w:szCs w:val="20"/>
          <w:color w:val="auto"/>
        </w:rPr>
      </w:pPr>
    </w:p>
    <w:p>
      <w:pPr>
        <w:ind w:left="1980" w:right="1740" w:hanging="228"/>
        <w:spacing w:after="0" w:line="312" w:lineRule="auto"/>
        <w:tabs>
          <w:tab w:leader="none" w:pos="19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except as described above, no exercise of outstanding stock options or warrants or settlement of outstanding RSUs; and</w:t>
      </w:r>
    </w:p>
    <w:p>
      <w:pPr>
        <w:spacing w:after="0" w:line="62" w:lineRule="exact"/>
        <w:rPr>
          <w:sz w:val="20"/>
          <w:szCs w:val="20"/>
          <w:color w:val="auto"/>
        </w:rPr>
      </w:pPr>
    </w:p>
    <w:p>
      <w:pPr>
        <w:ind w:left="1980" w:right="1820" w:hanging="219"/>
        <w:spacing w:after="0" w:line="312" w:lineRule="auto"/>
        <w:tabs>
          <w:tab w:leader="none" w:pos="1960" w:val="left"/>
        </w:tabs>
        <w:rPr>
          <w:sz w:val="20"/>
          <w:szCs w:val="20"/>
          <w:color w:val="auto"/>
        </w:rPr>
      </w:pPr>
      <w:r>
        <w:rPr>
          <w:rFonts w:ascii="Arial" w:cs="Arial" w:eastAsia="Arial" w:hAnsi="Arial"/>
          <w:sz w:val="12"/>
          <w:szCs w:val="12"/>
          <w:color w:val="auto"/>
        </w:rPr>
        <w:t>•</w:t>
        <w:tab/>
        <w:t>no exercise by the underwriters of their option to purchase 5,538,660 additional shares of our Class A common stock in this offering.</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RSU Net Settlement</w:t>
      </w:r>
    </w:p>
    <w:p>
      <w:pPr>
        <w:spacing w:after="0" w:line="128"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color w:val="auto"/>
        </w:rPr>
        <w:t>The assumed 44% tax withholding rate used in this prospectus is an assumed blended withholding rate for the IPO Vesting RSUs that are subject to withholding and remittance obligations in the RSU Net Settlement. A portion of the IPO Vesting RSUs that will settle as part of the RSU Net Settlement are not subject to tax withholding obligations. The estimates in this prospectus relating to the RSU Net Settlement and related share withholding may differ from actual results due to, among other things, the actual initial public offering price and other terms of this offering determined at pricing of this offering, actual forfeitures through the date of this prospectus, and actual tax withholding rates.</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Note Conversion</w:t>
      </w:r>
    </w:p>
    <w:p>
      <w:pPr>
        <w:spacing w:after="0" w:line="128" w:lineRule="exact"/>
        <w:rPr>
          <w:sz w:val="20"/>
          <w:szCs w:val="20"/>
          <w:color w:val="auto"/>
        </w:rPr>
      </w:pPr>
    </w:p>
    <w:p>
      <w:pPr>
        <w:ind w:left="1520" w:right="1740" w:firstLine="230"/>
        <w:spacing w:after="0" w:line="272" w:lineRule="auto"/>
        <w:rPr>
          <w:sz w:val="20"/>
          <w:szCs w:val="20"/>
          <w:color w:val="auto"/>
        </w:rPr>
      </w:pPr>
      <w:r>
        <w:rPr>
          <w:rFonts w:ascii="Arial" w:cs="Arial" w:eastAsia="Arial" w:hAnsi="Arial"/>
          <w:sz w:val="12"/>
          <w:szCs w:val="12"/>
          <w:color w:val="auto"/>
        </w:rPr>
        <w:t>In 2020, we issued $125 million in aggregate initial investment amount of unsecured convertible securities due 2027, or the Convertible Notes. Upon the completion of this offering, pursuant to their terms, the Convertible Notes will convert into a number of shares of our Class A common stock equal to the aggregate initial investment amount outstanding plus the unpaid yield then accrued, divided by a conversion price that is equal to the lower of (i) the Discount Price and (ii) the Conversion Price Cap (each as defined below), which we refer to as the Note Conversion. The Conversion Price Cap is a price per share calculated by dividing $5 billion by the number of fully diluted shares of our common stock following the completion of this offering (including the shares of our Class A common stock issued upon the Note Conversion). The Discount Price is equal to 65% of the public offering price per share, which is</w:t>
      </w: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680"/>
        <w:spacing w:after="0" w:line="281" w:lineRule="auto"/>
        <w:rPr>
          <w:sz w:val="20"/>
          <w:szCs w:val="20"/>
          <w:color w:val="auto"/>
        </w:rPr>
      </w:pPr>
      <w:r>
        <w:rPr>
          <w:rFonts w:ascii="Arial" w:cs="Arial" w:eastAsia="Arial" w:hAnsi="Arial"/>
          <w:sz w:val="12"/>
          <w:szCs w:val="12"/>
          <w:color w:val="auto"/>
        </w:rPr>
        <w:t>estimated to be approximately $16.25 per share, based on the assumed public offering price per share of $25.00 per share, which is the midpoint of the offering price range set forth on the cover page of this prospectus. The Conversion Price Cap is estimated to be approximately $18.22 per share, based on the assumed public offering price per share of $25.00 per share.</w:t>
      </w:r>
    </w:p>
    <w:p>
      <w:pPr>
        <w:sectPr>
          <w:pgSz w:w="11900" w:h="16840" w:orient="portrait"/>
          <w:cols w:equalWidth="0" w:num="1">
            <w:col w:w="9020"/>
          </w:cols>
          <w:pgMar w:left="1440" w:top="684" w:right="1440" w:bottom="209" w:gutter="0" w:footer="0" w:header="0"/>
        </w:sectPr>
      </w:pPr>
    </w:p>
    <w:bookmarkStart w:id="17" w:name="page18"/>
    <w:bookmarkEnd w:id="17"/>
    <w:p>
      <w:pPr>
        <w:ind w:left="1520" w:right="1620" w:firstLine="230"/>
        <w:spacing w:after="0" w:line="192" w:lineRule="auto"/>
        <w:rPr>
          <w:sz w:val="20"/>
          <w:szCs w:val="20"/>
          <w:color w:val="auto"/>
        </w:rPr>
      </w:pPr>
      <w:r>
        <w:rPr>
          <w:rFonts w:ascii="Arial" w:cs="Arial" w:eastAsia="Arial" w:hAnsi="Arial"/>
          <w:sz w:val="11"/>
          <w:szCs w:val="11"/>
          <w:color w:val="auto"/>
        </w:rPr>
        <w:t>Upon the completion of this offering, we estimate that we will issue 12,836,457 shares of our Class A common stock in the Note Conversion upon the conversion of $ 208.6 million in aggregate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-121920</wp:posOffset>
            </wp:positionV>
            <wp:extent cx="6732270" cy="9970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680"/>
        <w:spacing w:after="0" w:line="271" w:lineRule="auto"/>
        <w:rPr>
          <w:sz w:val="20"/>
          <w:szCs w:val="20"/>
          <w:color w:val="auto"/>
        </w:rPr>
      </w:pPr>
      <w:r>
        <w:rPr>
          <w:rFonts w:ascii="Arial" w:cs="Arial" w:eastAsia="Arial" w:hAnsi="Arial"/>
          <w:sz w:val="12"/>
          <w:szCs w:val="12"/>
          <w:color w:val="auto"/>
        </w:rPr>
        <w:t>investment amount and accrued and unpaid yield through, but excluding, an assumed completion date of this offering of November 3, 2025 , based on the assumed initial offering price of $25.00 per share. If the Discount Price is greater than the Conversion Price Cap, then the number of shares of Class A common stock issuable in the Note Conversion would be approximately 11.4 million shares. While the number of fully diluted shares used to determine the Conversion Price Cap is impacted by the actual public offering price per share in this offering, the resulting impact to the Conversion Price Cap is insignificant.</w:t>
      </w:r>
    </w:p>
    <w:p>
      <w:pPr>
        <w:spacing w:after="0" w:line="89"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SAFE Conversion</w:t>
      </w:r>
    </w:p>
    <w:p>
      <w:pPr>
        <w:spacing w:after="0" w:line="128"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In February and April 2025, we issued $155 million in aggregate purchase amount of simple agreements for future equity, or SAFEs, to certain investors, including Sandesh Patnam and an entity affiliated with Premji Invest. The SAFEs bear a return rate of 12% per year. Upon the completion of this offering, pursuant to their terms, the SAFEs will convert into a number of shares of our Class A common stock equal to the principal amount outstanding plus accrued and unpaid interest, divided by a conversion price that is equal to 85% of the actual public offering price per share in this offering, which is estimated to be approximately $21.25 per share, based on the assumed public offering price of $25.00 per share, which is the midpoint of the offering price range set forth on the cover page of this prospectus, which we refer to as the SAFE Conversion.</w:t>
      </w:r>
    </w:p>
    <w:p>
      <w:pPr>
        <w:spacing w:after="0" w:line="85" w:lineRule="exact"/>
        <w:rPr>
          <w:sz w:val="20"/>
          <w:szCs w:val="20"/>
          <w:color w:val="auto"/>
        </w:rPr>
      </w:pPr>
    </w:p>
    <w:p>
      <w:pPr>
        <w:ind w:left="1520" w:right="1700" w:firstLine="230"/>
        <w:spacing w:after="0" w:line="271" w:lineRule="auto"/>
        <w:rPr>
          <w:sz w:val="20"/>
          <w:szCs w:val="20"/>
          <w:color w:val="auto"/>
        </w:rPr>
      </w:pPr>
      <w:r>
        <w:rPr>
          <w:rFonts w:ascii="Arial" w:cs="Arial" w:eastAsia="Arial" w:hAnsi="Arial"/>
          <w:sz w:val="12"/>
          <w:szCs w:val="12"/>
          <w:color w:val="auto"/>
        </w:rPr>
        <w:t>Upon the completion of this offering, we estimate that we will issue 7,858,204 shares of our Class A common stock in the SAFE Conversion upon the conversion of $167.0 million in aggregate principal amount of the SAFEs, including accrued and unpaid return through, but excluding, an assumed completion date of this offering of November 3, 2025 , based on the assumed initial offering price of $25.00 per share, which is the midpoint of the offering price range set forth on the cover page of this prospectus. The number of shares of our Class A common stock issuable upon conversion of the SAFEs will fluctuate depending on the actual public offering price per share in this offering. Assuming public offering prices of $24.00 and $26.00 per share, the low and high ends of the price range set forth on the cover page of this prospectus, the number of shares issuable upon conversion of the SAFEs would equal approximately 8.2 million and 7.6 million, respectively.</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SAFE Warrants</w:t>
      </w:r>
    </w:p>
    <w:p>
      <w:pPr>
        <w:spacing w:after="0" w:line="128" w:lineRule="exact"/>
        <w:rPr>
          <w:sz w:val="20"/>
          <w:szCs w:val="20"/>
          <w:color w:val="auto"/>
        </w:rPr>
      </w:pPr>
    </w:p>
    <w:p>
      <w:pPr>
        <w:ind w:left="1520" w:right="1640" w:firstLine="230"/>
        <w:spacing w:after="0" w:line="269" w:lineRule="auto"/>
        <w:rPr>
          <w:sz w:val="20"/>
          <w:szCs w:val="20"/>
          <w:color w:val="auto"/>
        </w:rPr>
      </w:pPr>
      <w:r>
        <w:rPr>
          <w:rFonts w:ascii="Arial" w:cs="Arial" w:eastAsia="Arial" w:hAnsi="Arial"/>
          <w:sz w:val="12"/>
          <w:szCs w:val="12"/>
          <w:color w:val="auto"/>
        </w:rPr>
        <w:t>In February and April 2025, in connection with the sale and issuance of the SAFEs, we concurrently issued warrants to purchase shares of our Class A common stock, or the SAFE Warrants, to the SAFE investors, including Sandesh Patnam and an entity affiliated with Premji Invest. The SAFE Warrants are exercisable for a number of shares of Class A common stock equal to an aggregate of 0.45% of our fully diluted capitalization as of the initial public filing of the registration statement of which this prospectus forms a part, at an exercise price of $0.03 per share. We classified the SAFE Warrants as liabilities upon their issuance. The SAFE Warrants become exercisable for a fixed number of shares of Class A common stock based on the percentages described above upon the completion of this offering, upon which time the warrants will be reclassified as equity, which we refer to as the Warrant Determination. We estimate that the Warrant Determination will result in 1,216,284 shares of Class A common stock underlying the SAFE Warrants, based on an assumed initial offering price of $25.00 per share, which is the midpoint of the offering price range set forth on the cover page of this prospectus, and the other equity assumptions described above. While the fully diluted capitalization used in the Warrant Determination is impacted by the actual public offering price per share in this offering, the resulting impact to the number of shares of Class A common stock underlying the SAFE Warrants is insignificant. The SAFE Warrants will be exercised in full in connection with this offering as part of the SAFE Warrant Exercise.</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Class B Exchange</w:t>
      </w:r>
    </w:p>
    <w:p>
      <w:pPr>
        <w:spacing w:after="0" w:line="128" w:lineRule="exact"/>
        <w:rPr>
          <w:sz w:val="20"/>
          <w:szCs w:val="20"/>
          <w:color w:val="auto"/>
        </w:rPr>
      </w:pPr>
    </w:p>
    <w:p>
      <w:pPr>
        <w:ind w:left="1520" w:right="1700" w:firstLine="230"/>
        <w:spacing w:after="0" w:line="269" w:lineRule="auto"/>
        <w:rPr>
          <w:sz w:val="20"/>
          <w:szCs w:val="20"/>
          <w:color w:val="auto"/>
        </w:rPr>
      </w:pPr>
      <w:r>
        <w:rPr>
          <w:rFonts w:ascii="Arial" w:cs="Arial" w:eastAsia="Arial" w:hAnsi="Arial"/>
          <w:sz w:val="12"/>
          <w:szCs w:val="12"/>
          <w:color w:val="auto"/>
        </w:rPr>
        <w:t>Upon the completion of this offering, 15,304,696 shares of our Class A common stock beneficially owned by our co-founders and their respective affiliated entities will be exchanged for an equivalent number of shares of our Class B common stock pursuant to the terms of certain equity exchange agreements, or the Class B Stock Exchange. Additionally, pursuant to certain equity exchange agreements entered into between us and each co-founder, each co-founder has a right (but not an obligation) to require us to exchange, for shares of Class B common stock, any shares of Class A common stock received by him upon the exercise or settlement of equity awards for shares of Class A common stock, or the Equity Exchange Rights. The Equity Exchange Rights apply to equity awards granted to our co-founders prior to the effectiveness of the filing of our amended and restated certificate of incorporation. As of July 31, 2025, there were 8,611,649 shares of our Class A common stock subject to outstanding stock options to purchase shares of our Class A common stock held by our co-founders and 1,742,147 shares of our Class A common stock issuable upon the settlement of RSUs held by our co-founders and that may be exchanged, upon exercise or settlement, as applicable, for an equivalent number of shares of our Class B common stock following this offering pursuant to the Equity Exchange Rights.</w:t>
      </w:r>
    </w:p>
    <w:p>
      <w:pPr>
        <w:spacing w:after="0" w:line="24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Option Cash Exercise</w:t>
      </w:r>
    </w:p>
    <w:p>
      <w:pPr>
        <w:spacing w:after="0" w:line="128" w:lineRule="exact"/>
        <w:rPr>
          <w:sz w:val="20"/>
          <w:szCs w:val="20"/>
          <w:color w:val="auto"/>
        </w:rPr>
      </w:pPr>
    </w:p>
    <w:p>
      <w:pPr>
        <w:jc w:val="both"/>
        <w:ind w:left="1520" w:right="1680" w:firstLine="230"/>
        <w:spacing w:after="0" w:line="289" w:lineRule="auto"/>
        <w:rPr>
          <w:sz w:val="20"/>
          <w:szCs w:val="20"/>
          <w:color w:val="auto"/>
        </w:rPr>
      </w:pPr>
      <w:r>
        <w:rPr>
          <w:rFonts w:ascii="Arial" w:cs="Arial" w:eastAsia="Arial" w:hAnsi="Arial"/>
          <w:sz w:val="12"/>
          <w:szCs w:val="12"/>
          <w:color w:val="auto"/>
        </w:rPr>
        <w:t>In connection with this offering, certain selling stockholders will exercise stock options for 1,975,677 shares of our Class A common stock with a weighted-average exercise price of $6.95 per share, which we refer to as the Option Cash Exercise.</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Equity Capitalization</w:t>
      </w:r>
    </w:p>
    <w:p>
      <w:pPr>
        <w:spacing w:after="0" w:line="12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The table presented below sets forth a summary of our equity capitalization as follows:</w:t>
      </w:r>
    </w:p>
    <w:p>
      <w:pPr>
        <w:spacing w:after="0" w:line="130" w:lineRule="exact"/>
        <w:rPr>
          <w:sz w:val="20"/>
          <w:szCs w:val="20"/>
          <w:color w:val="auto"/>
        </w:rPr>
      </w:pPr>
    </w:p>
    <w:p>
      <w:pPr>
        <w:ind w:left="1980" w:right="1680" w:hanging="228"/>
        <w:spacing w:after="0" w:line="274" w:lineRule="auto"/>
        <w:tabs>
          <w:tab w:leader="none" w:pos="19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on a historical basis as of July 31, 2025 , reflecting shares of Class A common stock, and securities convertible into, exchangeable for, or that represent the right to receive, shares of Class A common stock, except (A) with respect to RSUs outstanding, which figure is estimated as of the date of this prospectus as further described in footnote (1) to the table, and (B) the figures in the table assume the Warrant Determination for the SAFE Warrants and present the Convertible Notes and SAFEs on an as-converted basis immediately prior to the Note Conversion and SAFE Conversion; and</w:t>
      </w:r>
    </w:p>
    <w:p>
      <w:pPr>
        <w:spacing w:after="0" w:line="241" w:lineRule="exact"/>
        <w:rPr>
          <w:rFonts w:ascii="Arial" w:cs="Arial" w:eastAsia="Arial" w:hAnsi="Arial"/>
          <w:sz w:val="12"/>
          <w:szCs w:val="12"/>
          <w:color w:val="auto"/>
        </w:rPr>
      </w:pPr>
    </w:p>
    <w:p>
      <w:pPr>
        <w:ind w:left="1980" w:right="1680" w:hanging="228"/>
        <w:spacing w:after="0" w:line="281" w:lineRule="auto"/>
        <w:tabs>
          <w:tab w:leader="none" w:pos="19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after giving effect to (A) the additional equity adjustments assumed in the information in this prospectus, as described in the bullet points above, and (B) the sale and issuance by us of 30,000,000 shares of Class A common stock in this offering, as set forth on the cover page of this prospectus .</w:t>
      </w:r>
    </w:p>
    <w:p>
      <w:pPr>
        <w:spacing w:after="0" w:line="125" w:lineRule="exact"/>
        <w:rPr>
          <w:sz w:val="20"/>
          <w:szCs w:val="20"/>
          <w:color w:val="auto"/>
        </w:rPr>
      </w:pPr>
    </w:p>
    <w:tbl>
      <w:tblPr>
        <w:tblLayout w:type="fixed"/>
        <w:tblInd w:w="1560" w:type="dxa"/>
        <w:tblCellMar>
          <w:top w:w="0" w:type="dxa"/>
          <w:left w:w="0" w:type="dxa"/>
          <w:bottom w:w="0" w:type="dxa"/>
          <w:right w:w="0" w:type="dxa"/>
        </w:tblCellMar>
      </w:tblPr>
      <w:tr>
        <w:trPr>
          <w:trHeight w:val="80"/>
        </w:trPr>
        <w:tc>
          <w:tcPr>
            <w:tcW w:w="720" w:type="dxa"/>
            <w:vAlign w:val="bottom"/>
          </w:tcPr>
          <w:p>
            <w:pPr>
              <w:spacing w:after="0"/>
              <w:rPr>
                <w:sz w:val="7"/>
                <w:szCs w:val="7"/>
                <w:color w:val="auto"/>
              </w:rPr>
            </w:pPr>
          </w:p>
        </w:tc>
        <w:tc>
          <w:tcPr>
            <w:tcW w:w="880" w:type="dxa"/>
            <w:vAlign w:val="bottom"/>
          </w:tcPr>
          <w:p>
            <w:pPr>
              <w:jc w:val="center"/>
              <w:ind w:left="308"/>
              <w:spacing w:after="0"/>
              <w:rPr>
                <w:sz w:val="20"/>
                <w:szCs w:val="20"/>
                <w:color w:val="auto"/>
              </w:rPr>
            </w:pPr>
            <w:r>
              <w:rPr>
                <w:rFonts w:ascii="Arial" w:cs="Arial" w:eastAsia="Arial" w:hAnsi="Arial"/>
                <w:sz w:val="7"/>
                <w:szCs w:val="7"/>
                <w:b w:val="1"/>
                <w:bCs w:val="1"/>
                <w:color w:val="auto"/>
                <w:w w:val="94"/>
              </w:rPr>
              <w:t>Class A and</w:t>
            </w:r>
          </w:p>
        </w:tc>
        <w:tc>
          <w:tcPr>
            <w:tcW w:w="560" w:type="dxa"/>
            <w:vAlign w:val="bottom"/>
          </w:tcPr>
          <w:p>
            <w:pPr>
              <w:jc w:val="center"/>
              <w:ind w:right="8"/>
              <w:spacing w:after="0"/>
              <w:rPr>
                <w:sz w:val="20"/>
                <w:szCs w:val="20"/>
                <w:color w:val="auto"/>
              </w:rPr>
            </w:pPr>
            <w:r>
              <w:rPr>
                <w:rFonts w:ascii="Arial" w:cs="Arial" w:eastAsia="Arial" w:hAnsi="Arial"/>
                <w:sz w:val="7"/>
                <w:szCs w:val="7"/>
                <w:b w:val="1"/>
                <w:bCs w:val="1"/>
                <w:color w:val="auto"/>
                <w:w w:val="96"/>
              </w:rPr>
              <w:t>Redeemable</w:t>
            </w:r>
          </w:p>
        </w:tc>
        <w:tc>
          <w:tcPr>
            <w:tcW w:w="480" w:type="dxa"/>
            <w:vAlign w:val="bottom"/>
          </w:tcPr>
          <w:p>
            <w:pPr>
              <w:spacing w:after="0"/>
              <w:rPr>
                <w:sz w:val="7"/>
                <w:szCs w:val="7"/>
                <w:color w:val="auto"/>
              </w:rPr>
            </w:pPr>
          </w:p>
        </w:tc>
        <w:tc>
          <w:tcPr>
            <w:tcW w:w="560" w:type="dxa"/>
            <w:vAlign w:val="bottom"/>
          </w:tcPr>
          <w:p>
            <w:pPr>
              <w:jc w:val="center"/>
              <w:spacing w:after="0"/>
              <w:rPr>
                <w:sz w:val="20"/>
                <w:szCs w:val="20"/>
                <w:color w:val="auto"/>
              </w:rPr>
            </w:pPr>
            <w:r>
              <w:rPr>
                <w:rFonts w:ascii="Arial" w:cs="Arial" w:eastAsia="Arial" w:hAnsi="Arial"/>
                <w:sz w:val="7"/>
                <w:szCs w:val="7"/>
                <w:b w:val="1"/>
                <w:bCs w:val="1"/>
                <w:color w:val="auto"/>
                <w:w w:val="93"/>
              </w:rPr>
              <w:t>Common and</w:t>
            </w: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vMerge w:val="restart"/>
          </w:tcPr>
          <w:p>
            <w:pPr>
              <w:jc w:val="center"/>
              <w:ind w:left="68"/>
              <w:spacing w:after="0"/>
              <w:rPr>
                <w:sz w:val="20"/>
                <w:szCs w:val="20"/>
                <w:color w:val="auto"/>
              </w:rPr>
            </w:pPr>
            <w:r>
              <w:rPr>
                <w:rFonts w:ascii="Arial" w:cs="Arial" w:eastAsia="Arial" w:hAnsi="Arial"/>
                <w:sz w:val="7"/>
                <w:szCs w:val="7"/>
                <w:b w:val="1"/>
                <w:bCs w:val="1"/>
                <w:color w:val="auto"/>
                <w:w w:val="96"/>
              </w:rPr>
              <w:t>Class A Common</w:t>
            </w:r>
          </w:p>
        </w:tc>
        <w:tc>
          <w:tcPr>
            <w:tcW w:w="0" w:type="dxa"/>
            <w:vAlign w:val="bottom"/>
          </w:tcPr>
          <w:p>
            <w:pPr>
              <w:spacing w:after="0"/>
              <w:rPr>
                <w:sz w:val="1"/>
                <w:szCs w:val="1"/>
                <w:color w:val="auto"/>
              </w:rPr>
            </w:pPr>
          </w:p>
        </w:tc>
      </w:tr>
      <w:tr>
        <w:trPr>
          <w:trHeight w:val="67"/>
        </w:trPr>
        <w:tc>
          <w:tcPr>
            <w:tcW w:w="720" w:type="dxa"/>
            <w:vAlign w:val="bottom"/>
          </w:tcPr>
          <w:p>
            <w:pPr>
              <w:spacing w:after="0"/>
              <w:rPr>
                <w:sz w:val="5"/>
                <w:szCs w:val="5"/>
                <w:color w:val="auto"/>
              </w:rPr>
            </w:pPr>
          </w:p>
        </w:tc>
        <w:tc>
          <w:tcPr>
            <w:tcW w:w="880" w:type="dxa"/>
            <w:vAlign w:val="bottom"/>
          </w:tcPr>
          <w:p>
            <w:pPr>
              <w:jc w:val="center"/>
              <w:ind w:left="288"/>
              <w:spacing w:after="0" w:line="67" w:lineRule="exact"/>
              <w:rPr>
                <w:sz w:val="20"/>
                <w:szCs w:val="20"/>
                <w:color w:val="auto"/>
              </w:rPr>
            </w:pPr>
            <w:r>
              <w:rPr>
                <w:rFonts w:ascii="Arial" w:cs="Arial" w:eastAsia="Arial" w:hAnsi="Arial"/>
                <w:sz w:val="7"/>
                <w:szCs w:val="7"/>
                <w:b w:val="1"/>
                <w:bCs w:val="1"/>
                <w:color w:val="auto"/>
                <w:w w:val="96"/>
              </w:rPr>
              <w:t>B Common</w:t>
            </w:r>
          </w:p>
        </w:tc>
        <w:tc>
          <w:tcPr>
            <w:tcW w:w="560" w:type="dxa"/>
            <w:vAlign w:val="bottom"/>
          </w:tcPr>
          <w:p>
            <w:pPr>
              <w:jc w:val="center"/>
              <w:spacing w:after="0" w:line="67" w:lineRule="exact"/>
              <w:rPr>
                <w:sz w:val="20"/>
                <w:szCs w:val="20"/>
                <w:color w:val="auto"/>
              </w:rPr>
            </w:pPr>
            <w:r>
              <w:rPr>
                <w:rFonts w:ascii="Arial" w:cs="Arial" w:eastAsia="Arial" w:hAnsi="Arial"/>
                <w:sz w:val="7"/>
                <w:szCs w:val="7"/>
                <w:b w:val="1"/>
                <w:bCs w:val="1"/>
                <w:color w:val="auto"/>
                <w:w w:val="98"/>
              </w:rPr>
              <w:t>Convertible</w:t>
            </w:r>
          </w:p>
        </w:tc>
        <w:tc>
          <w:tcPr>
            <w:tcW w:w="480" w:type="dxa"/>
            <w:vAlign w:val="bottom"/>
            <w:vMerge w:val="restart"/>
          </w:tcPr>
          <w:p>
            <w:pPr>
              <w:jc w:val="center"/>
              <w:spacing w:after="0"/>
              <w:rPr>
                <w:sz w:val="20"/>
                <w:szCs w:val="20"/>
                <w:color w:val="auto"/>
              </w:rPr>
            </w:pPr>
            <w:r>
              <w:rPr>
                <w:rFonts w:ascii="Arial" w:cs="Arial" w:eastAsia="Arial" w:hAnsi="Arial"/>
                <w:sz w:val="7"/>
                <w:szCs w:val="7"/>
                <w:b w:val="1"/>
                <w:bCs w:val="1"/>
                <w:color w:val="auto"/>
                <w:w w:val="96"/>
              </w:rPr>
              <w:t>SAFE</w:t>
            </w:r>
          </w:p>
        </w:tc>
        <w:tc>
          <w:tcPr>
            <w:tcW w:w="560" w:type="dxa"/>
            <w:vAlign w:val="bottom"/>
          </w:tcPr>
          <w:p>
            <w:pPr>
              <w:jc w:val="center"/>
              <w:spacing w:after="0" w:line="67" w:lineRule="exact"/>
              <w:rPr>
                <w:sz w:val="20"/>
                <w:szCs w:val="20"/>
                <w:color w:val="auto"/>
              </w:rPr>
            </w:pPr>
            <w:r>
              <w:rPr>
                <w:rFonts w:ascii="Arial" w:cs="Arial" w:eastAsia="Arial" w:hAnsi="Arial"/>
                <w:sz w:val="7"/>
                <w:szCs w:val="7"/>
                <w:b w:val="1"/>
                <w:bCs w:val="1"/>
                <w:color w:val="auto"/>
                <w:w w:val="96"/>
              </w:rPr>
              <w:t>Preferred</w:t>
            </w:r>
          </w:p>
        </w:tc>
        <w:tc>
          <w:tcPr>
            <w:tcW w:w="560" w:type="dxa"/>
            <w:vAlign w:val="bottom"/>
            <w:vMerge w:val="restart"/>
          </w:tcPr>
          <w:p>
            <w:pPr>
              <w:jc w:val="center"/>
              <w:ind w:right="7"/>
              <w:spacing w:after="0"/>
              <w:rPr>
                <w:sz w:val="20"/>
                <w:szCs w:val="20"/>
                <w:color w:val="auto"/>
              </w:rPr>
            </w:pPr>
            <w:r>
              <w:rPr>
                <w:rFonts w:ascii="Arial" w:cs="Arial" w:eastAsia="Arial" w:hAnsi="Arial"/>
                <w:sz w:val="7"/>
                <w:szCs w:val="7"/>
                <w:b w:val="1"/>
                <w:bCs w:val="1"/>
                <w:color w:val="auto"/>
                <w:w w:val="93"/>
              </w:rPr>
              <w:t>Convertible</w:t>
            </w:r>
          </w:p>
        </w:tc>
        <w:tc>
          <w:tcPr>
            <w:tcW w:w="460" w:type="dxa"/>
            <w:vAlign w:val="bottom"/>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Arial" w:cs="Arial" w:eastAsia="Arial" w:hAnsi="Arial"/>
                <w:sz w:val="7"/>
                <w:szCs w:val="7"/>
                <w:b w:val="1"/>
                <w:bCs w:val="1"/>
                <w:color w:val="auto"/>
                <w:w w:val="94"/>
              </w:rPr>
              <w:t>Stock</w:t>
            </w:r>
          </w:p>
        </w:tc>
        <w:tc>
          <w:tcPr>
            <w:tcW w:w="4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720" w:type="dxa"/>
            <w:vAlign w:val="bottom"/>
            <w:vMerge w:val="restart"/>
          </w:tcPr>
          <w:p>
            <w:pPr>
              <w:spacing w:after="0"/>
              <w:rPr>
                <w:sz w:val="20"/>
                <w:szCs w:val="20"/>
                <w:color w:val="auto"/>
              </w:rPr>
            </w:pPr>
            <w:r>
              <w:rPr>
                <w:rFonts w:ascii="Arial" w:cs="Arial" w:eastAsia="Arial" w:hAnsi="Arial"/>
                <w:sz w:val="8"/>
                <w:szCs w:val="8"/>
                <w:b w:val="1"/>
                <w:bCs w:val="1"/>
                <w:color w:val="auto"/>
              </w:rPr>
              <w:t>Historical</w:t>
            </w:r>
          </w:p>
        </w:tc>
        <w:tc>
          <w:tcPr>
            <w:tcW w:w="880" w:type="dxa"/>
            <w:vAlign w:val="bottom"/>
          </w:tcPr>
          <w:p>
            <w:pPr>
              <w:jc w:val="center"/>
              <w:ind w:left="308"/>
              <w:spacing w:after="0" w:line="58" w:lineRule="exact"/>
              <w:rPr>
                <w:sz w:val="20"/>
                <w:szCs w:val="20"/>
                <w:color w:val="auto"/>
              </w:rPr>
            </w:pPr>
            <w:r>
              <w:rPr>
                <w:rFonts w:ascii="Arial" w:cs="Arial" w:eastAsia="Arial" w:hAnsi="Arial"/>
                <w:sz w:val="6"/>
                <w:szCs w:val="6"/>
                <w:b w:val="1"/>
                <w:bCs w:val="1"/>
                <w:color w:val="auto"/>
              </w:rPr>
              <w:t>Stock</w:t>
            </w:r>
          </w:p>
        </w:tc>
        <w:tc>
          <w:tcPr>
            <w:tcW w:w="560" w:type="dxa"/>
            <w:vAlign w:val="bottom"/>
          </w:tcPr>
          <w:p>
            <w:pPr>
              <w:jc w:val="center"/>
              <w:spacing w:after="0" w:line="58" w:lineRule="exact"/>
              <w:rPr>
                <w:sz w:val="20"/>
                <w:szCs w:val="20"/>
                <w:color w:val="auto"/>
              </w:rPr>
            </w:pPr>
            <w:r>
              <w:rPr>
                <w:rFonts w:ascii="Arial" w:cs="Arial" w:eastAsia="Arial" w:hAnsi="Arial"/>
                <w:sz w:val="6"/>
                <w:szCs w:val="6"/>
                <w:b w:val="1"/>
                <w:bCs w:val="1"/>
                <w:color w:val="auto"/>
              </w:rPr>
              <w:t>Preferred</w:t>
            </w:r>
          </w:p>
        </w:tc>
        <w:tc>
          <w:tcPr>
            <w:tcW w:w="480" w:type="dxa"/>
            <w:vAlign w:val="bottom"/>
            <w:vMerge w:val="continue"/>
          </w:tcPr>
          <w:p>
            <w:pPr>
              <w:spacing w:after="0"/>
              <w:rPr>
                <w:sz w:val="5"/>
                <w:szCs w:val="5"/>
                <w:color w:val="auto"/>
              </w:rPr>
            </w:pPr>
          </w:p>
        </w:tc>
        <w:tc>
          <w:tcPr>
            <w:tcW w:w="560" w:type="dxa"/>
            <w:vAlign w:val="bottom"/>
          </w:tcPr>
          <w:p>
            <w:pPr>
              <w:jc w:val="center"/>
              <w:spacing w:after="0" w:line="58" w:lineRule="exact"/>
              <w:rPr>
                <w:sz w:val="20"/>
                <w:szCs w:val="20"/>
                <w:color w:val="auto"/>
              </w:rPr>
            </w:pPr>
            <w:r>
              <w:rPr>
                <w:rFonts w:ascii="Arial" w:cs="Arial" w:eastAsia="Arial" w:hAnsi="Arial"/>
                <w:sz w:val="6"/>
                <w:szCs w:val="6"/>
                <w:b w:val="1"/>
                <w:bCs w:val="1"/>
                <w:color w:val="auto"/>
              </w:rPr>
              <w:t>Stock</w:t>
            </w:r>
          </w:p>
        </w:tc>
        <w:tc>
          <w:tcPr>
            <w:tcW w:w="560" w:type="dxa"/>
            <w:vAlign w:val="bottom"/>
            <w:vMerge w:val="continue"/>
          </w:tcPr>
          <w:p>
            <w:pPr>
              <w:spacing w:after="0"/>
              <w:rPr>
                <w:sz w:val="5"/>
                <w:szCs w:val="5"/>
                <w:color w:val="auto"/>
              </w:rPr>
            </w:pPr>
          </w:p>
        </w:tc>
        <w:tc>
          <w:tcPr>
            <w:tcW w:w="460" w:type="dxa"/>
            <w:vAlign w:val="bottom"/>
            <w:vMerge w:val="restart"/>
          </w:tcPr>
          <w:p>
            <w:pPr>
              <w:ind w:left="100"/>
              <w:spacing w:after="0"/>
              <w:rPr>
                <w:sz w:val="20"/>
                <w:szCs w:val="20"/>
                <w:color w:val="auto"/>
              </w:rPr>
            </w:pPr>
            <w:r>
              <w:rPr>
                <w:rFonts w:ascii="Arial" w:cs="Arial" w:eastAsia="Arial" w:hAnsi="Arial"/>
                <w:sz w:val="7"/>
                <w:szCs w:val="7"/>
                <w:b w:val="1"/>
                <w:bCs w:val="1"/>
                <w:color w:val="auto"/>
              </w:rPr>
              <w:t>SAFEs</w:t>
            </w:r>
          </w:p>
        </w:tc>
        <w:tc>
          <w:tcPr>
            <w:tcW w:w="560" w:type="dxa"/>
            <w:vAlign w:val="bottom"/>
            <w:vMerge w:val="continue"/>
          </w:tcPr>
          <w:p>
            <w:pPr>
              <w:spacing w:after="0"/>
              <w:rPr>
                <w:sz w:val="5"/>
                <w:szCs w:val="5"/>
                <w:color w:val="auto"/>
              </w:rPr>
            </w:pPr>
          </w:p>
        </w:tc>
        <w:tc>
          <w:tcPr>
            <w:tcW w:w="460" w:type="dxa"/>
            <w:vAlign w:val="bottom"/>
            <w:vMerge w:val="restart"/>
          </w:tcPr>
          <w:p>
            <w:pPr>
              <w:ind w:left="160"/>
              <w:spacing w:after="0"/>
              <w:rPr>
                <w:sz w:val="20"/>
                <w:szCs w:val="20"/>
                <w:color w:val="auto"/>
              </w:rPr>
            </w:pPr>
            <w:r>
              <w:rPr>
                <w:rFonts w:ascii="Arial" w:cs="Arial" w:eastAsia="Arial" w:hAnsi="Arial"/>
                <w:sz w:val="7"/>
                <w:szCs w:val="7"/>
                <w:b w:val="1"/>
                <w:bCs w:val="1"/>
                <w:color w:val="auto"/>
              </w:rPr>
              <w:t>RSUs</w:t>
            </w:r>
          </w:p>
        </w:tc>
        <w:tc>
          <w:tcPr>
            <w:tcW w:w="660" w:type="dxa"/>
            <w:vAlign w:val="bottom"/>
          </w:tcPr>
          <w:p>
            <w:pPr>
              <w:jc w:val="center"/>
              <w:ind w:left="88"/>
              <w:spacing w:after="0" w:line="58" w:lineRule="exact"/>
              <w:rPr>
                <w:sz w:val="20"/>
                <w:szCs w:val="20"/>
                <w:color w:val="auto"/>
              </w:rPr>
            </w:pPr>
            <w:r>
              <w:rPr>
                <w:rFonts w:ascii="Arial" w:cs="Arial" w:eastAsia="Arial" w:hAnsi="Arial"/>
                <w:sz w:val="6"/>
                <w:szCs w:val="6"/>
                <w:b w:val="1"/>
                <w:bCs w:val="1"/>
                <w:color w:val="auto"/>
              </w:rPr>
              <w:t>Stock (Fully</w:t>
            </w:r>
          </w:p>
        </w:tc>
        <w:tc>
          <w:tcPr>
            <w:tcW w:w="0" w:type="dxa"/>
            <w:vAlign w:val="bottom"/>
          </w:tcPr>
          <w:p>
            <w:pPr>
              <w:spacing w:after="0"/>
              <w:rPr>
                <w:sz w:val="1"/>
                <w:szCs w:val="1"/>
                <w:color w:val="auto"/>
              </w:rPr>
            </w:pPr>
          </w:p>
        </w:tc>
      </w:tr>
      <w:tr>
        <w:trPr>
          <w:trHeight w:val="95"/>
        </w:trPr>
        <w:tc>
          <w:tcPr>
            <w:tcW w:w="720" w:type="dxa"/>
            <w:vAlign w:val="bottom"/>
            <w:vMerge w:val="continue"/>
          </w:tcPr>
          <w:p>
            <w:pPr>
              <w:spacing w:after="0"/>
              <w:rPr>
                <w:sz w:val="8"/>
                <w:szCs w:val="8"/>
                <w:color w:val="auto"/>
              </w:rPr>
            </w:pPr>
          </w:p>
        </w:tc>
        <w:tc>
          <w:tcPr>
            <w:tcW w:w="880" w:type="dxa"/>
            <w:vAlign w:val="bottom"/>
          </w:tcPr>
          <w:p>
            <w:pPr>
              <w:jc w:val="center"/>
              <w:ind w:left="308"/>
              <w:spacing w:after="0"/>
              <w:rPr>
                <w:sz w:val="20"/>
                <w:szCs w:val="20"/>
                <w:color w:val="auto"/>
              </w:rPr>
            </w:pPr>
            <w:r>
              <w:rPr>
                <w:rFonts w:ascii="Arial" w:cs="Arial" w:eastAsia="Arial" w:hAnsi="Arial"/>
                <w:sz w:val="7"/>
                <w:szCs w:val="7"/>
                <w:b w:val="1"/>
                <w:bCs w:val="1"/>
                <w:color w:val="auto"/>
                <w:w w:val="91"/>
              </w:rPr>
              <w:t>(Outstanding)</w:t>
            </w:r>
          </w:p>
        </w:tc>
        <w:tc>
          <w:tcPr>
            <w:tcW w:w="560" w:type="dxa"/>
            <w:vAlign w:val="bottom"/>
          </w:tcPr>
          <w:p>
            <w:pPr>
              <w:jc w:val="center"/>
              <w:spacing w:after="0"/>
              <w:rPr>
                <w:sz w:val="20"/>
                <w:szCs w:val="20"/>
                <w:color w:val="auto"/>
              </w:rPr>
            </w:pPr>
            <w:r>
              <w:rPr>
                <w:rFonts w:ascii="Arial" w:cs="Arial" w:eastAsia="Arial" w:hAnsi="Arial"/>
                <w:sz w:val="7"/>
                <w:szCs w:val="7"/>
                <w:b w:val="1"/>
                <w:bCs w:val="1"/>
                <w:color w:val="auto"/>
                <w:w w:val="94"/>
              </w:rPr>
              <w:t>Stock</w:t>
            </w:r>
          </w:p>
        </w:tc>
        <w:tc>
          <w:tcPr>
            <w:tcW w:w="480" w:type="dxa"/>
            <w:vAlign w:val="bottom"/>
          </w:tcPr>
          <w:p>
            <w:pPr>
              <w:jc w:val="center"/>
              <w:spacing w:after="0"/>
              <w:rPr>
                <w:sz w:val="20"/>
                <w:szCs w:val="20"/>
                <w:color w:val="auto"/>
              </w:rPr>
            </w:pPr>
            <w:r>
              <w:rPr>
                <w:rFonts w:ascii="Arial" w:cs="Arial" w:eastAsia="Arial" w:hAnsi="Arial"/>
                <w:sz w:val="7"/>
                <w:szCs w:val="7"/>
                <w:b w:val="1"/>
                <w:bCs w:val="1"/>
                <w:color w:val="auto"/>
                <w:w w:val="92"/>
              </w:rPr>
              <w:t>Warrants</w:t>
            </w:r>
          </w:p>
        </w:tc>
        <w:tc>
          <w:tcPr>
            <w:tcW w:w="560" w:type="dxa"/>
            <w:vAlign w:val="bottom"/>
          </w:tcPr>
          <w:p>
            <w:pPr>
              <w:jc w:val="center"/>
              <w:spacing w:after="0"/>
              <w:rPr>
                <w:sz w:val="20"/>
                <w:szCs w:val="20"/>
                <w:color w:val="auto"/>
              </w:rPr>
            </w:pPr>
            <w:r>
              <w:rPr>
                <w:rFonts w:ascii="Arial" w:cs="Arial" w:eastAsia="Arial" w:hAnsi="Arial"/>
                <w:sz w:val="7"/>
                <w:szCs w:val="7"/>
                <w:b w:val="1"/>
                <w:bCs w:val="1"/>
                <w:color w:val="auto"/>
                <w:w w:val="98"/>
              </w:rPr>
              <w:t>Warrants</w:t>
            </w:r>
          </w:p>
        </w:tc>
        <w:tc>
          <w:tcPr>
            <w:tcW w:w="560" w:type="dxa"/>
            <w:vAlign w:val="bottom"/>
          </w:tcPr>
          <w:p>
            <w:pPr>
              <w:jc w:val="center"/>
              <w:ind w:right="27"/>
              <w:spacing w:after="0"/>
              <w:rPr>
                <w:sz w:val="20"/>
                <w:szCs w:val="20"/>
                <w:color w:val="auto"/>
              </w:rPr>
            </w:pPr>
            <w:r>
              <w:rPr>
                <w:rFonts w:ascii="Arial" w:cs="Arial" w:eastAsia="Arial" w:hAnsi="Arial"/>
                <w:sz w:val="7"/>
                <w:szCs w:val="7"/>
                <w:b w:val="1"/>
                <w:bCs w:val="1"/>
                <w:color w:val="auto"/>
                <w:w w:val="92"/>
              </w:rPr>
              <w:t>Notes</w:t>
            </w:r>
          </w:p>
        </w:tc>
        <w:tc>
          <w:tcPr>
            <w:tcW w:w="460" w:type="dxa"/>
            <w:vAlign w:val="bottom"/>
            <w:vMerge w:val="continue"/>
          </w:tcPr>
          <w:p>
            <w:pPr>
              <w:spacing w:after="0"/>
              <w:rPr>
                <w:sz w:val="8"/>
                <w:szCs w:val="8"/>
                <w:color w:val="auto"/>
              </w:rPr>
            </w:pPr>
          </w:p>
        </w:tc>
        <w:tc>
          <w:tcPr>
            <w:tcW w:w="560" w:type="dxa"/>
            <w:vAlign w:val="bottom"/>
          </w:tcPr>
          <w:p>
            <w:pPr>
              <w:jc w:val="center"/>
              <w:spacing w:after="0"/>
              <w:rPr>
                <w:sz w:val="20"/>
                <w:szCs w:val="20"/>
                <w:color w:val="auto"/>
              </w:rPr>
            </w:pPr>
            <w:r>
              <w:rPr>
                <w:rFonts w:ascii="Arial" w:cs="Arial" w:eastAsia="Arial" w:hAnsi="Arial"/>
                <w:sz w:val="7"/>
                <w:szCs w:val="7"/>
                <w:b w:val="1"/>
                <w:bCs w:val="1"/>
                <w:color w:val="auto"/>
                <w:w w:val="90"/>
              </w:rPr>
              <w:t>Options</w:t>
            </w:r>
          </w:p>
        </w:tc>
        <w:tc>
          <w:tcPr>
            <w:tcW w:w="460" w:type="dxa"/>
            <w:vAlign w:val="bottom"/>
            <w:vMerge w:val="continue"/>
          </w:tcPr>
          <w:p>
            <w:pPr>
              <w:spacing w:after="0"/>
              <w:rPr>
                <w:sz w:val="8"/>
                <w:szCs w:val="8"/>
                <w:color w:val="auto"/>
              </w:rPr>
            </w:pPr>
          </w:p>
        </w:tc>
        <w:tc>
          <w:tcPr>
            <w:tcW w:w="660" w:type="dxa"/>
            <w:vAlign w:val="bottom"/>
          </w:tcPr>
          <w:p>
            <w:pPr>
              <w:jc w:val="center"/>
              <w:ind w:left="88"/>
              <w:spacing w:after="0"/>
              <w:rPr>
                <w:sz w:val="20"/>
                <w:szCs w:val="20"/>
                <w:color w:val="auto"/>
              </w:rPr>
            </w:pPr>
            <w:r>
              <w:rPr>
                <w:rFonts w:ascii="Arial" w:cs="Arial" w:eastAsia="Arial" w:hAnsi="Arial"/>
                <w:sz w:val="7"/>
                <w:szCs w:val="7"/>
                <w:b w:val="1"/>
                <w:bCs w:val="1"/>
                <w:color w:val="auto"/>
                <w:w w:val="99"/>
              </w:rPr>
              <w:t>Diluted)</w:t>
            </w:r>
          </w:p>
        </w:tc>
        <w:tc>
          <w:tcPr>
            <w:tcW w:w="0" w:type="dxa"/>
            <w:vAlign w:val="bottom"/>
          </w:tcPr>
          <w:p>
            <w:pPr>
              <w:spacing w:after="0"/>
              <w:rPr>
                <w:sz w:val="1"/>
                <w:szCs w:val="1"/>
                <w:color w:val="auto"/>
              </w:rPr>
            </w:pPr>
          </w:p>
        </w:tc>
      </w:tr>
    </w:tbl>
    <w:p>
      <w:pPr>
        <w:sectPr>
          <w:pgSz w:w="11900" w:h="16840" w:orient="portrait"/>
          <w:cols w:equalWidth="0" w:num="1">
            <w:col w:w="9020"/>
          </w:cols>
          <w:pgMar w:left="1440" w:top="560" w:right="1440" w:bottom="43"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tbl>
      <w:tblPr>
        <w:tblLayout w:type="fixed"/>
        <w:tblInd w:w="1520" w:type="dxa"/>
        <w:tblCellMar>
          <w:top w:w="0" w:type="dxa"/>
          <w:left w:w="0" w:type="dxa"/>
          <w:bottom w:w="0" w:type="dxa"/>
          <w:right w:w="0" w:type="dxa"/>
        </w:tblCellMar>
      </w:tblPr>
      <w:tr>
        <w:trPr>
          <w:trHeight w:val="92"/>
        </w:trPr>
        <w:tc>
          <w:tcPr>
            <w:tcW w:w="1120" w:type="dxa"/>
            <w:vAlign w:val="bottom"/>
          </w:tcPr>
          <w:p>
            <w:pPr>
              <w:ind w:left="40"/>
              <w:spacing w:after="0"/>
              <w:rPr>
                <w:sz w:val="20"/>
                <w:szCs w:val="20"/>
                <w:color w:val="auto"/>
              </w:rPr>
            </w:pPr>
            <w:r>
              <w:rPr>
                <w:rFonts w:ascii="Arial" w:cs="Arial" w:eastAsia="Arial" w:hAnsi="Arial"/>
                <w:sz w:val="8"/>
                <w:szCs w:val="8"/>
                <w:color w:val="auto"/>
              </w:rPr>
              <w:t>Common Stock as of July 31,</w:t>
            </w:r>
          </w:p>
        </w:tc>
        <w:tc>
          <w:tcPr>
            <w:tcW w:w="480" w:type="dxa"/>
            <w:vAlign w:val="bottom"/>
            <w:vMerge w:val="restart"/>
          </w:tcPr>
          <w:p>
            <w:pPr>
              <w:jc w:val="right"/>
              <w:spacing w:after="0"/>
              <w:rPr>
                <w:sz w:val="20"/>
                <w:szCs w:val="20"/>
                <w:color w:val="auto"/>
              </w:rPr>
            </w:pPr>
            <w:r>
              <w:rPr>
                <w:rFonts w:ascii="Arial" w:cs="Arial" w:eastAsia="Arial" w:hAnsi="Arial"/>
                <w:sz w:val="8"/>
                <w:szCs w:val="8"/>
                <w:color w:val="auto"/>
              </w:rPr>
              <w:t>46,331,272</w:t>
            </w: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8"/>
                <w:szCs w:val="8"/>
                <w:color w:val="auto"/>
              </w:rPr>
              <w:t>46,331,272</w:t>
            </w:r>
          </w:p>
        </w:tc>
        <w:tc>
          <w:tcPr>
            <w:tcW w:w="0" w:type="dxa"/>
            <w:vAlign w:val="bottom"/>
          </w:tcPr>
          <w:p>
            <w:pPr>
              <w:spacing w:after="0"/>
              <w:rPr>
                <w:sz w:val="1"/>
                <w:szCs w:val="1"/>
                <w:color w:val="auto"/>
              </w:rPr>
            </w:pPr>
          </w:p>
        </w:tc>
      </w:tr>
      <w:tr>
        <w:trPr>
          <w:trHeight w:val="100"/>
        </w:trPr>
        <w:tc>
          <w:tcPr>
            <w:tcW w:w="1120" w:type="dxa"/>
            <w:vAlign w:val="bottom"/>
          </w:tcPr>
          <w:p>
            <w:pPr>
              <w:jc w:val="right"/>
              <w:ind w:right="3"/>
              <w:spacing w:after="0"/>
              <w:rPr>
                <w:sz w:val="20"/>
                <w:szCs w:val="20"/>
                <w:color w:val="auto"/>
              </w:rPr>
            </w:pPr>
            <w:r>
              <w:rPr>
                <w:rFonts w:ascii="Arial" w:cs="Arial" w:eastAsia="Arial" w:hAnsi="Arial"/>
                <w:sz w:val="8"/>
                <w:szCs w:val="8"/>
                <w:color w:val="auto"/>
              </w:rPr>
              <w:t>2025</w:t>
            </w:r>
            <w:r>
              <w:rPr>
                <w:rFonts w:ascii="Times New Roman" w:cs="Times New Roman" w:eastAsia="Times New Roman" w:hAnsi="Times New Roman"/>
                <w:sz w:val="8"/>
                <w:szCs w:val="8"/>
                <w:color w:val="B4B4B4"/>
              </w:rPr>
              <w:t>........................................</w:t>
            </w:r>
          </w:p>
        </w:tc>
        <w:tc>
          <w:tcPr>
            <w:tcW w:w="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120" w:type="dxa"/>
            <w:vAlign w:val="bottom"/>
            <w:tcBorders>
              <w:bottom w:val="single" w:sz="8" w:color="CCEEFF"/>
            </w:tcBorders>
          </w:tcPr>
          <w:p>
            <w:pPr>
              <w:ind w:left="40"/>
              <w:spacing w:after="0"/>
              <w:rPr>
                <w:sz w:val="20"/>
                <w:szCs w:val="20"/>
                <w:color w:val="auto"/>
              </w:rPr>
            </w:pPr>
            <w:r>
              <w:rPr>
                <w:rFonts w:ascii="Arial" w:cs="Arial" w:eastAsia="Arial" w:hAnsi="Arial"/>
                <w:sz w:val="8"/>
                <w:szCs w:val="8"/>
                <w:color w:val="auto"/>
              </w:rPr>
              <w:t>Redeemable Convertible</w:t>
            </w: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1120" w:type="dxa"/>
            <w:vAlign w:val="bottom"/>
            <w:shd w:val="clear" w:color="auto" w:fill="CCEEFF"/>
          </w:tcPr>
          <w:p>
            <w:pPr>
              <w:jc w:val="right"/>
              <w:ind w:right="263"/>
              <w:spacing w:after="0" w:line="38" w:lineRule="exact"/>
              <w:rPr>
                <w:sz w:val="20"/>
                <w:szCs w:val="20"/>
                <w:color w:val="auto"/>
              </w:rPr>
            </w:pPr>
            <w:r>
              <w:rPr>
                <w:rFonts w:ascii="Arial" w:cs="Arial" w:eastAsia="Arial" w:hAnsi="Arial"/>
                <w:sz w:val="4"/>
                <w:szCs w:val="4"/>
                <w:color w:val="auto"/>
              </w:rPr>
              <w:t>Preferred Stock (as-</w:t>
            </w:r>
          </w:p>
        </w:tc>
        <w:tc>
          <w:tcPr>
            <w:tcW w:w="480" w:type="dxa"/>
            <w:vAlign w:val="bottom"/>
            <w:shd w:val="clear" w:color="auto" w:fill="CCEEFF"/>
          </w:tcPr>
          <w:p>
            <w:pPr>
              <w:spacing w:after="0"/>
              <w:rPr>
                <w:sz w:val="3"/>
                <w:szCs w:val="3"/>
                <w:color w:val="auto"/>
              </w:rPr>
            </w:pPr>
          </w:p>
        </w:tc>
        <w:tc>
          <w:tcPr>
            <w:tcW w:w="5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8"/>
                <w:szCs w:val="8"/>
                <w:color w:val="auto"/>
              </w:rPr>
              <w:t>146,589,046</w:t>
            </w: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8"/>
                <w:szCs w:val="8"/>
                <w:color w:val="auto"/>
              </w:rPr>
              <w:t>146,589,046</w:t>
            </w:r>
          </w:p>
        </w:tc>
        <w:tc>
          <w:tcPr>
            <w:tcW w:w="0" w:type="dxa"/>
            <w:vAlign w:val="bottom"/>
          </w:tcPr>
          <w:p>
            <w:pPr>
              <w:spacing w:after="0" w:line="20" w:lineRule="exact"/>
              <w:rPr>
                <w:sz w:val="1"/>
                <w:szCs w:val="1"/>
                <w:color w:val="auto"/>
              </w:rPr>
            </w:pPr>
          </w:p>
        </w:tc>
      </w:tr>
      <w:tr>
        <w:trPr>
          <w:trHeight w:val="100"/>
        </w:trPr>
        <w:tc>
          <w:tcPr>
            <w:tcW w:w="1120" w:type="dxa"/>
            <w:vAlign w:val="bottom"/>
            <w:shd w:val="clear" w:color="auto" w:fill="CCEEFF"/>
          </w:tcPr>
          <w:p>
            <w:pPr>
              <w:jc w:val="right"/>
              <w:ind w:right="3"/>
              <w:spacing w:after="0"/>
              <w:rPr>
                <w:sz w:val="20"/>
                <w:szCs w:val="20"/>
                <w:color w:val="auto"/>
              </w:rPr>
            </w:pPr>
            <w:r>
              <w:rPr>
                <w:rFonts w:ascii="Arial" w:cs="Arial" w:eastAsia="Arial" w:hAnsi="Arial"/>
                <w:sz w:val="8"/>
                <w:szCs w:val="8"/>
                <w:color w:val="auto"/>
              </w:rPr>
              <w:t>converted)</w:t>
            </w:r>
            <w:r>
              <w:rPr>
                <w:rFonts w:ascii="Times New Roman" w:cs="Times New Roman" w:eastAsia="Times New Roman" w:hAnsi="Times New Roman"/>
                <w:sz w:val="8"/>
                <w:szCs w:val="8"/>
                <w:color w:val="B4B4B4"/>
              </w:rPr>
              <w:t>..............................</w:t>
            </w:r>
          </w:p>
        </w:tc>
        <w:tc>
          <w:tcPr>
            <w:tcW w:w="480" w:type="dxa"/>
            <w:vAlign w:val="bottom"/>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1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1120" w:type="dxa"/>
            <w:vAlign w:val="bottom"/>
          </w:tcPr>
          <w:p>
            <w:pPr>
              <w:ind w:left="40"/>
              <w:spacing w:after="0" w:line="58" w:lineRule="exact"/>
              <w:rPr>
                <w:sz w:val="20"/>
                <w:szCs w:val="20"/>
                <w:color w:val="auto"/>
              </w:rPr>
            </w:pPr>
            <w:r>
              <w:rPr>
                <w:rFonts w:ascii="Arial" w:cs="Arial" w:eastAsia="Arial" w:hAnsi="Arial"/>
                <w:sz w:val="6"/>
                <w:szCs w:val="6"/>
                <w:color w:val="auto"/>
              </w:rPr>
              <w:t>SAFE Warrants (following the</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8"/>
                <w:szCs w:val="8"/>
                <w:color w:val="auto"/>
              </w:rPr>
              <w:t>1,216,284</w:t>
            </w: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8"/>
                <w:szCs w:val="8"/>
                <w:color w:val="auto"/>
              </w:rPr>
              <w:t>1,216,284</w:t>
            </w:r>
          </w:p>
        </w:tc>
        <w:tc>
          <w:tcPr>
            <w:tcW w:w="0" w:type="dxa"/>
            <w:vAlign w:val="bottom"/>
          </w:tcPr>
          <w:p>
            <w:pPr>
              <w:spacing w:after="0"/>
              <w:rPr>
                <w:sz w:val="1"/>
                <w:szCs w:val="1"/>
                <w:color w:val="auto"/>
              </w:rPr>
            </w:pPr>
          </w:p>
        </w:tc>
      </w:tr>
      <w:tr>
        <w:trPr>
          <w:trHeight w:val="100"/>
        </w:trPr>
        <w:tc>
          <w:tcPr>
            <w:tcW w:w="1120" w:type="dxa"/>
            <w:vAlign w:val="bottom"/>
          </w:tcPr>
          <w:p>
            <w:pPr>
              <w:jc w:val="right"/>
              <w:ind w:right="3"/>
              <w:spacing w:after="0"/>
              <w:rPr>
                <w:sz w:val="20"/>
                <w:szCs w:val="20"/>
                <w:color w:val="auto"/>
              </w:rPr>
            </w:pPr>
            <w:r>
              <w:rPr>
                <w:rFonts w:ascii="Arial" w:cs="Arial" w:eastAsia="Arial" w:hAnsi="Arial"/>
                <w:sz w:val="8"/>
                <w:szCs w:val="8"/>
                <w:color w:val="auto"/>
              </w:rPr>
              <w:t xml:space="preserve">Warrant Determination) </w:t>
            </w:r>
            <w:r>
              <w:rPr>
                <w:rFonts w:ascii="Times New Roman" w:cs="Times New Roman" w:eastAsia="Times New Roman" w:hAnsi="Times New Roman"/>
                <w:sz w:val="8"/>
                <w:szCs w:val="8"/>
                <w:color w:val="B4B4B4"/>
              </w:rPr>
              <w:t>.......</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40"/>
              <w:spacing w:after="0"/>
              <w:rPr>
                <w:sz w:val="20"/>
                <w:szCs w:val="20"/>
                <w:color w:val="auto"/>
              </w:rPr>
            </w:pPr>
            <w:r>
              <w:rPr>
                <w:rFonts w:ascii="Arial" w:cs="Arial" w:eastAsia="Arial" w:hAnsi="Arial"/>
                <w:sz w:val="8"/>
                <w:szCs w:val="8"/>
                <w:color w:val="auto"/>
              </w:rPr>
              <w:t>Common and Preferred Stock</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120" w:type="dxa"/>
            <w:vAlign w:val="bottom"/>
            <w:shd w:val="clear" w:color="auto" w:fill="CCEEFF"/>
          </w:tcPr>
          <w:p>
            <w:pPr>
              <w:jc w:val="right"/>
              <w:ind w:right="3"/>
              <w:spacing w:after="0"/>
              <w:rPr>
                <w:sz w:val="20"/>
                <w:szCs w:val="20"/>
                <w:color w:val="auto"/>
              </w:rPr>
            </w:pPr>
            <w:r>
              <w:rPr>
                <w:rFonts w:ascii="Arial" w:cs="Arial" w:eastAsia="Arial" w:hAnsi="Arial"/>
                <w:sz w:val="8"/>
                <w:szCs w:val="8"/>
                <w:color w:val="auto"/>
              </w:rPr>
              <w:t xml:space="preserve">Warrants </w:t>
            </w:r>
            <w:r>
              <w:rPr>
                <w:rFonts w:ascii="Times New Roman" w:cs="Times New Roman" w:eastAsia="Times New Roman" w:hAnsi="Times New Roman"/>
                <w:sz w:val="8"/>
                <w:szCs w:val="8"/>
                <w:color w:val="B4B4B4"/>
              </w:rPr>
              <w:t>................................</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526,748</w:t>
            </w: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526,748</w:t>
            </w:r>
          </w:p>
        </w:tc>
        <w:tc>
          <w:tcPr>
            <w:tcW w:w="0" w:type="dxa"/>
            <w:vAlign w:val="bottom"/>
          </w:tcPr>
          <w:p>
            <w:pPr>
              <w:spacing w:after="0"/>
              <w:rPr>
                <w:sz w:val="1"/>
                <w:szCs w:val="1"/>
                <w:color w:val="auto"/>
              </w:rPr>
            </w:pPr>
          </w:p>
        </w:tc>
      </w:tr>
      <w:tr>
        <w:trPr>
          <w:trHeight w:val="121"/>
        </w:trPr>
        <w:tc>
          <w:tcPr>
            <w:tcW w:w="1120" w:type="dxa"/>
            <w:vAlign w:val="bottom"/>
            <w:shd w:val="clear" w:color="auto" w:fill="CCEEFF"/>
          </w:tcPr>
          <w:p>
            <w:pPr>
              <w:ind w:left="40"/>
              <w:spacing w:after="0"/>
              <w:rPr>
                <w:sz w:val="20"/>
                <w:szCs w:val="20"/>
                <w:color w:val="auto"/>
              </w:rPr>
            </w:pPr>
            <w:r>
              <w:rPr>
                <w:rFonts w:ascii="Arial" w:cs="Arial" w:eastAsia="Arial" w:hAnsi="Arial"/>
                <w:sz w:val="8"/>
                <w:szCs w:val="8"/>
                <w:color w:val="auto"/>
              </w:rPr>
              <w:t>Convertible Notes (as-</w:t>
            </w: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20" w:type="dxa"/>
            <w:vAlign w:val="bottom"/>
          </w:tcPr>
          <w:p>
            <w:pPr>
              <w:jc w:val="right"/>
              <w:ind w:right="3"/>
              <w:spacing w:after="0"/>
              <w:rPr>
                <w:sz w:val="20"/>
                <w:szCs w:val="20"/>
                <w:color w:val="auto"/>
              </w:rPr>
            </w:pPr>
            <w:r>
              <w:rPr>
                <w:rFonts w:ascii="Arial" w:cs="Arial" w:eastAsia="Arial" w:hAnsi="Arial"/>
                <w:sz w:val="8"/>
                <w:szCs w:val="8"/>
                <w:color w:val="auto"/>
              </w:rPr>
              <w:t>converted)</w:t>
            </w:r>
            <w:r>
              <w:rPr>
                <w:rFonts w:ascii="Times New Roman" w:cs="Times New Roman" w:eastAsia="Times New Roman" w:hAnsi="Times New Roman"/>
                <w:sz w:val="8"/>
                <w:szCs w:val="8"/>
                <w:color w:val="B4B4B4"/>
              </w:rPr>
              <w:t>..............................</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8"/>
                <w:szCs w:val="8"/>
                <w:color w:val="auto"/>
              </w:rPr>
              <w:t>12,836,457</w:t>
            </w: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8"/>
                <w:szCs w:val="8"/>
                <w:color w:val="auto"/>
              </w:rPr>
              <w:t>12,836,457</w:t>
            </w:r>
          </w:p>
        </w:tc>
        <w:tc>
          <w:tcPr>
            <w:tcW w:w="0" w:type="dxa"/>
            <w:vAlign w:val="bottom"/>
          </w:tcPr>
          <w:p>
            <w:pPr>
              <w:spacing w:after="0"/>
              <w:rPr>
                <w:sz w:val="1"/>
                <w:szCs w:val="1"/>
                <w:color w:val="auto"/>
              </w:rPr>
            </w:pPr>
          </w:p>
        </w:tc>
      </w:tr>
      <w:tr>
        <w:trPr>
          <w:trHeight w:val="121"/>
        </w:trPr>
        <w:tc>
          <w:tcPr>
            <w:tcW w:w="1120" w:type="dxa"/>
            <w:vAlign w:val="bottom"/>
          </w:tcPr>
          <w:p>
            <w:pPr>
              <w:jc w:val="right"/>
              <w:ind w:right="3"/>
              <w:spacing w:after="0"/>
              <w:rPr>
                <w:sz w:val="20"/>
                <w:szCs w:val="20"/>
                <w:color w:val="auto"/>
              </w:rPr>
            </w:pPr>
            <w:r>
              <w:rPr>
                <w:rFonts w:ascii="Arial" w:cs="Arial" w:eastAsia="Arial" w:hAnsi="Arial"/>
                <w:sz w:val="8"/>
                <w:szCs w:val="8"/>
                <w:color w:val="auto"/>
                <w:w w:val="95"/>
              </w:rPr>
              <w:t xml:space="preserve">SAFEs (as-converted) </w:t>
            </w:r>
            <w:r>
              <w:rPr>
                <w:rFonts w:ascii="Times New Roman" w:cs="Times New Roman" w:eastAsia="Times New Roman" w:hAnsi="Times New Roman"/>
                <w:sz w:val="8"/>
                <w:szCs w:val="8"/>
                <w:color w:val="B4B4B4"/>
                <w:w w:val="95"/>
              </w:rPr>
              <w:t>...............</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8"/>
                <w:szCs w:val="8"/>
                <w:color w:val="auto"/>
              </w:rPr>
              <w:t>7,858,204</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8"/>
                <w:szCs w:val="8"/>
                <w:color w:val="auto"/>
              </w:rPr>
              <w:t>7,858,204</w:t>
            </w:r>
          </w:p>
        </w:tc>
        <w:tc>
          <w:tcPr>
            <w:tcW w:w="0" w:type="dxa"/>
            <w:vAlign w:val="bottom"/>
          </w:tcPr>
          <w:p>
            <w:pPr>
              <w:spacing w:after="0"/>
              <w:rPr>
                <w:sz w:val="1"/>
                <w:szCs w:val="1"/>
                <w:color w:val="auto"/>
              </w:rPr>
            </w:pPr>
          </w:p>
        </w:tc>
      </w:tr>
      <w:tr>
        <w:trPr>
          <w:trHeight w:val="125"/>
        </w:trPr>
        <w:tc>
          <w:tcPr>
            <w:tcW w:w="1120" w:type="dxa"/>
            <w:vAlign w:val="bottom"/>
            <w:shd w:val="clear" w:color="auto" w:fill="CCEEFF"/>
          </w:tcPr>
          <w:p>
            <w:pPr>
              <w:ind w:left="40"/>
              <w:spacing w:after="0"/>
              <w:rPr>
                <w:sz w:val="20"/>
                <w:szCs w:val="20"/>
                <w:color w:val="auto"/>
              </w:rPr>
            </w:pPr>
            <w:r>
              <w:rPr>
                <w:rFonts w:ascii="Arial" w:cs="Arial" w:eastAsia="Arial" w:hAnsi="Arial"/>
                <w:sz w:val="8"/>
                <w:szCs w:val="8"/>
                <w:color w:val="auto"/>
              </w:rPr>
              <w:t>Stock Options as of July 31,</w:t>
            </w: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8"/>
                <w:szCs w:val="8"/>
                <w:color w:val="auto"/>
              </w:rPr>
              <w:t>41,581,733</w:t>
            </w: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8"/>
                <w:szCs w:val="8"/>
                <w:color w:val="auto"/>
              </w:rPr>
              <w:t>41,581,733</w:t>
            </w:r>
          </w:p>
        </w:tc>
        <w:tc>
          <w:tcPr>
            <w:tcW w:w="0" w:type="dxa"/>
            <w:vAlign w:val="bottom"/>
          </w:tcPr>
          <w:p>
            <w:pPr>
              <w:spacing w:after="0"/>
              <w:rPr>
                <w:sz w:val="1"/>
                <w:szCs w:val="1"/>
                <w:color w:val="auto"/>
              </w:rPr>
            </w:pPr>
          </w:p>
        </w:tc>
      </w:tr>
      <w:tr>
        <w:trPr>
          <w:trHeight w:val="95"/>
        </w:trPr>
        <w:tc>
          <w:tcPr>
            <w:tcW w:w="1120" w:type="dxa"/>
            <w:vAlign w:val="bottom"/>
            <w:shd w:val="clear" w:color="auto" w:fill="CCEEFF"/>
          </w:tcPr>
          <w:p>
            <w:pPr>
              <w:jc w:val="right"/>
              <w:ind w:right="3"/>
              <w:spacing w:after="0"/>
              <w:rPr>
                <w:sz w:val="20"/>
                <w:szCs w:val="20"/>
                <w:color w:val="auto"/>
              </w:rPr>
            </w:pPr>
            <w:r>
              <w:rPr>
                <w:rFonts w:ascii="Arial" w:cs="Arial" w:eastAsia="Arial" w:hAnsi="Arial"/>
                <w:sz w:val="8"/>
                <w:szCs w:val="8"/>
                <w:color w:val="auto"/>
              </w:rPr>
              <w:t>2025</w:t>
            </w:r>
            <w:r>
              <w:rPr>
                <w:rFonts w:ascii="Times New Roman" w:cs="Times New Roman" w:eastAsia="Times New Roman" w:hAnsi="Times New Roman"/>
                <w:sz w:val="8"/>
                <w:szCs w:val="8"/>
                <w:color w:val="B4B4B4"/>
              </w:rPr>
              <w:t>........................................</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52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120" w:type="dxa"/>
            <w:vAlign w:val="bottom"/>
          </w:tcPr>
          <w:p>
            <w:pPr>
              <w:jc w:val="right"/>
              <w:ind w:right="3"/>
              <w:spacing w:after="0"/>
              <w:rPr>
                <w:sz w:val="20"/>
                <w:szCs w:val="20"/>
                <w:color w:val="auto"/>
              </w:rPr>
            </w:pPr>
            <w:r>
              <w:rPr>
                <w:rFonts w:ascii="Arial" w:cs="Arial" w:eastAsia="Arial" w:hAnsi="Arial"/>
                <w:sz w:val="8"/>
                <w:szCs w:val="8"/>
                <w:color w:val="auto"/>
                <w:w w:val="94"/>
              </w:rPr>
              <w:t>RSUs</w:t>
            </w:r>
            <w:r>
              <w:rPr>
                <w:rFonts w:ascii="Arial" w:cs="Arial" w:eastAsia="Arial" w:hAnsi="Arial"/>
                <w:sz w:val="9"/>
                <w:szCs w:val="9"/>
                <w:color w:val="auto"/>
                <w:w w:val="94"/>
                <w:vertAlign w:val="superscript"/>
              </w:rPr>
              <w:t>(1)</w:t>
            </w:r>
            <w:r>
              <w:rPr>
                <w:rFonts w:ascii="Arial" w:cs="Arial" w:eastAsia="Arial" w:hAnsi="Arial"/>
                <w:sz w:val="8"/>
                <w:szCs w:val="8"/>
                <w:color w:val="auto"/>
                <w:w w:val="94"/>
              </w:rPr>
              <w:t xml:space="preserve"> </w:t>
            </w:r>
            <w:r>
              <w:rPr>
                <w:rFonts w:ascii="Times New Roman" w:cs="Times New Roman" w:eastAsia="Times New Roman" w:hAnsi="Times New Roman"/>
                <w:sz w:val="8"/>
                <w:szCs w:val="8"/>
                <w:color w:val="B4B4B4"/>
                <w:w w:val="94"/>
              </w:rPr>
              <w:t>.........................................</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8"/>
                <w:szCs w:val="8"/>
                <w:color w:val="auto"/>
              </w:rPr>
              <w:t>9,585,777</w:t>
            </w:r>
          </w:p>
        </w:tc>
        <w:tc>
          <w:tcPr>
            <w:tcW w:w="660" w:type="dxa"/>
            <w:vAlign w:val="bottom"/>
            <w:gridSpan w:val="2"/>
          </w:tcPr>
          <w:p>
            <w:pPr>
              <w:jc w:val="right"/>
              <w:ind w:right="180"/>
              <w:spacing w:after="0"/>
              <w:rPr>
                <w:sz w:val="20"/>
                <w:szCs w:val="20"/>
                <w:color w:val="auto"/>
              </w:rPr>
            </w:pPr>
            <w:r>
              <w:rPr>
                <w:rFonts w:ascii="Arial" w:cs="Arial" w:eastAsia="Arial" w:hAnsi="Arial"/>
                <w:sz w:val="8"/>
                <w:szCs w:val="8"/>
                <w:color w:val="auto"/>
              </w:rPr>
              <w:t>9,585,777</w:t>
            </w:r>
          </w:p>
        </w:tc>
        <w:tc>
          <w:tcPr>
            <w:tcW w:w="0" w:type="dxa"/>
            <w:vAlign w:val="bottom"/>
          </w:tcPr>
          <w:p>
            <w:pPr>
              <w:spacing w:after="0"/>
              <w:rPr>
                <w:sz w:val="1"/>
                <w:szCs w:val="1"/>
                <w:color w:val="auto"/>
              </w:rPr>
            </w:pPr>
          </w:p>
        </w:tc>
      </w:tr>
      <w:tr>
        <w:trPr>
          <w:trHeight w:val="152"/>
        </w:trPr>
        <w:tc>
          <w:tcPr>
            <w:tcW w:w="1120" w:type="dxa"/>
            <w:vAlign w:val="bottom"/>
            <w:shd w:val="clear" w:color="auto" w:fill="CCEEFF"/>
          </w:tcPr>
          <w:p>
            <w:pPr>
              <w:jc w:val="right"/>
              <w:ind w:right="3"/>
              <w:spacing w:after="0"/>
              <w:rPr>
                <w:sz w:val="20"/>
                <w:szCs w:val="20"/>
                <w:color w:val="auto"/>
              </w:rPr>
            </w:pPr>
            <w:r>
              <w:rPr>
                <w:rFonts w:ascii="Arial" w:cs="Arial" w:eastAsia="Arial" w:hAnsi="Arial"/>
                <w:sz w:val="8"/>
                <w:szCs w:val="8"/>
                <w:b w:val="1"/>
                <w:bCs w:val="1"/>
                <w:color w:val="auto"/>
                <w:w w:val="96"/>
              </w:rPr>
              <w:t xml:space="preserve">Total </w:t>
            </w:r>
            <w:r>
              <w:rPr>
                <w:rFonts w:ascii="Times New Roman" w:cs="Times New Roman" w:eastAsia="Times New Roman" w:hAnsi="Times New Roman"/>
                <w:sz w:val="8"/>
                <w:szCs w:val="8"/>
                <w:color w:val="B4B4B4"/>
                <w:w w:val="9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46,331,272</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146,589,046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1,216,284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526,748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12,836,457</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7,858,204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41,581,733</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b w:val="1"/>
                <w:bCs w:val="1"/>
                <w:color w:val="auto"/>
              </w:rPr>
              <w:t>9,585,777</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b w:val="1"/>
                <w:bCs w:val="1"/>
                <w:color w:val="auto"/>
              </w:rPr>
              <w:t>266,525,521</w:t>
            </w:r>
          </w:p>
        </w:tc>
        <w:tc>
          <w:tcPr>
            <w:tcW w:w="0" w:type="dxa"/>
            <w:vAlign w:val="bottom"/>
          </w:tcPr>
          <w:p>
            <w:pPr>
              <w:spacing w:after="0"/>
              <w:rPr>
                <w:sz w:val="1"/>
                <w:szCs w:val="1"/>
                <w:color w:val="auto"/>
              </w:rPr>
            </w:pPr>
          </w:p>
        </w:tc>
      </w:tr>
      <w:tr>
        <w:trPr>
          <w:trHeight w:val="68"/>
        </w:trPr>
        <w:tc>
          <w:tcPr>
            <w:tcW w:w="1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560"/>
        <w:spacing w:after="0"/>
        <w:rPr>
          <w:sz w:val="20"/>
          <w:szCs w:val="20"/>
          <w:color w:val="auto"/>
        </w:rPr>
      </w:pPr>
      <w:r>
        <w:rPr>
          <w:rFonts w:ascii="Arial" w:cs="Arial" w:eastAsia="Arial" w:hAnsi="Arial"/>
          <w:sz w:val="8"/>
          <w:szCs w:val="8"/>
          <w:b w:val="1"/>
          <w:bCs w:val="1"/>
          <w:color w:val="auto"/>
        </w:rPr>
        <w:t>Offering and Additional Pro</w:t>
      </w:r>
    </w:p>
    <w:p>
      <w:pPr>
        <w:ind w:left="1660"/>
        <w:spacing w:after="0"/>
        <w:rPr>
          <w:sz w:val="20"/>
          <w:szCs w:val="20"/>
          <w:color w:val="auto"/>
        </w:rPr>
      </w:pPr>
      <w:r>
        <w:rPr>
          <w:rFonts w:ascii="Arial" w:cs="Arial" w:eastAsia="Arial" w:hAnsi="Arial"/>
          <w:sz w:val="8"/>
          <w:szCs w:val="8"/>
          <w:b w:val="1"/>
          <w:bCs w:val="1"/>
          <w:color w:val="auto"/>
        </w:rPr>
        <w:t>Forma Adjustments</w:t>
      </w:r>
      <w:r>
        <w:rPr>
          <w:rFonts w:ascii="Arial" w:cs="Arial" w:eastAsia="Arial" w:hAnsi="Arial"/>
          <w:sz w:val="9"/>
          <w:szCs w:val="9"/>
          <w:b w:val="1"/>
          <w:bCs w:val="1"/>
          <w:color w:val="auto"/>
          <w:vertAlign w:val="superscript"/>
        </w:rPr>
        <w:t>(2)</w:t>
      </w:r>
      <w:r>
        <w:rPr>
          <w:rFonts w:ascii="Arial" w:cs="Arial" w:eastAsia="Arial" w:hAnsi="Arial"/>
          <w:sz w:val="8"/>
          <w:szCs w:val="8"/>
          <w:b w:val="1"/>
          <w:bCs w:val="1"/>
          <w:color w:val="auto"/>
        </w:rPr>
        <w:t xml:space="preserve"> </w:t>
      </w:r>
      <w:r>
        <w:rPr>
          <w:rFonts w:ascii="Times New Roman" w:cs="Times New Roman" w:eastAsia="Times New Roman" w:hAnsi="Times New Roman"/>
          <w:sz w:val="8"/>
          <w:szCs w:val="8"/>
          <w:b w:val="1"/>
          <w:bCs w:val="1"/>
          <w:color w:val="B4B4B4"/>
        </w:rPr>
        <w:t>........</w:t>
      </w:r>
    </w:p>
    <w:p>
      <w:pPr>
        <w:spacing w:after="0" w:line="28" w:lineRule="exact"/>
        <w:rPr>
          <w:sz w:val="20"/>
          <w:szCs w:val="20"/>
          <w:color w:val="auto"/>
        </w:rPr>
      </w:pPr>
    </w:p>
    <w:tbl>
      <w:tblPr>
        <w:tblLayout w:type="fixed"/>
        <w:tblInd w:w="1520" w:type="dxa"/>
        <w:tblCellMar>
          <w:top w:w="0" w:type="dxa"/>
          <w:left w:w="0" w:type="dxa"/>
          <w:bottom w:w="0" w:type="dxa"/>
          <w:right w:w="0" w:type="dxa"/>
        </w:tblCellMar>
      </w:tblPr>
      <w:tr>
        <w:trPr>
          <w:trHeight w:val="123"/>
        </w:trPr>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8"/>
                <w:szCs w:val="8"/>
                <w:color w:val="B4B4B4"/>
              </w:rPr>
              <w:t>..........</w:t>
            </w:r>
            <w:r>
              <w:rPr>
                <w:rFonts w:ascii="Arial" w:cs="Arial" w:eastAsia="Arial" w:hAnsi="Arial"/>
                <w:sz w:val="8"/>
                <w:szCs w:val="8"/>
                <w:color w:val="000000"/>
              </w:rPr>
              <w:t>CapitalStockConversion</w:t>
            </w:r>
          </w:p>
        </w:tc>
        <w:tc>
          <w:tcPr>
            <w:tcW w:w="480" w:type="dxa"/>
            <w:vAlign w:val="bottom"/>
          </w:tcPr>
          <w:p>
            <w:pPr>
              <w:jc w:val="right"/>
              <w:spacing w:after="0"/>
              <w:rPr>
                <w:sz w:val="20"/>
                <w:szCs w:val="20"/>
                <w:color w:val="auto"/>
              </w:rPr>
            </w:pPr>
            <w:r>
              <w:rPr>
                <w:rFonts w:ascii="Arial" w:cs="Arial" w:eastAsia="Arial" w:hAnsi="Arial"/>
                <w:sz w:val="8"/>
                <w:szCs w:val="8"/>
                <w:color w:val="auto"/>
                <w:w w:val="98"/>
              </w:rPr>
              <w:t>146,589,046</w:t>
            </w:r>
          </w:p>
        </w:tc>
        <w:tc>
          <w:tcPr>
            <w:tcW w:w="560" w:type="dxa"/>
            <w:vAlign w:val="bottom"/>
            <w:gridSpan w:val="2"/>
          </w:tcPr>
          <w:p>
            <w:pPr>
              <w:jc w:val="right"/>
              <w:spacing w:after="0"/>
              <w:rPr>
                <w:sz w:val="20"/>
                <w:szCs w:val="20"/>
                <w:color w:val="auto"/>
              </w:rPr>
            </w:pPr>
            <w:r>
              <w:rPr>
                <w:rFonts w:ascii="Arial" w:cs="Arial" w:eastAsia="Arial" w:hAnsi="Arial"/>
                <w:sz w:val="8"/>
                <w:szCs w:val="8"/>
                <w:color w:val="auto"/>
              </w:rPr>
              <w:t>(146,589,046)</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jc w:val="right"/>
              <w:ind w:right="142"/>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47"/>
        </w:trPr>
        <w:tc>
          <w:tcPr>
            <w:tcW w:w="840" w:type="dxa"/>
            <w:vAlign w:val="bottom"/>
            <w:shd w:val="clear" w:color="auto" w:fill="CCEEFF"/>
          </w:tcPr>
          <w:p>
            <w:pPr>
              <w:jc w:val="right"/>
              <w:spacing w:after="0"/>
              <w:rPr>
                <w:sz w:val="20"/>
                <w:szCs w:val="20"/>
                <w:color w:val="auto"/>
              </w:rPr>
            </w:pPr>
            <w:r>
              <w:rPr>
                <w:rFonts w:ascii="Arial" w:cs="Arial" w:eastAsia="Arial" w:hAnsi="Arial"/>
                <w:sz w:val="8"/>
                <w:szCs w:val="8"/>
                <w:color w:val="auto"/>
                <w:w w:val="97"/>
              </w:rPr>
              <w:t>SAFE Warrant Exercise</w:t>
            </w:r>
          </w:p>
        </w:tc>
        <w:tc>
          <w:tcPr>
            <w:tcW w:w="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8"/>
                <w:szCs w:val="8"/>
                <w:color w:val="B4B4B4"/>
                <w:w w:val="91"/>
              </w:rPr>
              <w:t>............</w:t>
            </w: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8"/>
                <w:szCs w:val="8"/>
                <w:color w:val="auto"/>
                <w:shd w:val="clear" w:color="auto" w:fill="CCEEFF"/>
              </w:rPr>
              <w:t>1,216,284</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(1,216,284)</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42"/>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36"/>
        </w:trPr>
        <w:tc>
          <w:tcPr>
            <w:tcW w:w="1120" w:type="dxa"/>
            <w:vAlign w:val="bottom"/>
            <w:gridSpan w:val="2"/>
          </w:tcPr>
          <w:p>
            <w:pPr>
              <w:jc w:val="right"/>
              <w:ind w:right="2"/>
              <w:spacing w:after="0"/>
              <w:rPr>
                <w:sz w:val="20"/>
                <w:szCs w:val="20"/>
                <w:color w:val="auto"/>
              </w:rPr>
            </w:pPr>
            <w:r>
              <w:rPr>
                <w:rFonts w:ascii="Arial" w:cs="Arial" w:eastAsia="Arial" w:hAnsi="Arial"/>
                <w:sz w:val="8"/>
                <w:szCs w:val="8"/>
                <w:color w:val="auto"/>
                <w:w w:val="96"/>
              </w:rPr>
              <w:t>Warrant Net Exercise</w:t>
            </w:r>
            <w:r>
              <w:rPr>
                <w:rFonts w:ascii="Times New Roman" w:cs="Times New Roman" w:eastAsia="Times New Roman" w:hAnsi="Times New Roman"/>
                <w:sz w:val="8"/>
                <w:szCs w:val="8"/>
                <w:color w:val="B4B4B4"/>
                <w:w w:val="96"/>
              </w:rPr>
              <w:t>.................</w:t>
            </w:r>
          </w:p>
        </w:tc>
        <w:tc>
          <w:tcPr>
            <w:tcW w:w="480" w:type="dxa"/>
            <w:vAlign w:val="bottom"/>
          </w:tcPr>
          <w:p>
            <w:pPr>
              <w:jc w:val="right"/>
              <w:ind w:right="2"/>
              <w:spacing w:after="0"/>
              <w:rPr>
                <w:sz w:val="20"/>
                <w:szCs w:val="20"/>
                <w:color w:val="auto"/>
              </w:rPr>
            </w:pPr>
            <w:r>
              <w:rPr>
                <w:rFonts w:ascii="Arial" w:cs="Arial" w:eastAsia="Arial" w:hAnsi="Arial"/>
                <w:sz w:val="8"/>
                <w:szCs w:val="8"/>
                <w:color w:val="auto"/>
              </w:rPr>
              <w:t>486,005</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8"/>
                <w:szCs w:val="8"/>
                <w:color w:val="auto"/>
              </w:rPr>
              <w:t>(486,588)</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jc w:val="right"/>
              <w:ind w:right="122"/>
              <w:spacing w:after="0"/>
              <w:rPr>
                <w:sz w:val="20"/>
                <w:szCs w:val="20"/>
                <w:color w:val="auto"/>
              </w:rPr>
            </w:pPr>
            <w:r>
              <w:rPr>
                <w:rFonts w:ascii="Arial" w:cs="Arial" w:eastAsia="Arial" w:hAnsi="Arial"/>
                <w:sz w:val="8"/>
                <w:szCs w:val="8"/>
                <w:color w:val="auto"/>
              </w:rPr>
              <w:t>(583)</w:t>
            </w:r>
          </w:p>
        </w:tc>
        <w:tc>
          <w:tcPr>
            <w:tcW w:w="0" w:type="dxa"/>
            <w:vAlign w:val="bottom"/>
          </w:tcPr>
          <w:p>
            <w:pPr>
              <w:spacing w:after="0"/>
              <w:rPr>
                <w:sz w:val="1"/>
                <w:szCs w:val="1"/>
                <w:color w:val="auto"/>
              </w:rPr>
            </w:pPr>
          </w:p>
        </w:tc>
      </w:tr>
      <w:tr>
        <w:trPr>
          <w:trHeight w:val="151"/>
        </w:trPr>
        <w:tc>
          <w:tcPr>
            <w:tcW w:w="1120" w:type="dxa"/>
            <w:vAlign w:val="bottom"/>
            <w:gridSpan w:val="2"/>
            <w:shd w:val="clear" w:color="auto" w:fill="CCEEFF"/>
          </w:tcPr>
          <w:p>
            <w:pPr>
              <w:jc w:val="right"/>
              <w:ind w:right="2"/>
              <w:spacing w:after="0"/>
              <w:rPr>
                <w:sz w:val="20"/>
                <w:szCs w:val="20"/>
                <w:color w:val="auto"/>
              </w:rPr>
            </w:pPr>
            <w:r>
              <w:rPr>
                <w:rFonts w:ascii="Arial" w:cs="Arial" w:eastAsia="Arial" w:hAnsi="Arial"/>
                <w:sz w:val="8"/>
                <w:szCs w:val="8"/>
                <w:color w:val="auto"/>
                <w:w w:val="96"/>
              </w:rPr>
              <w:t>Note Conversion</w:t>
            </w:r>
            <w:r>
              <w:rPr>
                <w:rFonts w:ascii="Times New Roman" w:cs="Times New Roman" w:eastAsia="Times New Roman" w:hAnsi="Times New Roman"/>
                <w:sz w:val="8"/>
                <w:szCs w:val="8"/>
                <w:color w:val="B4B4B4"/>
                <w:w w:val="9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12,836,457</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(12,836,457)</w:t>
            </w: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42"/>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36"/>
        </w:trPr>
        <w:tc>
          <w:tcPr>
            <w:tcW w:w="1120" w:type="dxa"/>
            <w:vAlign w:val="bottom"/>
            <w:gridSpan w:val="2"/>
          </w:tcPr>
          <w:p>
            <w:pPr>
              <w:jc w:val="right"/>
              <w:ind w:right="2"/>
              <w:spacing w:after="0"/>
              <w:rPr>
                <w:sz w:val="20"/>
                <w:szCs w:val="20"/>
                <w:color w:val="auto"/>
              </w:rPr>
            </w:pPr>
            <w:r>
              <w:rPr>
                <w:rFonts w:ascii="Arial" w:cs="Arial" w:eastAsia="Arial" w:hAnsi="Arial"/>
                <w:sz w:val="8"/>
                <w:szCs w:val="8"/>
                <w:color w:val="auto"/>
                <w:w w:val="96"/>
              </w:rPr>
              <w:t>SAFE Conversion</w:t>
            </w:r>
            <w:r>
              <w:rPr>
                <w:rFonts w:ascii="Times New Roman" w:cs="Times New Roman" w:eastAsia="Times New Roman" w:hAnsi="Times New Roman"/>
                <w:sz w:val="8"/>
                <w:szCs w:val="8"/>
                <w:color w:val="B4B4B4"/>
                <w:w w:val="96"/>
              </w:rPr>
              <w:t>.......................</w:t>
            </w:r>
          </w:p>
        </w:tc>
        <w:tc>
          <w:tcPr>
            <w:tcW w:w="480" w:type="dxa"/>
            <w:vAlign w:val="bottom"/>
          </w:tcPr>
          <w:p>
            <w:pPr>
              <w:jc w:val="right"/>
              <w:ind w:right="2"/>
              <w:spacing w:after="0"/>
              <w:rPr>
                <w:sz w:val="20"/>
                <w:szCs w:val="20"/>
                <w:color w:val="auto"/>
              </w:rPr>
            </w:pPr>
            <w:r>
              <w:rPr>
                <w:rFonts w:ascii="Arial" w:cs="Arial" w:eastAsia="Arial" w:hAnsi="Arial"/>
                <w:sz w:val="8"/>
                <w:szCs w:val="8"/>
                <w:color w:val="auto"/>
              </w:rPr>
              <w:t>7,858,204</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Arial" w:cs="Arial" w:eastAsia="Arial" w:hAnsi="Arial"/>
                <w:sz w:val="8"/>
                <w:szCs w:val="8"/>
                <w:color w:val="auto"/>
              </w:rPr>
              <w:t>(7,858,204)</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ind w:right="142"/>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51"/>
        </w:trPr>
        <w:tc>
          <w:tcPr>
            <w:tcW w:w="1120" w:type="dxa"/>
            <w:vAlign w:val="bottom"/>
            <w:gridSpan w:val="2"/>
            <w:shd w:val="clear" w:color="auto" w:fill="CCEEFF"/>
          </w:tcPr>
          <w:p>
            <w:pPr>
              <w:jc w:val="right"/>
              <w:ind w:right="2"/>
              <w:spacing w:after="0"/>
              <w:rPr>
                <w:sz w:val="20"/>
                <w:szCs w:val="20"/>
                <w:color w:val="auto"/>
              </w:rPr>
            </w:pPr>
            <w:r>
              <w:rPr>
                <w:rFonts w:ascii="Arial" w:cs="Arial" w:eastAsia="Arial" w:hAnsi="Arial"/>
                <w:sz w:val="8"/>
                <w:szCs w:val="8"/>
                <w:color w:val="auto"/>
                <w:w w:val="96"/>
              </w:rPr>
              <w:t>Option Cash Exercise</w:t>
            </w:r>
            <w:r>
              <w:rPr>
                <w:rFonts w:ascii="Times New Roman" w:cs="Times New Roman" w:eastAsia="Times New Roman" w:hAnsi="Times New Roman"/>
                <w:sz w:val="8"/>
                <w:szCs w:val="8"/>
                <w:color w:val="B4B4B4"/>
                <w:w w:val="96"/>
              </w:rPr>
              <w:t>................</w:t>
            </w: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8"/>
                <w:szCs w:val="8"/>
                <w:color w:val="auto"/>
              </w:rPr>
              <w:t>1,975,677</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8"/>
                <w:szCs w:val="8"/>
                <w:color w:val="auto"/>
              </w:rPr>
              <w:t>(1,975,677)</w:t>
            </w: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42"/>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44"/>
        </w:trPr>
        <w:tc>
          <w:tcPr>
            <w:tcW w:w="1120" w:type="dxa"/>
            <w:vAlign w:val="bottom"/>
            <w:gridSpan w:val="2"/>
          </w:tcPr>
          <w:p>
            <w:pPr>
              <w:jc w:val="right"/>
              <w:ind w:right="2"/>
              <w:spacing w:after="0"/>
              <w:rPr>
                <w:sz w:val="20"/>
                <w:szCs w:val="20"/>
                <w:color w:val="auto"/>
              </w:rPr>
            </w:pPr>
            <w:r>
              <w:rPr>
                <w:rFonts w:ascii="Arial" w:cs="Arial" w:eastAsia="Arial" w:hAnsi="Arial"/>
                <w:sz w:val="8"/>
                <w:szCs w:val="8"/>
                <w:color w:val="auto"/>
                <w:w w:val="96"/>
              </w:rPr>
              <w:t>RSU Net Settlement</w:t>
            </w:r>
            <w:r>
              <w:rPr>
                <w:rFonts w:ascii="Times New Roman" w:cs="Times New Roman" w:eastAsia="Times New Roman" w:hAnsi="Times New Roman"/>
                <w:sz w:val="8"/>
                <w:szCs w:val="8"/>
                <w:color w:val="B4B4B4"/>
                <w:w w:val="96"/>
              </w:rPr>
              <w:t>...................</w:t>
            </w:r>
          </w:p>
        </w:tc>
        <w:tc>
          <w:tcPr>
            <w:tcW w:w="480" w:type="dxa"/>
            <w:vAlign w:val="bottom"/>
          </w:tcPr>
          <w:p>
            <w:pPr>
              <w:jc w:val="right"/>
              <w:ind w:right="2"/>
              <w:spacing w:after="0"/>
              <w:rPr>
                <w:sz w:val="20"/>
                <w:szCs w:val="20"/>
                <w:color w:val="auto"/>
              </w:rPr>
            </w:pPr>
            <w:r>
              <w:rPr>
                <w:rFonts w:ascii="Arial" w:cs="Arial" w:eastAsia="Arial" w:hAnsi="Arial"/>
                <w:sz w:val="8"/>
                <w:szCs w:val="8"/>
                <w:color w:val="auto"/>
              </w:rPr>
              <w:t>948,970</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8"/>
                <w:szCs w:val="8"/>
                <w:color w:val="auto"/>
              </w:rPr>
              <w:t>(1,643,577)</w:t>
            </w:r>
          </w:p>
        </w:tc>
        <w:tc>
          <w:tcPr>
            <w:tcW w:w="660" w:type="dxa"/>
            <w:vAlign w:val="bottom"/>
            <w:gridSpan w:val="2"/>
          </w:tcPr>
          <w:p>
            <w:pPr>
              <w:jc w:val="right"/>
              <w:ind w:right="22"/>
              <w:spacing w:after="0"/>
              <w:rPr>
                <w:sz w:val="20"/>
                <w:szCs w:val="20"/>
                <w:color w:val="auto"/>
              </w:rPr>
            </w:pPr>
            <w:r>
              <w:rPr>
                <w:rFonts w:ascii="Arial" w:cs="Arial" w:eastAsia="Arial" w:hAnsi="Arial"/>
                <w:sz w:val="8"/>
                <w:szCs w:val="8"/>
                <w:color w:val="auto"/>
              </w:rPr>
              <w:t xml:space="preserve">(694,607) </w:t>
            </w:r>
            <w:r>
              <w:rPr>
                <w:rFonts w:ascii="Arial" w:cs="Arial" w:eastAsia="Arial" w:hAnsi="Arial"/>
                <w:sz w:val="9"/>
                <w:szCs w:val="9"/>
                <w:color w:val="auto"/>
                <w:vertAlign w:val="superscript"/>
              </w:rPr>
              <w:t>(3)</w:t>
            </w:r>
          </w:p>
        </w:tc>
        <w:tc>
          <w:tcPr>
            <w:tcW w:w="0" w:type="dxa"/>
            <w:vAlign w:val="bottom"/>
          </w:tcPr>
          <w:p>
            <w:pPr>
              <w:spacing w:after="0"/>
              <w:rPr>
                <w:sz w:val="1"/>
                <w:szCs w:val="1"/>
                <w:color w:val="auto"/>
              </w:rPr>
            </w:pPr>
          </w:p>
        </w:tc>
      </w:tr>
      <w:tr>
        <w:trPr>
          <w:trHeight w:val="106"/>
        </w:trPr>
        <w:tc>
          <w:tcPr>
            <w:tcW w:w="1120" w:type="dxa"/>
            <w:vAlign w:val="bottom"/>
            <w:gridSpan w:val="2"/>
            <w:shd w:val="clear" w:color="auto" w:fill="CCEEFF"/>
          </w:tcPr>
          <w:p>
            <w:pPr>
              <w:jc w:val="right"/>
              <w:ind w:right="242"/>
              <w:spacing w:after="0"/>
              <w:rPr>
                <w:sz w:val="20"/>
                <w:szCs w:val="20"/>
                <w:color w:val="auto"/>
              </w:rPr>
            </w:pPr>
            <w:r>
              <w:rPr>
                <w:rFonts w:ascii="Arial" w:cs="Arial" w:eastAsia="Arial" w:hAnsi="Arial"/>
                <w:sz w:val="8"/>
                <w:szCs w:val="8"/>
                <w:color w:val="auto"/>
                <w:w w:val="97"/>
              </w:rPr>
              <w:t>Class A Common Stock</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30,000,000</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2"/>
              <w:spacing w:after="0"/>
              <w:rPr>
                <w:sz w:val="20"/>
                <w:szCs w:val="20"/>
                <w:color w:val="auto"/>
              </w:rPr>
            </w:pPr>
            <w:r>
              <w:rPr>
                <w:rFonts w:ascii="Arial" w:cs="Arial" w:eastAsia="Arial" w:hAnsi="Arial"/>
                <w:sz w:val="8"/>
                <w:szCs w:val="8"/>
                <w:color w:val="auto"/>
              </w:rPr>
              <w:t>30,000,000</w:t>
            </w:r>
          </w:p>
        </w:tc>
        <w:tc>
          <w:tcPr>
            <w:tcW w:w="0" w:type="dxa"/>
            <w:vAlign w:val="bottom"/>
          </w:tcPr>
          <w:p>
            <w:pPr>
              <w:spacing w:after="0"/>
              <w:rPr>
                <w:sz w:val="1"/>
                <w:szCs w:val="1"/>
                <w:color w:val="auto"/>
              </w:rPr>
            </w:pPr>
          </w:p>
        </w:tc>
      </w:tr>
      <w:tr>
        <w:trPr>
          <w:trHeight w:val="114"/>
        </w:trPr>
        <w:tc>
          <w:tcPr>
            <w:tcW w:w="1600" w:type="dxa"/>
            <w:vAlign w:val="bottom"/>
            <w:gridSpan w:val="3"/>
            <w:shd w:val="clear" w:color="auto" w:fill="CCEEFF"/>
          </w:tcPr>
          <w:p>
            <w:pPr>
              <w:jc w:val="right"/>
              <w:ind w:right="482"/>
              <w:spacing w:after="0"/>
              <w:rPr>
                <w:sz w:val="20"/>
                <w:szCs w:val="20"/>
                <w:color w:val="auto"/>
              </w:rPr>
            </w:pPr>
            <w:r>
              <w:rPr>
                <w:rFonts w:ascii="Arial" w:cs="Arial" w:eastAsia="Arial" w:hAnsi="Arial"/>
                <w:sz w:val="8"/>
                <w:szCs w:val="8"/>
                <w:color w:val="auto"/>
              </w:rPr>
              <w:t xml:space="preserve">offered by us </w:t>
            </w:r>
            <w:r>
              <w:rPr>
                <w:rFonts w:ascii="Times New Roman" w:cs="Times New Roman" w:eastAsia="Times New Roman" w:hAnsi="Times New Roman"/>
                <w:sz w:val="8"/>
                <w:szCs w:val="8"/>
                <w:color w:val="B4B4B4"/>
              </w:rPr>
              <w:t>.........................</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120" w:type="dxa"/>
            <w:vAlign w:val="bottom"/>
            <w:gridSpan w:val="2"/>
          </w:tcPr>
          <w:p>
            <w:pPr>
              <w:jc w:val="right"/>
              <w:ind w:right="2"/>
              <w:spacing w:after="0"/>
              <w:rPr>
                <w:sz w:val="20"/>
                <w:szCs w:val="20"/>
                <w:color w:val="auto"/>
              </w:rPr>
            </w:pPr>
            <w:r>
              <w:rPr>
                <w:rFonts w:ascii="Arial" w:cs="Arial" w:eastAsia="Arial" w:hAnsi="Arial"/>
                <w:sz w:val="8"/>
                <w:szCs w:val="8"/>
                <w:b w:val="1"/>
                <w:bCs w:val="1"/>
                <w:color w:val="auto"/>
                <w:w w:val="96"/>
              </w:rPr>
              <w:t xml:space="preserve">Total </w:t>
            </w:r>
            <w:r>
              <w:rPr>
                <w:rFonts w:ascii="Times New Roman" w:cs="Times New Roman" w:eastAsia="Times New Roman" w:hAnsi="Times New Roman"/>
                <w:sz w:val="8"/>
                <w:szCs w:val="8"/>
                <w:color w:val="B4B4B4"/>
                <w:w w:val="96"/>
              </w:rPr>
              <w:t>............................................</w:t>
            </w:r>
          </w:p>
        </w:tc>
        <w:tc>
          <w:tcPr>
            <w:tcW w:w="480" w:type="dxa"/>
            <w:vAlign w:val="bottom"/>
          </w:tcPr>
          <w:p>
            <w:pPr>
              <w:jc w:val="right"/>
              <w:spacing w:after="0"/>
              <w:rPr>
                <w:sz w:val="20"/>
                <w:szCs w:val="20"/>
                <w:color w:val="auto"/>
              </w:rPr>
            </w:pPr>
            <w:r>
              <w:rPr>
                <w:rFonts w:ascii="Arial" w:cs="Arial" w:eastAsia="Arial" w:hAnsi="Arial"/>
                <w:sz w:val="8"/>
                <w:szCs w:val="8"/>
                <w:b w:val="1"/>
                <w:bCs w:val="1"/>
                <w:color w:val="auto"/>
                <w:w w:val="98"/>
              </w:rPr>
              <w:t>248,241,915</w:t>
            </w:r>
          </w:p>
        </w:tc>
        <w:tc>
          <w:tcPr>
            <w:tcW w:w="40" w:type="dxa"/>
            <w:vAlign w:val="bottom"/>
          </w:tcPr>
          <w:p>
            <w:pPr>
              <w:spacing w:after="0"/>
              <w:rPr>
                <w:sz w:val="12"/>
                <w:szCs w:val="12"/>
                <w:color w:val="auto"/>
              </w:rPr>
            </w:pPr>
          </w:p>
        </w:tc>
        <w:tc>
          <w:tcPr>
            <w:tcW w:w="520" w:type="dxa"/>
            <w:vAlign w:val="bottom"/>
          </w:tcPr>
          <w:p>
            <w:pPr>
              <w:jc w:val="right"/>
              <w:ind w:right="2"/>
              <w:spacing w:after="0"/>
              <w:rPr>
                <w:sz w:val="20"/>
                <w:szCs w:val="20"/>
                <w:color w:val="auto"/>
              </w:rPr>
            </w:pPr>
            <w:r>
              <w:rPr>
                <w:rFonts w:ascii="Arial" w:cs="Arial" w:eastAsia="Arial" w:hAnsi="Arial"/>
                <w:sz w:val="8"/>
                <w:szCs w:val="8"/>
                <w:b w:val="1"/>
                <w:bCs w:val="1"/>
                <w:color w:val="auto"/>
              </w:rPr>
              <w:t>—</w:t>
            </w:r>
          </w:p>
        </w:tc>
        <w:tc>
          <w:tcPr>
            <w:tcW w:w="40" w:type="dxa"/>
            <w:vAlign w:val="bottom"/>
          </w:tcPr>
          <w:p>
            <w:pPr>
              <w:spacing w:after="0"/>
              <w:rPr>
                <w:sz w:val="12"/>
                <w:szCs w:val="12"/>
                <w:color w:val="auto"/>
              </w:rPr>
            </w:pPr>
          </w:p>
        </w:tc>
        <w:tc>
          <w:tcPr>
            <w:tcW w:w="480" w:type="dxa"/>
            <w:vAlign w:val="bottom"/>
          </w:tcPr>
          <w:p>
            <w:pPr>
              <w:jc w:val="right"/>
              <w:ind w:right="2"/>
              <w:spacing w:after="0"/>
              <w:rPr>
                <w:sz w:val="20"/>
                <w:szCs w:val="20"/>
                <w:color w:val="auto"/>
              </w:rPr>
            </w:pPr>
            <w:r>
              <w:rPr>
                <w:rFonts w:ascii="Arial" w:cs="Arial" w:eastAsia="Arial" w:hAnsi="Arial"/>
                <w:sz w:val="8"/>
                <w:szCs w:val="8"/>
                <w:b w:val="1"/>
                <w:bCs w:val="1"/>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8"/>
                <w:szCs w:val="8"/>
                <w:b w:val="1"/>
                <w:bCs w:val="1"/>
                <w:color w:val="auto"/>
              </w:rPr>
              <w:t>40,160</w:t>
            </w:r>
          </w:p>
        </w:tc>
        <w:tc>
          <w:tcPr>
            <w:tcW w:w="40" w:type="dxa"/>
            <w:vAlign w:val="bottom"/>
          </w:tcPr>
          <w:p>
            <w:pPr>
              <w:spacing w:after="0"/>
              <w:rPr>
                <w:sz w:val="12"/>
                <w:szCs w:val="12"/>
                <w:color w:val="auto"/>
              </w:rPr>
            </w:pPr>
          </w:p>
        </w:tc>
        <w:tc>
          <w:tcPr>
            <w:tcW w:w="500" w:type="dxa"/>
            <w:vAlign w:val="bottom"/>
          </w:tcPr>
          <w:p>
            <w:pPr>
              <w:jc w:val="right"/>
              <w:ind w:right="2"/>
              <w:spacing w:after="0"/>
              <w:rPr>
                <w:sz w:val="20"/>
                <w:szCs w:val="20"/>
                <w:color w:val="auto"/>
              </w:rPr>
            </w:pPr>
            <w:r>
              <w:rPr>
                <w:rFonts w:ascii="Arial" w:cs="Arial" w:eastAsia="Arial" w:hAnsi="Arial"/>
                <w:sz w:val="8"/>
                <w:szCs w:val="8"/>
                <w:b w:val="1"/>
                <w:bCs w:val="1"/>
                <w:color w:val="auto"/>
              </w:rPr>
              <w:t>—</w:t>
            </w:r>
          </w:p>
        </w:tc>
        <w:tc>
          <w:tcPr>
            <w:tcW w:w="40" w:type="dxa"/>
            <w:vAlign w:val="bottom"/>
          </w:tcPr>
          <w:p>
            <w:pPr>
              <w:spacing w:after="0"/>
              <w:rPr>
                <w:sz w:val="12"/>
                <w:szCs w:val="12"/>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8"/>
                <w:szCs w:val="8"/>
                <w:b w:val="1"/>
                <w:bCs w:val="1"/>
                <w:color w:val="auto"/>
              </w:rPr>
              <w:t>—    39,606,056</w:t>
            </w:r>
          </w:p>
        </w:tc>
        <w:tc>
          <w:tcPr>
            <w:tcW w:w="54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rPr>
              <w:t>7,942,200</w:t>
            </w:r>
          </w:p>
        </w:tc>
        <w:tc>
          <w:tcPr>
            <w:tcW w:w="660" w:type="dxa"/>
            <w:vAlign w:val="bottom"/>
            <w:gridSpan w:val="2"/>
          </w:tcPr>
          <w:p>
            <w:pPr>
              <w:jc w:val="right"/>
              <w:ind w:right="142"/>
              <w:spacing w:after="0"/>
              <w:rPr>
                <w:sz w:val="20"/>
                <w:szCs w:val="20"/>
                <w:color w:val="auto"/>
              </w:rPr>
            </w:pPr>
            <w:r>
              <w:rPr>
                <w:rFonts w:ascii="Arial" w:cs="Arial" w:eastAsia="Arial" w:hAnsi="Arial"/>
                <w:sz w:val="8"/>
                <w:szCs w:val="8"/>
                <w:b w:val="1"/>
                <w:bCs w:val="1"/>
                <w:color w:val="auto"/>
              </w:rPr>
              <w:t>295,830,331</w:t>
            </w:r>
          </w:p>
        </w:tc>
        <w:tc>
          <w:tcPr>
            <w:tcW w:w="0" w:type="dxa"/>
            <w:vAlign w:val="bottom"/>
          </w:tcPr>
          <w:p>
            <w:pPr>
              <w:spacing w:after="0"/>
              <w:rPr>
                <w:sz w:val="1"/>
                <w:szCs w:val="1"/>
                <w:color w:val="auto"/>
              </w:rPr>
            </w:pPr>
          </w:p>
        </w:tc>
      </w:tr>
      <w:tr>
        <w:trPr>
          <w:trHeight w:val="150"/>
        </w:trPr>
        <w:tc>
          <w:tcPr>
            <w:tcW w:w="1120" w:type="dxa"/>
            <w:vAlign w:val="bottom"/>
            <w:gridSpan w:val="2"/>
          </w:tcPr>
          <w:p>
            <w:pPr>
              <w:jc w:val="right"/>
              <w:ind w:right="122"/>
              <w:spacing w:after="0"/>
              <w:rPr>
                <w:sz w:val="20"/>
                <w:szCs w:val="20"/>
                <w:color w:val="auto"/>
              </w:rPr>
            </w:pPr>
            <w:r>
              <w:rPr>
                <w:rFonts w:ascii="Arial" w:cs="Arial" w:eastAsia="Arial" w:hAnsi="Arial"/>
                <w:sz w:val="11"/>
                <w:szCs w:val="11"/>
                <w:color w:val="auto"/>
              </w:rPr>
              <w:t>_______________</w:t>
            </w:r>
          </w:p>
        </w:tc>
        <w:tc>
          <w:tcPr>
            <w:tcW w:w="4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ind w:left="1760" w:right="1620" w:hanging="238"/>
        <w:spacing w:after="0" w:line="186" w:lineRule="auto"/>
        <w:tabs>
          <w:tab w:leader="none" w:pos="1760" w:val="left"/>
        </w:tabs>
        <w:numPr>
          <w:ilvl w:val="0"/>
          <w:numId w:val="28"/>
        </w:numPr>
        <w:rPr>
          <w:rFonts w:ascii="Arial" w:cs="Arial" w:eastAsia="Arial" w:hAnsi="Arial"/>
          <w:sz w:val="9"/>
          <w:szCs w:val="9"/>
          <w:color w:val="auto"/>
        </w:rPr>
      </w:pPr>
      <w:r>
        <w:rPr>
          <w:rFonts w:ascii="Arial" w:cs="Arial" w:eastAsia="Arial" w:hAnsi="Arial"/>
          <w:sz w:val="9"/>
          <w:szCs w:val="9"/>
          <w:color w:val="auto"/>
        </w:rPr>
        <w:t>Represents the sum of (i) 1,643,577</w:t>
      </w:r>
      <w:r>
        <w:rPr>
          <w:rFonts w:ascii="Arial" w:cs="Arial" w:eastAsia="Arial" w:hAnsi="Arial"/>
          <w:sz w:val="15"/>
          <w:szCs w:val="15"/>
          <w:color w:val="auto"/>
          <w:vertAlign w:val="subscript"/>
        </w:rPr>
        <w:t>s</w:t>
      </w:r>
      <w:r>
        <w:rPr>
          <w:rFonts w:ascii="Arial" w:cs="Arial" w:eastAsia="Arial" w:hAnsi="Arial"/>
          <w:sz w:val="9"/>
          <w:szCs w:val="9"/>
          <w:color w:val="auto"/>
        </w:rPr>
        <w:t>IPO Vesting RSUs, which consist of RSUs outstanding as of the date of thi prospectus for which the service-based condition was satisfied as of such date and for which the performance</w:t>
      </w:r>
    </w:p>
    <w:p>
      <w:pPr>
        <w:ind w:left="1760"/>
        <w:spacing w:after="0" w:line="199" w:lineRule="auto"/>
        <w:rPr>
          <w:rFonts w:ascii="Arial" w:cs="Arial" w:eastAsia="Arial" w:hAnsi="Arial"/>
          <w:sz w:val="9"/>
          <w:szCs w:val="9"/>
          <w:color w:val="auto"/>
        </w:rPr>
      </w:pPr>
      <w:r>
        <w:rPr>
          <w:rFonts w:ascii="Arial" w:cs="Arial" w:eastAsia="Arial" w:hAnsi="Arial"/>
          <w:sz w:val="6"/>
          <w:szCs w:val="6"/>
          <w:color w:val="auto"/>
        </w:rPr>
        <w:t>-</w:t>
      </w:r>
    </w:p>
    <w:p>
      <w:pPr>
        <w:ind w:left="1760" w:right="1780"/>
        <w:spacing w:after="0" w:line="208" w:lineRule="auto"/>
        <w:rPr>
          <w:rFonts w:ascii="Arial" w:cs="Arial" w:eastAsia="Arial" w:hAnsi="Arial"/>
          <w:sz w:val="9"/>
          <w:szCs w:val="9"/>
          <w:color w:val="auto"/>
        </w:rPr>
      </w:pPr>
      <w:r>
        <w:rPr>
          <w:rFonts w:ascii="Arial" w:cs="Arial" w:eastAsia="Arial" w:hAnsi="Arial"/>
          <w:sz w:val="11"/>
          <w:szCs w:val="11"/>
          <w:color w:val="auto"/>
        </w:rPr>
        <w:t>based condition will be satisfied upon the effectiveness of the registration statement of which this prospectus forms a part, and including RSUs that will be part of the RSU Net Settlement, and (ii 7,942,200 RSUs</w:t>
      </w:r>
    </w:p>
    <w:p>
      <w:pPr>
        <w:ind w:left="1760"/>
        <w:spacing w:after="0" w:line="199" w:lineRule="auto"/>
        <w:rPr>
          <w:rFonts w:ascii="Arial" w:cs="Arial" w:eastAsia="Arial" w:hAnsi="Arial"/>
          <w:sz w:val="9"/>
          <w:szCs w:val="9"/>
          <w:color w:val="auto"/>
        </w:rPr>
      </w:pPr>
      <w:r>
        <w:rPr>
          <w:rFonts w:ascii="Arial" w:cs="Arial" w:eastAsia="Arial" w:hAnsi="Arial"/>
          <w:sz w:val="6"/>
          <w:szCs w:val="6"/>
          <w:color w:val="auto"/>
        </w:rPr>
        <w:t>)</w:t>
      </w:r>
    </w:p>
    <w:p>
      <w:pPr>
        <w:ind w:left="1760" w:right="1700"/>
        <w:spacing w:after="0"/>
        <w:rPr>
          <w:rFonts w:ascii="Arial" w:cs="Arial" w:eastAsia="Arial" w:hAnsi="Arial"/>
          <w:sz w:val="9"/>
          <w:szCs w:val="9"/>
          <w:color w:val="auto"/>
        </w:rPr>
      </w:pPr>
      <w:r>
        <w:rPr>
          <w:rFonts w:ascii="Arial" w:cs="Arial" w:eastAsia="Arial" w:hAnsi="Arial"/>
          <w:sz w:val="11"/>
          <w:szCs w:val="11"/>
          <w:color w:val="auto"/>
        </w:rPr>
        <w:t>outstanding as of the date of this prospectus, for which the service-based condition was not satisfied as of suc h</w:t>
      </w:r>
    </w:p>
    <w:p>
      <w:pPr>
        <w:spacing w:after="0" w:line="17" w:lineRule="exact"/>
        <w:rPr>
          <w:rFonts w:ascii="Arial" w:cs="Arial" w:eastAsia="Arial" w:hAnsi="Arial"/>
          <w:sz w:val="9"/>
          <w:szCs w:val="9"/>
          <w:color w:val="auto"/>
        </w:rPr>
      </w:pPr>
    </w:p>
    <w:p>
      <w:pPr>
        <w:ind w:left="1760" w:right="1660"/>
        <w:spacing w:after="0" w:line="199" w:lineRule="auto"/>
        <w:rPr>
          <w:rFonts w:ascii="Arial" w:cs="Arial" w:eastAsia="Arial" w:hAnsi="Arial"/>
          <w:sz w:val="9"/>
          <w:szCs w:val="9"/>
          <w:color w:val="auto"/>
        </w:rPr>
      </w:pPr>
      <w:r>
        <w:rPr>
          <w:rFonts w:ascii="Arial" w:cs="Arial" w:eastAsia="Arial" w:hAnsi="Arial"/>
          <w:sz w:val="11"/>
          <w:szCs w:val="11"/>
          <w:color w:val="auto"/>
        </w:rPr>
        <w:t>date but for which the performance-based condition, if applicable, will be satisfied upon the effectiveness of the registration statement of which this prospectus forms a part</w:t>
      </w:r>
    </w:p>
    <w:p>
      <w:pPr>
        <w:ind w:left="1760"/>
        <w:spacing w:after="0" w:line="199" w:lineRule="auto"/>
        <w:rPr>
          <w:rFonts w:ascii="Arial" w:cs="Arial" w:eastAsia="Arial" w:hAnsi="Arial"/>
          <w:sz w:val="9"/>
          <w:szCs w:val="9"/>
          <w:color w:val="auto"/>
        </w:rPr>
      </w:pPr>
      <w:r>
        <w:rPr>
          <w:rFonts w:ascii="Arial" w:cs="Arial" w:eastAsia="Arial" w:hAnsi="Arial"/>
          <w:sz w:val="6"/>
          <w:szCs w:val="6"/>
          <w:color w:val="auto"/>
        </w:rPr>
        <w:t>.</w:t>
      </w:r>
    </w:p>
    <w:p>
      <w:pPr>
        <w:ind w:left="1760" w:right="1700" w:hanging="238"/>
        <w:spacing w:after="0"/>
        <w:tabs>
          <w:tab w:leader="none" w:pos="17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The number of shares of Class A common stock issuable in connection with the Capital Stock Co version, the n</w:t>
      </w:r>
    </w:p>
    <w:p>
      <w:pPr>
        <w:spacing w:after="0" w:line="17" w:lineRule="exact"/>
        <w:rPr>
          <w:rFonts w:ascii="Arial" w:cs="Arial" w:eastAsia="Arial" w:hAnsi="Arial"/>
          <w:sz w:val="11"/>
          <w:szCs w:val="11"/>
          <w:color w:val="auto"/>
        </w:rPr>
      </w:pPr>
    </w:p>
    <w:p>
      <w:pPr>
        <w:ind w:left="1760" w:right="1600"/>
        <w:spacing w:after="0"/>
        <w:rPr>
          <w:rFonts w:ascii="Arial" w:cs="Arial" w:eastAsia="Arial" w:hAnsi="Arial"/>
          <w:sz w:val="11"/>
          <w:szCs w:val="11"/>
          <w:color w:val="auto"/>
        </w:rPr>
      </w:pPr>
      <w:r>
        <w:rPr>
          <w:rFonts w:ascii="Arial" w:cs="Arial" w:eastAsia="Arial" w:hAnsi="Arial"/>
          <w:sz w:val="11"/>
          <w:szCs w:val="11"/>
          <w:color w:val="auto"/>
        </w:rPr>
        <w:t>SAFE Warrant Exercise (and related Warrant Determination), the Note Conversion, and the SAFE Conversion will fluctuate depending on, among other things, the actual initial public offering price determined at pricing of thi s</w:t>
      </w:r>
    </w:p>
    <w:p>
      <w:pPr>
        <w:spacing w:after="0" w:line="24" w:lineRule="exact"/>
        <w:rPr>
          <w:rFonts w:ascii="Arial" w:cs="Arial" w:eastAsia="Arial" w:hAnsi="Arial"/>
          <w:sz w:val="11"/>
          <w:szCs w:val="11"/>
          <w:color w:val="auto"/>
        </w:rPr>
      </w:pPr>
    </w:p>
    <w:p>
      <w:pPr>
        <w:ind w:left="1760"/>
        <w:spacing w:after="0" w:line="199" w:lineRule="auto"/>
        <w:rPr>
          <w:rFonts w:ascii="Arial" w:cs="Arial" w:eastAsia="Arial" w:hAnsi="Arial"/>
          <w:sz w:val="11"/>
          <w:szCs w:val="11"/>
          <w:color w:val="auto"/>
        </w:rPr>
      </w:pPr>
      <w:r>
        <w:rPr>
          <w:rFonts w:ascii="Arial" w:cs="Arial" w:eastAsia="Arial" w:hAnsi="Arial"/>
          <w:sz w:val="8"/>
          <w:szCs w:val="8"/>
          <w:color w:val="auto"/>
        </w:rPr>
        <w:t>offering, as described in more detail earlier in this “The Offering” section</w:t>
      </w:r>
    </w:p>
    <w:p>
      <w:pPr>
        <w:ind w:left="1760"/>
        <w:spacing w:after="0" w:line="199" w:lineRule="auto"/>
        <w:rPr>
          <w:rFonts w:ascii="Arial" w:cs="Arial" w:eastAsia="Arial" w:hAnsi="Arial"/>
          <w:sz w:val="11"/>
          <w:szCs w:val="11"/>
          <w:color w:val="auto"/>
        </w:rPr>
      </w:pPr>
      <w:r>
        <w:rPr>
          <w:rFonts w:ascii="Arial" w:cs="Arial" w:eastAsia="Arial" w:hAnsi="Arial"/>
          <w:sz w:val="6"/>
          <w:szCs w:val="6"/>
          <w:color w:val="auto"/>
        </w:rPr>
        <w:t>.</w:t>
      </w:r>
    </w:p>
    <w:p>
      <w:pPr>
        <w:ind w:left="1760" w:right="1660" w:hanging="238"/>
        <w:spacing w:after="0"/>
        <w:tabs>
          <w:tab w:leader="none" w:pos="17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Represents shares of Class A common stock to be withheld to satisfy tax obligations in connection with the RS U</w:t>
      </w:r>
    </w:p>
    <w:p>
      <w:pPr>
        <w:spacing w:after="0" w:line="7" w:lineRule="exact"/>
        <w:rPr>
          <w:rFonts w:ascii="Arial" w:cs="Arial" w:eastAsia="Arial" w:hAnsi="Arial"/>
          <w:sz w:val="11"/>
          <w:szCs w:val="11"/>
          <w:color w:val="auto"/>
        </w:rPr>
      </w:pPr>
    </w:p>
    <w:p>
      <w:pPr>
        <w:ind w:left="1760"/>
        <w:spacing w:after="0" w:line="199" w:lineRule="auto"/>
        <w:rPr>
          <w:rFonts w:ascii="Arial" w:cs="Arial" w:eastAsia="Arial" w:hAnsi="Arial"/>
          <w:sz w:val="11"/>
          <w:szCs w:val="11"/>
          <w:color w:val="auto"/>
        </w:rPr>
      </w:pPr>
      <w:r>
        <w:rPr>
          <w:rFonts w:ascii="Arial" w:cs="Arial" w:eastAsia="Arial" w:hAnsi="Arial"/>
          <w:sz w:val="8"/>
          <w:szCs w:val="8"/>
          <w:color w:val="auto"/>
        </w:rPr>
        <w:t>Net Settlement. The number of shares of Class A common stock actually withheld may fluctuate depending on</w:t>
      </w:r>
    </w:p>
    <w:p>
      <w:pPr>
        <w:ind w:left="1760"/>
        <w:spacing w:after="0" w:line="199" w:lineRule="auto"/>
        <w:rPr>
          <w:rFonts w:ascii="Arial" w:cs="Arial" w:eastAsia="Arial" w:hAnsi="Arial"/>
          <w:sz w:val="11"/>
          <w:szCs w:val="11"/>
          <w:color w:val="auto"/>
        </w:rPr>
      </w:pPr>
      <w:r>
        <w:rPr>
          <w:rFonts w:ascii="Arial" w:cs="Arial" w:eastAsia="Arial" w:hAnsi="Arial"/>
          <w:sz w:val="7"/>
          <w:szCs w:val="7"/>
          <w:color w:val="auto"/>
        </w:rPr>
        <w:t>,</w:t>
      </w:r>
    </w:p>
    <w:p>
      <w:pPr>
        <w:ind w:left="1760" w:right="1620"/>
        <w:spacing w:after="0"/>
        <w:rPr>
          <w:rFonts w:ascii="Arial" w:cs="Arial" w:eastAsia="Arial" w:hAnsi="Arial"/>
          <w:sz w:val="11"/>
          <w:szCs w:val="11"/>
          <w:color w:val="auto"/>
        </w:rPr>
      </w:pPr>
      <w:r>
        <w:rPr>
          <w:rFonts w:ascii="Arial" w:cs="Arial" w:eastAsia="Arial" w:hAnsi="Arial"/>
          <w:sz w:val="11"/>
          <w:szCs w:val="11"/>
          <w:color w:val="auto"/>
        </w:rPr>
        <w:t>among other things, the actual initial public offering price and other terms of this offering determined at pricing o f</w:t>
      </w:r>
    </w:p>
    <w:p>
      <w:pPr>
        <w:spacing w:after="0" w:line="7" w:lineRule="exact"/>
        <w:rPr>
          <w:rFonts w:ascii="Arial" w:cs="Arial" w:eastAsia="Arial" w:hAnsi="Arial"/>
          <w:sz w:val="11"/>
          <w:szCs w:val="11"/>
          <w:color w:val="auto"/>
        </w:rPr>
      </w:pPr>
    </w:p>
    <w:p>
      <w:pPr>
        <w:ind w:left="1760" w:right="1780"/>
        <w:spacing w:after="0"/>
        <w:rPr>
          <w:rFonts w:ascii="Arial" w:cs="Arial" w:eastAsia="Arial" w:hAnsi="Arial"/>
          <w:sz w:val="11"/>
          <w:szCs w:val="11"/>
          <w:color w:val="auto"/>
        </w:rPr>
      </w:pPr>
      <w:r>
        <w:rPr>
          <w:rFonts w:ascii="Arial" w:cs="Arial" w:eastAsia="Arial" w:hAnsi="Arial"/>
          <w:sz w:val="11"/>
          <w:szCs w:val="11"/>
          <w:color w:val="auto"/>
        </w:rPr>
        <w:t>this offering, actual forfeitures through the date of this prospectus, and actual tax withholding rates, as furthe r</w:t>
      </w:r>
    </w:p>
    <w:p>
      <w:pPr>
        <w:spacing w:after="0" w:line="17" w:lineRule="exact"/>
        <w:rPr>
          <w:rFonts w:ascii="Arial" w:cs="Arial" w:eastAsia="Arial" w:hAnsi="Arial"/>
          <w:sz w:val="11"/>
          <w:szCs w:val="11"/>
          <w:color w:val="auto"/>
        </w:rPr>
      </w:pPr>
    </w:p>
    <w:p>
      <w:pPr>
        <w:ind w:left="1760"/>
        <w:spacing w:after="0" w:line="199" w:lineRule="auto"/>
        <w:rPr>
          <w:rFonts w:ascii="Arial" w:cs="Arial" w:eastAsia="Arial" w:hAnsi="Arial"/>
          <w:sz w:val="11"/>
          <w:szCs w:val="11"/>
          <w:color w:val="auto"/>
        </w:rPr>
      </w:pPr>
      <w:r>
        <w:rPr>
          <w:rFonts w:ascii="Arial" w:cs="Arial" w:eastAsia="Arial" w:hAnsi="Arial"/>
          <w:sz w:val="8"/>
          <w:szCs w:val="8"/>
          <w:color w:val="auto"/>
        </w:rPr>
        <w:t>described under the section titled “—RSU Net Settlement.</w:t>
      </w:r>
    </w:p>
    <w:p>
      <w:pPr>
        <w:ind w:left="1760"/>
        <w:spacing w:after="0"/>
        <w:rPr>
          <w:rFonts w:ascii="Arial" w:cs="Arial" w:eastAsia="Arial" w:hAnsi="Arial"/>
          <w:sz w:val="11"/>
          <w:szCs w:val="11"/>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SUMMARY CONSOLIDATED FINANCIAL AND OTHER DATA</w:t>
      </w:r>
    </w:p>
    <w:p>
      <w:pPr>
        <w:spacing w:after="0" w:line="130" w:lineRule="exact"/>
        <w:rPr>
          <w:sz w:val="20"/>
          <w:szCs w:val="20"/>
          <w:color w:val="auto"/>
        </w:rPr>
      </w:pPr>
    </w:p>
    <w:p>
      <w:pPr>
        <w:ind w:left="1520" w:right="1680" w:firstLine="230"/>
        <w:spacing w:after="0" w:line="272" w:lineRule="auto"/>
        <w:rPr>
          <w:sz w:val="20"/>
          <w:szCs w:val="20"/>
          <w:color w:val="auto"/>
        </w:rPr>
      </w:pPr>
      <w:r>
        <w:rPr>
          <w:rFonts w:ascii="Arial" w:cs="Arial" w:eastAsia="Arial" w:hAnsi="Arial"/>
          <w:sz w:val="12"/>
          <w:szCs w:val="12"/>
          <w:color w:val="auto"/>
        </w:rPr>
        <w:t>The following tables summarize our consolidated financial and other data as of the dates and for the periods indicated. We derived our summary consolidated statements of operations data for the fiscal years ended January 31, 2025 and 2024 (except for pro forma basic and diluted net loss per share attributable to common stockholders and weighted-average shares used in computing pro forma basic and diluted net loss per share attributable to common stockholders) and our summary consolidated balance sheet data as of January 31, 2025 from our audited consolidated financial statements included elsewhere in this prospectus. The summary consolidated statements of operations data for the six months ended July 31, 2025 and 2024 (except for pro forma basic and diluted net loss per share attributable to common stockholders and weighted-average shares used in computing pro forma basic and diluted net</w:t>
      </w:r>
    </w:p>
    <w:p>
      <w:pPr>
        <w:sectPr>
          <w:pgSz w:w="11900" w:h="16840" w:orient="portrait"/>
          <w:cols w:equalWidth="0" w:num="1">
            <w:col w:w="9020"/>
          </w:cols>
          <w:pgMar w:left="1440" w:top="554" w:right="1440" w:bottom="0" w:gutter="0" w:footer="0" w:header="0"/>
        </w:sectPr>
      </w:pPr>
    </w:p>
    <w:bookmarkStart w:id="19" w:name="page20"/>
    <w:bookmarkEnd w:id="19"/>
    <w:p>
      <w:pPr>
        <w:ind w:left="1520" w:right="1700"/>
        <w:spacing w:after="0" w:line="272" w:lineRule="auto"/>
        <w:rPr>
          <w:sz w:val="20"/>
          <w:szCs w:val="20"/>
          <w:color w:val="auto"/>
        </w:rPr>
      </w:pPr>
      <w:r>
        <w:rPr>
          <w:rFonts w:ascii="Arial" w:cs="Arial" w:eastAsia="Arial" w:hAnsi="Arial"/>
          <w:sz w:val="12"/>
          <w:szCs w:val="12"/>
          <w:color w:val="auto"/>
        </w:rPr>
        <w:t>loss per share attributable to common stockholders) and summary consolidated balance sheet data as of July 31, 2025 (except for the pro forma and pro forma as adjusted balance sheet data) have been derived from our unaudited consolidated financial statements included elsewhere in this prospectus. The unaudited consolidated financial statements have been prepared on the same basis as our audited consolidated financial statements and, in the opinion of management, reflect all adjustments that are necessary for the fair statement of such data. Our historical results are not necessarily indicative of the results to be expected in the future, and our interim results are not necessarily indicated of results to be expected for the full fiscal year or any other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-787400</wp:posOffset>
            </wp:positionV>
            <wp:extent cx="6732270" cy="9970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68" w:lineRule="exact"/>
        <w:rPr>
          <w:sz w:val="20"/>
          <w:szCs w:val="20"/>
          <w:color w:val="auto"/>
        </w:rPr>
      </w:pPr>
    </w:p>
    <w:p>
      <w:pPr>
        <w:ind w:left="1520" w:right="1640" w:firstLine="230"/>
        <w:spacing w:after="0" w:line="274" w:lineRule="auto"/>
        <w:rPr>
          <w:sz w:val="20"/>
          <w:szCs w:val="20"/>
          <w:color w:val="auto"/>
        </w:rPr>
      </w:pPr>
      <w:r>
        <w:rPr>
          <w:rFonts w:ascii="Arial" w:cs="Arial" w:eastAsia="Arial" w:hAnsi="Arial"/>
          <w:sz w:val="12"/>
          <w:szCs w:val="12"/>
          <w:color w:val="auto"/>
        </w:rPr>
        <w:t>You should read the following summary consolidated financial and other data in conjunction with the section titled “Management’s Discussion and Analysis of Financial Condition and Results of Operations,” and our consolidated financial statements, the accompanying notes, and other financial information included elsewhere in this prospectus. The summary consolidated financial and other data in this section are not intended to replace our consolidated financial statements and the related notes and are qualified in their entirety by our consolidated financial statements and the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ind w:left="1520" w:right="1760" w:firstLine="230"/>
        <w:spacing w:after="0" w:line="289" w:lineRule="auto"/>
        <w:rPr>
          <w:sz w:val="20"/>
          <w:szCs w:val="20"/>
          <w:color w:val="auto"/>
        </w:rPr>
      </w:pPr>
      <w:r>
        <w:rPr>
          <w:rFonts w:ascii="Arial" w:cs="Arial" w:eastAsia="Arial" w:hAnsi="Arial"/>
          <w:sz w:val="12"/>
          <w:szCs w:val="12"/>
          <w:color w:val="auto"/>
        </w:rPr>
        <w:t>Our fiscal year ends on January 31, and our fiscal quarters end on April 30, July 31, October 31, and January 31. Our fiscal years ended January 31, 2025 and 2024 are referred to herein as fiscal 2025 and fiscal 2024, respectively.</w:t>
      </w:r>
    </w:p>
    <w:p>
      <w:pPr>
        <w:spacing w:after="0" w:line="93"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gridSpan w:val="4"/>
          </w:tcPr>
          <w:p>
            <w:pPr>
              <w:jc w:val="right"/>
              <w:ind w:right="198"/>
              <w:spacing w:after="0"/>
              <w:rPr>
                <w:sz w:val="20"/>
                <w:szCs w:val="20"/>
                <w:color w:val="auto"/>
              </w:rPr>
            </w:pPr>
            <w:r>
              <w:rPr>
                <w:rFonts w:ascii="Arial" w:cs="Arial" w:eastAsia="Arial" w:hAnsi="Arial"/>
                <w:sz w:val="11"/>
                <w:szCs w:val="11"/>
                <w:b w:val="1"/>
                <w:bCs w:val="1"/>
                <w:color w:val="auto"/>
              </w:rPr>
              <w:t>Year Ended January 31,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gridSpan w:val="4"/>
          </w:tcPr>
          <w:p>
            <w:pPr>
              <w:ind w:left="8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57"/>
        </w:trPr>
        <w:tc>
          <w:tcPr>
            <w:tcW w:w="25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ind w:left="80"/>
              <w:spacing w:after="0" w:line="47" w:lineRule="exact"/>
              <w:rPr>
                <w:sz w:val="20"/>
                <w:szCs w:val="20"/>
                <w:color w:val="auto"/>
              </w:rPr>
            </w:pPr>
            <w:r>
              <w:rPr>
                <w:rFonts w:ascii="Arial" w:cs="Arial" w:eastAsia="Arial" w:hAnsi="Arial"/>
                <w:sz w:val="5"/>
                <w:szCs w:val="5"/>
                <w:b w:val="1"/>
                <w:bCs w:val="1"/>
                <w:color w:val="auto"/>
              </w:rPr>
              <w:t>,</w:t>
            </w: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vMerge w:val="restart"/>
          </w:tcPr>
          <w:p>
            <w:pPr>
              <w:jc w:val="right"/>
              <w:ind w:right="238"/>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58"/>
              <w:spacing w:after="0"/>
              <w:rPr>
                <w:sz w:val="20"/>
                <w:szCs w:val="20"/>
                <w:color w:val="auto"/>
              </w:rPr>
            </w:pPr>
            <w:r>
              <w:rPr>
                <w:rFonts w:ascii="Arial" w:cs="Arial" w:eastAsia="Arial" w:hAnsi="Arial"/>
                <w:sz w:val="11"/>
                <w:szCs w:val="11"/>
                <w:b w:val="1"/>
                <w:bCs w:val="1"/>
                <w:color w:val="auto"/>
              </w:rPr>
              <w:t>2024</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ind w:left="40"/>
              <w:spacing w:after="0" w:line="95" w:lineRule="exact"/>
              <w:rPr>
                <w:sz w:val="20"/>
                <w:szCs w:val="20"/>
                <w:color w:val="auto"/>
              </w:rPr>
            </w:pPr>
            <w:r>
              <w:rPr>
                <w:rFonts w:ascii="Arial" w:cs="Arial" w:eastAsia="Arial" w:hAnsi="Arial"/>
                <w:sz w:val="11"/>
                <w:szCs w:val="11"/>
                <w:b w:val="1"/>
                <w:bCs w:val="1"/>
                <w:color w:val="auto"/>
              </w:rPr>
              <w:t>Consolidated Statements of Operations Data</w:t>
            </w:r>
          </w:p>
        </w:tc>
        <w:tc>
          <w:tcPr>
            <w:tcW w:w="140" w:type="dxa"/>
            <w:vAlign w:val="bottom"/>
          </w:tcPr>
          <w:p>
            <w:pPr>
              <w:spacing w:after="0"/>
              <w:rPr>
                <w:sz w:val="8"/>
                <w:szCs w:val="8"/>
                <w:color w:val="auto"/>
              </w:rPr>
            </w:pPr>
          </w:p>
        </w:tc>
        <w:tc>
          <w:tcPr>
            <w:tcW w:w="3320" w:type="dxa"/>
            <w:vAlign w:val="bottom"/>
            <w:gridSpan w:val="10"/>
          </w:tcPr>
          <w:p>
            <w:pPr>
              <w:ind w:left="420"/>
              <w:spacing w:after="0" w:line="95" w:lineRule="exact"/>
              <w:rPr>
                <w:sz w:val="20"/>
                <w:szCs w:val="20"/>
                <w:color w:val="auto"/>
              </w:rPr>
            </w:pPr>
            <w:r>
              <w:rPr>
                <w:rFonts w:ascii="Arial" w:cs="Arial" w:eastAsia="Arial" w:hAnsi="Arial"/>
                <w:sz w:val="11"/>
                <w:szCs w:val="11"/>
                <w:b w:val="1"/>
                <w:bCs w:val="1"/>
                <w:color w:val="auto"/>
              </w:rPr>
              <w:t>(in thousands, except share and per share data</w:t>
            </w:r>
          </w:p>
        </w:tc>
        <w:tc>
          <w:tcPr>
            <w:tcW w:w="0" w:type="dxa"/>
            <w:vAlign w:val="bottom"/>
          </w:tcPr>
          <w:p>
            <w:pPr>
              <w:spacing w:after="0"/>
              <w:rPr>
                <w:sz w:val="1"/>
                <w:szCs w:val="1"/>
                <w:color w:val="auto"/>
              </w:rPr>
            </w:pPr>
          </w:p>
        </w:tc>
      </w:tr>
      <w:tr>
        <w:trPr>
          <w:trHeight w:val="67"/>
        </w:trPr>
        <w:tc>
          <w:tcPr>
            <w:tcW w:w="2520" w:type="dxa"/>
            <w:vAlign w:val="bottom"/>
          </w:tcPr>
          <w:p>
            <w:pPr>
              <w:ind w:left="40"/>
              <w:spacing w:after="0" w:line="67" w:lineRule="exact"/>
              <w:rPr>
                <w:sz w:val="20"/>
                <w:szCs w:val="20"/>
                <w:color w:val="auto"/>
              </w:rPr>
            </w:pPr>
            <w:r>
              <w:rPr>
                <w:rFonts w:ascii="Arial" w:cs="Arial" w:eastAsia="Arial" w:hAnsi="Arial"/>
                <w:sz w:val="7"/>
                <w:szCs w:val="7"/>
                <w:b w:val="1"/>
                <w:bCs w:val="1"/>
                <w:color w:val="auto"/>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ind w:left="420"/>
              <w:spacing w:after="0" w:line="67" w:lineRule="exact"/>
              <w:rPr>
                <w:sz w:val="20"/>
                <w:szCs w:val="20"/>
                <w:color w:val="auto"/>
              </w:rPr>
            </w:pPr>
            <w:r>
              <w:rPr>
                <w:rFonts w:ascii="Arial" w:cs="Arial" w:eastAsia="Arial" w:hAnsi="Arial"/>
                <w:sz w:val="7"/>
                <w:szCs w:val="7"/>
                <w:b w:val="1"/>
                <w:bCs w:val="1"/>
                <w:color w:val="auto"/>
              </w:rPr>
              <w:t>)</w:t>
            </w:r>
          </w:p>
        </w:tc>
        <w:tc>
          <w:tcPr>
            <w:tcW w:w="16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ind w:right="18"/>
              <w:spacing w:after="0"/>
              <w:rPr>
                <w:sz w:val="20"/>
                <w:szCs w:val="20"/>
                <w:color w:val="auto"/>
              </w:rPr>
            </w:pPr>
            <w:r>
              <w:rPr>
                <w:rFonts w:ascii="Arial" w:cs="Arial" w:eastAsia="Arial" w:hAnsi="Arial"/>
                <w:sz w:val="12"/>
                <w:szCs w:val="12"/>
                <w:color w:val="auto"/>
              </w:rPr>
              <w:t>402,256</w:t>
            </w:r>
          </w:p>
        </w:tc>
        <w:tc>
          <w:tcPr>
            <w:tcW w:w="16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ind w:right="1"/>
              <w:spacing w:after="0"/>
              <w:rPr>
                <w:sz w:val="20"/>
                <w:szCs w:val="20"/>
                <w:color w:val="auto"/>
              </w:rPr>
            </w:pPr>
            <w:r>
              <w:rPr>
                <w:rFonts w:ascii="Arial" w:cs="Arial" w:eastAsia="Arial" w:hAnsi="Arial"/>
                <w:sz w:val="12"/>
                <w:szCs w:val="12"/>
                <w:color w:val="auto"/>
              </w:rPr>
              <w:t>329,413</w:t>
            </w:r>
          </w:p>
        </w:tc>
        <w:tc>
          <w:tcPr>
            <w:tcW w:w="16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ind w:right="18"/>
              <w:spacing w:after="0"/>
              <w:rPr>
                <w:sz w:val="20"/>
                <w:szCs w:val="20"/>
                <w:color w:val="auto"/>
              </w:rPr>
            </w:pPr>
            <w:r>
              <w:rPr>
                <w:rFonts w:ascii="Arial" w:cs="Arial" w:eastAsia="Arial" w:hAnsi="Arial"/>
                <w:sz w:val="12"/>
                <w:szCs w:val="12"/>
                <w:color w:val="auto"/>
              </w:rPr>
              <w:t>253,727</w:t>
            </w:r>
          </w:p>
        </w:tc>
        <w:tc>
          <w:tcPr>
            <w:tcW w:w="0" w:type="dxa"/>
            <w:vAlign w:val="bottom"/>
          </w:tcPr>
          <w:p>
            <w:pPr>
              <w:spacing w:after="0"/>
              <w:rPr>
                <w:sz w:val="1"/>
                <w:szCs w:val="1"/>
                <w:color w:val="auto"/>
              </w:rPr>
            </w:pPr>
          </w:p>
        </w:tc>
      </w:tr>
      <w:tr>
        <w:trPr>
          <w:trHeight w:val="168"/>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Revenue </w:t>
            </w:r>
            <w:r>
              <w:rPr>
                <w:rFonts w:ascii="Times New Roman" w:cs="Times New Roman" w:eastAsia="Times New Roman" w:hAnsi="Times New Roman"/>
                <w:sz w:val="12"/>
                <w:szCs w:val="12"/>
                <w:color w:val="B4B4B4"/>
              </w:rPr>
              <w:t>.............................................................</w:t>
            </w:r>
          </w:p>
        </w:tc>
        <w:tc>
          <w:tcPr>
            <w:tcW w:w="140" w:type="dxa"/>
            <w:vAlign w:val="bottom"/>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536,837</w:t>
            </w:r>
          </w:p>
        </w:tc>
        <w:tc>
          <w:tcPr>
            <w:tcW w:w="16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520" w:type="dxa"/>
            <w:vAlign w:val="bottom"/>
            <w:tcBorders>
              <w:bottom w:val="single" w:sz="8" w:color="CCEEFF"/>
            </w:tcBorders>
          </w:tcPr>
          <w:p>
            <w:pPr>
              <w:ind w:left="40"/>
              <w:spacing w:after="0" w:line="185" w:lineRule="exact"/>
              <w:rPr>
                <w:sz w:val="20"/>
                <w:szCs w:val="20"/>
                <w:color w:val="auto"/>
              </w:rPr>
            </w:pPr>
            <w:r>
              <w:rPr>
                <w:rFonts w:ascii="Arial" w:cs="Arial" w:eastAsia="Arial" w:hAnsi="Arial"/>
                <w:sz w:val="12"/>
                <w:szCs w:val="12"/>
                <w:color w:val="auto"/>
              </w:rPr>
              <w:t xml:space="preserve">Cost of revenue </w:t>
            </w:r>
            <w:r>
              <w:rPr>
                <w:rFonts w:ascii="Arial" w:cs="Arial" w:eastAsia="Arial" w:hAnsi="Arial"/>
                <w:sz w:val="17"/>
                <w:szCs w:val="17"/>
                <w:color w:val="auto"/>
                <w:vertAlign w:val="superscript"/>
              </w:rPr>
              <w:t>(1)</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169,815</w:t>
            </w: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162,622</w:t>
            </w: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92,583</w:t>
            </w: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82,545</w:t>
            </w:r>
          </w:p>
        </w:tc>
        <w:tc>
          <w:tcPr>
            <w:tcW w:w="0" w:type="dxa"/>
            <w:vAlign w:val="bottom"/>
          </w:tcPr>
          <w:p>
            <w:pPr>
              <w:spacing w:after="0"/>
              <w:rPr>
                <w:sz w:val="1"/>
                <w:szCs w:val="1"/>
                <w:color w:val="auto"/>
              </w:rPr>
            </w:pPr>
          </w:p>
        </w:tc>
      </w:tr>
      <w:tr>
        <w:trPr>
          <w:trHeight w:val="162"/>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Grossprofit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367,022</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239,634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236,830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171,182</w:t>
            </w:r>
          </w:p>
        </w:tc>
        <w:tc>
          <w:tcPr>
            <w:tcW w:w="0" w:type="dxa"/>
            <w:vAlign w:val="bottom"/>
          </w:tcPr>
          <w:p>
            <w:pPr>
              <w:spacing w:after="0"/>
              <w:rPr>
                <w:sz w:val="1"/>
                <w:szCs w:val="1"/>
                <w:color w:val="auto"/>
              </w:rPr>
            </w:pPr>
          </w:p>
        </w:tc>
      </w:tr>
      <w:tr>
        <w:trPr>
          <w:trHeight w:val="173"/>
        </w:trPr>
        <w:tc>
          <w:tcPr>
            <w:tcW w:w="2520" w:type="dxa"/>
            <w:vAlign w:val="bottom"/>
          </w:tcPr>
          <w:p>
            <w:pPr>
              <w:ind w:left="40"/>
              <w:spacing w:after="0"/>
              <w:rPr>
                <w:sz w:val="20"/>
                <w:szCs w:val="20"/>
                <w:color w:val="auto"/>
              </w:rPr>
            </w:pPr>
            <w:r>
              <w:rPr>
                <w:rFonts w:ascii="Arial" w:cs="Arial" w:eastAsia="Arial" w:hAnsi="Arial"/>
                <w:sz w:val="12"/>
                <w:szCs w:val="12"/>
                <w:color w:val="auto"/>
              </w:rPr>
              <w:t>Operating expenses</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20" w:type="dxa"/>
            <w:vAlign w:val="bottom"/>
            <w:shd w:val="clear" w:color="auto" w:fill="CCEEFF"/>
          </w:tcPr>
          <w:p>
            <w:pPr>
              <w:ind w:left="180"/>
              <w:spacing w:after="0" w:line="190" w:lineRule="exact"/>
              <w:rPr>
                <w:sz w:val="20"/>
                <w:szCs w:val="20"/>
                <w:color w:val="auto"/>
              </w:rPr>
            </w:pPr>
            <w:r>
              <w:rPr>
                <w:rFonts w:ascii="Arial" w:cs="Arial" w:eastAsia="Arial" w:hAnsi="Arial"/>
                <w:sz w:val="12"/>
                <w:szCs w:val="12"/>
                <w:color w:val="auto"/>
              </w:rPr>
              <w:t xml:space="preserve">Research and development </w:t>
            </w:r>
            <w:r>
              <w:rPr>
                <w:rFonts w:ascii="Arial" w:cs="Arial" w:eastAsia="Arial" w:hAnsi="Arial"/>
                <w:sz w:val="17"/>
                <w:szCs w:val="17"/>
                <w:color w:val="auto"/>
                <w:vertAlign w:val="superscript"/>
              </w:rPr>
              <w:t>(1)</w:t>
            </w:r>
            <w:r>
              <w:rPr>
                <w:rFonts w:ascii="Times New Roman" w:cs="Times New Roman" w:eastAsia="Times New Roman" w:hAnsi="Times New Roman"/>
                <w:sz w:val="12"/>
                <w:szCs w:val="12"/>
                <w:color w:val="B4B4B4"/>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122,386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132,442</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64,760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57,784</w:t>
            </w:r>
          </w:p>
        </w:tc>
        <w:tc>
          <w:tcPr>
            <w:tcW w:w="0" w:type="dxa"/>
            <w:vAlign w:val="bottom"/>
          </w:tcPr>
          <w:p>
            <w:pPr>
              <w:spacing w:after="0"/>
              <w:rPr>
                <w:sz w:val="1"/>
                <w:szCs w:val="1"/>
                <w:color w:val="auto"/>
              </w:rPr>
            </w:pPr>
          </w:p>
        </w:tc>
      </w:tr>
      <w:tr>
        <w:trPr>
          <w:trHeight w:val="182"/>
        </w:trPr>
        <w:tc>
          <w:tcPr>
            <w:tcW w:w="2520" w:type="dxa"/>
            <w:vAlign w:val="bottom"/>
          </w:tcPr>
          <w:p>
            <w:pPr>
              <w:ind w:left="180"/>
              <w:spacing w:after="0" w:line="182" w:lineRule="exact"/>
              <w:rPr>
                <w:sz w:val="20"/>
                <w:szCs w:val="20"/>
                <w:color w:val="auto"/>
              </w:rPr>
            </w:pPr>
            <w:r>
              <w:rPr>
                <w:rFonts w:ascii="Arial" w:cs="Arial" w:eastAsia="Arial" w:hAnsi="Arial"/>
                <w:sz w:val="12"/>
                <w:szCs w:val="12"/>
                <w:color w:val="auto"/>
              </w:rPr>
              <w:t xml:space="preserve">Sales and marketing </w:t>
            </w:r>
            <w:r>
              <w:rPr>
                <w:rFonts w:ascii="Arial" w:cs="Arial" w:eastAsia="Arial" w:hAnsi="Arial"/>
                <w:sz w:val="17"/>
                <w:szCs w:val="17"/>
                <w:color w:val="auto"/>
                <w:vertAlign w:val="superscript"/>
              </w:rPr>
              <w:t>(1)</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218,722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220,511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130,376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103,530</w:t>
            </w:r>
          </w:p>
        </w:tc>
        <w:tc>
          <w:tcPr>
            <w:tcW w:w="0" w:type="dxa"/>
            <w:vAlign w:val="bottom"/>
          </w:tcPr>
          <w:p>
            <w:pPr>
              <w:spacing w:after="0"/>
              <w:rPr>
                <w:sz w:val="1"/>
                <w:szCs w:val="1"/>
                <w:color w:val="auto"/>
              </w:rPr>
            </w:pPr>
          </w:p>
        </w:tc>
      </w:tr>
      <w:tr>
        <w:trPr>
          <w:trHeight w:val="182"/>
        </w:trPr>
        <w:tc>
          <w:tcPr>
            <w:tcW w:w="2520" w:type="dxa"/>
            <w:vAlign w:val="bottom"/>
            <w:shd w:val="clear" w:color="auto" w:fill="CCEEFF"/>
          </w:tcPr>
          <w:p>
            <w:pPr>
              <w:ind w:left="180"/>
              <w:spacing w:after="0" w:line="182" w:lineRule="exact"/>
              <w:rPr>
                <w:sz w:val="20"/>
                <w:szCs w:val="20"/>
                <w:color w:val="auto"/>
              </w:rPr>
            </w:pPr>
            <w:r>
              <w:rPr>
                <w:rFonts w:ascii="Arial" w:cs="Arial" w:eastAsia="Arial" w:hAnsi="Arial"/>
                <w:sz w:val="12"/>
                <w:szCs w:val="12"/>
                <w:color w:val="auto"/>
              </w:rPr>
              <w:t xml:space="preserve">General and administrative </w:t>
            </w:r>
            <w:r>
              <w:rPr>
                <w:rFonts w:ascii="Arial" w:cs="Arial" w:eastAsia="Arial" w:hAnsi="Arial"/>
                <w:sz w:val="17"/>
                <w:szCs w:val="17"/>
                <w:color w:val="auto"/>
                <w:vertAlign w:val="superscript"/>
              </w:rPr>
              <w:t>(1)</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133,552</w:t>
            </w: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133,023</w:t>
            </w: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69,845</w:t>
            </w: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65,238</w:t>
            </w:r>
          </w:p>
        </w:tc>
        <w:tc>
          <w:tcPr>
            <w:tcW w:w="0" w:type="dxa"/>
            <w:vAlign w:val="bottom"/>
          </w:tcPr>
          <w:p>
            <w:pPr>
              <w:spacing w:after="0"/>
              <w:rPr>
                <w:sz w:val="1"/>
                <w:szCs w:val="1"/>
                <w:color w:val="auto"/>
              </w:rPr>
            </w:pPr>
          </w:p>
        </w:tc>
      </w:tr>
      <w:tr>
        <w:trPr>
          <w:trHeight w:val="158"/>
        </w:trPr>
        <w:tc>
          <w:tcPr>
            <w:tcW w:w="2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Totaloperatingexpenses</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474,660</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485,976</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264,981</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226,552</w:t>
            </w:r>
          </w:p>
        </w:tc>
        <w:tc>
          <w:tcPr>
            <w:tcW w:w="0" w:type="dxa"/>
            <w:vAlign w:val="bottom"/>
          </w:tcPr>
          <w:p>
            <w:pPr>
              <w:spacing w:after="0"/>
              <w:rPr>
                <w:sz w:val="1"/>
                <w:szCs w:val="1"/>
                <w:color w:val="auto"/>
              </w:rPr>
            </w:pPr>
          </w:p>
        </w:tc>
      </w:tr>
      <w:tr>
        <w:trPr>
          <w:trHeight w:val="166"/>
        </w:trPr>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Lossfromoperations</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(107,638)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(246,342)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(28,151)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(55,370)</w:t>
            </w:r>
          </w:p>
        </w:tc>
        <w:tc>
          <w:tcPr>
            <w:tcW w:w="0" w:type="dxa"/>
            <w:vAlign w:val="bottom"/>
          </w:tcPr>
          <w:p>
            <w:pPr>
              <w:spacing w:after="0"/>
              <w:rPr>
                <w:sz w:val="1"/>
                <w:szCs w:val="1"/>
                <w:color w:val="auto"/>
              </w:rPr>
            </w:pPr>
          </w:p>
        </w:tc>
      </w:tr>
      <w:tr>
        <w:trPr>
          <w:trHeight w:val="173"/>
        </w:trPr>
        <w:tc>
          <w:tcPr>
            <w:tcW w:w="2520" w:type="dxa"/>
            <w:vAlign w:val="bottom"/>
          </w:tcPr>
          <w:p>
            <w:pPr>
              <w:ind w:left="180"/>
              <w:spacing w:after="0"/>
              <w:rPr>
                <w:sz w:val="20"/>
                <w:szCs w:val="20"/>
                <w:color w:val="auto"/>
              </w:rPr>
            </w:pPr>
            <w:r>
              <w:rPr>
                <w:rFonts w:ascii="Arial" w:cs="Arial" w:eastAsia="Arial" w:hAnsi="Arial"/>
                <w:sz w:val="12"/>
                <w:szCs w:val="12"/>
                <w:color w:val="auto"/>
              </w:rPr>
              <w:t xml:space="preserve">Interest expense </w:t>
            </w:r>
            <w:r>
              <w:rPr>
                <w:rFonts w:ascii="Times New Roman" w:cs="Times New Roman" w:eastAsia="Times New Roman" w:hAnsi="Times New Roman"/>
                <w:sz w:val="12"/>
                <w:szCs w:val="12"/>
                <w:color w:val="B4B4B4"/>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(75,997)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(63,281)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(31,971)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(37,851)</w:t>
            </w:r>
          </w:p>
        </w:tc>
        <w:tc>
          <w:tcPr>
            <w:tcW w:w="0" w:type="dxa"/>
            <w:vAlign w:val="bottom"/>
          </w:tcPr>
          <w:p>
            <w:pPr>
              <w:spacing w:after="0"/>
              <w:rPr>
                <w:sz w:val="1"/>
                <w:szCs w:val="1"/>
                <w:color w:val="auto"/>
              </w:rPr>
            </w:pPr>
          </w:p>
        </w:tc>
      </w:tr>
      <w:tr>
        <w:trPr>
          <w:trHeight w:val="190"/>
        </w:trPr>
        <w:tc>
          <w:tcPr>
            <w:tcW w:w="25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Other income (expense), net </w:t>
            </w:r>
            <w:r>
              <w:rPr>
                <w:rFonts w:ascii="Times New Roman" w:cs="Times New Roman" w:eastAsia="Times New Roman" w:hAnsi="Times New Roman"/>
                <w:sz w:val="12"/>
                <w:szCs w:val="12"/>
                <w:color w:val="B4B4B4"/>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10,093</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6,699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1,953</w:t>
            </w:r>
          </w:p>
        </w:tc>
        <w:tc>
          <w:tcPr>
            <w:tcW w:w="0" w:type="dxa"/>
            <w:vAlign w:val="bottom"/>
          </w:tcPr>
          <w:p>
            <w:pPr>
              <w:spacing w:after="0"/>
              <w:rPr>
                <w:sz w:val="1"/>
                <w:szCs w:val="1"/>
                <w:color w:val="auto"/>
              </w:rPr>
            </w:pPr>
          </w:p>
        </w:tc>
      </w:tr>
      <w:tr>
        <w:trPr>
          <w:trHeight w:val="173"/>
        </w:trPr>
        <w:tc>
          <w:tcPr>
            <w:tcW w:w="2520" w:type="dxa"/>
            <w:vAlign w:val="bottom"/>
          </w:tcPr>
          <w:p>
            <w:pPr>
              <w:ind w:left="180"/>
              <w:spacing w:after="0"/>
              <w:rPr>
                <w:sz w:val="20"/>
                <w:szCs w:val="20"/>
                <w:color w:val="auto"/>
              </w:rPr>
            </w:pPr>
            <w:r>
              <w:rPr>
                <w:rFonts w:ascii="Arial" w:cs="Arial" w:eastAsia="Arial" w:hAnsi="Arial"/>
                <w:sz w:val="12"/>
                <w:szCs w:val="12"/>
                <w:color w:val="auto"/>
              </w:rPr>
              <w:t xml:space="preserve">Loss on extinguishment of debt </w:t>
            </w:r>
            <w:r>
              <w:rPr>
                <w:rFonts w:ascii="Times New Roman" w:cs="Times New Roman" w:eastAsia="Times New Roman" w:hAnsi="Times New Roman"/>
                <w:sz w:val="12"/>
                <w:szCs w:val="12"/>
                <w:color w:val="B4B4B4"/>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(20,528)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0"/>
        </w:trPr>
        <w:tc>
          <w:tcPr>
            <w:tcW w:w="25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Gain (loss) on fair value adjustments </w:t>
            </w:r>
            <w:r>
              <w:rPr>
                <w:rFonts w:ascii="Times New Roman" w:cs="Times New Roman" w:eastAsia="Times New Roman" w:hAnsi="Times New Roman"/>
                <w:sz w:val="12"/>
                <w:szCs w:val="12"/>
                <w:color w:val="B4B4B4"/>
              </w:rPr>
              <w:t>.......</w:t>
            </w: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12,200</w:t>
            </w: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(26,594)</w:t>
            </w: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(17,886)</w:t>
            </w: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3,020</w:t>
            </w:r>
          </w:p>
        </w:tc>
        <w:tc>
          <w:tcPr>
            <w:tcW w:w="0" w:type="dxa"/>
            <w:vAlign w:val="bottom"/>
          </w:tcPr>
          <w:p>
            <w:pPr>
              <w:spacing w:after="0"/>
              <w:rPr>
                <w:sz w:val="1"/>
                <w:szCs w:val="1"/>
                <w:color w:val="auto"/>
              </w:rPr>
            </w:pPr>
          </w:p>
        </w:tc>
      </w:tr>
      <w:tr>
        <w:trPr>
          <w:trHeight w:val="158"/>
        </w:trPr>
        <w:tc>
          <w:tcPr>
            <w:tcW w:w="2520" w:type="dxa"/>
            <w:vAlign w:val="bottom"/>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Lossbeforeincometaxexpense</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(171,508)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(326,124)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(91,837)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(88,248)</w:t>
            </w:r>
          </w:p>
        </w:tc>
        <w:tc>
          <w:tcPr>
            <w:tcW w:w="0" w:type="dxa"/>
            <w:vAlign w:val="bottom"/>
          </w:tcPr>
          <w:p>
            <w:pPr>
              <w:spacing w:after="0"/>
              <w:rPr>
                <w:sz w:val="1"/>
                <w:szCs w:val="1"/>
                <w:color w:val="auto"/>
              </w:rPr>
            </w:pPr>
          </w:p>
        </w:tc>
      </w:tr>
      <w:tr>
        <w:trPr>
          <w:trHeight w:val="186"/>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Income tax expense </w:t>
            </w:r>
            <w:r>
              <w:rPr>
                <w:rFonts w:ascii="Times New Roman" w:cs="Times New Roman" w:eastAsia="Times New Roman" w:hAnsi="Times New Roman"/>
                <w:sz w:val="12"/>
                <w:szCs w:val="12"/>
                <w:color w:val="B4B4B4"/>
              </w:rPr>
              <w:t>.........................................</w:t>
            </w: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9,570</w:t>
            </w: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5,428</w:t>
            </w: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8,043</w:t>
            </w: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4,296</w:t>
            </w:r>
          </w:p>
        </w:tc>
        <w:tc>
          <w:tcPr>
            <w:tcW w:w="0" w:type="dxa"/>
            <w:vAlign w:val="bottom"/>
          </w:tcPr>
          <w:p>
            <w:pPr>
              <w:spacing w:after="0"/>
              <w:rPr>
                <w:sz w:val="1"/>
                <w:szCs w:val="1"/>
                <w:color w:val="auto"/>
              </w:rPr>
            </w:pPr>
          </w:p>
        </w:tc>
      </w:tr>
      <w:tr>
        <w:trPr>
          <w:trHeight w:val="161"/>
        </w:trPr>
        <w:tc>
          <w:tcPr>
            <w:tcW w:w="2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Netloss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(181,078)</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(331,552)</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(99,880)</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(92,544)</w:t>
            </w:r>
          </w:p>
        </w:tc>
        <w:tc>
          <w:tcPr>
            <w:tcW w:w="0" w:type="dxa"/>
            <w:vAlign w:val="bottom"/>
          </w:tcPr>
          <w:p>
            <w:pPr>
              <w:spacing w:after="0"/>
              <w:rPr>
                <w:sz w:val="1"/>
                <w:szCs w:val="1"/>
                <w:color w:val="auto"/>
              </w:rPr>
            </w:pPr>
          </w:p>
        </w:tc>
      </w:tr>
      <w:tr>
        <w:trPr>
          <w:trHeight w:val="105"/>
        </w:trPr>
        <w:tc>
          <w:tcPr>
            <w:tcW w:w="2520" w:type="dxa"/>
            <w:vAlign w:val="bottom"/>
            <w:shd w:val="clear" w:color="auto" w:fill="CCEEFF"/>
          </w:tcPr>
          <w:p>
            <w:pPr>
              <w:ind w:left="40"/>
              <w:spacing w:after="0" w:line="106" w:lineRule="exact"/>
              <w:rPr>
                <w:sz w:val="20"/>
                <w:szCs w:val="20"/>
                <w:color w:val="auto"/>
              </w:rPr>
            </w:pPr>
            <w:r>
              <w:rPr>
                <w:rFonts w:ascii="Arial" w:cs="Arial" w:eastAsia="Arial" w:hAnsi="Arial"/>
                <w:sz w:val="12"/>
                <w:szCs w:val="12"/>
                <w:color w:val="auto"/>
              </w:rPr>
              <w:t>Net loss per share attributable to common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(4.00)</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(7.44)</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(2.15)</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(2.05)</w:t>
            </w:r>
          </w:p>
        </w:tc>
        <w:tc>
          <w:tcPr>
            <w:tcW w:w="0" w:type="dxa"/>
            <w:vAlign w:val="bottom"/>
          </w:tcPr>
          <w:p>
            <w:pPr>
              <w:spacing w:after="0"/>
              <w:rPr>
                <w:sz w:val="1"/>
                <w:szCs w:val="1"/>
                <w:color w:val="auto"/>
              </w:rPr>
            </w:pPr>
          </w:p>
        </w:tc>
      </w:tr>
      <w:tr>
        <w:trPr>
          <w:trHeight w:val="192"/>
        </w:trPr>
        <w:tc>
          <w:tcPr>
            <w:tcW w:w="2520" w:type="dxa"/>
            <w:vAlign w:val="bottom"/>
            <w:shd w:val="clear" w:color="auto" w:fill="CCEEFF"/>
          </w:tcPr>
          <w:p>
            <w:pPr>
              <w:ind w:left="140"/>
              <w:spacing w:after="0" w:line="172" w:lineRule="exact"/>
              <w:rPr>
                <w:sz w:val="20"/>
                <w:szCs w:val="20"/>
                <w:color w:val="auto"/>
              </w:rPr>
            </w:pPr>
            <w:r>
              <w:rPr>
                <w:rFonts w:ascii="Arial" w:cs="Arial" w:eastAsia="Arial" w:hAnsi="Arial"/>
                <w:sz w:val="12"/>
                <w:szCs w:val="12"/>
                <w:color w:val="auto"/>
              </w:rPr>
              <w:t xml:space="preserve">stockholders, basic and diluted </w:t>
            </w:r>
            <w:r>
              <w:rPr>
                <w:rFonts w:ascii="Arial" w:cs="Arial" w:eastAsia="Arial" w:hAnsi="Arial"/>
                <w:sz w:val="17"/>
                <w:szCs w:val="17"/>
                <w:color w:val="auto"/>
                <w:vertAlign w:val="superscript"/>
              </w:rPr>
              <w:t>(2)</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1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520" w:type="dxa"/>
            <w:vAlign w:val="bottom"/>
            <w:tcBorders>
              <w:top w:val="single" w:sz="8" w:color="CCEEFF"/>
            </w:tcBorders>
          </w:tcPr>
          <w:p>
            <w:pPr>
              <w:ind w:left="40"/>
              <w:spacing w:after="0" w:line="104" w:lineRule="exact"/>
              <w:rPr>
                <w:sz w:val="20"/>
                <w:szCs w:val="20"/>
                <w:color w:val="auto"/>
              </w:rPr>
            </w:pPr>
            <w:r>
              <w:rPr>
                <w:rFonts w:ascii="Arial" w:cs="Arial" w:eastAsia="Arial" w:hAnsi="Arial"/>
                <w:sz w:val="11"/>
                <w:szCs w:val="11"/>
                <w:color w:val="auto"/>
              </w:rPr>
              <w:t>Weighted-average shares outstanding</w:t>
            </w: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520" w:type="dxa"/>
            <w:vAlign w:val="bottom"/>
          </w:tcPr>
          <w:p>
            <w:pPr>
              <w:ind w:left="140"/>
              <w:spacing w:after="0" w:line="125" w:lineRule="exact"/>
              <w:rPr>
                <w:sz w:val="20"/>
                <w:szCs w:val="20"/>
                <w:color w:val="auto"/>
              </w:rPr>
            </w:pPr>
            <w:r>
              <w:rPr>
                <w:rFonts w:ascii="Arial" w:cs="Arial" w:eastAsia="Arial" w:hAnsi="Arial"/>
                <w:sz w:val="12"/>
                <w:szCs w:val="12"/>
                <w:color w:val="auto"/>
              </w:rPr>
              <w:t>used to compute net loss per share</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520" w:type="dxa"/>
            <w:vAlign w:val="bottom"/>
          </w:tcPr>
          <w:p>
            <w:pPr>
              <w:ind w:left="140"/>
              <w:spacing w:after="0" w:line="125" w:lineRule="exact"/>
              <w:rPr>
                <w:sz w:val="20"/>
                <w:szCs w:val="20"/>
                <w:color w:val="auto"/>
              </w:rPr>
            </w:pPr>
            <w:r>
              <w:rPr>
                <w:rFonts w:ascii="Arial" w:cs="Arial" w:eastAsia="Arial" w:hAnsi="Arial"/>
                <w:sz w:val="12"/>
                <w:szCs w:val="12"/>
                <w:color w:val="auto"/>
              </w:rPr>
              <w:t>attributable to common stockholders,</w:t>
            </w: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45,271,666</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44,583,919</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1"/>
              <w:spacing w:after="0"/>
              <w:rPr>
                <w:sz w:val="20"/>
                <w:szCs w:val="20"/>
                <w:color w:val="auto"/>
              </w:rPr>
            </w:pPr>
            <w:r>
              <w:rPr>
                <w:rFonts w:ascii="Arial" w:cs="Arial" w:eastAsia="Arial" w:hAnsi="Arial"/>
                <w:sz w:val="12"/>
                <w:szCs w:val="12"/>
                <w:color w:val="auto"/>
              </w:rPr>
              <w:t>46,350,553</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45,153,649</w:t>
            </w:r>
          </w:p>
        </w:tc>
        <w:tc>
          <w:tcPr>
            <w:tcW w:w="0" w:type="dxa"/>
            <w:vAlign w:val="bottom"/>
          </w:tcPr>
          <w:p>
            <w:pPr>
              <w:spacing w:after="0"/>
              <w:rPr>
                <w:sz w:val="1"/>
                <w:szCs w:val="1"/>
                <w:color w:val="auto"/>
              </w:rPr>
            </w:pPr>
          </w:p>
        </w:tc>
      </w:tr>
      <w:tr>
        <w:trPr>
          <w:trHeight w:val="191"/>
        </w:trPr>
        <w:tc>
          <w:tcPr>
            <w:tcW w:w="2520" w:type="dxa"/>
            <w:vAlign w:val="bottom"/>
          </w:tcPr>
          <w:p>
            <w:pPr>
              <w:ind w:left="140"/>
              <w:spacing w:after="0" w:line="172" w:lineRule="exact"/>
              <w:rPr>
                <w:sz w:val="20"/>
                <w:szCs w:val="20"/>
                <w:color w:val="auto"/>
              </w:rPr>
            </w:pPr>
            <w:r>
              <w:rPr>
                <w:rFonts w:ascii="Arial" w:cs="Arial" w:eastAsia="Arial" w:hAnsi="Arial"/>
                <w:sz w:val="12"/>
                <w:szCs w:val="12"/>
                <w:color w:val="auto"/>
              </w:rPr>
              <w:t xml:space="preserve">basic and diluted </w:t>
            </w:r>
            <w:r>
              <w:rPr>
                <w:rFonts w:ascii="Arial" w:cs="Arial" w:eastAsia="Arial" w:hAnsi="Arial"/>
                <w:sz w:val="17"/>
                <w:szCs w:val="17"/>
                <w:color w:val="auto"/>
                <w:vertAlign w:val="superscript"/>
              </w:rPr>
              <w:t>(2)</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_______________</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(1)  Includes stock-based compensation expense as follows:</w:t>
      </w:r>
    </w:p>
    <w:p>
      <w:pPr>
        <w:spacing w:after="0" w:line="17" w:lineRule="exact"/>
        <w:rPr>
          <w:sz w:val="20"/>
          <w:szCs w:val="20"/>
          <w:color w:val="auto"/>
        </w:rPr>
      </w:pPr>
    </w:p>
    <w:tbl>
      <w:tblPr>
        <w:tblLayout w:type="fixed"/>
        <w:tblInd w:w="176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4"/>
          </w:tcPr>
          <w:p>
            <w:pPr>
              <w:jc w:val="right"/>
              <w:ind w:right="206"/>
              <w:spacing w:after="0"/>
              <w:rPr>
                <w:sz w:val="20"/>
                <w:szCs w:val="20"/>
                <w:color w:val="auto"/>
              </w:rPr>
            </w:pPr>
            <w:r>
              <w:rPr>
                <w:rFonts w:ascii="Arial" w:cs="Arial" w:eastAsia="Arial" w:hAnsi="Arial"/>
                <w:sz w:val="11"/>
                <w:szCs w:val="11"/>
                <w:b w:val="1"/>
                <w:bCs w:val="1"/>
                <w:color w:val="auto"/>
              </w:rPr>
              <w:t>Year Ended January 31,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4"/>
          </w:tcPr>
          <w:p>
            <w:pPr>
              <w:ind w:left="6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57"/>
        </w:trPr>
        <w:tc>
          <w:tcPr>
            <w:tcW w:w="2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ind w:left="60"/>
              <w:spacing w:after="0" w:line="47" w:lineRule="exact"/>
              <w:rPr>
                <w:sz w:val="20"/>
                <w:szCs w:val="20"/>
                <w:color w:val="auto"/>
              </w:rPr>
            </w:pPr>
            <w:r>
              <w:rPr>
                <w:rFonts w:ascii="Arial" w:cs="Arial" w:eastAsia="Arial" w:hAnsi="Arial"/>
                <w:sz w:val="5"/>
                <w:szCs w:val="5"/>
                <w:b w:val="1"/>
                <w:bCs w:val="1"/>
                <w:color w:val="auto"/>
              </w:rPr>
              <w:t>,</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vMerge w:val="restart"/>
          </w:tcPr>
          <w:p>
            <w:pPr>
              <w:jc w:val="right"/>
              <w:ind w:right="243"/>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gridSpan w:val="4"/>
          </w:tcPr>
          <w:p>
            <w:pPr>
              <w:ind w:left="320"/>
              <w:spacing w:after="0" w:line="93" w:lineRule="exact"/>
              <w:rPr>
                <w:sz w:val="20"/>
                <w:szCs w:val="20"/>
                <w:color w:val="auto"/>
              </w:rPr>
            </w:pPr>
            <w:r>
              <w:rPr>
                <w:rFonts w:ascii="Arial" w:cs="Arial" w:eastAsia="Arial" w:hAnsi="Arial"/>
                <w:sz w:val="9"/>
                <w:szCs w:val="9"/>
                <w:b w:val="1"/>
                <w:bCs w:val="1"/>
                <w:color w:val="auto"/>
              </w:rPr>
              <w:t>(in thousands</w:t>
            </w: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280" w:type="dxa"/>
            <w:vAlign w:val="bottom"/>
            <w:vMerge w:val="restart"/>
          </w:tcPr>
          <w:p>
            <w:pPr>
              <w:ind w:left="20"/>
              <w:spacing w:after="0"/>
              <w:rPr>
                <w:sz w:val="20"/>
                <w:szCs w:val="20"/>
                <w:color w:val="auto"/>
              </w:rPr>
            </w:pPr>
            <w:r>
              <w:rPr>
                <w:rFonts w:ascii="Arial" w:cs="Arial" w:eastAsia="Arial" w:hAnsi="Arial"/>
                <w:sz w:val="11"/>
                <w:szCs w:val="11"/>
                <w:color w:val="auto"/>
              </w:rPr>
              <w:t xml:space="preserve">Cost of revenu </w:t>
            </w:r>
            <w:r>
              <w:rPr>
                <w:rFonts w:ascii="Times New Roman" w:cs="Times New Roman" w:eastAsia="Times New Roman" w:hAnsi="Times New Roman"/>
                <w:sz w:val="11"/>
                <w:szCs w:val="11"/>
                <w:color w:val="B4B4B4"/>
              </w:rPr>
              <w:t>.................................................</w:t>
            </w:r>
          </w:p>
        </w:tc>
        <w:tc>
          <w:tcPr>
            <w:tcW w:w="18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4,577</w:t>
            </w:r>
          </w:p>
        </w:tc>
        <w:tc>
          <w:tcPr>
            <w:tcW w:w="220" w:type="dxa"/>
            <w:vAlign w:val="bottom"/>
            <w:gridSpan w:val="2"/>
            <w:vMerge w:val="restart"/>
          </w:tcPr>
          <w:p>
            <w:pPr>
              <w:jc w:val="right"/>
              <w:ind w:right="23"/>
              <w:spacing w:after="0"/>
              <w:rPr>
                <w:sz w:val="20"/>
                <w:szCs w:val="20"/>
                <w:color w:val="auto"/>
              </w:rPr>
            </w:pPr>
            <w:r>
              <w:rPr>
                <w:rFonts w:ascii="Arial" w:cs="Arial" w:eastAsia="Arial" w:hAnsi="Arial"/>
                <w:sz w:val="11"/>
                <w:szCs w:val="11"/>
                <w:color w:val="auto"/>
              </w:rPr>
              <w:t>$</w:t>
            </w:r>
          </w:p>
        </w:tc>
        <w:tc>
          <w:tcPr>
            <w:tcW w:w="660" w:type="dxa"/>
            <w:vAlign w:val="bottom"/>
          </w:tcPr>
          <w:p>
            <w:pPr>
              <w:ind w:left="320"/>
              <w:spacing w:after="0" w:line="68" w:lineRule="exact"/>
              <w:rPr>
                <w:sz w:val="20"/>
                <w:szCs w:val="20"/>
                <w:color w:val="auto"/>
              </w:rPr>
            </w:pPr>
            <w:r>
              <w:rPr>
                <w:rFonts w:ascii="Arial" w:cs="Arial" w:eastAsia="Arial" w:hAnsi="Arial"/>
                <w:sz w:val="7"/>
                <w:szCs w:val="7"/>
                <w:b w:val="1"/>
                <w:bCs w:val="1"/>
                <w:color w:val="auto"/>
              </w:rPr>
              <w:t>)</w:t>
            </w:r>
          </w:p>
        </w:tc>
        <w:tc>
          <w:tcPr>
            <w:tcW w:w="18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1,902</w:t>
            </w:r>
          </w:p>
        </w:tc>
        <w:tc>
          <w:tcPr>
            <w:tcW w:w="240" w:type="dxa"/>
            <w:vAlign w:val="bottom"/>
            <w:gridSpan w:val="2"/>
            <w:vMerge w:val="restart"/>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1,842</w:t>
            </w:r>
          </w:p>
        </w:tc>
        <w:tc>
          <w:tcPr>
            <w:tcW w:w="0" w:type="dxa"/>
            <w:vAlign w:val="bottom"/>
          </w:tcPr>
          <w:p>
            <w:pPr>
              <w:spacing w:after="0"/>
              <w:rPr>
                <w:sz w:val="1"/>
                <w:szCs w:val="1"/>
                <w:color w:val="auto"/>
              </w:rPr>
            </w:pPr>
          </w:p>
        </w:tc>
      </w:tr>
      <w:tr>
        <w:trPr>
          <w:trHeight w:val="114"/>
        </w:trPr>
        <w:tc>
          <w:tcPr>
            <w:tcW w:w="228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660" w:type="dxa"/>
            <w:vAlign w:val="bottom"/>
          </w:tcPr>
          <w:p>
            <w:pPr>
              <w:jc w:val="right"/>
              <w:ind w:right="6"/>
              <w:spacing w:after="0" w:line="114" w:lineRule="exact"/>
              <w:rPr>
                <w:sz w:val="20"/>
                <w:szCs w:val="20"/>
                <w:color w:val="auto"/>
              </w:rPr>
            </w:pPr>
            <w:r>
              <w:rPr>
                <w:rFonts w:ascii="Arial" w:cs="Arial" w:eastAsia="Arial" w:hAnsi="Arial"/>
                <w:sz w:val="11"/>
                <w:szCs w:val="11"/>
                <w:color w:val="auto"/>
              </w:rPr>
              <w:t>4,751</w:t>
            </w:r>
          </w:p>
        </w:tc>
        <w:tc>
          <w:tcPr>
            <w:tcW w:w="1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280" w:type="dxa"/>
            <w:vAlign w:val="bottom"/>
          </w:tcPr>
          <w:p>
            <w:pPr>
              <w:ind w:left="20"/>
              <w:spacing w:after="0" w:line="77" w:lineRule="exact"/>
              <w:rPr>
                <w:sz w:val="20"/>
                <w:szCs w:val="20"/>
                <w:color w:val="auto"/>
              </w:rPr>
            </w:pPr>
            <w:r>
              <w:rPr>
                <w:rFonts w:ascii="Arial" w:cs="Arial" w:eastAsia="Arial" w:hAnsi="Arial"/>
                <w:sz w:val="8"/>
                <w:szCs w:val="8"/>
                <w:color w:val="auto"/>
              </w:rPr>
              <w:t>e</w:t>
            </w:r>
          </w:p>
        </w:tc>
        <w:tc>
          <w:tcPr>
            <w:tcW w:w="180" w:type="dxa"/>
            <w:vAlign w:val="bottom"/>
          </w:tcPr>
          <w:p>
            <w:pPr>
              <w:spacing w:after="0"/>
              <w:rPr>
                <w:sz w:val="6"/>
                <w:szCs w:val="6"/>
                <w:color w:val="auto"/>
              </w:rPr>
            </w:pPr>
          </w:p>
        </w:tc>
        <w:tc>
          <w:tcPr>
            <w:tcW w:w="660" w:type="dxa"/>
            <w:vAlign w:val="bottom"/>
            <w:vMerge w:val="restart"/>
          </w:tcPr>
          <w:p>
            <w:pPr>
              <w:jc w:val="right"/>
              <w:ind w:right="3"/>
              <w:spacing w:after="0"/>
              <w:rPr>
                <w:sz w:val="20"/>
                <w:szCs w:val="20"/>
                <w:color w:val="auto"/>
              </w:rPr>
            </w:pPr>
            <w:r>
              <w:rPr>
                <w:rFonts w:ascii="Arial" w:cs="Arial" w:eastAsia="Arial" w:hAnsi="Arial"/>
                <w:sz w:val="11"/>
                <w:szCs w:val="11"/>
                <w:color w:val="auto"/>
              </w:rPr>
              <w:t>30,408</w:t>
            </w: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27,039</w:t>
            </w: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14,371</w:t>
            </w: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13,619</w:t>
            </w:r>
          </w:p>
        </w:tc>
        <w:tc>
          <w:tcPr>
            <w:tcW w:w="0" w:type="dxa"/>
            <w:vAlign w:val="bottom"/>
          </w:tcPr>
          <w:p>
            <w:pPr>
              <w:spacing w:after="0"/>
              <w:rPr>
                <w:sz w:val="1"/>
                <w:szCs w:val="1"/>
                <w:color w:val="auto"/>
              </w:rPr>
            </w:pPr>
          </w:p>
        </w:tc>
      </w:tr>
      <w:tr>
        <w:trPr>
          <w:trHeight w:val="105"/>
        </w:trPr>
        <w:tc>
          <w:tcPr>
            <w:tcW w:w="2280" w:type="dxa"/>
            <w:vAlign w:val="bottom"/>
          </w:tcPr>
          <w:p>
            <w:pPr>
              <w:ind w:left="20"/>
              <w:spacing w:after="0" w:line="105" w:lineRule="exact"/>
              <w:rPr>
                <w:sz w:val="20"/>
                <w:szCs w:val="20"/>
                <w:color w:val="auto"/>
              </w:rPr>
            </w:pPr>
            <w:r>
              <w:rPr>
                <w:rFonts w:ascii="Arial" w:cs="Arial" w:eastAsia="Arial" w:hAnsi="Arial"/>
                <w:sz w:val="11"/>
                <w:szCs w:val="11"/>
                <w:color w:val="auto"/>
              </w:rPr>
              <w:t xml:space="preserve">Research and developmen </w:t>
            </w:r>
            <w:r>
              <w:rPr>
                <w:rFonts w:ascii="Times New Roman" w:cs="Times New Roman" w:eastAsia="Times New Roman" w:hAnsi="Times New Roman"/>
                <w:sz w:val="11"/>
                <w:szCs w:val="11"/>
                <w:color w:val="B4B4B4"/>
              </w:rPr>
              <w:t>............................</w:t>
            </w: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280" w:type="dxa"/>
            <w:vAlign w:val="bottom"/>
          </w:tcPr>
          <w:p>
            <w:pPr>
              <w:ind w:left="20"/>
              <w:spacing w:after="0" w:line="77" w:lineRule="exact"/>
              <w:rPr>
                <w:sz w:val="20"/>
                <w:szCs w:val="20"/>
                <w:color w:val="auto"/>
              </w:rPr>
            </w:pPr>
            <w:r>
              <w:rPr>
                <w:rFonts w:ascii="Arial" w:cs="Arial" w:eastAsia="Arial" w:hAnsi="Arial"/>
                <w:sz w:val="8"/>
                <w:szCs w:val="8"/>
                <w:color w:val="auto"/>
              </w:rPr>
              <w:t>t</w:t>
            </w:r>
          </w:p>
        </w:tc>
        <w:tc>
          <w:tcPr>
            <w:tcW w:w="180" w:type="dxa"/>
            <w:vAlign w:val="bottom"/>
          </w:tcPr>
          <w:p>
            <w:pPr>
              <w:spacing w:after="0"/>
              <w:rPr>
                <w:sz w:val="6"/>
                <w:szCs w:val="6"/>
                <w:color w:val="auto"/>
              </w:rPr>
            </w:pPr>
          </w:p>
        </w:tc>
        <w:tc>
          <w:tcPr>
            <w:tcW w:w="660" w:type="dxa"/>
            <w:vAlign w:val="bottom"/>
            <w:vMerge w:val="restart"/>
          </w:tcPr>
          <w:p>
            <w:pPr>
              <w:jc w:val="right"/>
              <w:ind w:right="3"/>
              <w:spacing w:after="0"/>
              <w:rPr>
                <w:sz w:val="20"/>
                <w:szCs w:val="20"/>
                <w:color w:val="auto"/>
              </w:rPr>
            </w:pPr>
            <w:r>
              <w:rPr>
                <w:rFonts w:ascii="Arial" w:cs="Arial" w:eastAsia="Arial" w:hAnsi="Arial"/>
                <w:sz w:val="11"/>
                <w:szCs w:val="11"/>
                <w:color w:val="auto"/>
              </w:rPr>
              <w:t>17,077</w:t>
            </w: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15,872</w:t>
            </w: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7,738</w:t>
            </w: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7,614</w:t>
            </w:r>
          </w:p>
        </w:tc>
        <w:tc>
          <w:tcPr>
            <w:tcW w:w="0" w:type="dxa"/>
            <w:vAlign w:val="bottom"/>
          </w:tcPr>
          <w:p>
            <w:pPr>
              <w:spacing w:after="0"/>
              <w:rPr>
                <w:sz w:val="1"/>
                <w:szCs w:val="1"/>
                <w:color w:val="auto"/>
              </w:rPr>
            </w:pPr>
          </w:p>
        </w:tc>
      </w:tr>
      <w:tr>
        <w:trPr>
          <w:trHeight w:val="156"/>
        </w:trPr>
        <w:tc>
          <w:tcPr>
            <w:tcW w:w="2280" w:type="dxa"/>
            <w:vAlign w:val="bottom"/>
          </w:tcPr>
          <w:p>
            <w:pPr>
              <w:ind w:left="20"/>
              <w:spacing w:after="0"/>
              <w:rPr>
                <w:sz w:val="20"/>
                <w:szCs w:val="20"/>
                <w:color w:val="auto"/>
              </w:rPr>
            </w:pPr>
            <w:r>
              <w:rPr>
                <w:rFonts w:ascii="Arial" w:cs="Arial" w:eastAsia="Arial" w:hAnsi="Arial"/>
                <w:sz w:val="11"/>
                <w:szCs w:val="11"/>
                <w:color w:val="auto"/>
              </w:rPr>
              <w:t>Sales and marketing</w:t>
            </w:r>
            <w:r>
              <w:rPr>
                <w:rFonts w:ascii="Times New Roman" w:cs="Times New Roman" w:eastAsia="Times New Roman" w:hAnsi="Times New Roman"/>
                <w:sz w:val="11"/>
                <w:szCs w:val="11"/>
                <w:color w:val="B4B4B4"/>
              </w:rPr>
              <w:t>.........................................</w:t>
            </w: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20"/>
              <w:spacing w:after="0"/>
              <w:rPr>
                <w:sz w:val="20"/>
                <w:szCs w:val="20"/>
                <w:color w:val="auto"/>
              </w:rPr>
            </w:pPr>
            <w:r>
              <w:rPr>
                <w:rFonts w:ascii="Arial" w:cs="Arial" w:eastAsia="Arial" w:hAnsi="Arial"/>
                <w:sz w:val="11"/>
                <w:szCs w:val="11"/>
                <w:color w:val="auto"/>
              </w:rPr>
              <w:t xml:space="preserve">General and administrative </w:t>
            </w:r>
            <w:r>
              <w:rPr>
                <w:rFonts w:ascii="Times New Roman" w:cs="Times New Roman" w:eastAsia="Times New Roman" w:hAnsi="Times New Roman"/>
                <w:sz w:val="11"/>
                <w:szCs w:val="11"/>
                <w:color w:val="B4B4B4"/>
              </w:rPr>
              <w:t>.............................</w:t>
            </w:r>
          </w:p>
        </w:tc>
        <w:tc>
          <w:tcPr>
            <w:tcW w:w="180" w:type="dxa"/>
            <w:vAlign w:val="bottom"/>
          </w:tcPr>
          <w:p>
            <w:pPr>
              <w:spacing w:after="0"/>
              <w:rPr>
                <w:sz w:val="14"/>
                <w:szCs w:val="1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24,919</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28,189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11,898</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11,838</w:t>
            </w:r>
          </w:p>
        </w:tc>
        <w:tc>
          <w:tcPr>
            <w:tcW w:w="0" w:type="dxa"/>
            <w:vAlign w:val="bottom"/>
          </w:tcPr>
          <w:p>
            <w:pPr>
              <w:spacing w:after="0"/>
              <w:rPr>
                <w:sz w:val="1"/>
                <w:szCs w:val="1"/>
                <w:color w:val="auto"/>
              </w:rPr>
            </w:pPr>
          </w:p>
        </w:tc>
      </w:tr>
      <w:tr>
        <w:trPr>
          <w:trHeight w:val="21"/>
        </w:trPr>
        <w:tc>
          <w:tcPr>
            <w:tcW w:w="2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5"/>
        </w:trPr>
        <w:tc>
          <w:tcPr>
            <w:tcW w:w="2280" w:type="dxa"/>
            <w:vAlign w:val="bottom"/>
            <w:shd w:val="clear" w:color="auto" w:fill="CCEEFF"/>
          </w:tcPr>
          <w:p>
            <w:pPr>
              <w:ind w:left="180"/>
              <w:spacing w:after="0" w:line="105" w:lineRule="exact"/>
              <w:rPr>
                <w:sz w:val="20"/>
                <w:szCs w:val="20"/>
                <w:color w:val="auto"/>
              </w:rPr>
            </w:pPr>
            <w:r>
              <w:rPr>
                <w:rFonts w:ascii="Arial" w:cs="Arial" w:eastAsia="Arial" w:hAnsi="Arial"/>
                <w:sz w:val="11"/>
                <w:szCs w:val="11"/>
                <w:color w:val="auto"/>
              </w:rPr>
              <w:t>Total stock-based compensation</w:t>
            </w:r>
          </w:p>
        </w:tc>
        <w:tc>
          <w:tcPr>
            <w:tcW w:w="18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76,981</w:t>
            </w:r>
          </w:p>
        </w:tc>
        <w:tc>
          <w:tcPr>
            <w:tcW w:w="220" w:type="dxa"/>
            <w:vAlign w:val="bottom"/>
            <w:gridSpan w:val="2"/>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75,851</w:t>
            </w:r>
          </w:p>
        </w:tc>
        <w:tc>
          <w:tcPr>
            <w:tcW w:w="18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35,909</w:t>
            </w:r>
          </w:p>
        </w:tc>
        <w:tc>
          <w:tcPr>
            <w:tcW w:w="240" w:type="dxa"/>
            <w:vAlign w:val="bottom"/>
            <w:gridSpan w:val="2"/>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34,913</w:t>
            </w:r>
          </w:p>
        </w:tc>
        <w:tc>
          <w:tcPr>
            <w:tcW w:w="0" w:type="dxa"/>
            <w:vAlign w:val="bottom"/>
          </w:tcPr>
          <w:p>
            <w:pPr>
              <w:spacing w:after="0"/>
              <w:rPr>
                <w:sz w:val="1"/>
                <w:szCs w:val="1"/>
                <w:color w:val="auto"/>
              </w:rPr>
            </w:pPr>
          </w:p>
        </w:tc>
      </w:tr>
      <w:tr>
        <w:trPr>
          <w:trHeight w:val="172"/>
        </w:trPr>
        <w:tc>
          <w:tcPr>
            <w:tcW w:w="2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 xml:space="preserve">expense, net of amounts capitalized </w:t>
            </w:r>
            <w:r>
              <w:rPr>
                <w:rFonts w:ascii="Times New Roman" w:cs="Times New Roman" w:eastAsia="Times New Roman" w:hAnsi="Times New Roman"/>
                <w:sz w:val="11"/>
                <w:szCs w:val="11"/>
                <w:color w:val="B4B4B4"/>
              </w:rPr>
              <w:t>....</w:t>
            </w:r>
          </w:p>
        </w:tc>
        <w:tc>
          <w:tcPr>
            <w:tcW w:w="180" w:type="dxa"/>
            <w:vAlign w:val="bottom"/>
            <w:tcBorders>
              <w:bottom w:val="single" w:sz="8" w:color="CCEEFF"/>
            </w:tcBorders>
            <w:vMerge w:val="continue"/>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220" w:type="dxa"/>
            <w:vAlign w:val="bottom"/>
            <w:tcBorders>
              <w:bottom w:val="single" w:sz="8" w:color="CCEEFF"/>
            </w:tcBorders>
            <w:gridSpan w:val="2"/>
            <w:vMerge w:val="continue"/>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180" w:type="dxa"/>
            <w:vAlign w:val="bottom"/>
            <w:tcBorders>
              <w:bottom w:val="single" w:sz="8" w:color="CCEEFF"/>
            </w:tcBorders>
            <w:gridSpan w:val="2"/>
            <w:vMerge w:val="continue"/>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240" w:type="dxa"/>
            <w:vAlign w:val="bottom"/>
            <w:tcBorders>
              <w:bottom w:val="single" w:sz="8" w:color="CCEEFF"/>
            </w:tcBorders>
            <w:gridSpan w:val="2"/>
            <w:vMerge w:val="continue"/>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280" w:type="dxa"/>
            <w:vAlign w:val="bottom"/>
          </w:tcPr>
          <w:p>
            <w:pPr>
              <w:ind w:left="20"/>
              <w:spacing w:after="0"/>
              <w:rPr>
                <w:sz w:val="20"/>
                <w:szCs w:val="20"/>
                <w:color w:val="auto"/>
              </w:rPr>
            </w:pPr>
            <w:r>
              <w:rPr>
                <w:rFonts w:ascii="Arial" w:cs="Arial" w:eastAsia="Arial" w:hAnsi="Arial"/>
                <w:sz w:val="11"/>
                <w:szCs w:val="11"/>
                <w:color w:val="auto"/>
              </w:rPr>
              <w:t xml:space="preserve">Capitalized stock-based compensation </w:t>
            </w:r>
            <w:r>
              <w:rPr>
                <w:rFonts w:ascii="Times New Roman" w:cs="Times New Roman" w:eastAsia="Times New Roman" w:hAnsi="Times New Roman"/>
                <w:sz w:val="11"/>
                <w:szCs w:val="11"/>
                <w:color w:val="B4B4B4"/>
              </w:rPr>
              <w:t>........</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2,319</w:t>
            </w:r>
          </w:p>
        </w:tc>
        <w:tc>
          <w:tcPr>
            <w:tcW w:w="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1,130</w:t>
            </w: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1,395</w:t>
            </w:r>
          </w:p>
        </w:tc>
        <w:tc>
          <w:tcPr>
            <w:tcW w:w="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1,096</w:t>
            </w:r>
          </w:p>
        </w:tc>
        <w:tc>
          <w:tcPr>
            <w:tcW w:w="0" w:type="dxa"/>
            <w:vAlign w:val="bottom"/>
          </w:tcPr>
          <w:p>
            <w:pPr>
              <w:spacing w:after="0"/>
              <w:rPr>
                <w:sz w:val="1"/>
                <w:szCs w:val="1"/>
                <w:color w:val="auto"/>
              </w:rPr>
            </w:pPr>
          </w:p>
        </w:tc>
      </w:tr>
      <w:tr>
        <w:trPr>
          <w:trHeight w:val="21"/>
        </w:trPr>
        <w:tc>
          <w:tcPr>
            <w:tcW w:w="2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2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 xml:space="preserve">Total stock-based compensation cost </w:t>
            </w:r>
            <w:r>
              <w:rPr>
                <w:rFonts w:ascii="Times New Roman" w:cs="Times New Roman" w:eastAsia="Times New Roman" w:hAnsi="Times New Roman"/>
                <w:sz w:val="11"/>
                <w:szCs w:val="11"/>
                <w:color w:val="B4B4B4"/>
              </w:rPr>
              <w:t>......</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79,300</w:t>
            </w: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76,981</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37,304</w:t>
            </w:r>
          </w:p>
        </w:tc>
        <w:tc>
          <w:tcPr>
            <w:tcW w:w="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36,009</w:t>
            </w:r>
          </w:p>
        </w:tc>
        <w:tc>
          <w:tcPr>
            <w:tcW w:w="0" w:type="dxa"/>
            <w:vAlign w:val="bottom"/>
          </w:tcPr>
          <w:p>
            <w:pPr>
              <w:spacing w:after="0"/>
              <w:rPr>
                <w:sz w:val="1"/>
                <w:szCs w:val="1"/>
                <w:color w:val="auto"/>
              </w:rPr>
            </w:pPr>
          </w:p>
        </w:tc>
      </w:tr>
    </w:tbl>
    <w:p>
      <w:pPr>
        <w:sectPr>
          <w:pgSz w:w="11900" w:h="16840" w:orient="portrait"/>
          <w:cols w:equalWidth="0" w:num="1">
            <w:col w:w="9020"/>
          </w:cols>
          <w:pgMar w:left="1440" w:top="560" w:right="1440" w:bottom="23" w:gutter="0" w:footer="0" w:header="0"/>
        </w:sectPr>
      </w:pPr>
    </w:p>
    <w:bookmarkStart w:id="20" w:name="page21"/>
    <w:bookmarkEnd w:id="20"/>
    <w:p>
      <w:pPr>
        <w:ind w:left="1760" w:right="1980" w:hanging="238"/>
        <w:spacing w:after="0"/>
        <w:tabs>
          <w:tab w:leader="none" w:pos="17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See Notes 1 and 15 to our consolidated financial statements, and Note 14 to our condensed consolidate d</w:t>
      </w:r>
    </w:p>
    <w:p>
      <w:pPr>
        <w:spacing w:after="0" w:line="17" w:lineRule="exact"/>
        <w:rPr>
          <w:rFonts w:ascii="Arial" w:cs="Arial" w:eastAsia="Arial" w:hAnsi="Arial"/>
          <w:sz w:val="11"/>
          <w:szCs w:val="11"/>
          <w:color w:val="auto"/>
        </w:rPr>
      </w:pPr>
    </w:p>
    <w:p>
      <w:pPr>
        <w:ind w:left="1760" w:right="1720"/>
        <w:spacing w:after="0"/>
        <w:rPr>
          <w:rFonts w:ascii="Arial" w:cs="Arial" w:eastAsia="Arial" w:hAnsi="Arial"/>
          <w:sz w:val="11"/>
          <w:szCs w:val="11"/>
          <w:color w:val="auto"/>
        </w:rPr>
      </w:pPr>
      <w:r>
        <w:rPr>
          <w:rFonts w:ascii="Arial" w:cs="Arial" w:eastAsia="Arial" w:hAnsi="Arial"/>
          <w:sz w:val="11"/>
          <w:szCs w:val="11"/>
          <w:color w:val="auto"/>
        </w:rPr>
        <w:t>financial statements included elsewhere in this prospectus for an explanation of the calculations of our net los s</w:t>
      </w:r>
    </w:p>
    <w:p>
      <w:pPr>
        <w:spacing w:after="0" w:line="7" w:lineRule="exact"/>
        <w:rPr>
          <w:rFonts w:ascii="Arial" w:cs="Arial" w:eastAsia="Arial" w:hAnsi="Arial"/>
          <w:sz w:val="11"/>
          <w:szCs w:val="11"/>
          <w:color w:val="auto"/>
        </w:rPr>
      </w:pPr>
    </w:p>
    <w:p>
      <w:pPr>
        <w:ind w:left="1760"/>
        <w:spacing w:after="0" w:line="199" w:lineRule="auto"/>
        <w:rPr>
          <w:rFonts w:ascii="Arial" w:cs="Arial" w:eastAsia="Arial" w:hAnsi="Arial"/>
          <w:sz w:val="11"/>
          <w:szCs w:val="11"/>
          <w:color w:val="auto"/>
        </w:rPr>
      </w:pPr>
      <w:r>
        <w:rPr>
          <w:rFonts w:ascii="Arial" w:cs="Arial" w:eastAsia="Arial" w:hAnsi="Arial"/>
          <w:sz w:val="8"/>
          <w:szCs w:val="8"/>
          <w:color w:val="auto"/>
        </w:rPr>
        <w:t>per share attributable to common stockholders, basic and diluted</w:t>
      </w:r>
    </w:p>
    <w:p>
      <w:pPr>
        <w:ind w:left="1760"/>
        <w:spacing w:after="0"/>
        <w:rPr>
          <w:rFonts w:ascii="Arial" w:cs="Arial" w:eastAsia="Arial" w:hAnsi="Arial"/>
          <w:sz w:val="11"/>
          <w:szCs w:val="11"/>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-299085</wp:posOffset>
            </wp:positionV>
            <wp:extent cx="6732270" cy="9970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840" w:firstLine="230"/>
        <w:spacing w:after="0" w:line="312" w:lineRule="auto"/>
        <w:rPr>
          <w:sz w:val="20"/>
          <w:szCs w:val="20"/>
          <w:color w:val="auto"/>
        </w:rPr>
      </w:pPr>
      <w:r>
        <w:rPr>
          <w:rFonts w:ascii="Arial" w:cs="Arial" w:eastAsia="Arial" w:hAnsi="Arial"/>
          <w:sz w:val="12"/>
          <w:szCs w:val="12"/>
          <w:color w:val="auto"/>
        </w:rPr>
        <w:t>The following table sets forth the computation of unaudited pro forma basic and diluted net loss per share attributable to common stockholders for the period presented:</w:t>
      </w:r>
    </w:p>
    <w:p>
      <w:pPr>
        <w:spacing w:after="0" w:line="89"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20"/>
              <w:spacing w:after="0"/>
              <w:rPr>
                <w:sz w:val="20"/>
                <w:szCs w:val="20"/>
                <w:color w:val="auto"/>
              </w:rPr>
            </w:pPr>
            <w:r>
              <w:rPr>
                <w:rFonts w:ascii="Arial" w:cs="Arial" w:eastAsia="Arial" w:hAnsi="Arial"/>
                <w:sz w:val="11"/>
                <w:szCs w:val="11"/>
                <w:b w:val="1"/>
                <w:bCs w:val="1"/>
                <w:color w:val="auto"/>
                <w:w w:val="95"/>
              </w:rPr>
              <w:t>Year Ended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19"/>
              <w:spacing w:after="0"/>
              <w:rPr>
                <w:sz w:val="20"/>
                <w:szCs w:val="20"/>
                <w:color w:val="auto"/>
              </w:rPr>
            </w:pPr>
            <w:r>
              <w:rPr>
                <w:rFonts w:ascii="Arial" w:cs="Arial" w:eastAsia="Arial" w:hAnsi="Arial"/>
                <w:sz w:val="11"/>
                <w:szCs w:val="11"/>
                <w:b w:val="1"/>
                <w:bCs w:val="1"/>
                <w:color w:val="auto"/>
                <w:w w:val="95"/>
              </w:rPr>
              <w:t>Six Months</w:t>
            </w:r>
          </w:p>
        </w:tc>
        <w:tc>
          <w:tcPr>
            <w:tcW w:w="0" w:type="dxa"/>
            <w:vAlign w:val="bottom"/>
          </w:tcPr>
          <w:p>
            <w:pPr>
              <w:spacing w:after="0"/>
              <w:rPr>
                <w:sz w:val="1"/>
                <w:szCs w:val="1"/>
                <w:color w:val="auto"/>
              </w:rPr>
            </w:pPr>
          </w:p>
        </w:tc>
      </w:tr>
      <w:tr>
        <w:trPr>
          <w:trHeight w:val="96"/>
        </w:trPr>
        <w:tc>
          <w:tcPr>
            <w:tcW w:w="4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center"/>
              <w:ind w:right="20"/>
              <w:spacing w:after="0" w:line="96" w:lineRule="exact"/>
              <w:rPr>
                <w:sz w:val="20"/>
                <w:szCs w:val="20"/>
                <w:color w:val="auto"/>
              </w:rPr>
            </w:pPr>
            <w:r>
              <w:rPr>
                <w:rFonts w:ascii="Arial" w:cs="Arial" w:eastAsia="Arial" w:hAnsi="Arial"/>
                <w:sz w:val="11"/>
                <w:szCs w:val="11"/>
                <w:b w:val="1"/>
                <w:bCs w:val="1"/>
                <w:color w:val="auto"/>
                <w:w w:val="95"/>
              </w:rPr>
              <w:t>January 31,</w:t>
            </w:r>
          </w:p>
        </w:tc>
        <w:tc>
          <w:tcPr>
            <w:tcW w:w="40" w:type="dxa"/>
            <w:vAlign w:val="bottom"/>
          </w:tcPr>
          <w:p>
            <w:pPr>
              <w:spacing w:after="0"/>
              <w:rPr>
                <w:sz w:val="8"/>
                <w:szCs w:val="8"/>
                <w:color w:val="auto"/>
              </w:rPr>
            </w:pPr>
          </w:p>
        </w:tc>
        <w:tc>
          <w:tcPr>
            <w:tcW w:w="820" w:type="dxa"/>
            <w:vAlign w:val="bottom"/>
            <w:gridSpan w:val="2"/>
          </w:tcPr>
          <w:p>
            <w:pPr>
              <w:jc w:val="center"/>
              <w:spacing w:after="0" w:line="96" w:lineRule="exact"/>
              <w:rPr>
                <w:sz w:val="20"/>
                <w:szCs w:val="20"/>
                <w:color w:val="auto"/>
              </w:rPr>
            </w:pPr>
            <w:r>
              <w:rPr>
                <w:rFonts w:ascii="Arial" w:cs="Arial" w:eastAsia="Arial" w:hAnsi="Arial"/>
                <w:sz w:val="11"/>
                <w:szCs w:val="11"/>
                <w:b w:val="1"/>
                <w:bCs w:val="1"/>
                <w:color w:val="auto"/>
                <w:w w:val="95"/>
              </w:rPr>
              <w:t>Ended July 31,</w:t>
            </w:r>
          </w:p>
        </w:tc>
        <w:tc>
          <w:tcPr>
            <w:tcW w:w="0" w:type="dxa"/>
            <w:vAlign w:val="bottom"/>
          </w:tcPr>
          <w:p>
            <w:pPr>
              <w:spacing w:after="0"/>
              <w:rPr>
                <w:sz w:val="1"/>
                <w:szCs w:val="1"/>
                <w:color w:val="auto"/>
              </w:rPr>
            </w:pPr>
          </w:p>
        </w:tc>
      </w:tr>
      <w:tr>
        <w:trPr>
          <w:trHeight w:val="153"/>
        </w:trPr>
        <w:tc>
          <w:tcPr>
            <w:tcW w:w="4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60"/>
              <w:spacing w:after="0"/>
              <w:rPr>
                <w:sz w:val="20"/>
                <w:szCs w:val="20"/>
                <w:color w:val="auto"/>
              </w:rPr>
            </w:pPr>
            <w:r>
              <w:rPr>
                <w:rFonts w:ascii="Arial" w:cs="Arial" w:eastAsia="Arial" w:hAnsi="Arial"/>
                <w:sz w:val="11"/>
                <w:szCs w:val="11"/>
                <w:b w:val="1"/>
                <w:bCs w:val="1"/>
                <w:color w:val="auto"/>
                <w:w w:val="89"/>
              </w:rPr>
              <w:t>2025</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59"/>
              <w:spacing w:after="0"/>
              <w:rPr>
                <w:sz w:val="20"/>
                <w:szCs w:val="20"/>
                <w:color w:val="auto"/>
              </w:rPr>
            </w:pPr>
            <w:r>
              <w:rPr>
                <w:rFonts w:ascii="Arial" w:cs="Arial" w:eastAsia="Arial" w:hAnsi="Arial"/>
                <w:sz w:val="11"/>
                <w:szCs w:val="11"/>
                <w:b w:val="1"/>
                <w:bCs w:val="1"/>
                <w:color w:val="auto"/>
                <w:w w:val="97"/>
              </w:rPr>
              <w:t>2025</w:t>
            </w:r>
          </w:p>
        </w:tc>
        <w:tc>
          <w:tcPr>
            <w:tcW w:w="0" w:type="dxa"/>
            <w:vAlign w:val="bottom"/>
          </w:tcPr>
          <w:p>
            <w:pPr>
              <w:spacing w:after="0"/>
              <w:rPr>
                <w:sz w:val="1"/>
                <w:szCs w:val="1"/>
                <w:color w:val="auto"/>
              </w:rPr>
            </w:pPr>
          </w:p>
        </w:tc>
      </w:tr>
      <w:tr>
        <w:trPr>
          <w:trHeight w:val="85"/>
        </w:trPr>
        <w:tc>
          <w:tcPr>
            <w:tcW w:w="4300" w:type="dxa"/>
            <w:vAlign w:val="bottom"/>
          </w:tcPr>
          <w:p>
            <w:pPr>
              <w:spacing w:after="0"/>
              <w:rPr>
                <w:sz w:val="7"/>
                <w:szCs w:val="7"/>
                <w:color w:val="auto"/>
              </w:rPr>
            </w:pPr>
          </w:p>
        </w:tc>
        <w:tc>
          <w:tcPr>
            <w:tcW w:w="1680" w:type="dxa"/>
            <w:vAlign w:val="bottom"/>
            <w:gridSpan w:val="5"/>
          </w:tcPr>
          <w:p>
            <w:pPr>
              <w:jc w:val="right"/>
              <w:spacing w:after="0" w:line="86" w:lineRule="exact"/>
              <w:rPr>
                <w:sz w:val="20"/>
                <w:szCs w:val="20"/>
                <w:color w:val="auto"/>
              </w:rPr>
            </w:pPr>
            <w:r>
              <w:rPr>
                <w:rFonts w:ascii="Arial" w:cs="Arial" w:eastAsia="Arial" w:hAnsi="Arial"/>
                <w:sz w:val="9"/>
                <w:szCs w:val="9"/>
                <w:b w:val="1"/>
                <w:bCs w:val="1"/>
                <w:color w:val="auto"/>
              </w:rPr>
              <w:t>(in thousands, except share and</w:t>
            </w:r>
          </w:p>
        </w:tc>
        <w:tc>
          <w:tcPr>
            <w:tcW w:w="0" w:type="dxa"/>
            <w:vAlign w:val="bottom"/>
          </w:tcPr>
          <w:p>
            <w:pPr>
              <w:spacing w:after="0"/>
              <w:rPr>
                <w:sz w:val="1"/>
                <w:szCs w:val="1"/>
                <w:color w:val="auto"/>
              </w:rPr>
            </w:pPr>
          </w:p>
        </w:tc>
      </w:tr>
      <w:tr>
        <w:trPr>
          <w:trHeight w:val="105"/>
        </w:trPr>
        <w:tc>
          <w:tcPr>
            <w:tcW w:w="4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gridSpan w:val="4"/>
          </w:tcPr>
          <w:p>
            <w:pPr>
              <w:ind w:left="340"/>
              <w:spacing w:after="0" w:line="105" w:lineRule="exact"/>
              <w:rPr>
                <w:sz w:val="20"/>
                <w:szCs w:val="20"/>
                <w:color w:val="auto"/>
              </w:rPr>
            </w:pPr>
            <w:r>
              <w:rPr>
                <w:rFonts w:ascii="Arial" w:cs="Arial" w:eastAsia="Arial" w:hAnsi="Arial"/>
                <w:sz w:val="11"/>
                <w:szCs w:val="11"/>
                <w:b w:val="1"/>
                <w:bCs w:val="1"/>
                <w:color w:val="auto"/>
              </w:rPr>
              <w:t>per share data</w:t>
            </w:r>
          </w:p>
        </w:tc>
        <w:tc>
          <w:tcPr>
            <w:tcW w:w="0" w:type="dxa"/>
            <w:vAlign w:val="bottom"/>
          </w:tcPr>
          <w:p>
            <w:pPr>
              <w:spacing w:after="0"/>
              <w:rPr>
                <w:sz w:val="1"/>
                <w:szCs w:val="1"/>
                <w:color w:val="auto"/>
              </w:rPr>
            </w:pPr>
          </w:p>
        </w:tc>
      </w:tr>
      <w:tr>
        <w:trPr>
          <w:trHeight w:val="143"/>
        </w:trPr>
        <w:tc>
          <w:tcPr>
            <w:tcW w:w="4300" w:type="dxa"/>
            <w:vAlign w:val="bottom"/>
            <w:vMerge w:val="restart"/>
          </w:tcPr>
          <w:p>
            <w:pPr>
              <w:ind w:left="40"/>
              <w:spacing w:after="0"/>
              <w:rPr>
                <w:sz w:val="20"/>
                <w:szCs w:val="20"/>
                <w:color w:val="auto"/>
              </w:rPr>
            </w:pPr>
            <w:r>
              <w:rPr>
                <w:rFonts w:ascii="Arial" w:cs="Arial" w:eastAsia="Arial" w:hAnsi="Arial"/>
                <w:sz w:val="12"/>
                <w:szCs w:val="12"/>
                <w:color w:val="auto"/>
              </w:rPr>
              <w:t>Numerator:</w:t>
            </w:r>
          </w:p>
        </w:tc>
        <w:tc>
          <w:tcPr>
            <w:tcW w:w="120" w:type="dxa"/>
            <w:vAlign w:val="bottom"/>
          </w:tcPr>
          <w:p>
            <w:pPr>
              <w:spacing w:after="0"/>
              <w:rPr>
                <w:sz w:val="12"/>
                <w:szCs w:val="12"/>
                <w:color w:val="auto"/>
              </w:rPr>
            </w:pPr>
          </w:p>
        </w:tc>
        <w:tc>
          <w:tcPr>
            <w:tcW w:w="700" w:type="dxa"/>
            <w:vAlign w:val="bottom"/>
          </w:tcPr>
          <w:p>
            <w:pPr>
              <w:ind w:left="340"/>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4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4300" w:type="dxa"/>
            <w:vAlign w:val="bottom"/>
          </w:tcPr>
          <w:p>
            <w:pPr>
              <w:ind w:left="180"/>
              <w:spacing w:after="0"/>
              <w:rPr>
                <w:sz w:val="20"/>
                <w:szCs w:val="20"/>
                <w:color w:val="auto"/>
              </w:rPr>
            </w:pPr>
            <w:r>
              <w:rPr>
                <w:rFonts w:ascii="Arial" w:cs="Arial" w:eastAsia="Arial" w:hAnsi="Arial"/>
                <w:sz w:val="12"/>
                <w:szCs w:val="12"/>
                <w:color w:val="auto"/>
              </w:rPr>
              <w:t xml:space="preserve">Net loss attributable to common stockholders </w:t>
            </w:r>
            <w:r>
              <w:rPr>
                <w:rFonts w:ascii="Times New Roman" w:cs="Times New Roman" w:eastAsia="Times New Roman" w:hAnsi="Times New Roman"/>
                <w:sz w:val="12"/>
                <w:szCs w:val="12"/>
                <w:color w:val="B4B4B4"/>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(181,078)</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(99,880)</w:t>
            </w:r>
          </w:p>
        </w:tc>
        <w:tc>
          <w:tcPr>
            <w:tcW w:w="0" w:type="dxa"/>
            <w:vAlign w:val="bottom"/>
          </w:tcPr>
          <w:p>
            <w:pPr>
              <w:spacing w:after="0"/>
              <w:rPr>
                <w:sz w:val="1"/>
                <w:szCs w:val="1"/>
                <w:color w:val="auto"/>
              </w:rPr>
            </w:pPr>
          </w:p>
        </w:tc>
      </w:tr>
      <w:tr>
        <w:trPr>
          <w:trHeight w:val="143"/>
        </w:trPr>
        <w:tc>
          <w:tcPr>
            <w:tcW w:w="4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Pro forma adjustment to record stock-based compensation expense</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300" w:type="dxa"/>
            <w:vAlign w:val="bottom"/>
            <w:shd w:val="clear" w:color="auto" w:fill="CCEEFF"/>
          </w:tcPr>
          <w:p>
            <w:pPr>
              <w:ind w:left="300"/>
              <w:spacing w:after="0" w:line="125" w:lineRule="exact"/>
              <w:rPr>
                <w:sz w:val="20"/>
                <w:szCs w:val="20"/>
                <w:color w:val="auto"/>
              </w:rPr>
            </w:pPr>
            <w:r>
              <w:rPr>
                <w:rFonts w:ascii="Arial" w:cs="Arial" w:eastAsia="Arial" w:hAnsi="Arial"/>
                <w:sz w:val="12"/>
                <w:szCs w:val="12"/>
                <w:color w:val="auto"/>
              </w:rPr>
              <w:t>related to RSUs for which the performance-based vesting condition</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(30,339)</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(30,862)</w:t>
            </w:r>
          </w:p>
        </w:tc>
        <w:tc>
          <w:tcPr>
            <w:tcW w:w="0" w:type="dxa"/>
            <w:vAlign w:val="bottom"/>
          </w:tcPr>
          <w:p>
            <w:pPr>
              <w:spacing w:after="0"/>
              <w:rPr>
                <w:sz w:val="1"/>
                <w:szCs w:val="1"/>
                <w:color w:val="auto"/>
              </w:rPr>
            </w:pPr>
          </w:p>
        </w:tc>
      </w:tr>
      <w:tr>
        <w:trPr>
          <w:trHeight w:val="171"/>
        </w:trPr>
        <w:tc>
          <w:tcPr>
            <w:tcW w:w="4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 xml:space="preserve">will be satisfied in connection with this offering  </w:t>
            </w:r>
            <w:r>
              <w:rPr>
                <w:rFonts w:ascii="Times New Roman" w:cs="Times New Roman" w:eastAsia="Times New Roman" w:hAnsi="Times New Roman"/>
                <w:sz w:val="12"/>
                <w:szCs w:val="12"/>
                <w:color w:val="B4B4B4"/>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300" w:type="dxa"/>
            <w:vAlign w:val="bottom"/>
          </w:tcPr>
          <w:p>
            <w:pPr>
              <w:ind w:left="180"/>
              <w:spacing w:after="0" w:line="125" w:lineRule="exact"/>
              <w:rPr>
                <w:sz w:val="20"/>
                <w:szCs w:val="20"/>
                <w:color w:val="auto"/>
              </w:rPr>
            </w:pPr>
            <w:r>
              <w:rPr>
                <w:rFonts w:ascii="Arial" w:cs="Arial" w:eastAsia="Arial" w:hAnsi="Arial"/>
                <w:sz w:val="12"/>
                <w:szCs w:val="12"/>
                <w:color w:val="auto"/>
              </w:rPr>
              <w:t>Pro forma adjustment to eliminate the change in fair value recognized</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130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65"/>
        </w:trPr>
        <w:tc>
          <w:tcPr>
            <w:tcW w:w="4300" w:type="dxa"/>
            <w:vAlign w:val="bottom"/>
          </w:tcPr>
          <w:p>
            <w:pPr>
              <w:ind w:left="300"/>
              <w:spacing w:after="0"/>
              <w:rPr>
                <w:sz w:val="20"/>
                <w:szCs w:val="20"/>
                <w:color w:val="auto"/>
              </w:rPr>
            </w:pPr>
            <w:r>
              <w:rPr>
                <w:rFonts w:ascii="Arial" w:cs="Arial" w:eastAsia="Arial" w:hAnsi="Arial"/>
                <w:sz w:val="12"/>
                <w:szCs w:val="12"/>
                <w:color w:val="auto"/>
              </w:rPr>
              <w:t xml:space="preserve">related to the redeemable convertible preferred stock warrant liability  </w:t>
            </w:r>
            <w:r>
              <w:rPr>
                <w:rFonts w:ascii="Times New Roman" w:cs="Times New Roman" w:eastAsia="Times New Roman" w:hAnsi="Times New Roman"/>
                <w:sz w:val="12"/>
                <w:szCs w:val="12"/>
                <w:color w:val="B4B4B4"/>
              </w:rPr>
              <w:t>...</w:t>
            </w: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4300" w:type="dxa"/>
            <w:vAlign w:val="bottom"/>
            <w:shd w:val="clear" w:color="auto" w:fill="CCEEFF"/>
          </w:tcPr>
          <w:p>
            <w:pPr>
              <w:ind w:left="180"/>
              <w:spacing w:after="0" w:line="125" w:lineRule="exact"/>
              <w:rPr>
                <w:sz w:val="20"/>
                <w:szCs w:val="20"/>
                <w:color w:val="auto"/>
              </w:rPr>
            </w:pPr>
            <w:r>
              <w:rPr>
                <w:rFonts w:ascii="Arial" w:cs="Arial" w:eastAsia="Arial" w:hAnsi="Arial"/>
                <w:sz w:val="12"/>
                <w:szCs w:val="12"/>
                <w:color w:val="auto"/>
              </w:rPr>
              <w:t>Pro forma adjustment to eliminate the interest expense related to the</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27,707</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9"/>
              <w:spacing w:after="0"/>
              <w:rPr>
                <w:sz w:val="20"/>
                <w:szCs w:val="20"/>
                <w:color w:val="auto"/>
              </w:rPr>
            </w:pPr>
            <w:r>
              <w:rPr>
                <w:rFonts w:ascii="Arial" w:cs="Arial" w:eastAsia="Arial" w:hAnsi="Arial"/>
                <w:sz w:val="12"/>
                <w:szCs w:val="12"/>
                <w:color w:val="auto"/>
              </w:rPr>
              <w:t>12,770</w:t>
            </w:r>
          </w:p>
        </w:tc>
        <w:tc>
          <w:tcPr>
            <w:tcW w:w="0" w:type="dxa"/>
            <w:vAlign w:val="bottom"/>
          </w:tcPr>
          <w:p>
            <w:pPr>
              <w:spacing w:after="0"/>
              <w:rPr>
                <w:sz w:val="1"/>
                <w:szCs w:val="1"/>
                <w:color w:val="auto"/>
              </w:rPr>
            </w:pPr>
          </w:p>
        </w:tc>
      </w:tr>
      <w:tr>
        <w:trPr>
          <w:trHeight w:val="171"/>
        </w:trPr>
        <w:tc>
          <w:tcPr>
            <w:tcW w:w="4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 xml:space="preserve">Convertible Notes </w:t>
            </w:r>
            <w:r>
              <w:rPr>
                <w:rFonts w:ascii="Times New Roman" w:cs="Times New Roman" w:eastAsia="Times New Roman" w:hAnsi="Times New Roman"/>
                <w:sz w:val="12"/>
                <w:szCs w:val="12"/>
                <w:color w:val="B4B4B4"/>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300" w:type="dxa"/>
            <w:vAlign w:val="bottom"/>
          </w:tcPr>
          <w:p>
            <w:pPr>
              <w:ind w:left="180"/>
              <w:spacing w:after="0" w:line="125" w:lineRule="exact"/>
              <w:rPr>
                <w:sz w:val="20"/>
                <w:szCs w:val="20"/>
                <w:color w:val="auto"/>
              </w:rPr>
            </w:pPr>
            <w:r>
              <w:rPr>
                <w:rFonts w:ascii="Arial" w:cs="Arial" w:eastAsia="Arial" w:hAnsi="Arial"/>
                <w:sz w:val="12"/>
                <w:szCs w:val="12"/>
                <w:color w:val="auto"/>
              </w:rPr>
              <w:t>Pro forma adjustment to eliminate the change in fair value recognized</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(12,330)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(21,320)</w:t>
            </w:r>
          </w:p>
        </w:tc>
        <w:tc>
          <w:tcPr>
            <w:tcW w:w="0" w:type="dxa"/>
            <w:vAlign w:val="bottom"/>
          </w:tcPr>
          <w:p>
            <w:pPr>
              <w:spacing w:after="0"/>
              <w:rPr>
                <w:sz w:val="1"/>
                <w:szCs w:val="1"/>
                <w:color w:val="auto"/>
              </w:rPr>
            </w:pPr>
          </w:p>
        </w:tc>
      </w:tr>
      <w:tr>
        <w:trPr>
          <w:trHeight w:val="165"/>
        </w:trPr>
        <w:tc>
          <w:tcPr>
            <w:tcW w:w="4300" w:type="dxa"/>
            <w:vAlign w:val="bottom"/>
          </w:tcPr>
          <w:p>
            <w:pPr>
              <w:ind w:left="300"/>
              <w:spacing w:after="0"/>
              <w:rPr>
                <w:sz w:val="20"/>
                <w:szCs w:val="20"/>
                <w:color w:val="auto"/>
              </w:rPr>
            </w:pPr>
            <w:r>
              <w:rPr>
                <w:rFonts w:ascii="Arial" w:cs="Arial" w:eastAsia="Arial" w:hAnsi="Arial"/>
                <w:sz w:val="12"/>
                <w:szCs w:val="12"/>
                <w:color w:val="auto"/>
              </w:rPr>
              <w:t xml:space="preserve">on the embedded derivative liability related to the Note Conversion  </w:t>
            </w:r>
            <w:r>
              <w:rPr>
                <w:rFonts w:ascii="Times New Roman" w:cs="Times New Roman" w:eastAsia="Times New Roman" w:hAnsi="Times New Roman"/>
                <w:sz w:val="12"/>
                <w:szCs w:val="12"/>
                <w:color w:val="B4B4B4"/>
              </w:rPr>
              <w:t>.....</w:t>
            </w: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4300" w:type="dxa"/>
            <w:vAlign w:val="bottom"/>
            <w:shd w:val="clear" w:color="auto" w:fill="CCEEFF"/>
          </w:tcPr>
          <w:p>
            <w:pPr>
              <w:ind w:left="180"/>
              <w:spacing w:after="0" w:line="125" w:lineRule="exact"/>
              <w:rPr>
                <w:sz w:val="20"/>
                <w:szCs w:val="20"/>
                <w:color w:val="auto"/>
              </w:rPr>
            </w:pPr>
            <w:r>
              <w:rPr>
                <w:rFonts w:ascii="Arial" w:cs="Arial" w:eastAsia="Arial" w:hAnsi="Arial"/>
                <w:sz w:val="12"/>
                <w:szCs w:val="12"/>
                <w:color w:val="auto"/>
              </w:rPr>
              <w:t>Pro forma adjustment to eliminate the change in fair value recognized</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9"/>
              <w:spacing w:after="0"/>
              <w:rPr>
                <w:sz w:val="20"/>
                <w:szCs w:val="20"/>
                <w:color w:val="auto"/>
              </w:rPr>
            </w:pPr>
            <w:r>
              <w:rPr>
                <w:rFonts w:ascii="Arial" w:cs="Arial" w:eastAsia="Arial" w:hAnsi="Arial"/>
                <w:sz w:val="12"/>
                <w:szCs w:val="12"/>
                <w:color w:val="auto"/>
              </w:rPr>
              <w:t>35,700</w:t>
            </w:r>
          </w:p>
        </w:tc>
        <w:tc>
          <w:tcPr>
            <w:tcW w:w="0" w:type="dxa"/>
            <w:vAlign w:val="bottom"/>
          </w:tcPr>
          <w:p>
            <w:pPr>
              <w:spacing w:after="0"/>
              <w:rPr>
                <w:sz w:val="1"/>
                <w:szCs w:val="1"/>
                <w:color w:val="auto"/>
              </w:rPr>
            </w:pPr>
          </w:p>
        </w:tc>
      </w:tr>
      <w:tr>
        <w:trPr>
          <w:trHeight w:val="191"/>
        </w:trPr>
        <w:tc>
          <w:tcPr>
            <w:tcW w:w="4300" w:type="dxa"/>
            <w:vAlign w:val="bottom"/>
            <w:shd w:val="clear" w:color="auto" w:fill="CCEEFF"/>
          </w:tcPr>
          <w:p>
            <w:pPr>
              <w:ind w:left="300"/>
              <w:spacing w:after="0" w:line="191" w:lineRule="exact"/>
              <w:rPr>
                <w:sz w:val="20"/>
                <w:szCs w:val="20"/>
                <w:color w:val="auto"/>
              </w:rPr>
            </w:pPr>
            <w:r>
              <w:rPr>
                <w:rFonts w:ascii="Arial" w:cs="Arial" w:eastAsia="Arial" w:hAnsi="Arial"/>
                <w:sz w:val="12"/>
                <w:szCs w:val="12"/>
                <w:color w:val="auto"/>
              </w:rPr>
              <w:t xml:space="preserve">related to the SAFE Conversion </w:t>
            </w:r>
            <w:r>
              <w:rPr>
                <w:rFonts w:ascii="Arial" w:cs="Arial" w:eastAsia="Arial" w:hAnsi="Arial"/>
                <w:sz w:val="17"/>
                <w:szCs w:val="17"/>
                <w:color w:val="auto"/>
                <w:vertAlign w:val="superscript"/>
              </w:rPr>
              <w:t>(1)</w:t>
            </w:r>
            <w:r>
              <w:rPr>
                <w:rFonts w:ascii="Times New Roman" w:cs="Times New Roman" w:eastAsia="Times New Roman" w:hAnsi="Times New Roman"/>
                <w:sz w:val="12"/>
                <w:szCs w:val="12"/>
                <w:color w:val="B4B4B4"/>
              </w:rPr>
              <w:t>.................................................................</w:t>
            </w: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300" w:type="dxa"/>
            <w:vAlign w:val="bottom"/>
          </w:tcPr>
          <w:p>
            <w:pPr>
              <w:ind w:left="180"/>
              <w:spacing w:after="0" w:line="125" w:lineRule="exact"/>
              <w:rPr>
                <w:sz w:val="20"/>
                <w:szCs w:val="20"/>
                <w:color w:val="auto"/>
              </w:rPr>
            </w:pPr>
            <w:r>
              <w:rPr>
                <w:rFonts w:ascii="Arial" w:cs="Arial" w:eastAsia="Arial" w:hAnsi="Arial"/>
                <w:sz w:val="12"/>
                <w:szCs w:val="12"/>
                <w:color w:val="auto"/>
              </w:rPr>
              <w:t>Pro forma adjustment to eliminate the change in fair value recognized</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3,500</w:t>
            </w:r>
          </w:p>
        </w:tc>
        <w:tc>
          <w:tcPr>
            <w:tcW w:w="0" w:type="dxa"/>
            <w:vAlign w:val="bottom"/>
          </w:tcPr>
          <w:p>
            <w:pPr>
              <w:spacing w:after="0"/>
              <w:rPr>
                <w:sz w:val="1"/>
                <w:szCs w:val="1"/>
                <w:color w:val="auto"/>
              </w:rPr>
            </w:pPr>
          </w:p>
        </w:tc>
      </w:tr>
      <w:tr>
        <w:trPr>
          <w:trHeight w:val="191"/>
        </w:trPr>
        <w:tc>
          <w:tcPr>
            <w:tcW w:w="4300" w:type="dxa"/>
            <w:vAlign w:val="bottom"/>
          </w:tcPr>
          <w:p>
            <w:pPr>
              <w:ind w:left="300"/>
              <w:spacing w:after="0" w:line="191" w:lineRule="exact"/>
              <w:rPr>
                <w:sz w:val="20"/>
                <w:szCs w:val="20"/>
                <w:color w:val="auto"/>
              </w:rPr>
            </w:pPr>
            <w:r>
              <w:rPr>
                <w:rFonts w:ascii="Arial" w:cs="Arial" w:eastAsia="Arial" w:hAnsi="Arial"/>
                <w:sz w:val="12"/>
                <w:szCs w:val="12"/>
                <w:color w:val="auto"/>
              </w:rPr>
              <w:t xml:space="preserve">related to the SAFE Warrants </w:t>
            </w:r>
            <w:r>
              <w:rPr>
                <w:rFonts w:ascii="Arial" w:cs="Arial" w:eastAsia="Arial" w:hAnsi="Arial"/>
                <w:sz w:val="17"/>
                <w:szCs w:val="17"/>
                <w:color w:val="auto"/>
                <w:vertAlign w:val="superscript"/>
              </w:rPr>
              <w:t>(1)</w:t>
            </w:r>
            <w:r>
              <w:rPr>
                <w:rFonts w:ascii="Times New Roman" w:cs="Times New Roman" w:eastAsia="Times New Roman" w:hAnsi="Times New Roman"/>
                <w:sz w:val="12"/>
                <w:szCs w:val="12"/>
                <w:color w:val="B4B4B4"/>
              </w:rPr>
              <w:t>.....................................................................</w:t>
            </w: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300" w:type="dxa"/>
            <w:vAlign w:val="bottom"/>
            <w:shd w:val="clear" w:color="auto" w:fill="CCEEFF"/>
          </w:tcPr>
          <w:p>
            <w:pPr>
              <w:ind w:left="180"/>
              <w:spacing w:after="0" w:line="125" w:lineRule="exact"/>
              <w:rPr>
                <w:sz w:val="20"/>
                <w:szCs w:val="20"/>
                <w:color w:val="auto"/>
              </w:rPr>
            </w:pPr>
            <w:r>
              <w:rPr>
                <w:rFonts w:ascii="Arial" w:cs="Arial" w:eastAsia="Arial" w:hAnsi="Arial"/>
                <w:sz w:val="12"/>
                <w:szCs w:val="12"/>
                <w:color w:val="auto"/>
              </w:rPr>
              <w:t>Pro forma adjustment to recognize the net loss upon the Note</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300" w:type="dxa"/>
            <w:vAlign w:val="bottom"/>
            <w:shd w:val="clear" w:color="auto" w:fill="CCEEFF"/>
          </w:tcPr>
          <w:p>
            <w:pPr>
              <w:ind w:left="300"/>
              <w:spacing w:after="0" w:line="125" w:lineRule="exact"/>
              <w:rPr>
                <w:sz w:val="20"/>
                <w:szCs w:val="20"/>
                <w:color w:val="auto"/>
              </w:rPr>
            </w:pPr>
            <w:r>
              <w:rPr>
                <w:rFonts w:ascii="Arial" w:cs="Arial" w:eastAsia="Arial" w:hAnsi="Arial"/>
                <w:sz w:val="12"/>
                <w:szCs w:val="12"/>
                <w:color w:val="auto"/>
              </w:rPr>
              <w:t>Conversion, the SAFE Conversion, the Warrant Determination, and</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300" w:type="dxa"/>
            <w:vAlign w:val="bottom"/>
            <w:shd w:val="clear" w:color="auto" w:fill="CCEEFF"/>
          </w:tcPr>
          <w:p>
            <w:pPr>
              <w:ind w:left="300"/>
              <w:spacing w:after="0" w:line="125" w:lineRule="exact"/>
              <w:rPr>
                <w:sz w:val="20"/>
                <w:szCs w:val="20"/>
                <w:color w:val="auto"/>
              </w:rPr>
            </w:pPr>
            <w:r>
              <w:rPr>
                <w:rFonts w:ascii="Arial" w:cs="Arial" w:eastAsia="Arial" w:hAnsi="Arial"/>
                <w:sz w:val="12"/>
                <w:szCs w:val="12"/>
                <w:color w:val="auto"/>
              </w:rPr>
              <w:t>the revaluation of the redeemable convertible preferred stock warrant</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(113,434)</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1"/>
        </w:trPr>
        <w:tc>
          <w:tcPr>
            <w:tcW w:w="4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 xml:space="preserve">liability </w:t>
            </w:r>
            <w:r>
              <w:rPr>
                <w:rFonts w:ascii="Times New Roman" w:cs="Times New Roman" w:eastAsia="Times New Roman" w:hAnsi="Times New Roman"/>
                <w:sz w:val="12"/>
                <w:szCs w:val="12"/>
                <w:color w:val="B4B4B4"/>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Proformanetlossattributabletocommonstockholders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(309,344)</w:t>
            </w:r>
          </w:p>
        </w:tc>
        <w:tc>
          <w:tcPr>
            <w:tcW w:w="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(100,086)</w:t>
            </w:r>
          </w:p>
        </w:tc>
        <w:tc>
          <w:tcPr>
            <w:tcW w:w="0" w:type="dxa"/>
            <w:vAlign w:val="bottom"/>
          </w:tcPr>
          <w:p>
            <w:pPr>
              <w:spacing w:after="0"/>
              <w:rPr>
                <w:sz w:val="1"/>
                <w:szCs w:val="1"/>
                <w:color w:val="auto"/>
              </w:rPr>
            </w:pPr>
          </w:p>
        </w:tc>
      </w:tr>
      <w:tr>
        <w:trPr>
          <w:trHeight w:val="163"/>
        </w:trPr>
        <w:tc>
          <w:tcPr>
            <w:tcW w:w="4300" w:type="dxa"/>
            <w:vAlign w:val="bottom"/>
            <w:shd w:val="clear" w:color="auto" w:fill="CCEEFF"/>
          </w:tcPr>
          <w:p>
            <w:pPr>
              <w:ind w:left="40"/>
              <w:spacing w:after="0"/>
              <w:rPr>
                <w:sz w:val="20"/>
                <w:szCs w:val="20"/>
                <w:color w:val="auto"/>
              </w:rPr>
            </w:pPr>
            <w:r>
              <w:rPr>
                <w:rFonts w:ascii="Arial" w:cs="Arial" w:eastAsia="Arial" w:hAnsi="Arial"/>
                <w:sz w:val="12"/>
                <w:szCs w:val="12"/>
                <w:color w:val="auto"/>
              </w:rPr>
              <w:t>Denominator:</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300" w:type="dxa"/>
            <w:vAlign w:val="bottom"/>
          </w:tcPr>
          <w:p>
            <w:pPr>
              <w:ind w:left="180"/>
              <w:spacing w:after="0" w:line="125" w:lineRule="exact"/>
              <w:rPr>
                <w:sz w:val="20"/>
                <w:szCs w:val="20"/>
                <w:color w:val="auto"/>
              </w:rPr>
            </w:pPr>
            <w:r>
              <w:rPr>
                <w:rFonts w:ascii="Arial" w:cs="Arial" w:eastAsia="Arial" w:hAnsi="Arial"/>
                <w:sz w:val="12"/>
                <w:szCs w:val="12"/>
                <w:color w:val="auto"/>
              </w:rPr>
              <w:t>Weighted-average shares outstanding used to compute net loss per</w:t>
            </w:r>
          </w:p>
        </w:tc>
        <w:tc>
          <w:tcPr>
            <w:tcW w:w="120" w:type="dxa"/>
            <w:vAlign w:val="bottom"/>
          </w:tcPr>
          <w:p>
            <w:pPr>
              <w:spacing w:after="0"/>
              <w:rPr>
                <w:sz w:val="10"/>
                <w:szCs w:val="10"/>
                <w:color w:val="auto"/>
              </w:rPr>
            </w:pPr>
          </w:p>
        </w:tc>
        <w:tc>
          <w:tcPr>
            <w:tcW w:w="700" w:type="dxa"/>
            <w:vAlign w:val="bottom"/>
            <w:vMerge w:val="restart"/>
          </w:tcPr>
          <w:p>
            <w:pPr>
              <w:jc w:val="right"/>
              <w:ind w:right="20"/>
              <w:spacing w:after="0"/>
              <w:rPr>
                <w:sz w:val="20"/>
                <w:szCs w:val="20"/>
                <w:color w:val="auto"/>
              </w:rPr>
            </w:pPr>
            <w:r>
              <w:rPr>
                <w:rFonts w:ascii="Arial" w:cs="Arial" w:eastAsia="Arial" w:hAnsi="Arial"/>
                <w:sz w:val="12"/>
                <w:szCs w:val="12"/>
                <w:color w:val="auto"/>
                <w:w w:val="99"/>
              </w:rPr>
              <w:t>45,271,666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2"/>
                <w:szCs w:val="12"/>
                <w:color w:val="auto"/>
              </w:rPr>
              <w:t>46,350,553</w:t>
            </w:r>
          </w:p>
        </w:tc>
        <w:tc>
          <w:tcPr>
            <w:tcW w:w="0" w:type="dxa"/>
            <w:vAlign w:val="bottom"/>
          </w:tcPr>
          <w:p>
            <w:pPr>
              <w:spacing w:after="0"/>
              <w:rPr>
                <w:sz w:val="1"/>
                <w:szCs w:val="1"/>
                <w:color w:val="auto"/>
              </w:rPr>
            </w:pPr>
          </w:p>
        </w:tc>
      </w:tr>
      <w:tr>
        <w:trPr>
          <w:trHeight w:val="165"/>
        </w:trPr>
        <w:tc>
          <w:tcPr>
            <w:tcW w:w="4300" w:type="dxa"/>
            <w:vAlign w:val="bottom"/>
          </w:tcPr>
          <w:p>
            <w:pPr>
              <w:ind w:left="300"/>
              <w:spacing w:after="0"/>
              <w:rPr>
                <w:sz w:val="20"/>
                <w:szCs w:val="20"/>
                <w:color w:val="auto"/>
              </w:rPr>
            </w:pPr>
            <w:r>
              <w:rPr>
                <w:rFonts w:ascii="Arial" w:cs="Arial" w:eastAsia="Arial" w:hAnsi="Arial"/>
                <w:sz w:val="12"/>
                <w:szCs w:val="12"/>
                <w:color w:val="auto"/>
              </w:rPr>
              <w:t xml:space="preserve">share attributable to common stockholders, basic and diluted  </w:t>
            </w:r>
            <w:r>
              <w:rPr>
                <w:rFonts w:ascii="Times New Roman" w:cs="Times New Roman" w:eastAsia="Times New Roman" w:hAnsi="Times New Roman"/>
                <w:sz w:val="12"/>
                <w:szCs w:val="12"/>
                <w:color w:val="B4B4B4"/>
              </w:rPr>
              <w:t>................</w:t>
            </w: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Pro forma adjustment to reflect the Capital Stock Conversion  </w:t>
            </w:r>
            <w:r>
              <w:rPr>
                <w:rFonts w:ascii="Times New Roman" w:cs="Times New Roman" w:eastAsia="Times New Roman" w:hAnsi="Times New Roman"/>
                <w:sz w:val="12"/>
                <w:szCs w:val="12"/>
                <w:color w:val="B4B4B4"/>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146,589,046</w:t>
            </w:r>
          </w:p>
        </w:tc>
        <w:tc>
          <w:tcPr>
            <w:tcW w:w="860" w:type="dxa"/>
            <w:vAlign w:val="bottom"/>
            <w:gridSpan w:val="3"/>
            <w:shd w:val="clear" w:color="auto" w:fill="CCEEFF"/>
          </w:tcPr>
          <w:p>
            <w:pPr>
              <w:jc w:val="right"/>
              <w:ind w:right="19"/>
              <w:spacing w:after="0"/>
              <w:rPr>
                <w:sz w:val="20"/>
                <w:szCs w:val="20"/>
                <w:color w:val="auto"/>
              </w:rPr>
            </w:pPr>
            <w:r>
              <w:rPr>
                <w:rFonts w:ascii="Arial" w:cs="Arial" w:eastAsia="Arial" w:hAnsi="Arial"/>
                <w:sz w:val="12"/>
                <w:szCs w:val="12"/>
                <w:color w:val="auto"/>
              </w:rPr>
              <w:t>146,589,046</w:t>
            </w:r>
          </w:p>
        </w:tc>
        <w:tc>
          <w:tcPr>
            <w:tcW w:w="0" w:type="dxa"/>
            <w:vAlign w:val="bottom"/>
          </w:tcPr>
          <w:p>
            <w:pPr>
              <w:spacing w:after="0"/>
              <w:rPr>
                <w:sz w:val="1"/>
                <w:szCs w:val="1"/>
                <w:color w:val="auto"/>
              </w:rPr>
            </w:pPr>
          </w:p>
        </w:tc>
      </w:tr>
      <w:tr>
        <w:trPr>
          <w:trHeight w:val="173"/>
        </w:trPr>
        <w:tc>
          <w:tcPr>
            <w:tcW w:w="4300" w:type="dxa"/>
            <w:vAlign w:val="bottom"/>
          </w:tcPr>
          <w:p>
            <w:pPr>
              <w:ind w:left="180"/>
              <w:spacing w:after="0"/>
              <w:rPr>
                <w:sz w:val="20"/>
                <w:szCs w:val="20"/>
                <w:color w:val="auto"/>
              </w:rPr>
            </w:pPr>
            <w:r>
              <w:rPr>
                <w:rFonts w:ascii="Arial" w:cs="Arial" w:eastAsia="Arial" w:hAnsi="Arial"/>
                <w:sz w:val="12"/>
                <w:szCs w:val="12"/>
                <w:color w:val="auto"/>
              </w:rPr>
              <w:t xml:space="preserve">Pro forma adjustment to reflect the RSU Net Settlement  </w:t>
            </w:r>
            <w:r>
              <w:rPr>
                <w:rFonts w:ascii="Times New Roman" w:cs="Times New Roman" w:eastAsia="Times New Roman" w:hAnsi="Times New Roman"/>
                <w:sz w:val="12"/>
                <w:szCs w:val="12"/>
                <w:color w:val="B4B4B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331,173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512,230</w:t>
            </w:r>
          </w:p>
        </w:tc>
        <w:tc>
          <w:tcPr>
            <w:tcW w:w="0" w:type="dxa"/>
            <w:vAlign w:val="bottom"/>
          </w:tcPr>
          <w:p>
            <w:pPr>
              <w:spacing w:after="0"/>
              <w:rPr>
                <w:sz w:val="1"/>
                <w:szCs w:val="1"/>
                <w:color w:val="auto"/>
              </w:rPr>
            </w:pPr>
          </w:p>
        </w:tc>
      </w:tr>
      <w:tr>
        <w:trPr>
          <w:trHeight w:val="143"/>
        </w:trPr>
        <w:tc>
          <w:tcPr>
            <w:tcW w:w="4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Pro forma adjustment to reflect the conversion of the redeemable</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300" w:type="dxa"/>
            <w:vAlign w:val="bottom"/>
            <w:shd w:val="clear" w:color="auto" w:fill="CCEEFF"/>
          </w:tcPr>
          <w:p>
            <w:pPr>
              <w:ind w:left="300"/>
              <w:spacing w:after="0" w:line="125" w:lineRule="exact"/>
              <w:rPr>
                <w:sz w:val="20"/>
                <w:szCs w:val="20"/>
                <w:color w:val="auto"/>
              </w:rPr>
            </w:pPr>
            <w:r>
              <w:rPr>
                <w:rFonts w:ascii="Arial" w:cs="Arial" w:eastAsia="Arial" w:hAnsi="Arial"/>
                <w:sz w:val="12"/>
                <w:szCs w:val="12"/>
                <w:color w:val="auto"/>
              </w:rPr>
              <w:t>convertible preferred stock warrant liability to equity classified Class A</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40,160</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9"/>
              <w:spacing w:after="0"/>
              <w:rPr>
                <w:sz w:val="20"/>
                <w:szCs w:val="20"/>
                <w:color w:val="auto"/>
              </w:rPr>
            </w:pPr>
            <w:r>
              <w:rPr>
                <w:rFonts w:ascii="Arial" w:cs="Arial" w:eastAsia="Arial" w:hAnsi="Arial"/>
                <w:sz w:val="12"/>
                <w:szCs w:val="12"/>
                <w:color w:val="auto"/>
              </w:rPr>
              <w:t>40,160</w:t>
            </w:r>
          </w:p>
        </w:tc>
        <w:tc>
          <w:tcPr>
            <w:tcW w:w="0" w:type="dxa"/>
            <w:vAlign w:val="bottom"/>
          </w:tcPr>
          <w:p>
            <w:pPr>
              <w:spacing w:after="0"/>
              <w:rPr>
                <w:sz w:val="1"/>
                <w:szCs w:val="1"/>
                <w:color w:val="auto"/>
              </w:rPr>
            </w:pPr>
          </w:p>
        </w:tc>
      </w:tr>
      <w:tr>
        <w:trPr>
          <w:trHeight w:val="171"/>
        </w:trPr>
        <w:tc>
          <w:tcPr>
            <w:tcW w:w="4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 xml:space="preserve">common stock warrants </w:t>
            </w:r>
            <w:r>
              <w:rPr>
                <w:rFonts w:ascii="Times New Roman" w:cs="Times New Roman" w:eastAsia="Times New Roman" w:hAnsi="Times New Roman"/>
                <w:sz w:val="12"/>
                <w:szCs w:val="12"/>
                <w:color w:val="B4B4B4"/>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300" w:type="dxa"/>
            <w:vAlign w:val="bottom"/>
          </w:tcPr>
          <w:p>
            <w:pPr>
              <w:ind w:left="180"/>
              <w:spacing w:after="0"/>
              <w:rPr>
                <w:sz w:val="20"/>
                <w:szCs w:val="20"/>
                <w:color w:val="auto"/>
              </w:rPr>
            </w:pPr>
            <w:r>
              <w:rPr>
                <w:rFonts w:ascii="Arial" w:cs="Arial" w:eastAsia="Arial" w:hAnsi="Arial"/>
                <w:sz w:val="12"/>
                <w:szCs w:val="12"/>
                <w:color w:val="auto"/>
              </w:rPr>
              <w:t xml:space="preserve">Pro forma adjustment to reflect the Note Conversion  </w:t>
            </w:r>
            <w:r>
              <w:rPr>
                <w:rFonts w:ascii="Times New Roman" w:cs="Times New Roman" w:eastAsia="Times New Roman" w:hAnsi="Times New Roman"/>
                <w:sz w:val="12"/>
                <w:szCs w:val="12"/>
                <w:color w:val="B4B4B4"/>
              </w:rPr>
              <w:t>...................................</w:t>
            </w:r>
          </w:p>
        </w:tc>
        <w:tc>
          <w:tcPr>
            <w:tcW w:w="120" w:type="dxa"/>
            <w:vAlign w:val="bottom"/>
          </w:tcPr>
          <w:p>
            <w:pPr>
              <w:spacing w:after="0"/>
              <w:rPr>
                <w:sz w:val="15"/>
                <w:szCs w:val="15"/>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w w:val="99"/>
              </w:rPr>
              <w:t>12,836,457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12,836,457</w:t>
            </w:r>
          </w:p>
        </w:tc>
        <w:tc>
          <w:tcPr>
            <w:tcW w:w="0" w:type="dxa"/>
            <w:vAlign w:val="bottom"/>
          </w:tcPr>
          <w:p>
            <w:pPr>
              <w:spacing w:after="0"/>
              <w:rPr>
                <w:sz w:val="1"/>
                <w:szCs w:val="1"/>
                <w:color w:val="auto"/>
              </w:rPr>
            </w:pPr>
          </w:p>
        </w:tc>
      </w:tr>
      <w:tr>
        <w:trPr>
          <w:trHeight w:val="190"/>
        </w:trPr>
        <w:tc>
          <w:tcPr>
            <w:tcW w:w="4300" w:type="dxa"/>
            <w:vAlign w:val="bottom"/>
            <w:shd w:val="clear" w:color="auto" w:fill="CCEEFF"/>
          </w:tcPr>
          <w:p>
            <w:pPr>
              <w:ind w:left="180"/>
              <w:spacing w:after="0" w:line="190" w:lineRule="exact"/>
              <w:rPr>
                <w:sz w:val="20"/>
                <w:szCs w:val="20"/>
                <w:color w:val="auto"/>
              </w:rPr>
            </w:pPr>
            <w:r>
              <w:rPr>
                <w:rFonts w:ascii="Arial" w:cs="Arial" w:eastAsia="Arial" w:hAnsi="Arial"/>
                <w:sz w:val="12"/>
                <w:szCs w:val="12"/>
                <w:color w:val="auto"/>
              </w:rPr>
              <w:t xml:space="preserve">Pro forma adjustment to reflect the SAFE Conversion </w:t>
            </w:r>
            <w:r>
              <w:rPr>
                <w:rFonts w:ascii="Arial" w:cs="Arial" w:eastAsia="Arial" w:hAnsi="Arial"/>
                <w:sz w:val="17"/>
                <w:szCs w:val="17"/>
                <w:color w:val="auto"/>
                <w:vertAlign w:val="superscript"/>
              </w:rPr>
              <w:t>(1)</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7,858,204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7,858,204</w:t>
            </w:r>
          </w:p>
        </w:tc>
        <w:tc>
          <w:tcPr>
            <w:tcW w:w="0" w:type="dxa"/>
            <w:vAlign w:val="bottom"/>
          </w:tcPr>
          <w:p>
            <w:pPr>
              <w:spacing w:after="0"/>
              <w:rPr>
                <w:sz w:val="1"/>
                <w:szCs w:val="1"/>
                <w:color w:val="auto"/>
              </w:rPr>
            </w:pPr>
          </w:p>
        </w:tc>
      </w:tr>
      <w:tr>
        <w:trPr>
          <w:trHeight w:val="124"/>
        </w:trPr>
        <w:tc>
          <w:tcPr>
            <w:tcW w:w="4300" w:type="dxa"/>
            <w:vAlign w:val="bottom"/>
          </w:tcPr>
          <w:p>
            <w:pPr>
              <w:ind w:left="180"/>
              <w:spacing w:after="0" w:line="125" w:lineRule="exact"/>
              <w:rPr>
                <w:sz w:val="20"/>
                <w:szCs w:val="20"/>
                <w:color w:val="auto"/>
              </w:rPr>
            </w:pPr>
            <w:r>
              <w:rPr>
                <w:rFonts w:ascii="Arial" w:cs="Arial" w:eastAsia="Arial" w:hAnsi="Arial"/>
                <w:sz w:val="12"/>
                <w:szCs w:val="12"/>
                <w:color w:val="auto"/>
              </w:rPr>
              <w:t>Pro forma adjustment to reflect the conversion of the SAFE Warrants to</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1,216,284</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2"/>
                <w:szCs w:val="12"/>
                <w:color w:val="auto"/>
              </w:rPr>
              <w:t>1,216,284</w:t>
            </w:r>
          </w:p>
        </w:tc>
        <w:tc>
          <w:tcPr>
            <w:tcW w:w="0" w:type="dxa"/>
            <w:vAlign w:val="bottom"/>
          </w:tcPr>
          <w:p>
            <w:pPr>
              <w:spacing w:after="0"/>
              <w:rPr>
                <w:sz w:val="1"/>
                <w:szCs w:val="1"/>
                <w:color w:val="auto"/>
              </w:rPr>
            </w:pPr>
          </w:p>
        </w:tc>
      </w:tr>
      <w:tr>
        <w:trPr>
          <w:trHeight w:val="191"/>
        </w:trPr>
        <w:tc>
          <w:tcPr>
            <w:tcW w:w="4300" w:type="dxa"/>
            <w:vAlign w:val="bottom"/>
            <w:tcBorders>
              <w:bottom w:val="single" w:sz="8" w:color="CCEEFF"/>
            </w:tcBorders>
          </w:tcPr>
          <w:p>
            <w:pPr>
              <w:ind w:left="300"/>
              <w:spacing w:after="0" w:line="191" w:lineRule="exact"/>
              <w:rPr>
                <w:sz w:val="20"/>
                <w:szCs w:val="20"/>
                <w:color w:val="auto"/>
              </w:rPr>
            </w:pPr>
            <w:r>
              <w:rPr>
                <w:rFonts w:ascii="Arial" w:cs="Arial" w:eastAsia="Arial" w:hAnsi="Arial"/>
                <w:sz w:val="12"/>
                <w:szCs w:val="12"/>
                <w:color w:val="auto"/>
              </w:rPr>
              <w:t xml:space="preserve">equity classified Class A common stock awards </w:t>
            </w:r>
            <w:r>
              <w:rPr>
                <w:rFonts w:ascii="Arial" w:cs="Arial" w:eastAsia="Arial" w:hAnsi="Arial"/>
                <w:sz w:val="17"/>
                <w:szCs w:val="17"/>
                <w:color w:val="auto"/>
                <w:vertAlign w:val="superscript"/>
              </w:rPr>
              <w:t>(1)</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4300" w:type="dxa"/>
            <w:vAlign w:val="bottom"/>
            <w:shd w:val="clear" w:color="auto" w:fill="CCEEFF"/>
          </w:tcPr>
          <w:p>
            <w:pPr>
              <w:ind w:left="180"/>
              <w:spacing w:after="0" w:line="105" w:lineRule="exact"/>
              <w:rPr>
                <w:sz w:val="20"/>
                <w:szCs w:val="20"/>
                <w:color w:val="auto"/>
              </w:rPr>
            </w:pPr>
            <w:r>
              <w:rPr>
                <w:rFonts w:ascii="Arial" w:cs="Arial" w:eastAsia="Arial" w:hAnsi="Arial"/>
                <w:sz w:val="12"/>
                <w:szCs w:val="12"/>
                <w:color w:val="auto"/>
              </w:rPr>
              <w:t>Weighted-average shares outstanding used to compute, pro forma, net</w:t>
            </w:r>
          </w:p>
        </w:tc>
        <w:tc>
          <w:tcPr>
            <w:tcW w:w="8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214,142,990</w:t>
            </w:r>
          </w:p>
        </w:tc>
        <w:tc>
          <w:tcPr>
            <w:tcW w:w="860" w:type="dxa"/>
            <w:vAlign w:val="bottom"/>
            <w:gridSpan w:val="3"/>
            <w:vMerge w:val="restart"/>
            <w:shd w:val="clear" w:color="auto" w:fill="CCEEFF"/>
          </w:tcPr>
          <w:p>
            <w:pPr>
              <w:jc w:val="right"/>
              <w:ind w:right="19"/>
              <w:spacing w:after="0"/>
              <w:rPr>
                <w:sz w:val="20"/>
                <w:szCs w:val="20"/>
                <w:color w:val="auto"/>
              </w:rPr>
            </w:pPr>
            <w:r>
              <w:rPr>
                <w:rFonts w:ascii="Arial" w:cs="Arial" w:eastAsia="Arial" w:hAnsi="Arial"/>
                <w:sz w:val="12"/>
                <w:szCs w:val="12"/>
                <w:color w:val="auto"/>
              </w:rPr>
              <w:t>215,402,934</w:t>
            </w:r>
          </w:p>
        </w:tc>
        <w:tc>
          <w:tcPr>
            <w:tcW w:w="0" w:type="dxa"/>
            <w:vAlign w:val="bottom"/>
          </w:tcPr>
          <w:p>
            <w:pPr>
              <w:spacing w:after="0"/>
              <w:rPr>
                <w:sz w:val="1"/>
                <w:szCs w:val="1"/>
                <w:color w:val="auto"/>
              </w:rPr>
            </w:pPr>
          </w:p>
        </w:tc>
      </w:tr>
      <w:tr>
        <w:trPr>
          <w:trHeight w:val="191"/>
        </w:trPr>
        <w:tc>
          <w:tcPr>
            <w:tcW w:w="4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 xml:space="preserve">loss per share attributable to common stockholders, basic and diluted  </w:t>
            </w:r>
            <w:r>
              <w:rPr>
                <w:rFonts w:ascii="Times New Roman" w:cs="Times New Roman" w:eastAsia="Times New Roman" w:hAnsi="Times New Roman"/>
                <w:sz w:val="12"/>
                <w:szCs w:val="12"/>
                <w:color w:val="B4B4B4"/>
              </w:rPr>
              <w:t>.</w:t>
            </w: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4300" w:type="dxa"/>
            <w:vAlign w:val="bottom"/>
          </w:tcPr>
          <w:p>
            <w:pPr>
              <w:ind w:left="40"/>
              <w:spacing w:after="0" w:line="105" w:lineRule="exact"/>
              <w:rPr>
                <w:sz w:val="20"/>
                <w:szCs w:val="20"/>
                <w:color w:val="auto"/>
              </w:rPr>
            </w:pPr>
            <w:r>
              <w:rPr>
                <w:rFonts w:ascii="Arial" w:cs="Arial" w:eastAsia="Arial" w:hAnsi="Arial"/>
                <w:sz w:val="12"/>
                <w:szCs w:val="12"/>
                <w:color w:val="auto"/>
              </w:rPr>
              <w:t>Pro forma net loss per share attributable to common stockholders, basic</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(1.44)</w:t>
            </w:r>
          </w:p>
        </w:tc>
        <w:tc>
          <w:tcPr>
            <w:tcW w:w="40" w:type="dxa"/>
            <w:vAlign w:val="bottom"/>
            <w:vMerge w:val="restart"/>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(0.46)</w:t>
            </w:r>
          </w:p>
        </w:tc>
        <w:tc>
          <w:tcPr>
            <w:tcW w:w="0" w:type="dxa"/>
            <w:vAlign w:val="bottom"/>
          </w:tcPr>
          <w:p>
            <w:pPr>
              <w:spacing w:after="0"/>
              <w:rPr>
                <w:sz w:val="1"/>
                <w:szCs w:val="1"/>
                <w:color w:val="auto"/>
              </w:rPr>
            </w:pPr>
          </w:p>
        </w:tc>
      </w:tr>
      <w:tr>
        <w:trPr>
          <w:trHeight w:val="196"/>
        </w:trPr>
        <w:tc>
          <w:tcPr>
            <w:tcW w:w="4300" w:type="dxa"/>
            <w:vAlign w:val="bottom"/>
          </w:tcPr>
          <w:p>
            <w:pPr>
              <w:ind w:left="140"/>
              <w:spacing w:after="0" w:line="172" w:lineRule="exact"/>
              <w:rPr>
                <w:sz w:val="20"/>
                <w:szCs w:val="20"/>
                <w:color w:val="auto"/>
              </w:rPr>
            </w:pPr>
            <w:r>
              <w:rPr>
                <w:rFonts w:ascii="Arial" w:cs="Arial" w:eastAsia="Arial" w:hAnsi="Arial"/>
                <w:sz w:val="12"/>
                <w:szCs w:val="12"/>
                <w:color w:val="auto"/>
              </w:rPr>
              <w:t xml:space="preserve">and diluted </w:t>
            </w:r>
            <w:r>
              <w:rPr>
                <w:rFonts w:ascii="Arial" w:cs="Arial" w:eastAsia="Arial" w:hAnsi="Arial"/>
                <w:sz w:val="17"/>
                <w:szCs w:val="17"/>
                <w:color w:val="auto"/>
                <w:vertAlign w:val="superscript"/>
              </w:rPr>
              <w:t>(2)</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1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_______________</w:t>
      </w:r>
    </w:p>
    <w:p>
      <w:pPr>
        <w:ind w:left="1760" w:hanging="238"/>
        <w:spacing w:after="0" w:line="196" w:lineRule="auto"/>
        <w:tabs>
          <w:tab w:leader="none" w:pos="17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The SAFEs and SAFE Warrants were issued in February and April 2025</w:t>
      </w:r>
    </w:p>
    <w:p>
      <w:pPr>
        <w:ind w:left="1760"/>
        <w:spacing w:after="0" w:line="199" w:lineRule="auto"/>
        <w:rPr>
          <w:rFonts w:ascii="Arial" w:cs="Arial" w:eastAsia="Arial" w:hAnsi="Arial"/>
          <w:sz w:val="11"/>
          <w:szCs w:val="11"/>
          <w:color w:val="auto"/>
        </w:rPr>
      </w:pPr>
      <w:r>
        <w:rPr>
          <w:rFonts w:ascii="Arial" w:cs="Arial" w:eastAsia="Arial" w:hAnsi="Arial"/>
          <w:sz w:val="6"/>
          <w:szCs w:val="6"/>
          <w:color w:val="auto"/>
        </w:rPr>
        <w:t>.</w:t>
      </w:r>
    </w:p>
    <w:p>
      <w:pPr>
        <w:ind w:left="1760" w:right="1920" w:hanging="238"/>
        <w:spacing w:after="0"/>
        <w:tabs>
          <w:tab w:leader="none" w:pos="17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The computations of our basic and diluted pro forma net loss per share are illustrative and assume that th e</w:t>
      </w:r>
    </w:p>
    <w:p>
      <w:pPr>
        <w:spacing w:after="0" w:line="7" w:lineRule="exact"/>
        <w:rPr>
          <w:rFonts w:ascii="Arial" w:cs="Arial" w:eastAsia="Arial" w:hAnsi="Arial"/>
          <w:sz w:val="11"/>
          <w:szCs w:val="11"/>
          <w:color w:val="auto"/>
        </w:rPr>
      </w:pPr>
    </w:p>
    <w:p>
      <w:pPr>
        <w:ind w:left="1760" w:right="1660"/>
        <w:spacing w:after="0"/>
        <w:rPr>
          <w:rFonts w:ascii="Arial" w:cs="Arial" w:eastAsia="Arial" w:hAnsi="Arial"/>
          <w:sz w:val="11"/>
          <w:szCs w:val="11"/>
          <w:color w:val="auto"/>
        </w:rPr>
      </w:pPr>
      <w:r>
        <w:rPr>
          <w:rFonts w:ascii="Arial" w:cs="Arial" w:eastAsia="Arial" w:hAnsi="Arial"/>
          <w:sz w:val="11"/>
          <w:szCs w:val="11"/>
          <w:color w:val="auto"/>
        </w:rPr>
        <w:t>events described below occurred as of February 1, 2024. Our actual net loss per share computations will reflec t</w:t>
      </w:r>
    </w:p>
    <w:p>
      <w:pPr>
        <w:spacing w:after="0" w:line="17" w:lineRule="exact"/>
        <w:rPr>
          <w:rFonts w:ascii="Arial" w:cs="Arial" w:eastAsia="Arial" w:hAnsi="Arial"/>
          <w:sz w:val="11"/>
          <w:szCs w:val="11"/>
          <w:color w:val="auto"/>
        </w:rPr>
      </w:pPr>
    </w:p>
    <w:p>
      <w:pPr>
        <w:ind w:left="1760" w:right="1700"/>
        <w:spacing w:after="0"/>
        <w:rPr>
          <w:rFonts w:ascii="Arial" w:cs="Arial" w:eastAsia="Arial" w:hAnsi="Arial"/>
          <w:sz w:val="11"/>
          <w:szCs w:val="11"/>
          <w:color w:val="auto"/>
        </w:rPr>
      </w:pPr>
      <w:r>
        <w:rPr>
          <w:rFonts w:ascii="Arial" w:cs="Arial" w:eastAsia="Arial" w:hAnsi="Arial"/>
          <w:sz w:val="11"/>
          <w:szCs w:val="11"/>
          <w:color w:val="auto"/>
        </w:rPr>
        <w:t>the effect of the events when they occur, and accordingly, the impact of the below events will differ from the pr o</w:t>
      </w:r>
    </w:p>
    <w:p>
      <w:pPr>
        <w:spacing w:after="0" w:line="7" w:lineRule="exact"/>
        <w:rPr>
          <w:rFonts w:ascii="Arial" w:cs="Arial" w:eastAsia="Arial" w:hAnsi="Arial"/>
          <w:sz w:val="11"/>
          <w:szCs w:val="11"/>
          <w:color w:val="auto"/>
        </w:rPr>
      </w:pPr>
    </w:p>
    <w:p>
      <w:pPr>
        <w:ind w:left="1760" w:right="2080"/>
        <w:spacing w:after="0"/>
        <w:rPr>
          <w:rFonts w:ascii="Arial" w:cs="Arial" w:eastAsia="Arial" w:hAnsi="Arial"/>
          <w:sz w:val="11"/>
          <w:szCs w:val="11"/>
          <w:color w:val="auto"/>
        </w:rPr>
      </w:pPr>
      <w:r>
        <w:rPr>
          <w:rFonts w:ascii="Arial" w:cs="Arial" w:eastAsia="Arial" w:hAnsi="Arial"/>
          <w:sz w:val="11"/>
          <w:szCs w:val="11"/>
          <w:color w:val="auto"/>
        </w:rPr>
        <w:t>forma amounts presented above. Basic and diluted pro forma net loss per share attributable to commo n</w:t>
      </w:r>
    </w:p>
    <w:p>
      <w:pPr>
        <w:spacing w:after="0" w:line="17" w:lineRule="exact"/>
        <w:rPr>
          <w:rFonts w:ascii="Arial" w:cs="Arial" w:eastAsia="Arial" w:hAnsi="Arial"/>
          <w:sz w:val="11"/>
          <w:szCs w:val="11"/>
          <w:color w:val="auto"/>
        </w:rPr>
      </w:pPr>
    </w:p>
    <w:p>
      <w:pPr>
        <w:ind w:left="1760" w:right="1620"/>
        <w:spacing w:after="0"/>
        <w:rPr>
          <w:rFonts w:ascii="Arial" w:cs="Arial" w:eastAsia="Arial" w:hAnsi="Arial"/>
          <w:sz w:val="11"/>
          <w:szCs w:val="11"/>
          <w:color w:val="auto"/>
        </w:rPr>
      </w:pPr>
      <w:r>
        <w:rPr>
          <w:rFonts w:ascii="Arial" w:cs="Arial" w:eastAsia="Arial" w:hAnsi="Arial"/>
          <w:sz w:val="11"/>
          <w:szCs w:val="11"/>
          <w:color w:val="auto"/>
        </w:rPr>
        <w:t>stockholders for the year ended January 31, 2025 and the six months ended July 31, 2025 give effect to (i) stoc k-</w:t>
      </w:r>
    </w:p>
    <w:p>
      <w:pPr>
        <w:spacing w:after="0" w:line="7" w:lineRule="exact"/>
        <w:rPr>
          <w:rFonts w:ascii="Arial" w:cs="Arial" w:eastAsia="Arial" w:hAnsi="Arial"/>
          <w:sz w:val="11"/>
          <w:szCs w:val="11"/>
          <w:color w:val="auto"/>
        </w:rPr>
      </w:pPr>
    </w:p>
    <w:p>
      <w:pPr>
        <w:ind w:left="1760"/>
        <w:spacing w:after="0" w:line="199" w:lineRule="auto"/>
        <w:rPr>
          <w:rFonts w:ascii="Arial" w:cs="Arial" w:eastAsia="Arial" w:hAnsi="Arial"/>
          <w:sz w:val="11"/>
          <w:szCs w:val="11"/>
          <w:color w:val="auto"/>
        </w:rPr>
      </w:pPr>
      <w:r>
        <w:rPr>
          <w:rFonts w:ascii="Arial" w:cs="Arial" w:eastAsia="Arial" w:hAnsi="Arial"/>
          <w:sz w:val="8"/>
          <w:szCs w:val="8"/>
          <w:color w:val="auto"/>
        </w:rPr>
        <w:t>based compensation expense related to RSUs as if the performance condition had been satisfied on February 1</w:t>
      </w:r>
    </w:p>
    <w:p>
      <w:pPr>
        <w:ind w:left="1760"/>
        <w:spacing w:after="0" w:line="199" w:lineRule="auto"/>
        <w:rPr>
          <w:rFonts w:ascii="Arial" w:cs="Arial" w:eastAsia="Arial" w:hAnsi="Arial"/>
          <w:sz w:val="11"/>
          <w:szCs w:val="11"/>
          <w:color w:val="auto"/>
        </w:rPr>
      </w:pPr>
      <w:r>
        <w:rPr>
          <w:rFonts w:ascii="Arial" w:cs="Arial" w:eastAsia="Arial" w:hAnsi="Arial"/>
          <w:sz w:val="6"/>
          <w:szCs w:val="6"/>
          <w:color w:val="auto"/>
        </w:rPr>
        <w:t>,</w:t>
      </w:r>
    </w:p>
    <w:p>
      <w:pPr>
        <w:ind w:left="1760" w:right="1800"/>
        <w:spacing w:after="0"/>
        <w:rPr>
          <w:rFonts w:ascii="Arial" w:cs="Arial" w:eastAsia="Arial" w:hAnsi="Arial"/>
          <w:sz w:val="11"/>
          <w:szCs w:val="11"/>
          <w:color w:val="auto"/>
        </w:rPr>
      </w:pPr>
      <w:r>
        <w:rPr>
          <w:rFonts w:ascii="Arial" w:cs="Arial" w:eastAsia="Arial" w:hAnsi="Arial"/>
          <w:sz w:val="11"/>
          <w:szCs w:val="11"/>
          <w:color w:val="auto"/>
        </w:rPr>
        <w:t>2024, and the related expense had been recognized for the year ended January 31, 2025 and the six month s</w:t>
      </w:r>
    </w:p>
    <w:p>
      <w:pPr>
        <w:spacing w:after="0" w:line="17" w:lineRule="exact"/>
        <w:rPr>
          <w:rFonts w:ascii="Arial" w:cs="Arial" w:eastAsia="Arial" w:hAnsi="Arial"/>
          <w:sz w:val="11"/>
          <w:szCs w:val="11"/>
          <w:color w:val="auto"/>
        </w:rPr>
      </w:pPr>
    </w:p>
    <w:p>
      <w:pPr>
        <w:ind w:left="1760" w:right="1560"/>
        <w:spacing w:after="0"/>
        <w:rPr>
          <w:rFonts w:ascii="Arial" w:cs="Arial" w:eastAsia="Arial" w:hAnsi="Arial"/>
          <w:sz w:val="11"/>
          <w:szCs w:val="11"/>
          <w:color w:val="auto"/>
        </w:rPr>
      </w:pPr>
      <w:r>
        <w:rPr>
          <w:rFonts w:ascii="Arial" w:cs="Arial" w:eastAsia="Arial" w:hAnsi="Arial"/>
          <w:sz w:val="11"/>
          <w:szCs w:val="11"/>
          <w:color w:val="auto"/>
        </w:rPr>
        <w:t>ended July 31, 2025, (ii) the RSU Net Settlement based on the assumed initial offering price o $25.00 per share, f</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ind w:left="1760" w:right="1680"/>
        <w:spacing w:after="0"/>
        <w:rPr>
          <w:sz w:val="20"/>
          <w:szCs w:val="20"/>
          <w:color w:val="auto"/>
        </w:rPr>
      </w:pPr>
      <w:r>
        <w:rPr>
          <w:rFonts w:ascii="Arial" w:cs="Arial" w:eastAsia="Arial" w:hAnsi="Arial"/>
          <w:sz w:val="11"/>
          <w:szCs w:val="11"/>
          <w:color w:val="auto"/>
        </w:rPr>
        <w:t>which is the midpoint of the offering price range set forth on the cover page of this prospectus, and an assume d</w:t>
      </w:r>
    </w:p>
    <w:p>
      <w:pPr>
        <w:spacing w:after="0" w:line="17" w:lineRule="exact"/>
        <w:rPr>
          <w:sz w:val="20"/>
          <w:szCs w:val="20"/>
          <w:color w:val="auto"/>
        </w:rPr>
      </w:pPr>
    </w:p>
    <w:p>
      <w:pPr>
        <w:ind w:left="1980" w:right="1620" w:hanging="229"/>
        <w:spacing w:after="0"/>
        <w:rPr>
          <w:sz w:val="20"/>
          <w:szCs w:val="20"/>
          <w:color w:val="auto"/>
        </w:rPr>
      </w:pPr>
      <w:r>
        <w:rPr>
          <w:rFonts w:ascii="Arial" w:cs="Arial" w:eastAsia="Arial" w:hAnsi="Arial"/>
          <w:sz w:val="11"/>
          <w:szCs w:val="11"/>
          <w:color w:val="auto"/>
        </w:rPr>
        <w:t>44% tax withholding rate, (iii) the elimination of interest expense related to the Convertible Notes and the chang e</w:t>
      </w:r>
    </w:p>
    <w:p>
      <w:pPr>
        <w:spacing w:after="0" w:line="7" w:lineRule="exact"/>
        <w:rPr>
          <w:sz w:val="20"/>
          <w:szCs w:val="20"/>
          <w:color w:val="auto"/>
        </w:rPr>
      </w:pPr>
    </w:p>
    <w:p>
      <w:pPr>
        <w:ind w:left="1760" w:right="1600"/>
        <w:spacing w:after="0"/>
        <w:rPr>
          <w:sz w:val="20"/>
          <w:szCs w:val="20"/>
          <w:color w:val="auto"/>
        </w:rPr>
      </w:pPr>
      <w:r>
        <w:rPr>
          <w:rFonts w:ascii="Arial" w:cs="Arial" w:eastAsia="Arial" w:hAnsi="Arial"/>
          <w:sz w:val="11"/>
          <w:szCs w:val="11"/>
          <w:color w:val="auto"/>
        </w:rPr>
        <w:t>in fair value recognized on the embedded derivative liability related to the Convertible Notes during the applicabl e</w:t>
      </w:r>
    </w:p>
    <w:p>
      <w:pPr>
        <w:spacing w:after="0" w:line="17" w:lineRule="exact"/>
        <w:rPr>
          <w:sz w:val="20"/>
          <w:szCs w:val="20"/>
          <w:color w:val="auto"/>
        </w:rPr>
      </w:pPr>
    </w:p>
    <w:p>
      <w:pPr>
        <w:ind w:left="1760" w:right="1700"/>
        <w:spacing w:after="0"/>
        <w:rPr>
          <w:sz w:val="20"/>
          <w:szCs w:val="20"/>
          <w:color w:val="auto"/>
        </w:rPr>
      </w:pPr>
      <w:r>
        <w:rPr>
          <w:rFonts w:ascii="Arial" w:cs="Arial" w:eastAsia="Arial" w:hAnsi="Arial"/>
          <w:sz w:val="11"/>
          <w:szCs w:val="11"/>
          <w:color w:val="auto"/>
        </w:rPr>
        <w:t>periods as if the Note Conversion had occurred on February 1, 2024, based upon (A) the assumed initial publi c</w:t>
      </w:r>
    </w:p>
    <w:p>
      <w:pPr>
        <w:ind w:left="1760"/>
        <w:spacing w:after="0" w:line="185" w:lineRule="auto"/>
        <w:rPr>
          <w:sz w:val="20"/>
          <w:szCs w:val="20"/>
          <w:color w:val="auto"/>
        </w:rPr>
      </w:pPr>
      <w:r>
        <w:rPr>
          <w:rFonts w:ascii="Arial" w:cs="Arial" w:eastAsia="Arial" w:hAnsi="Arial"/>
          <w:sz w:val="10"/>
          <w:szCs w:val="10"/>
          <w:color w:val="auto"/>
        </w:rPr>
        <w:t>offering price of $25.00</w:t>
      </w:r>
      <w:r>
        <w:rPr>
          <w:rFonts w:ascii="Arial" w:cs="Arial" w:eastAsia="Arial" w:hAnsi="Arial"/>
          <w:sz w:val="17"/>
          <w:szCs w:val="17"/>
          <w:color w:val="auto"/>
          <w:vertAlign w:val="subscript"/>
        </w:rPr>
        <w:t>f</w:t>
      </w:r>
      <w:r>
        <w:rPr>
          <w:rFonts w:ascii="Arial" w:cs="Arial" w:eastAsia="Arial" w:hAnsi="Arial"/>
          <w:sz w:val="10"/>
          <w:szCs w:val="10"/>
          <w:color w:val="auto"/>
        </w:rPr>
        <w:t>per share, which is the midpoint of the offering price range set forth on the cover page o</w:t>
      </w:r>
    </w:p>
    <w:p>
      <w:pPr>
        <w:ind w:left="5360" w:right="1760" w:hanging="3616"/>
        <w:spacing w:after="0"/>
        <w:rPr>
          <w:sz w:val="20"/>
          <w:szCs w:val="20"/>
          <w:color w:val="auto"/>
        </w:rPr>
      </w:pPr>
      <w:r>
        <w:rPr>
          <w:rFonts w:ascii="Arial" w:cs="Arial" w:eastAsia="Arial" w:hAnsi="Arial"/>
          <w:sz w:val="11"/>
          <w:szCs w:val="11"/>
          <w:color w:val="auto"/>
        </w:rPr>
        <w:t>this prospectus, and (B) an assumed completion date of this offering of November 3, 202 , (iv) the automatic 5</w:t>
      </w:r>
    </w:p>
    <w:p>
      <w:pPr>
        <w:spacing w:after="0" w:line="7" w:lineRule="exact"/>
        <w:rPr>
          <w:sz w:val="20"/>
          <w:szCs w:val="20"/>
          <w:color w:val="auto"/>
        </w:rPr>
      </w:pPr>
    </w:p>
    <w:p>
      <w:pPr>
        <w:ind w:left="1760" w:right="1780"/>
        <w:spacing w:after="0"/>
        <w:rPr>
          <w:sz w:val="20"/>
          <w:szCs w:val="20"/>
          <w:color w:val="auto"/>
        </w:rPr>
      </w:pPr>
      <w:r>
        <w:rPr>
          <w:rFonts w:ascii="Arial" w:cs="Arial" w:eastAsia="Arial" w:hAnsi="Arial"/>
          <w:sz w:val="11"/>
          <w:szCs w:val="11"/>
          <w:color w:val="auto"/>
        </w:rPr>
        <w:t>conversion of the redeemable convertible preferred stock warrant liability to equity classified Class A commo n</w:t>
      </w:r>
    </w:p>
    <w:p>
      <w:pPr>
        <w:spacing w:after="0" w:line="7" w:lineRule="exact"/>
        <w:rPr>
          <w:sz w:val="20"/>
          <w:szCs w:val="20"/>
          <w:color w:val="auto"/>
        </w:rPr>
      </w:pPr>
    </w:p>
    <w:p>
      <w:pPr>
        <w:ind w:left="1760" w:right="1620"/>
        <w:spacing w:after="0"/>
        <w:rPr>
          <w:sz w:val="20"/>
          <w:szCs w:val="20"/>
          <w:color w:val="auto"/>
        </w:rPr>
      </w:pPr>
      <w:r>
        <w:rPr>
          <w:rFonts w:ascii="Arial" w:cs="Arial" w:eastAsia="Arial" w:hAnsi="Arial"/>
          <w:sz w:val="11"/>
          <w:szCs w:val="11"/>
          <w:color w:val="auto"/>
        </w:rPr>
        <w:t>stock warrants issuable for little to no consideration, and the elimination of the change in fair value recognized o n</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1"/>
          <w:szCs w:val="11"/>
          <w:color w:val="auto"/>
        </w:rPr>
        <w:t>the preferred stock warrant liability during the applicable periods, (v) the SAFE Conversion, as if the conversion</w:t>
      </w:r>
    </w:p>
    <w:p>
      <w:pPr>
        <w:spacing w:after="0" w:line="7" w:lineRule="exact"/>
        <w:rPr>
          <w:sz w:val="20"/>
          <w:szCs w:val="20"/>
          <w:color w:val="auto"/>
        </w:rPr>
      </w:pPr>
    </w:p>
    <w:p>
      <w:pPr>
        <w:ind w:left="1760" w:right="1620"/>
        <w:spacing w:after="0"/>
        <w:rPr>
          <w:sz w:val="20"/>
          <w:szCs w:val="20"/>
          <w:color w:val="auto"/>
        </w:rPr>
      </w:pPr>
      <w:r>
        <w:rPr>
          <w:rFonts w:ascii="Arial" w:cs="Arial" w:eastAsia="Arial" w:hAnsi="Arial"/>
          <w:sz w:val="11"/>
          <w:szCs w:val="11"/>
          <w:color w:val="auto"/>
        </w:rPr>
        <w:t>had occurred on February 1, 2024, based upon (A) the assumed initial public offering price o $25.00 per share, f</w:t>
      </w:r>
    </w:p>
    <w:p>
      <w:pPr>
        <w:spacing w:after="0" w:line="17" w:lineRule="exact"/>
        <w:rPr>
          <w:sz w:val="20"/>
          <w:szCs w:val="20"/>
          <w:color w:val="auto"/>
        </w:rPr>
      </w:pPr>
    </w:p>
    <w:p>
      <w:pPr>
        <w:ind w:left="1760" w:right="1660"/>
        <w:spacing w:after="0"/>
        <w:rPr>
          <w:sz w:val="20"/>
          <w:szCs w:val="20"/>
          <w:color w:val="auto"/>
        </w:rPr>
      </w:pPr>
      <w:r>
        <w:rPr>
          <w:rFonts w:ascii="Arial" w:cs="Arial" w:eastAsia="Arial" w:hAnsi="Arial"/>
          <w:sz w:val="11"/>
          <w:szCs w:val="11"/>
          <w:color w:val="auto"/>
        </w:rPr>
        <w:t>which is the midpoint of the offering price range set forth on the cover page of this prospectus, which we refer t o</w:t>
      </w:r>
    </w:p>
    <w:p>
      <w:pPr>
        <w:ind w:left="1760"/>
        <w:spacing w:after="0" w:line="194" w:lineRule="auto"/>
        <w:rPr>
          <w:sz w:val="20"/>
          <w:szCs w:val="20"/>
          <w:color w:val="auto"/>
        </w:rPr>
      </w:pPr>
      <w:r>
        <w:rPr>
          <w:rFonts w:ascii="Arial" w:cs="Arial" w:eastAsia="Arial" w:hAnsi="Arial"/>
          <w:sz w:val="9"/>
          <w:szCs w:val="9"/>
          <w:color w:val="auto"/>
        </w:rPr>
        <w:t>as the SAFE Conversion, and (B) an assumed completion date of this offering o November 3, 202 , including</w:t>
      </w:r>
    </w:p>
    <w:p>
      <w:pPr>
        <w:ind w:left="1760"/>
        <w:spacing w:after="0" w:line="200" w:lineRule="auto"/>
        <w:tabs>
          <w:tab w:leader="none" w:pos="5840" w:val="left"/>
        </w:tabs>
        <w:rPr>
          <w:sz w:val="20"/>
          <w:szCs w:val="20"/>
          <w:color w:val="auto"/>
        </w:rPr>
      </w:pPr>
      <w:r>
        <w:rPr>
          <w:rFonts w:ascii="Arial" w:cs="Arial" w:eastAsia="Arial" w:hAnsi="Arial"/>
          <w:sz w:val="6"/>
          <w:szCs w:val="6"/>
          <w:color w:val="auto"/>
        </w:rPr>
        <w:t>f</w:t>
      </w:r>
      <w:r>
        <w:rPr>
          <w:sz w:val="20"/>
          <w:szCs w:val="20"/>
          <w:color w:val="auto"/>
        </w:rPr>
        <w:tab/>
      </w:r>
      <w:r>
        <w:rPr>
          <w:rFonts w:ascii="Arial" w:cs="Arial" w:eastAsia="Arial" w:hAnsi="Arial"/>
          <w:sz w:val="6"/>
          <w:szCs w:val="6"/>
          <w:color w:val="auto"/>
        </w:rPr>
        <w:t>5</w:t>
      </w:r>
    </w:p>
    <w:p>
      <w:pPr>
        <w:ind w:left="1760" w:right="1740"/>
        <w:spacing w:after="0"/>
        <w:rPr>
          <w:sz w:val="20"/>
          <w:szCs w:val="20"/>
          <w:color w:val="auto"/>
        </w:rPr>
      </w:pPr>
      <w:r>
        <w:rPr>
          <w:rFonts w:ascii="Arial" w:cs="Arial" w:eastAsia="Arial" w:hAnsi="Arial"/>
          <w:sz w:val="11"/>
          <w:szCs w:val="11"/>
          <w:color w:val="auto"/>
        </w:rPr>
        <w:t>the elimination of the change in fair value recognized on the SAFE notes during the applicable periods, (vi) th e</w:t>
      </w:r>
    </w:p>
    <w:p>
      <w:pPr>
        <w:spacing w:after="0" w:line="17" w:lineRule="exact"/>
        <w:rPr>
          <w:sz w:val="20"/>
          <w:szCs w:val="20"/>
          <w:color w:val="auto"/>
        </w:rPr>
      </w:pPr>
    </w:p>
    <w:p>
      <w:pPr>
        <w:ind w:left="1760" w:right="1680"/>
        <w:spacing w:after="0"/>
        <w:rPr>
          <w:sz w:val="20"/>
          <w:szCs w:val="20"/>
          <w:color w:val="auto"/>
        </w:rPr>
      </w:pPr>
      <w:r>
        <w:rPr>
          <w:rFonts w:ascii="Arial" w:cs="Arial" w:eastAsia="Arial" w:hAnsi="Arial"/>
          <w:sz w:val="11"/>
          <w:szCs w:val="11"/>
          <w:color w:val="auto"/>
        </w:rPr>
        <w:t>conversion of the SAFE Warrant liability to equity classified Class A common stock warrants issuable for little t o</w:t>
      </w:r>
    </w:p>
    <w:p>
      <w:pPr>
        <w:spacing w:after="0" w:line="7" w:lineRule="exact"/>
        <w:rPr>
          <w:sz w:val="20"/>
          <w:szCs w:val="20"/>
          <w:color w:val="auto"/>
        </w:rPr>
      </w:pPr>
    </w:p>
    <w:p>
      <w:pPr>
        <w:ind w:left="1760" w:right="1680"/>
        <w:spacing w:after="0"/>
        <w:rPr>
          <w:sz w:val="20"/>
          <w:szCs w:val="20"/>
          <w:color w:val="auto"/>
        </w:rPr>
      </w:pPr>
      <w:r>
        <w:rPr>
          <w:rFonts w:ascii="Arial" w:cs="Arial" w:eastAsia="Arial" w:hAnsi="Arial"/>
          <w:sz w:val="11"/>
          <w:szCs w:val="11"/>
          <w:color w:val="auto"/>
        </w:rPr>
        <w:t>no consideration, and the elimination of the change in fair value recognized on the SAFE Warrant liability durin g</w:t>
      </w:r>
    </w:p>
    <w:p>
      <w:pPr>
        <w:spacing w:after="0" w:line="17" w:lineRule="exact"/>
        <w:rPr>
          <w:sz w:val="20"/>
          <w:szCs w:val="20"/>
          <w:color w:val="auto"/>
        </w:rPr>
      </w:pPr>
    </w:p>
    <w:p>
      <w:pPr>
        <w:ind w:left="2480" w:right="1840" w:hanging="736"/>
        <w:spacing w:after="0"/>
        <w:rPr>
          <w:sz w:val="20"/>
          <w:szCs w:val="20"/>
          <w:color w:val="auto"/>
        </w:rPr>
      </w:pPr>
      <w:r>
        <w:rPr>
          <w:rFonts w:ascii="Arial" w:cs="Arial" w:eastAsia="Arial" w:hAnsi="Arial"/>
          <w:sz w:val="11"/>
          <w:szCs w:val="11"/>
          <w:color w:val="auto"/>
        </w:rPr>
        <w:t>the applicable periods, (vii) the estimated pro forma net loss to be recognized upon the Note Conversion, th e</w:t>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SAFE Conversion, the Warrant Determination, and the revaluation of the redeemable convertible preferred stock</w:t>
      </w:r>
    </w:p>
    <w:p>
      <w:pPr>
        <w:sectPr>
          <w:pgSz w:w="11900" w:h="16840" w:orient="portrait"/>
          <w:cols w:equalWidth="0" w:num="1">
            <w:col w:w="9020"/>
          </w:cols>
          <w:pgMar w:left="1440" w:top="561" w:right="1440" w:bottom="125" w:gutter="0" w:footer="0" w:header="0"/>
        </w:sectPr>
      </w:pPr>
    </w:p>
    <w:bookmarkStart w:id="21" w:name="page22"/>
    <w:bookmarkEnd w:id="21"/>
    <w:tbl>
      <w:tblPr>
        <w:tblLayout w:type="fixed"/>
        <w:tblInd w:w="1520" w:type="dxa"/>
        <w:tblCellMar>
          <w:top w:w="0" w:type="dxa"/>
          <w:left w:w="0" w:type="dxa"/>
          <w:bottom w:w="0" w:type="dxa"/>
          <w:right w:w="0" w:type="dxa"/>
        </w:tblCellMar>
      </w:tblPr>
      <w:tr>
        <w:trPr>
          <w:trHeight w:val="126"/>
        </w:trPr>
        <w:tc>
          <w:tcPr>
            <w:tcW w:w="5980" w:type="dxa"/>
            <w:vAlign w:val="bottom"/>
            <w:gridSpan w:val="9"/>
          </w:tcPr>
          <w:p>
            <w:pPr>
              <w:ind w:left="240"/>
              <w:spacing w:after="0"/>
              <w:rPr>
                <w:sz w:val="20"/>
                <w:szCs w:val="20"/>
                <w:color w:val="auto"/>
              </w:rPr>
            </w:pPr>
            <w:r>
              <w:rPr>
                <w:rFonts w:ascii="Arial" w:cs="Arial" w:eastAsia="Arial" w:hAnsi="Arial"/>
                <w:sz w:val="11"/>
                <w:szCs w:val="11"/>
                <w:color w:val="auto"/>
              </w:rPr>
              <w:t>warrant liability, as if such events had occurred on February 1, 2024, based upon (A) the assumed initial publi</w:t>
            </w:r>
          </w:p>
        </w:tc>
        <w:tc>
          <w:tcPr>
            <w:tcW w:w="0" w:type="dxa"/>
            <w:vAlign w:val="bottom"/>
          </w:tcPr>
          <w:p>
            <w:pPr>
              <w:spacing w:after="0"/>
              <w:rPr>
                <w:sz w:val="1"/>
                <w:szCs w:val="1"/>
                <w:color w:val="auto"/>
              </w:rPr>
            </w:pPr>
          </w:p>
        </w:tc>
      </w:tr>
      <w:tr>
        <w:trPr>
          <w:trHeight w:val="29"/>
        </w:trPr>
        <w:tc>
          <w:tcPr>
            <w:tcW w:w="1400" w:type="dxa"/>
            <w:vAlign w:val="bottom"/>
          </w:tcPr>
          <w:p>
            <w:pPr>
              <w:ind w:left="240"/>
              <w:spacing w:after="0" w:line="29" w:lineRule="exact"/>
              <w:rPr>
                <w:sz w:val="20"/>
                <w:szCs w:val="20"/>
                <w:color w:val="auto"/>
              </w:rPr>
            </w:pPr>
            <w:r>
              <w:rPr>
                <w:rFonts w:ascii="Arial" w:cs="Arial" w:eastAsia="Arial" w:hAnsi="Arial"/>
                <w:sz w:val="3"/>
                <w:szCs w:val="3"/>
                <w:color w:val="auto"/>
              </w:rPr>
              <w:t>offering price of $25.00</w:t>
            </w:r>
          </w:p>
        </w:tc>
        <w:tc>
          <w:tcPr>
            <w:tcW w:w="40" w:type="dxa"/>
            <w:vAlign w:val="bottom"/>
            <w:vMerge w:val="restart"/>
          </w:tcPr>
          <w:p>
            <w:pPr>
              <w:spacing w:after="0" w:line="105" w:lineRule="exact"/>
              <w:rPr>
                <w:sz w:val="20"/>
                <w:szCs w:val="20"/>
                <w:color w:val="auto"/>
              </w:rPr>
            </w:pPr>
            <w:r>
              <w:rPr>
                <w:rFonts w:ascii="Arial" w:cs="Arial" w:eastAsia="Arial" w:hAnsi="Arial"/>
                <w:sz w:val="10"/>
                <w:szCs w:val="10"/>
                <w:color w:val="auto"/>
                <w:w w:val="70"/>
              </w:rPr>
              <w:t>f</w:t>
            </w:r>
          </w:p>
        </w:tc>
        <w:tc>
          <w:tcPr>
            <w:tcW w:w="4540" w:type="dxa"/>
            <w:vAlign w:val="bottom"/>
            <w:gridSpan w:val="7"/>
          </w:tcPr>
          <w:p>
            <w:pPr>
              <w:jc w:val="right"/>
              <w:ind w:right="39"/>
              <w:spacing w:after="0" w:line="29" w:lineRule="exact"/>
              <w:rPr>
                <w:sz w:val="20"/>
                <w:szCs w:val="20"/>
                <w:color w:val="auto"/>
              </w:rPr>
            </w:pPr>
            <w:r>
              <w:rPr>
                <w:rFonts w:ascii="Arial" w:cs="Arial" w:eastAsia="Arial" w:hAnsi="Arial"/>
                <w:sz w:val="3"/>
                <w:szCs w:val="3"/>
                <w:color w:val="auto"/>
              </w:rPr>
              <w:t>per share, which is the midpoint of the offering price range set forth on the cover page o</w:t>
            </w:r>
          </w:p>
        </w:tc>
        <w:tc>
          <w:tcPr>
            <w:tcW w:w="0" w:type="dxa"/>
            <w:vAlign w:val="bottom"/>
          </w:tcPr>
          <w:p>
            <w:pPr>
              <w:spacing w:after="0" w:line="20" w:lineRule="exact"/>
              <w:rPr>
                <w:sz w:val="1"/>
                <w:szCs w:val="1"/>
                <w:color w:val="auto"/>
              </w:rPr>
            </w:pPr>
          </w:p>
        </w:tc>
      </w:tr>
      <w:tr>
        <w:trPr>
          <w:trHeight w:val="77"/>
        </w:trPr>
        <w:tc>
          <w:tcPr>
            <w:tcW w:w="1400" w:type="dxa"/>
            <w:vAlign w:val="bottom"/>
          </w:tcPr>
          <w:p>
            <w:pPr>
              <w:ind w:left="240"/>
              <w:spacing w:after="0" w:line="77" w:lineRule="exact"/>
              <w:rPr>
                <w:sz w:val="20"/>
                <w:szCs w:val="20"/>
                <w:color w:val="auto"/>
              </w:rPr>
            </w:pPr>
            <w:r>
              <w:rPr>
                <w:rFonts w:ascii="Arial" w:cs="Arial" w:eastAsia="Arial" w:hAnsi="Arial"/>
                <w:sz w:val="8"/>
                <w:szCs w:val="8"/>
                <w:color w:val="auto"/>
              </w:rPr>
              <w:t>c</w:t>
            </w:r>
          </w:p>
        </w:tc>
        <w:tc>
          <w:tcPr>
            <w:tcW w:w="40" w:type="dxa"/>
            <w:vAlign w:val="bottom"/>
            <w:vMerge w:val="continue"/>
          </w:tcPr>
          <w:p>
            <w:pPr>
              <w:spacing w:after="0"/>
              <w:rPr>
                <w:sz w:val="6"/>
                <w:szCs w:val="6"/>
                <w:color w:val="auto"/>
              </w:rPr>
            </w:pPr>
          </w:p>
        </w:tc>
        <w:tc>
          <w:tcPr>
            <w:tcW w:w="1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5980" w:type="dxa"/>
            <w:vAlign w:val="bottom"/>
            <w:gridSpan w:val="9"/>
          </w:tcPr>
          <w:p>
            <w:pPr>
              <w:ind w:left="240"/>
              <w:spacing w:after="0" w:line="58" w:lineRule="exact"/>
              <w:rPr>
                <w:sz w:val="20"/>
                <w:szCs w:val="20"/>
                <w:color w:val="auto"/>
              </w:rPr>
            </w:pPr>
            <w:r>
              <w:rPr>
                <w:rFonts w:ascii="Arial" w:cs="Arial" w:eastAsia="Arial" w:hAnsi="Arial"/>
                <w:sz w:val="6"/>
                <w:szCs w:val="6"/>
                <w:color w:val="auto"/>
              </w:rPr>
              <w:t>this prospectus, and (B) an assumed completion date of this offering of November 3, 202 , as further described</w:t>
            </w:r>
          </w:p>
        </w:tc>
        <w:tc>
          <w:tcPr>
            <w:tcW w:w="0" w:type="dxa"/>
            <w:vAlign w:val="bottom"/>
          </w:tcPr>
          <w:p>
            <w:pPr>
              <w:spacing w:after="0"/>
              <w:rPr>
                <w:sz w:val="1"/>
                <w:szCs w:val="1"/>
                <w:color w:val="auto"/>
              </w:rPr>
            </w:pPr>
          </w:p>
        </w:tc>
      </w:tr>
      <w:tr>
        <w:trPr>
          <w:trHeight w:val="77"/>
        </w:trPr>
        <w:tc>
          <w:tcPr>
            <w:tcW w:w="1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jc w:val="right"/>
              <w:ind w:right="220"/>
              <w:spacing w:after="0" w:line="77" w:lineRule="exact"/>
              <w:rPr>
                <w:sz w:val="20"/>
                <w:szCs w:val="20"/>
                <w:color w:val="auto"/>
              </w:rPr>
            </w:pPr>
            <w:r>
              <w:rPr>
                <w:rFonts w:ascii="Arial" w:cs="Arial" w:eastAsia="Arial" w:hAnsi="Arial"/>
                <w:sz w:val="8"/>
                <w:szCs w:val="8"/>
                <w:color w:val="auto"/>
              </w:rPr>
              <w:t>5</w:t>
            </w: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5980" w:type="dxa"/>
            <w:vAlign w:val="bottom"/>
            <w:gridSpan w:val="9"/>
          </w:tcPr>
          <w:p>
            <w:pPr>
              <w:ind w:left="240"/>
              <w:spacing w:after="0" w:line="67" w:lineRule="exact"/>
              <w:rPr>
                <w:sz w:val="20"/>
                <w:szCs w:val="20"/>
                <w:color w:val="auto"/>
              </w:rPr>
            </w:pPr>
            <w:r>
              <w:rPr>
                <w:rFonts w:ascii="Arial" w:cs="Arial" w:eastAsia="Arial" w:hAnsi="Arial"/>
                <w:sz w:val="7"/>
                <w:szCs w:val="7"/>
                <w:color w:val="auto"/>
              </w:rPr>
              <w:t>within footnote (1) to the Consolidated Balance Sheet Data below, and (viii) the Capital Stock Conversio .</w:t>
            </w:r>
          </w:p>
        </w:tc>
        <w:tc>
          <w:tcPr>
            <w:tcW w:w="0" w:type="dxa"/>
            <w:vAlign w:val="bottom"/>
          </w:tcPr>
          <w:p>
            <w:pPr>
              <w:spacing w:after="0"/>
              <w:rPr>
                <w:sz w:val="1"/>
                <w:szCs w:val="1"/>
                <w:color w:val="auto"/>
              </w:rPr>
            </w:pPr>
          </w:p>
        </w:tc>
      </w:tr>
      <w:tr>
        <w:trPr>
          <w:trHeight w:val="134"/>
        </w:trPr>
        <w:tc>
          <w:tcPr>
            <w:tcW w:w="1400" w:type="dxa"/>
            <w:vAlign w:val="bottom"/>
          </w:tcPr>
          <w:p>
            <w:pPr>
              <w:ind w:left="240"/>
              <w:spacing w:after="0"/>
              <w:rPr>
                <w:sz w:val="20"/>
                <w:szCs w:val="20"/>
                <w:color w:val="auto"/>
              </w:rPr>
            </w:pPr>
            <w:r>
              <w:rPr>
                <w:rFonts w:ascii="Arial" w:cs="Arial" w:eastAsia="Arial" w:hAnsi="Arial"/>
                <w:sz w:val="11"/>
                <w:szCs w:val="11"/>
                <w:color w:val="auto"/>
              </w:rPr>
              <w:t>n</w:t>
            </w:r>
          </w:p>
        </w:tc>
        <w:tc>
          <w:tcPr>
            <w:tcW w:w="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gridSpan w:val="2"/>
          </w:tcPr>
          <w:p>
            <w:pPr>
              <w:ind w:left="20"/>
              <w:spacing w:after="0" w:line="105" w:lineRule="exact"/>
              <w:rPr>
                <w:sz w:val="20"/>
                <w:szCs w:val="20"/>
                <w:color w:val="auto"/>
              </w:rPr>
            </w:pPr>
            <w:r>
              <w:rPr>
                <w:rFonts w:ascii="Arial" w:cs="Arial" w:eastAsia="Arial" w:hAnsi="Arial"/>
                <w:sz w:val="11"/>
                <w:szCs w:val="11"/>
                <w:b w:val="1"/>
                <w:bCs w:val="1"/>
                <w:color w:val="auto"/>
                <w:w w:val="97"/>
              </w:rPr>
              <w:t>As of July 31, 202</w:t>
            </w: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160"/>
              <w:spacing w:after="0"/>
              <w:rPr>
                <w:sz w:val="20"/>
                <w:szCs w:val="20"/>
                <w:color w:val="auto"/>
              </w:rPr>
            </w:pPr>
            <w:r>
              <w:rPr>
                <w:rFonts w:ascii="Arial" w:cs="Arial" w:eastAsia="Arial" w:hAnsi="Arial"/>
                <w:sz w:val="11"/>
                <w:szCs w:val="11"/>
                <w:b w:val="1"/>
                <w:bCs w:val="1"/>
                <w:color w:val="auto"/>
              </w:rPr>
              <w:t>Actual</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rPr>
              <w:t>5</w:t>
            </w:r>
          </w:p>
        </w:tc>
        <w:tc>
          <w:tcPr>
            <w:tcW w:w="760" w:type="dxa"/>
            <w:vAlign w:val="bottom"/>
            <w:vMerge w:val="restart"/>
          </w:tcPr>
          <w:p>
            <w:pPr>
              <w:jc w:val="right"/>
              <w:ind w:right="99"/>
              <w:spacing w:after="0"/>
              <w:rPr>
                <w:sz w:val="20"/>
                <w:szCs w:val="20"/>
                <w:color w:val="auto"/>
              </w:rPr>
            </w:pPr>
            <w:r>
              <w:rPr>
                <w:rFonts w:ascii="Arial" w:cs="Arial" w:eastAsia="Arial" w:hAnsi="Arial"/>
                <w:sz w:val="11"/>
                <w:szCs w:val="11"/>
                <w:b w:val="1"/>
                <w:bCs w:val="1"/>
                <w:color w:val="auto"/>
                <w:w w:val="92"/>
              </w:rPr>
              <w:t>Pro Forma</w:t>
            </w:r>
            <w:r>
              <w:rPr>
                <w:rFonts w:ascii="Arial" w:cs="Arial" w:eastAsia="Arial" w:hAnsi="Arial"/>
                <w:sz w:val="6"/>
                <w:szCs w:val="6"/>
                <w:b w:val="1"/>
                <w:bCs w:val="1"/>
                <w:color w:val="auto"/>
                <w:w w:val="92"/>
              </w:rPr>
              <w:t>(1)</w:t>
            </w:r>
          </w:p>
        </w:tc>
        <w:tc>
          <w:tcPr>
            <w:tcW w:w="120" w:type="dxa"/>
            <w:vAlign w:val="bottom"/>
          </w:tcPr>
          <w:p>
            <w:pPr>
              <w:spacing w:after="0"/>
              <w:rPr>
                <w:sz w:val="13"/>
                <w:szCs w:val="13"/>
                <w:color w:val="auto"/>
              </w:rPr>
            </w:pPr>
          </w:p>
        </w:tc>
        <w:tc>
          <w:tcPr>
            <w:tcW w:w="720" w:type="dxa"/>
            <w:vAlign w:val="bottom"/>
          </w:tcPr>
          <w:p>
            <w:pPr>
              <w:jc w:val="right"/>
              <w:ind w:right="99"/>
              <w:spacing w:after="0"/>
              <w:rPr>
                <w:sz w:val="20"/>
                <w:szCs w:val="20"/>
                <w:color w:val="auto"/>
              </w:rPr>
            </w:pPr>
            <w:r>
              <w:rPr>
                <w:rFonts w:ascii="Arial" w:cs="Arial" w:eastAsia="Arial" w:hAnsi="Arial"/>
                <w:sz w:val="11"/>
                <w:szCs w:val="11"/>
                <w:b w:val="1"/>
                <w:bCs w:val="1"/>
                <w:color w:val="auto"/>
                <w:w w:val="98"/>
              </w:rPr>
              <w:t>Pro Forma</w:t>
            </w:r>
          </w:p>
        </w:tc>
        <w:tc>
          <w:tcPr>
            <w:tcW w:w="0" w:type="dxa"/>
            <w:vAlign w:val="bottom"/>
          </w:tcPr>
          <w:p>
            <w:pPr>
              <w:spacing w:after="0"/>
              <w:rPr>
                <w:sz w:val="1"/>
                <w:szCs w:val="1"/>
                <w:color w:val="auto"/>
              </w:rPr>
            </w:pPr>
          </w:p>
        </w:tc>
      </w:tr>
      <w:tr>
        <w:trPr>
          <w:trHeight w:val="152"/>
        </w:trPr>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as Adjusted</w:t>
            </w:r>
            <w:r>
              <w:rPr>
                <w:rFonts w:ascii="Arial" w:cs="Arial" w:eastAsia="Arial" w:hAnsi="Arial"/>
                <w:sz w:val="6"/>
                <w:szCs w:val="6"/>
                <w:b w:val="1"/>
                <w:bCs w:val="1"/>
                <w:color w:val="auto"/>
              </w:rPr>
              <w:t>(2)(3)</w:t>
            </w:r>
          </w:p>
        </w:tc>
        <w:tc>
          <w:tcPr>
            <w:tcW w:w="0" w:type="dxa"/>
            <w:vAlign w:val="bottom"/>
          </w:tcPr>
          <w:p>
            <w:pPr>
              <w:spacing w:after="0"/>
              <w:rPr>
                <w:sz w:val="1"/>
                <w:szCs w:val="1"/>
                <w:color w:val="auto"/>
              </w:rPr>
            </w:pPr>
          </w:p>
        </w:tc>
      </w:tr>
      <w:tr>
        <w:trPr>
          <w:trHeight w:val="96"/>
        </w:trPr>
        <w:tc>
          <w:tcPr>
            <w:tcW w:w="3400" w:type="dxa"/>
            <w:vAlign w:val="bottom"/>
            <w:gridSpan w:val="3"/>
          </w:tcPr>
          <w:p>
            <w:pPr>
              <w:ind w:left="40"/>
              <w:spacing w:after="0" w:line="96" w:lineRule="exact"/>
              <w:rPr>
                <w:sz w:val="20"/>
                <w:szCs w:val="20"/>
                <w:color w:val="auto"/>
              </w:rPr>
            </w:pPr>
            <w:r>
              <w:rPr>
                <w:rFonts w:ascii="Arial" w:cs="Arial" w:eastAsia="Arial" w:hAnsi="Arial"/>
                <w:sz w:val="11"/>
                <w:szCs w:val="11"/>
                <w:b w:val="1"/>
                <w:bCs w:val="1"/>
                <w:color w:val="auto"/>
              </w:rPr>
              <w:t>Consolidated Balance Sheet Data:</w:t>
            </w: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gridSpan w:val="2"/>
          </w:tcPr>
          <w:p>
            <w:pPr>
              <w:jc w:val="right"/>
              <w:ind w:right="59"/>
              <w:spacing w:after="0" w:line="96" w:lineRule="exact"/>
              <w:rPr>
                <w:sz w:val="20"/>
                <w:szCs w:val="20"/>
                <w:color w:val="auto"/>
              </w:rPr>
            </w:pPr>
            <w:r>
              <w:rPr>
                <w:rFonts w:ascii="Arial" w:cs="Arial" w:eastAsia="Arial" w:hAnsi="Arial"/>
                <w:sz w:val="11"/>
                <w:szCs w:val="11"/>
                <w:b w:val="1"/>
                <w:bCs w:val="1"/>
                <w:color w:val="auto"/>
              </w:rPr>
              <w:t>(in thousands</w:t>
            </w: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400" w:type="dxa"/>
            <w:vAlign w:val="bottom"/>
            <w:gridSpan w:val="3"/>
            <w:vMerge w:val="restart"/>
          </w:tcPr>
          <w:p>
            <w:pPr>
              <w:ind w:left="40"/>
              <w:spacing w:after="0"/>
              <w:rPr>
                <w:sz w:val="20"/>
                <w:szCs w:val="20"/>
                <w:color w:val="auto"/>
              </w:rPr>
            </w:pPr>
            <w:r>
              <w:rPr>
                <w:rFonts w:ascii="Arial" w:cs="Arial" w:eastAsia="Arial" w:hAnsi="Arial"/>
                <w:sz w:val="12"/>
                <w:szCs w:val="12"/>
                <w:color w:val="auto"/>
              </w:rPr>
              <w:t>Cash and cash equivalents</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223,229</w:t>
            </w:r>
          </w:p>
        </w:tc>
        <w:tc>
          <w:tcPr>
            <w:tcW w:w="180" w:type="dxa"/>
            <w:vAlign w:val="bottom"/>
          </w:tcPr>
          <w:p>
            <w:pPr>
              <w:jc w:val="right"/>
              <w:spacing w:after="0" w:line="67" w:lineRule="exact"/>
              <w:rPr>
                <w:sz w:val="20"/>
                <w:szCs w:val="20"/>
                <w:color w:val="auto"/>
              </w:rPr>
            </w:pPr>
            <w:r>
              <w:rPr>
                <w:rFonts w:ascii="Arial" w:cs="Arial" w:eastAsia="Arial" w:hAnsi="Arial"/>
                <w:sz w:val="7"/>
                <w:szCs w:val="7"/>
                <w:b w:val="1"/>
                <w:bCs w:val="1"/>
                <w:color w:val="auto"/>
              </w:rPr>
              <w:t>)</w:t>
            </w:r>
          </w:p>
        </w:tc>
        <w:tc>
          <w:tcPr>
            <w:tcW w:w="760" w:type="dxa"/>
            <w:vAlign w:val="bottom"/>
            <w:vMerge w:val="restart"/>
          </w:tcPr>
          <w:p>
            <w:pPr>
              <w:jc w:val="right"/>
              <w:ind w:right="39"/>
              <w:spacing w:after="0"/>
              <w:rPr>
                <w:sz w:val="20"/>
                <w:szCs w:val="20"/>
                <w:color w:val="auto"/>
              </w:rPr>
            </w:pPr>
            <w:r>
              <w:rPr>
                <w:rFonts w:ascii="Arial" w:cs="Arial" w:eastAsia="Arial" w:hAnsi="Arial"/>
                <w:sz w:val="12"/>
                <w:szCs w:val="12"/>
                <w:color w:val="auto"/>
              </w:rPr>
              <w:t>223,265</w:t>
            </w:r>
          </w:p>
        </w:tc>
        <w:tc>
          <w:tcPr>
            <w:tcW w:w="12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ind w:right="19"/>
              <w:spacing w:after="0"/>
              <w:rPr>
                <w:sz w:val="20"/>
                <w:szCs w:val="20"/>
                <w:color w:val="auto"/>
              </w:rPr>
            </w:pPr>
            <w:r>
              <w:rPr>
                <w:rFonts w:ascii="Arial" w:cs="Arial" w:eastAsia="Arial" w:hAnsi="Arial"/>
                <w:sz w:val="12"/>
                <w:szCs w:val="12"/>
                <w:color w:val="auto"/>
              </w:rPr>
              <w:t>783,209</w:t>
            </w:r>
          </w:p>
        </w:tc>
        <w:tc>
          <w:tcPr>
            <w:tcW w:w="0" w:type="dxa"/>
            <w:vAlign w:val="bottom"/>
          </w:tcPr>
          <w:p>
            <w:pPr>
              <w:spacing w:after="0"/>
              <w:rPr>
                <w:sz w:val="1"/>
                <w:szCs w:val="1"/>
                <w:color w:val="auto"/>
              </w:rPr>
            </w:pPr>
          </w:p>
        </w:tc>
      </w:tr>
      <w:tr>
        <w:trPr>
          <w:trHeight w:val="168"/>
        </w:trPr>
        <w:tc>
          <w:tcPr>
            <w:tcW w:w="3400" w:type="dxa"/>
            <w:vAlign w:val="bottom"/>
            <w:gridSpan w:val="3"/>
            <w:vMerge w:val="continue"/>
          </w:tcPr>
          <w:p>
            <w:pPr>
              <w:ind w:left="1580"/>
              <w:spacing w:after="0" w:line="106" w:lineRule="exact"/>
              <w:rPr>
                <w:sz w:val="20"/>
                <w:szCs w:val="20"/>
                <w:color w:val="auto"/>
              </w:rPr>
            </w:pPr>
            <w:r>
              <w:rPr>
                <w:rFonts w:ascii="Times New Roman" w:cs="Times New Roman" w:eastAsia="Times New Roman" w:hAnsi="Times New Roman"/>
                <w:sz w:val="12"/>
                <w:szCs w:val="12"/>
                <w:color w:val="B4B4B4"/>
              </w:rPr>
              <w:t>.......................................................</w:t>
            </w:r>
          </w:p>
        </w:tc>
        <w:tc>
          <w:tcPr>
            <w:tcW w:w="1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400" w:type="dxa"/>
            <w:vAlign w:val="bottom"/>
          </w:tcPr>
          <w:p>
            <w:pPr>
              <w:ind w:left="40"/>
              <w:spacing w:after="0"/>
              <w:rPr>
                <w:sz w:val="20"/>
                <w:szCs w:val="20"/>
                <w:color w:val="auto"/>
              </w:rPr>
            </w:pPr>
            <w:r>
              <w:rPr>
                <w:rFonts w:ascii="Arial" w:cs="Arial" w:eastAsia="Arial" w:hAnsi="Arial"/>
                <w:sz w:val="12"/>
                <w:szCs w:val="12"/>
                <w:color w:val="auto"/>
              </w:rPr>
              <w:t>Restricted cash, current</w:t>
            </w:r>
          </w:p>
        </w:tc>
        <w:tc>
          <w:tcPr>
            <w:tcW w:w="2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B4B4B4"/>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87,218</w:t>
            </w:r>
          </w:p>
        </w:tc>
        <w:tc>
          <w:tcPr>
            <w:tcW w:w="180" w:type="dxa"/>
            <w:vAlign w:val="bottom"/>
          </w:tcPr>
          <w:p>
            <w:pPr>
              <w:spacing w:after="0"/>
              <w:rPr>
                <w:sz w:val="15"/>
                <w:szCs w:val="15"/>
                <w:color w:val="auto"/>
              </w:rPr>
            </w:pPr>
          </w:p>
        </w:tc>
        <w:tc>
          <w:tcPr>
            <w:tcW w:w="760" w:type="dxa"/>
            <w:vAlign w:val="bottom"/>
          </w:tcPr>
          <w:p>
            <w:pPr>
              <w:jc w:val="right"/>
              <w:ind w:right="39"/>
              <w:spacing w:after="0"/>
              <w:rPr>
                <w:sz w:val="20"/>
                <w:szCs w:val="20"/>
                <w:color w:val="auto"/>
              </w:rPr>
            </w:pPr>
            <w:r>
              <w:rPr>
                <w:rFonts w:ascii="Arial" w:cs="Arial" w:eastAsia="Arial" w:hAnsi="Arial"/>
                <w:sz w:val="12"/>
                <w:szCs w:val="12"/>
                <w:color w:val="auto"/>
              </w:rPr>
              <w:t>87,218</w:t>
            </w:r>
          </w:p>
        </w:tc>
        <w:tc>
          <w:tcPr>
            <w:tcW w:w="120" w:type="dxa"/>
            <w:vAlign w:val="bottom"/>
          </w:tcPr>
          <w:p>
            <w:pPr>
              <w:spacing w:after="0"/>
              <w:rPr>
                <w:sz w:val="15"/>
                <w:szCs w:val="15"/>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87,218</w:t>
            </w:r>
          </w:p>
        </w:tc>
        <w:tc>
          <w:tcPr>
            <w:tcW w:w="0" w:type="dxa"/>
            <w:vAlign w:val="bottom"/>
          </w:tcPr>
          <w:p>
            <w:pPr>
              <w:spacing w:after="0"/>
              <w:rPr>
                <w:sz w:val="1"/>
                <w:szCs w:val="1"/>
                <w:color w:val="auto"/>
              </w:rPr>
            </w:pPr>
          </w:p>
        </w:tc>
      </w:tr>
      <w:tr>
        <w:trPr>
          <w:trHeight w:val="190"/>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7"/>
                <w:szCs w:val="7"/>
                <w:color w:val="auto"/>
                <w:w w:val="75"/>
              </w:rPr>
              <w:t xml:space="preserve">Working capital </w:t>
            </w:r>
            <w:r>
              <w:rPr>
                <w:rFonts w:ascii="Arial" w:cs="Arial" w:eastAsia="Arial" w:hAnsi="Arial"/>
                <w:sz w:val="9"/>
                <w:szCs w:val="9"/>
                <w:color w:val="auto"/>
                <w:w w:val="75"/>
                <w:vertAlign w:val="superscript"/>
              </w:rPr>
              <w:t>(4)</w:t>
            </w:r>
            <w:r>
              <w:rPr>
                <w:rFonts w:ascii="Arial" w:cs="Arial" w:eastAsia="Arial" w:hAnsi="Arial"/>
                <w:sz w:val="7"/>
                <w:szCs w:val="7"/>
                <w:color w:val="auto"/>
                <w:w w:val="75"/>
              </w:rPr>
              <w:t xml:space="preserve"> </w:t>
            </w:r>
            <w:r>
              <w:rPr>
                <w:rFonts w:ascii="Times New Roman" w:cs="Times New Roman" w:eastAsia="Times New Roman" w:hAnsi="Times New Roman"/>
                <w:sz w:val="7"/>
                <w:szCs w:val="7"/>
                <w:color w:val="B4B4B4"/>
                <w:w w:val="75"/>
              </w:rPr>
              <w:t>.......................................................................</w:t>
            </w:r>
          </w:p>
        </w:tc>
        <w:tc>
          <w:tcPr>
            <w:tcW w:w="1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469,644</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452,315</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1,028,758</w:t>
            </w:r>
          </w:p>
        </w:tc>
        <w:tc>
          <w:tcPr>
            <w:tcW w:w="0" w:type="dxa"/>
            <w:vAlign w:val="bottom"/>
          </w:tcPr>
          <w:p>
            <w:pPr>
              <w:spacing w:after="0"/>
              <w:rPr>
                <w:sz w:val="1"/>
                <w:szCs w:val="1"/>
                <w:color w:val="auto"/>
              </w:rPr>
            </w:pPr>
          </w:p>
        </w:tc>
      </w:tr>
      <w:tr>
        <w:trPr>
          <w:trHeight w:val="173"/>
        </w:trPr>
        <w:tc>
          <w:tcPr>
            <w:tcW w:w="1440" w:type="dxa"/>
            <w:vAlign w:val="bottom"/>
            <w:gridSpan w:val="2"/>
          </w:tcPr>
          <w:p>
            <w:pPr>
              <w:ind w:left="40"/>
              <w:spacing w:after="0"/>
              <w:rPr>
                <w:sz w:val="20"/>
                <w:szCs w:val="20"/>
                <w:color w:val="auto"/>
              </w:rPr>
            </w:pPr>
            <w:r>
              <w:rPr>
                <w:rFonts w:ascii="Arial" w:cs="Arial" w:eastAsia="Arial" w:hAnsi="Arial"/>
                <w:sz w:val="7"/>
                <w:szCs w:val="7"/>
                <w:color w:val="auto"/>
                <w:w w:val="76"/>
              </w:rPr>
              <w:t xml:space="preserve">Total assets </w:t>
            </w:r>
            <w:r>
              <w:rPr>
                <w:rFonts w:ascii="Times New Roman" w:cs="Times New Roman" w:eastAsia="Times New Roman" w:hAnsi="Times New Roman"/>
                <w:sz w:val="7"/>
                <w:szCs w:val="7"/>
                <w:color w:val="B4B4B4"/>
                <w:w w:val="76"/>
              </w:rPr>
              <w:t>.................................................................................</w:t>
            </w: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1,134,391</w:t>
            </w:r>
          </w:p>
        </w:tc>
        <w:tc>
          <w:tcPr>
            <w:tcW w:w="180" w:type="dxa"/>
            <w:vAlign w:val="bottom"/>
          </w:tcPr>
          <w:p>
            <w:pPr>
              <w:spacing w:after="0"/>
              <w:rPr>
                <w:sz w:val="15"/>
                <w:szCs w:val="15"/>
                <w:color w:val="auto"/>
              </w:rPr>
            </w:pPr>
          </w:p>
        </w:tc>
        <w:tc>
          <w:tcPr>
            <w:tcW w:w="760" w:type="dxa"/>
            <w:vAlign w:val="bottom"/>
          </w:tcPr>
          <w:p>
            <w:pPr>
              <w:jc w:val="right"/>
              <w:ind w:right="39"/>
              <w:spacing w:after="0"/>
              <w:rPr>
                <w:sz w:val="20"/>
                <w:szCs w:val="20"/>
                <w:color w:val="auto"/>
              </w:rPr>
            </w:pPr>
            <w:r>
              <w:rPr>
                <w:rFonts w:ascii="Arial" w:cs="Arial" w:eastAsia="Arial" w:hAnsi="Arial"/>
                <w:sz w:val="12"/>
                <w:szCs w:val="12"/>
                <w:color w:val="auto"/>
              </w:rPr>
              <w:t>1,134,427</w:t>
            </w:r>
          </w:p>
        </w:tc>
        <w:tc>
          <w:tcPr>
            <w:tcW w:w="120" w:type="dxa"/>
            <w:vAlign w:val="bottom"/>
          </w:tcPr>
          <w:p>
            <w:pPr>
              <w:spacing w:after="0"/>
              <w:rPr>
                <w:sz w:val="15"/>
                <w:szCs w:val="15"/>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1,691,016</w:t>
            </w:r>
          </w:p>
        </w:tc>
        <w:tc>
          <w:tcPr>
            <w:tcW w:w="0" w:type="dxa"/>
            <w:vAlign w:val="bottom"/>
          </w:tcPr>
          <w:p>
            <w:pPr>
              <w:spacing w:after="0"/>
              <w:rPr>
                <w:sz w:val="1"/>
                <w:szCs w:val="1"/>
                <w:color w:val="auto"/>
              </w:rPr>
            </w:pPr>
          </w:p>
        </w:tc>
      </w:tr>
      <w:tr>
        <w:trPr>
          <w:trHeight w:val="190"/>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7"/>
                <w:szCs w:val="7"/>
                <w:color w:val="auto"/>
                <w:w w:val="74"/>
              </w:rPr>
              <w:t xml:space="preserve">Long-term debt </w:t>
            </w:r>
            <w:r>
              <w:rPr>
                <w:rFonts w:ascii="Arial" w:cs="Arial" w:eastAsia="Arial" w:hAnsi="Arial"/>
                <w:sz w:val="9"/>
                <w:szCs w:val="9"/>
                <w:color w:val="auto"/>
                <w:w w:val="74"/>
                <w:vertAlign w:val="superscript"/>
              </w:rPr>
              <w:t>(5)</w:t>
            </w:r>
            <w:r>
              <w:rPr>
                <w:rFonts w:ascii="Arial" w:cs="Arial" w:eastAsia="Arial" w:hAnsi="Arial"/>
                <w:sz w:val="7"/>
                <w:szCs w:val="7"/>
                <w:color w:val="auto"/>
                <w:w w:val="74"/>
              </w:rPr>
              <w:t xml:space="preserve"> </w:t>
            </w:r>
            <w:r>
              <w:rPr>
                <w:rFonts w:ascii="Times New Roman" w:cs="Times New Roman" w:eastAsia="Times New Roman" w:hAnsi="Times New Roman"/>
                <w:sz w:val="7"/>
                <w:szCs w:val="7"/>
                <w:color w:val="B4B4B4"/>
                <w:w w:val="74"/>
              </w:rPr>
              <w:t>........................................................................</w:t>
            </w:r>
          </w:p>
        </w:tc>
        <w:tc>
          <w:tcPr>
            <w:tcW w:w="1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658,158</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299,995</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182,895</w:t>
            </w:r>
          </w:p>
        </w:tc>
        <w:tc>
          <w:tcPr>
            <w:tcW w:w="0" w:type="dxa"/>
            <w:vAlign w:val="bottom"/>
          </w:tcPr>
          <w:p>
            <w:pPr>
              <w:spacing w:after="0"/>
              <w:rPr>
                <w:sz w:val="1"/>
                <w:szCs w:val="1"/>
                <w:color w:val="auto"/>
              </w:rPr>
            </w:pPr>
          </w:p>
        </w:tc>
      </w:tr>
      <w:tr>
        <w:trPr>
          <w:trHeight w:val="173"/>
        </w:trPr>
        <w:tc>
          <w:tcPr>
            <w:tcW w:w="3400" w:type="dxa"/>
            <w:vAlign w:val="bottom"/>
            <w:gridSpan w:val="3"/>
          </w:tcPr>
          <w:p>
            <w:pPr>
              <w:ind w:left="40"/>
              <w:spacing w:after="0"/>
              <w:rPr>
                <w:sz w:val="20"/>
                <w:szCs w:val="20"/>
                <w:color w:val="auto"/>
              </w:rPr>
            </w:pPr>
            <w:r>
              <w:rPr>
                <w:rFonts w:ascii="Arial" w:cs="Arial" w:eastAsia="Arial" w:hAnsi="Arial"/>
                <w:sz w:val="12"/>
                <w:szCs w:val="12"/>
                <w:color w:val="auto"/>
              </w:rPr>
              <w:t>Embedded derivative and common stock warrant liabilities</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69,700</w:t>
            </w:r>
          </w:p>
        </w:tc>
        <w:tc>
          <w:tcPr>
            <w:tcW w:w="180" w:type="dxa"/>
            <w:vAlign w:val="bottom"/>
          </w:tcPr>
          <w:p>
            <w:pPr>
              <w:spacing w:after="0"/>
              <w:rPr>
                <w:sz w:val="15"/>
                <w:szCs w:val="15"/>
                <w:color w:val="auto"/>
              </w:rPr>
            </w:pPr>
          </w:p>
        </w:tc>
        <w:tc>
          <w:tcPr>
            <w:tcW w:w="76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0"/>
        </w:trPr>
        <w:tc>
          <w:tcPr>
            <w:tcW w:w="34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 xml:space="preserve">Other non-current liabilities </w:t>
            </w:r>
            <w:r>
              <w:rPr>
                <w:rFonts w:ascii="Times New Roman" w:cs="Times New Roman" w:eastAsia="Times New Roman" w:hAnsi="Times New Roman"/>
                <w:sz w:val="12"/>
                <w:szCs w:val="12"/>
                <w:color w:val="B4B4B4"/>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23,678</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23,245</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23,245</w:t>
            </w:r>
          </w:p>
        </w:tc>
        <w:tc>
          <w:tcPr>
            <w:tcW w:w="0" w:type="dxa"/>
            <w:vAlign w:val="bottom"/>
          </w:tcPr>
          <w:p>
            <w:pPr>
              <w:spacing w:after="0"/>
              <w:rPr>
                <w:sz w:val="1"/>
                <w:szCs w:val="1"/>
                <w:color w:val="auto"/>
              </w:rPr>
            </w:pPr>
          </w:p>
        </w:tc>
      </w:tr>
      <w:tr>
        <w:trPr>
          <w:trHeight w:val="173"/>
        </w:trPr>
        <w:tc>
          <w:tcPr>
            <w:tcW w:w="1440" w:type="dxa"/>
            <w:vAlign w:val="bottom"/>
            <w:gridSpan w:val="2"/>
          </w:tcPr>
          <w:p>
            <w:pPr>
              <w:ind w:left="40"/>
              <w:spacing w:after="0"/>
              <w:rPr>
                <w:sz w:val="20"/>
                <w:szCs w:val="20"/>
                <w:color w:val="auto"/>
              </w:rPr>
            </w:pPr>
            <w:r>
              <w:rPr>
                <w:rFonts w:ascii="Arial" w:cs="Arial" w:eastAsia="Arial" w:hAnsi="Arial"/>
                <w:sz w:val="7"/>
                <w:szCs w:val="7"/>
                <w:color w:val="auto"/>
                <w:w w:val="75"/>
              </w:rPr>
              <w:t xml:space="preserve">Total liabilities </w:t>
            </w:r>
            <w:r>
              <w:rPr>
                <w:rFonts w:ascii="Times New Roman" w:cs="Times New Roman" w:eastAsia="Times New Roman" w:hAnsi="Times New Roman"/>
                <w:sz w:val="7"/>
                <w:szCs w:val="7"/>
                <w:color w:val="B4B4B4"/>
                <w:w w:val="75"/>
              </w:rPr>
              <w:t>..............................................................................</w:t>
            </w: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1,041,721</w:t>
            </w:r>
          </w:p>
        </w:tc>
        <w:tc>
          <w:tcPr>
            <w:tcW w:w="180" w:type="dxa"/>
            <w:vAlign w:val="bottom"/>
          </w:tcPr>
          <w:p>
            <w:pPr>
              <w:spacing w:after="0"/>
              <w:rPr>
                <w:sz w:val="15"/>
                <w:szCs w:val="15"/>
                <w:color w:val="auto"/>
              </w:rPr>
            </w:pPr>
          </w:p>
        </w:tc>
        <w:tc>
          <w:tcPr>
            <w:tcW w:w="760" w:type="dxa"/>
            <w:vAlign w:val="bottom"/>
          </w:tcPr>
          <w:p>
            <w:pPr>
              <w:jc w:val="right"/>
              <w:ind w:right="39"/>
              <w:spacing w:after="0"/>
              <w:rPr>
                <w:sz w:val="20"/>
                <w:szCs w:val="20"/>
                <w:color w:val="auto"/>
              </w:rPr>
            </w:pPr>
            <w:r>
              <w:rPr>
                <w:rFonts w:ascii="Arial" w:cs="Arial" w:eastAsia="Arial" w:hAnsi="Arial"/>
                <w:sz w:val="12"/>
                <w:szCs w:val="12"/>
                <w:color w:val="auto"/>
              </w:rPr>
              <w:t>630,790</w:t>
            </w:r>
          </w:p>
        </w:tc>
        <w:tc>
          <w:tcPr>
            <w:tcW w:w="120" w:type="dxa"/>
            <w:vAlign w:val="bottom"/>
          </w:tcPr>
          <w:p>
            <w:pPr>
              <w:spacing w:after="0"/>
              <w:rPr>
                <w:sz w:val="15"/>
                <w:szCs w:val="15"/>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493,836</w:t>
            </w:r>
          </w:p>
        </w:tc>
        <w:tc>
          <w:tcPr>
            <w:tcW w:w="0" w:type="dxa"/>
            <w:vAlign w:val="bottom"/>
          </w:tcPr>
          <w:p>
            <w:pPr>
              <w:spacing w:after="0"/>
              <w:rPr>
                <w:sz w:val="1"/>
                <w:szCs w:val="1"/>
                <w:color w:val="auto"/>
              </w:rPr>
            </w:pPr>
          </w:p>
        </w:tc>
      </w:tr>
      <w:tr>
        <w:trPr>
          <w:trHeight w:val="190"/>
        </w:trPr>
        <w:tc>
          <w:tcPr>
            <w:tcW w:w="34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 xml:space="preserve">Redeemable convertible preferred stock </w:t>
            </w:r>
            <w:r>
              <w:rPr>
                <w:rFonts w:ascii="Times New Roman" w:cs="Times New Roman" w:eastAsia="Times New Roman" w:hAnsi="Times New Roman"/>
                <w:sz w:val="12"/>
                <w:szCs w:val="12"/>
                <w:color w:val="B4B4B4"/>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1,301,121</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1400" w:type="dxa"/>
            <w:vAlign w:val="bottom"/>
          </w:tcPr>
          <w:p>
            <w:pPr>
              <w:ind w:left="40"/>
              <w:spacing w:after="0"/>
              <w:rPr>
                <w:sz w:val="20"/>
                <w:szCs w:val="20"/>
                <w:color w:val="auto"/>
              </w:rPr>
            </w:pPr>
            <w:r>
              <w:rPr>
                <w:rFonts w:ascii="Arial" w:cs="Arial" w:eastAsia="Arial" w:hAnsi="Arial"/>
                <w:sz w:val="12"/>
                <w:szCs w:val="12"/>
                <w:color w:val="auto"/>
              </w:rPr>
              <w:t>Additional paid-in capital</w:t>
            </w:r>
          </w:p>
        </w:tc>
        <w:tc>
          <w:tcPr>
            <w:tcW w:w="40" w:type="dxa"/>
            <w:vAlign w:val="bottom"/>
          </w:tcPr>
          <w:p>
            <w:pPr>
              <w:spacing w:after="0"/>
              <w:rPr>
                <w:sz w:val="15"/>
                <w:szCs w:val="15"/>
                <w:color w:val="auto"/>
              </w:rPr>
            </w:pPr>
          </w:p>
        </w:tc>
        <w:tc>
          <w:tcPr>
            <w:tcW w:w="1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B4B4B4"/>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522,555</w:t>
            </w:r>
          </w:p>
        </w:tc>
        <w:tc>
          <w:tcPr>
            <w:tcW w:w="180" w:type="dxa"/>
            <w:vAlign w:val="bottom"/>
          </w:tcPr>
          <w:p>
            <w:pPr>
              <w:spacing w:after="0"/>
              <w:rPr>
                <w:sz w:val="15"/>
                <w:szCs w:val="15"/>
                <w:color w:val="auto"/>
              </w:rPr>
            </w:pPr>
          </w:p>
        </w:tc>
        <w:tc>
          <w:tcPr>
            <w:tcW w:w="760" w:type="dxa"/>
            <w:vAlign w:val="bottom"/>
          </w:tcPr>
          <w:p>
            <w:pPr>
              <w:jc w:val="right"/>
              <w:ind w:right="39"/>
              <w:spacing w:after="0"/>
              <w:rPr>
                <w:sz w:val="20"/>
                <w:szCs w:val="20"/>
                <w:color w:val="auto"/>
              </w:rPr>
            </w:pPr>
            <w:r>
              <w:rPr>
                <w:rFonts w:ascii="Arial" w:cs="Arial" w:eastAsia="Arial" w:hAnsi="Arial"/>
                <w:sz w:val="12"/>
                <w:szCs w:val="12"/>
                <w:color w:val="auto"/>
              </w:rPr>
              <w:t>2,436,115</w:t>
            </w:r>
          </w:p>
        </w:tc>
        <w:tc>
          <w:tcPr>
            <w:tcW w:w="120" w:type="dxa"/>
            <w:vAlign w:val="bottom"/>
          </w:tcPr>
          <w:p>
            <w:pPr>
              <w:spacing w:after="0"/>
              <w:rPr>
                <w:sz w:val="15"/>
                <w:szCs w:val="15"/>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3,149,474</w:t>
            </w:r>
          </w:p>
        </w:tc>
        <w:tc>
          <w:tcPr>
            <w:tcW w:w="0" w:type="dxa"/>
            <w:vAlign w:val="bottom"/>
          </w:tcPr>
          <w:p>
            <w:pPr>
              <w:spacing w:after="0"/>
              <w:rPr>
                <w:sz w:val="1"/>
                <w:szCs w:val="1"/>
                <w:color w:val="auto"/>
              </w:rPr>
            </w:pPr>
          </w:p>
        </w:tc>
      </w:tr>
      <w:tr>
        <w:trPr>
          <w:trHeight w:val="190"/>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7"/>
                <w:szCs w:val="7"/>
                <w:color w:val="auto"/>
                <w:w w:val="76"/>
              </w:rPr>
              <w:t xml:space="preserve">Accumulated deficit </w:t>
            </w:r>
            <w:r>
              <w:rPr>
                <w:rFonts w:ascii="Times New Roman" w:cs="Times New Roman" w:eastAsia="Times New Roman" w:hAnsi="Times New Roman"/>
                <w:sz w:val="7"/>
                <w:szCs w:val="7"/>
                <w:color w:val="B4B4B4"/>
                <w:w w:val="76"/>
              </w:rPr>
              <w:t>...................................................................</w:t>
            </w:r>
          </w:p>
        </w:tc>
        <w:tc>
          <w:tcPr>
            <w:tcW w:w="1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(1,716,993)</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(1,918,466)</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(1,938,281)</w:t>
            </w:r>
          </w:p>
        </w:tc>
        <w:tc>
          <w:tcPr>
            <w:tcW w:w="0" w:type="dxa"/>
            <w:vAlign w:val="bottom"/>
          </w:tcPr>
          <w:p>
            <w:pPr>
              <w:spacing w:after="0"/>
              <w:rPr>
                <w:sz w:val="1"/>
                <w:szCs w:val="1"/>
                <w:color w:val="auto"/>
              </w:rPr>
            </w:pPr>
          </w:p>
        </w:tc>
      </w:tr>
      <w:tr>
        <w:trPr>
          <w:trHeight w:val="182"/>
        </w:trPr>
        <w:tc>
          <w:tcPr>
            <w:tcW w:w="3400" w:type="dxa"/>
            <w:vAlign w:val="bottom"/>
            <w:gridSpan w:val="3"/>
          </w:tcPr>
          <w:p>
            <w:pPr>
              <w:ind w:left="40"/>
              <w:spacing w:after="0"/>
              <w:rPr>
                <w:sz w:val="20"/>
                <w:szCs w:val="20"/>
                <w:color w:val="auto"/>
              </w:rPr>
            </w:pPr>
            <w:r>
              <w:rPr>
                <w:rFonts w:ascii="Arial" w:cs="Arial" w:eastAsia="Arial" w:hAnsi="Arial"/>
                <w:sz w:val="12"/>
                <w:szCs w:val="12"/>
                <w:color w:val="auto"/>
              </w:rPr>
              <w:t xml:space="preserve">Total stockholders’ (deficit) equity </w:t>
            </w:r>
            <w:r>
              <w:rPr>
                <w:rFonts w:ascii="Times New Roman" w:cs="Times New Roman" w:eastAsia="Times New Roman" w:hAnsi="Times New Roman"/>
                <w:sz w:val="12"/>
                <w:szCs w:val="12"/>
                <w:color w:val="B4B4B4"/>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(1,208,451)</w:t>
            </w:r>
          </w:p>
        </w:tc>
        <w:tc>
          <w:tcPr>
            <w:tcW w:w="180" w:type="dxa"/>
            <w:vAlign w:val="bottom"/>
          </w:tcPr>
          <w:p>
            <w:pPr>
              <w:spacing w:after="0"/>
              <w:rPr>
                <w:sz w:val="15"/>
                <w:szCs w:val="15"/>
                <w:color w:val="auto"/>
              </w:rPr>
            </w:pPr>
          </w:p>
        </w:tc>
        <w:tc>
          <w:tcPr>
            <w:tcW w:w="760" w:type="dxa"/>
            <w:vAlign w:val="bottom"/>
          </w:tcPr>
          <w:p>
            <w:pPr>
              <w:jc w:val="right"/>
              <w:ind w:right="39"/>
              <w:spacing w:after="0"/>
              <w:rPr>
                <w:sz w:val="20"/>
                <w:szCs w:val="20"/>
                <w:color w:val="auto"/>
              </w:rPr>
            </w:pPr>
            <w:r>
              <w:rPr>
                <w:rFonts w:ascii="Arial" w:cs="Arial" w:eastAsia="Arial" w:hAnsi="Arial"/>
                <w:sz w:val="12"/>
                <w:szCs w:val="12"/>
                <w:color w:val="auto"/>
              </w:rPr>
              <w:t>503,637</w:t>
            </w:r>
          </w:p>
        </w:tc>
        <w:tc>
          <w:tcPr>
            <w:tcW w:w="120" w:type="dxa"/>
            <w:vAlign w:val="bottom"/>
          </w:tcPr>
          <w:p>
            <w:pPr>
              <w:spacing w:after="0"/>
              <w:rPr>
                <w:sz w:val="15"/>
                <w:szCs w:val="15"/>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1,197,181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-2101850</wp:posOffset>
            </wp:positionV>
            <wp:extent cx="6732270" cy="9970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10"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_______________</w:t>
      </w:r>
    </w:p>
    <w:p>
      <w:pPr>
        <w:spacing w:after="0" w:line="17"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(1)  The pro forma column above reflects:</w:t>
      </w:r>
    </w:p>
    <w:p>
      <w:pPr>
        <w:spacing w:after="0" w:line="23" w:lineRule="exact"/>
        <w:rPr>
          <w:sz w:val="20"/>
          <w:szCs w:val="20"/>
          <w:color w:val="auto"/>
        </w:rPr>
      </w:pPr>
    </w:p>
    <w:tbl>
      <w:tblPr>
        <w:tblLayout w:type="fixed"/>
        <w:tblInd w:w="1760" w:type="dxa"/>
        <w:tblCellMar>
          <w:top w:w="0" w:type="dxa"/>
          <w:left w:w="0" w:type="dxa"/>
          <w:bottom w:w="0" w:type="dxa"/>
          <w:right w:w="0" w:type="dxa"/>
        </w:tblCellMar>
      </w:tblPr>
      <w:tr>
        <w:trPr>
          <w:trHeight w:val="126"/>
        </w:trPr>
        <w:tc>
          <w:tcPr>
            <w:tcW w:w="120" w:type="dxa"/>
            <w:vAlign w:val="bottom"/>
          </w:tcPr>
          <w:p>
            <w:pPr>
              <w:spacing w:after="0"/>
              <w:rPr>
                <w:sz w:val="20"/>
                <w:szCs w:val="20"/>
                <w:color w:val="auto"/>
              </w:rPr>
            </w:pPr>
            <w:r>
              <w:rPr>
                <w:rFonts w:ascii="Arial" w:cs="Arial" w:eastAsia="Arial" w:hAnsi="Arial"/>
                <w:sz w:val="11"/>
                <w:szCs w:val="11"/>
                <w:color w:val="auto"/>
              </w:rPr>
              <w:t>•</w:t>
            </w:r>
          </w:p>
        </w:tc>
        <w:tc>
          <w:tcPr>
            <w:tcW w:w="5600" w:type="dxa"/>
            <w:vAlign w:val="bottom"/>
            <w:gridSpan w:val="2"/>
          </w:tcPr>
          <w:p>
            <w:pPr>
              <w:ind w:left="100"/>
              <w:spacing w:after="0"/>
              <w:rPr>
                <w:sz w:val="20"/>
                <w:szCs w:val="20"/>
                <w:color w:val="auto"/>
              </w:rPr>
            </w:pPr>
            <w:r>
              <w:rPr>
                <w:rFonts w:ascii="Arial" w:cs="Arial" w:eastAsia="Arial" w:hAnsi="Arial"/>
                <w:sz w:val="11"/>
                <w:szCs w:val="11"/>
                <w:color w:val="auto"/>
              </w:rPr>
              <w:t>the automatic conversion of all outstanding shares of our redeemable convertible preferred stoc</w:t>
            </w:r>
          </w:p>
        </w:tc>
        <w:tc>
          <w:tcPr>
            <w:tcW w:w="0" w:type="dxa"/>
            <w:vAlign w:val="bottom"/>
          </w:tcPr>
          <w:p>
            <w:pPr>
              <w:spacing w:after="0"/>
              <w:rPr>
                <w:sz w:val="1"/>
                <w:szCs w:val="1"/>
                <w:color w:val="auto"/>
              </w:rPr>
            </w:pPr>
          </w:p>
        </w:tc>
      </w:tr>
      <w:tr>
        <w:trPr>
          <w:trHeight w:val="77"/>
        </w:trPr>
        <w:tc>
          <w:tcPr>
            <w:tcW w:w="120" w:type="dxa"/>
            <w:vAlign w:val="bottom"/>
          </w:tcPr>
          <w:p>
            <w:pPr>
              <w:spacing w:after="0"/>
              <w:rPr>
                <w:sz w:val="6"/>
                <w:szCs w:val="6"/>
                <w:color w:val="auto"/>
              </w:rPr>
            </w:pPr>
          </w:p>
        </w:tc>
        <w:tc>
          <w:tcPr>
            <w:tcW w:w="3720" w:type="dxa"/>
            <w:vAlign w:val="bottom"/>
          </w:tcPr>
          <w:p>
            <w:pPr>
              <w:ind w:left="100"/>
              <w:spacing w:after="0" w:line="77" w:lineRule="exact"/>
              <w:rPr>
                <w:sz w:val="20"/>
                <w:szCs w:val="20"/>
                <w:color w:val="auto"/>
              </w:rPr>
            </w:pPr>
            <w:r>
              <w:rPr>
                <w:rFonts w:ascii="Arial" w:cs="Arial" w:eastAsia="Arial" w:hAnsi="Arial"/>
                <w:sz w:val="8"/>
                <w:szCs w:val="8"/>
                <w:color w:val="auto"/>
              </w:rPr>
              <w:t>k</w:t>
            </w: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20" w:type="dxa"/>
            <w:vAlign w:val="bottom"/>
          </w:tcPr>
          <w:p>
            <w:pPr>
              <w:spacing w:after="0"/>
              <w:rPr>
                <w:sz w:val="5"/>
                <w:szCs w:val="5"/>
                <w:color w:val="auto"/>
              </w:rPr>
            </w:pPr>
          </w:p>
        </w:tc>
        <w:tc>
          <w:tcPr>
            <w:tcW w:w="5600" w:type="dxa"/>
            <w:vAlign w:val="bottom"/>
            <w:gridSpan w:val="2"/>
          </w:tcPr>
          <w:p>
            <w:pPr>
              <w:ind w:left="100"/>
              <w:spacing w:after="0" w:line="67" w:lineRule="exact"/>
              <w:rPr>
                <w:sz w:val="20"/>
                <w:szCs w:val="20"/>
                <w:color w:val="auto"/>
              </w:rPr>
            </w:pPr>
            <w:r>
              <w:rPr>
                <w:rFonts w:ascii="Arial" w:cs="Arial" w:eastAsia="Arial" w:hAnsi="Arial"/>
                <w:sz w:val="7"/>
                <w:szCs w:val="7"/>
                <w:color w:val="auto"/>
              </w:rPr>
              <w:t>outstanding as of July 31, 2025, into 146,589,046 shares of our Class A common stock in connection wit</w:t>
            </w:r>
          </w:p>
        </w:tc>
        <w:tc>
          <w:tcPr>
            <w:tcW w:w="0" w:type="dxa"/>
            <w:vAlign w:val="bottom"/>
          </w:tcPr>
          <w:p>
            <w:pPr>
              <w:spacing w:after="0"/>
              <w:rPr>
                <w:sz w:val="1"/>
                <w:szCs w:val="1"/>
                <w:color w:val="auto"/>
              </w:rPr>
            </w:pPr>
          </w:p>
        </w:tc>
      </w:tr>
      <w:tr>
        <w:trPr>
          <w:trHeight w:val="77"/>
        </w:trPr>
        <w:tc>
          <w:tcPr>
            <w:tcW w:w="120" w:type="dxa"/>
            <w:vAlign w:val="bottom"/>
          </w:tcPr>
          <w:p>
            <w:pPr>
              <w:spacing w:after="0"/>
              <w:rPr>
                <w:sz w:val="6"/>
                <w:szCs w:val="6"/>
                <w:color w:val="auto"/>
              </w:rPr>
            </w:pPr>
          </w:p>
        </w:tc>
        <w:tc>
          <w:tcPr>
            <w:tcW w:w="3720" w:type="dxa"/>
            <w:vAlign w:val="bottom"/>
          </w:tcPr>
          <w:p>
            <w:pPr>
              <w:ind w:left="2600"/>
              <w:spacing w:after="0" w:line="77" w:lineRule="exact"/>
              <w:rPr>
                <w:sz w:val="20"/>
                <w:szCs w:val="20"/>
                <w:color w:val="auto"/>
              </w:rPr>
            </w:pPr>
            <w:r>
              <w:rPr>
                <w:rFonts w:ascii="Arial" w:cs="Arial" w:eastAsia="Arial" w:hAnsi="Arial"/>
                <w:sz w:val="8"/>
                <w:szCs w:val="8"/>
                <w:color w:val="auto"/>
              </w:rPr>
              <w:t>h</w:t>
            </w: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120" w:type="dxa"/>
            <w:vAlign w:val="bottom"/>
          </w:tcPr>
          <w:p>
            <w:pPr>
              <w:spacing w:after="0"/>
              <w:rPr>
                <w:sz w:val="4"/>
                <w:szCs w:val="4"/>
                <w:color w:val="auto"/>
              </w:rPr>
            </w:pPr>
          </w:p>
        </w:tc>
        <w:tc>
          <w:tcPr>
            <w:tcW w:w="5600" w:type="dxa"/>
            <w:vAlign w:val="bottom"/>
            <w:gridSpan w:val="2"/>
          </w:tcPr>
          <w:p>
            <w:pPr>
              <w:ind w:left="100"/>
              <w:spacing w:after="0" w:line="58" w:lineRule="exact"/>
              <w:rPr>
                <w:sz w:val="20"/>
                <w:szCs w:val="20"/>
                <w:color w:val="auto"/>
              </w:rPr>
            </w:pPr>
            <w:r>
              <w:rPr>
                <w:rFonts w:ascii="Arial" w:cs="Arial" w:eastAsia="Arial" w:hAnsi="Arial"/>
                <w:sz w:val="6"/>
                <w:szCs w:val="6"/>
                <w:color w:val="auto"/>
              </w:rPr>
              <w:t>the completion of this offering pursuant to the terms of our amended and restated certificate of incorporatio</w:t>
            </w:r>
          </w:p>
        </w:tc>
        <w:tc>
          <w:tcPr>
            <w:tcW w:w="0" w:type="dxa"/>
            <w:vAlign w:val="bottom"/>
          </w:tcPr>
          <w:p>
            <w:pPr>
              <w:spacing w:after="0"/>
              <w:rPr>
                <w:sz w:val="1"/>
                <w:szCs w:val="1"/>
                <w:color w:val="auto"/>
              </w:rPr>
            </w:pPr>
          </w:p>
        </w:tc>
      </w:tr>
      <w:tr>
        <w:trPr>
          <w:trHeight w:val="77"/>
        </w:trPr>
        <w:tc>
          <w:tcPr>
            <w:tcW w:w="120" w:type="dxa"/>
            <w:vAlign w:val="bottom"/>
          </w:tcPr>
          <w:p>
            <w:pPr>
              <w:spacing w:after="0"/>
              <w:rPr>
                <w:sz w:val="6"/>
                <w:szCs w:val="6"/>
                <w:color w:val="auto"/>
              </w:rPr>
            </w:pPr>
          </w:p>
        </w:tc>
        <w:tc>
          <w:tcPr>
            <w:tcW w:w="3720" w:type="dxa"/>
            <w:vAlign w:val="bottom"/>
          </w:tcPr>
          <w:p>
            <w:pPr>
              <w:ind w:left="100"/>
              <w:spacing w:after="0" w:line="77" w:lineRule="exact"/>
              <w:rPr>
                <w:sz w:val="20"/>
                <w:szCs w:val="20"/>
                <w:color w:val="auto"/>
              </w:rPr>
            </w:pPr>
            <w:r>
              <w:rPr>
                <w:rFonts w:ascii="Arial" w:cs="Arial" w:eastAsia="Arial" w:hAnsi="Arial"/>
                <w:sz w:val="8"/>
                <w:szCs w:val="8"/>
                <w:color w:val="auto"/>
              </w:rPr>
              <w:t>n</w:t>
            </w: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20" w:type="dxa"/>
            <w:vAlign w:val="bottom"/>
          </w:tcPr>
          <w:p>
            <w:pPr>
              <w:spacing w:after="0"/>
              <w:rPr>
                <w:sz w:val="5"/>
                <w:szCs w:val="5"/>
                <w:color w:val="auto"/>
              </w:rPr>
            </w:pPr>
          </w:p>
        </w:tc>
        <w:tc>
          <w:tcPr>
            <w:tcW w:w="3720" w:type="dxa"/>
            <w:vAlign w:val="bottom"/>
          </w:tcPr>
          <w:p>
            <w:pPr>
              <w:ind w:left="100"/>
              <w:spacing w:after="0" w:line="67" w:lineRule="exact"/>
              <w:rPr>
                <w:sz w:val="20"/>
                <w:szCs w:val="20"/>
                <w:color w:val="auto"/>
              </w:rPr>
            </w:pPr>
            <w:r>
              <w:rPr>
                <w:rFonts w:ascii="Arial" w:cs="Arial" w:eastAsia="Arial" w:hAnsi="Arial"/>
                <w:sz w:val="7"/>
                <w:szCs w:val="7"/>
                <w:color w:val="auto"/>
              </w:rPr>
              <w:t>in the Capital Stock Conversion</w:t>
            </w:r>
          </w:p>
        </w:tc>
        <w:tc>
          <w:tcPr>
            <w:tcW w:w="1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3720" w:type="dxa"/>
            <w:vAlign w:val="bottom"/>
          </w:tcPr>
          <w:p>
            <w:pPr>
              <w:ind w:left="100"/>
              <w:spacing w:after="0" w:line="77" w:lineRule="exact"/>
              <w:rPr>
                <w:sz w:val="20"/>
                <w:szCs w:val="20"/>
                <w:color w:val="auto"/>
              </w:rPr>
            </w:pPr>
            <w:r>
              <w:rPr>
                <w:rFonts w:ascii="Arial" w:cs="Arial" w:eastAsia="Arial" w:hAnsi="Arial"/>
                <w:sz w:val="8"/>
                <w:szCs w:val="8"/>
                <w:color w:val="auto"/>
              </w:rPr>
              <w:t>;</w:t>
            </w: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120" w:type="dxa"/>
            <w:vAlign w:val="bottom"/>
            <w:vMerge w:val="continue"/>
          </w:tcPr>
          <w:p>
            <w:pPr>
              <w:spacing w:after="0"/>
              <w:rPr>
                <w:sz w:val="8"/>
                <w:szCs w:val="8"/>
                <w:color w:val="auto"/>
              </w:rPr>
            </w:pPr>
          </w:p>
        </w:tc>
        <w:tc>
          <w:tcPr>
            <w:tcW w:w="5600" w:type="dxa"/>
            <w:vAlign w:val="bottom"/>
            <w:gridSpan w:val="2"/>
          </w:tcPr>
          <w:p>
            <w:pPr>
              <w:ind w:left="100"/>
              <w:spacing w:after="0" w:line="96" w:lineRule="exact"/>
              <w:rPr>
                <w:sz w:val="20"/>
                <w:szCs w:val="20"/>
                <w:color w:val="auto"/>
              </w:rPr>
            </w:pPr>
            <w:r>
              <w:rPr>
                <w:rFonts w:ascii="Arial" w:cs="Arial" w:eastAsia="Arial" w:hAnsi="Arial"/>
                <w:sz w:val="11"/>
                <w:szCs w:val="11"/>
                <w:color w:val="auto"/>
              </w:rPr>
              <w:t>the Note Conversion, resulting in (A) the net adjustment of the carrying amount of the Convertible Notes o</w:t>
            </w:r>
          </w:p>
        </w:tc>
        <w:tc>
          <w:tcPr>
            <w:tcW w:w="0" w:type="dxa"/>
            <w:vAlign w:val="bottom"/>
          </w:tcPr>
          <w:p>
            <w:pPr>
              <w:spacing w:after="0"/>
              <w:rPr>
                <w:sz w:val="1"/>
                <w:szCs w:val="1"/>
                <w:color w:val="auto"/>
              </w:rPr>
            </w:pPr>
          </w:p>
        </w:tc>
      </w:tr>
      <w:tr>
        <w:trPr>
          <w:trHeight w:val="77"/>
        </w:trPr>
        <w:tc>
          <w:tcPr>
            <w:tcW w:w="120" w:type="dxa"/>
            <w:vAlign w:val="bottom"/>
          </w:tcPr>
          <w:p>
            <w:pPr>
              <w:spacing w:after="0"/>
              <w:rPr>
                <w:sz w:val="6"/>
                <w:szCs w:val="6"/>
                <w:color w:val="auto"/>
              </w:rPr>
            </w:pPr>
          </w:p>
        </w:tc>
        <w:tc>
          <w:tcPr>
            <w:tcW w:w="3720" w:type="dxa"/>
            <w:vAlign w:val="bottom"/>
          </w:tcPr>
          <w:p>
            <w:pPr>
              <w:ind w:left="100"/>
              <w:spacing w:after="0" w:line="77" w:lineRule="exact"/>
              <w:rPr>
                <w:sz w:val="20"/>
                <w:szCs w:val="20"/>
                <w:color w:val="auto"/>
              </w:rPr>
            </w:pPr>
            <w:r>
              <w:rPr>
                <w:rFonts w:ascii="Arial" w:cs="Arial" w:eastAsia="Arial" w:hAnsi="Arial"/>
                <w:sz w:val="8"/>
                <w:szCs w:val="8"/>
                <w:color w:val="auto"/>
              </w:rPr>
              <w:t>f</w:t>
            </w: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120" w:type="dxa"/>
            <w:vAlign w:val="bottom"/>
          </w:tcPr>
          <w:p>
            <w:pPr>
              <w:spacing w:after="0"/>
              <w:rPr>
                <w:sz w:val="4"/>
                <w:szCs w:val="4"/>
                <w:color w:val="auto"/>
              </w:rPr>
            </w:pPr>
          </w:p>
        </w:tc>
        <w:tc>
          <w:tcPr>
            <w:tcW w:w="5600" w:type="dxa"/>
            <w:vAlign w:val="bottom"/>
            <w:gridSpan w:val="2"/>
          </w:tcPr>
          <w:p>
            <w:pPr>
              <w:ind w:left="100"/>
              <w:spacing w:after="0" w:line="58" w:lineRule="exact"/>
              <w:rPr>
                <w:sz w:val="20"/>
                <w:szCs w:val="20"/>
                <w:color w:val="auto"/>
              </w:rPr>
            </w:pPr>
            <w:r>
              <w:rPr>
                <w:rFonts w:ascii="Arial" w:cs="Arial" w:eastAsia="Arial" w:hAnsi="Arial"/>
                <w:sz w:val="6"/>
                <w:szCs w:val="6"/>
                <w:color w:val="auto"/>
              </w:rPr>
              <w:t>$195.2 million as of July 31, 2025 to $202.1 million, consisting of the accrual of incremental interest expens</w:t>
            </w:r>
          </w:p>
        </w:tc>
        <w:tc>
          <w:tcPr>
            <w:tcW w:w="0" w:type="dxa"/>
            <w:vAlign w:val="bottom"/>
          </w:tcPr>
          <w:p>
            <w:pPr>
              <w:spacing w:after="0"/>
              <w:rPr>
                <w:sz w:val="1"/>
                <w:szCs w:val="1"/>
                <w:color w:val="auto"/>
              </w:rPr>
            </w:pPr>
          </w:p>
        </w:tc>
      </w:tr>
      <w:tr>
        <w:trPr>
          <w:trHeight w:val="77"/>
        </w:trPr>
        <w:tc>
          <w:tcPr>
            <w:tcW w:w="120" w:type="dxa"/>
            <w:vAlign w:val="bottom"/>
          </w:tcPr>
          <w:p>
            <w:pPr>
              <w:spacing w:after="0"/>
              <w:rPr>
                <w:sz w:val="6"/>
                <w:szCs w:val="6"/>
                <w:color w:val="auto"/>
              </w:rPr>
            </w:pPr>
          </w:p>
        </w:tc>
        <w:tc>
          <w:tcPr>
            <w:tcW w:w="3720" w:type="dxa"/>
            <w:vAlign w:val="bottom"/>
          </w:tcPr>
          <w:p>
            <w:pPr>
              <w:ind w:left="2320"/>
              <w:spacing w:after="0" w:line="77" w:lineRule="exact"/>
              <w:rPr>
                <w:sz w:val="20"/>
                <w:szCs w:val="20"/>
                <w:color w:val="auto"/>
              </w:rPr>
            </w:pPr>
            <w:r>
              <w:rPr>
                <w:rFonts w:ascii="Arial" w:cs="Arial" w:eastAsia="Arial" w:hAnsi="Arial"/>
                <w:sz w:val="8"/>
                <w:szCs w:val="8"/>
                <w:color w:val="auto"/>
              </w:rPr>
              <w:t>e</w:t>
            </w:r>
          </w:p>
        </w:tc>
        <w:tc>
          <w:tcPr>
            <w:tcW w:w="1880" w:type="dxa"/>
            <w:vAlign w:val="bottom"/>
            <w:vMerge w:val="restart"/>
          </w:tcPr>
          <w:p>
            <w:pPr>
              <w:ind w:left="40"/>
              <w:spacing w:after="0"/>
              <w:rPr>
                <w:sz w:val="20"/>
                <w:szCs w:val="20"/>
                <w:color w:val="auto"/>
              </w:rPr>
            </w:pPr>
            <w:r>
              <w:rPr>
                <w:rFonts w:ascii="Arial" w:cs="Arial" w:eastAsia="Arial" w:hAnsi="Arial"/>
                <w:sz w:val="11"/>
                <w:szCs w:val="11"/>
                <w:color w:val="auto"/>
              </w:rPr>
              <w:t>November 3, 202 ) and incremental</w:t>
            </w:r>
          </w:p>
        </w:tc>
        <w:tc>
          <w:tcPr>
            <w:tcW w:w="0" w:type="dxa"/>
            <w:vAlign w:val="bottom"/>
          </w:tcPr>
          <w:p>
            <w:pPr>
              <w:spacing w:after="0"/>
              <w:rPr>
                <w:sz w:val="1"/>
                <w:szCs w:val="1"/>
                <w:color w:val="auto"/>
              </w:rPr>
            </w:pPr>
          </w:p>
        </w:tc>
      </w:tr>
      <w:tr>
        <w:trPr>
          <w:trHeight w:val="67"/>
        </w:trPr>
        <w:tc>
          <w:tcPr>
            <w:tcW w:w="120" w:type="dxa"/>
            <w:vAlign w:val="bottom"/>
          </w:tcPr>
          <w:p>
            <w:pPr>
              <w:spacing w:after="0"/>
              <w:rPr>
                <w:sz w:val="5"/>
                <w:szCs w:val="5"/>
                <w:color w:val="auto"/>
              </w:rPr>
            </w:pPr>
          </w:p>
        </w:tc>
        <w:tc>
          <w:tcPr>
            <w:tcW w:w="3720" w:type="dxa"/>
            <w:vAlign w:val="bottom"/>
          </w:tcPr>
          <w:p>
            <w:pPr>
              <w:ind w:left="100"/>
              <w:spacing w:after="0" w:line="67" w:lineRule="exact"/>
              <w:rPr>
                <w:sz w:val="20"/>
                <w:szCs w:val="20"/>
                <w:color w:val="auto"/>
              </w:rPr>
            </w:pPr>
            <w:r>
              <w:rPr>
                <w:rFonts w:ascii="Arial" w:cs="Arial" w:eastAsia="Arial" w:hAnsi="Arial"/>
                <w:sz w:val="7"/>
                <w:szCs w:val="7"/>
                <w:color w:val="auto"/>
              </w:rPr>
              <w:t>of $6.3 million (based on an assumed completion date of this offering o</w:t>
            </w: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20" w:type="dxa"/>
            <w:vAlign w:val="bottom"/>
          </w:tcPr>
          <w:p>
            <w:pPr>
              <w:spacing w:after="0"/>
              <w:rPr>
                <w:sz w:val="6"/>
                <w:szCs w:val="6"/>
                <w:color w:val="auto"/>
              </w:rPr>
            </w:pPr>
          </w:p>
        </w:tc>
        <w:tc>
          <w:tcPr>
            <w:tcW w:w="3720" w:type="dxa"/>
            <w:vAlign w:val="bottom"/>
          </w:tcPr>
          <w:p>
            <w:pPr>
              <w:ind w:left="440"/>
              <w:spacing w:after="0" w:line="77" w:lineRule="exact"/>
              <w:rPr>
                <w:sz w:val="20"/>
                <w:szCs w:val="20"/>
                <w:color w:val="auto"/>
              </w:rPr>
            </w:pPr>
            <w:r>
              <w:rPr>
                <w:rFonts w:ascii="Arial" w:cs="Arial" w:eastAsia="Arial" w:hAnsi="Arial"/>
                <w:sz w:val="8"/>
                <w:szCs w:val="8"/>
                <w:color w:val="auto"/>
              </w:rPr>
              <w:t>f</w:t>
            </w:r>
          </w:p>
        </w:tc>
        <w:tc>
          <w:tcPr>
            <w:tcW w:w="1880" w:type="dxa"/>
            <w:vAlign w:val="bottom"/>
          </w:tcPr>
          <w:p>
            <w:pPr>
              <w:ind w:left="40"/>
              <w:spacing w:after="0" w:line="77" w:lineRule="exact"/>
              <w:rPr>
                <w:sz w:val="20"/>
                <w:szCs w:val="20"/>
                <w:color w:val="auto"/>
              </w:rPr>
            </w:pPr>
            <w:r>
              <w:rPr>
                <w:rFonts w:ascii="Arial" w:cs="Arial" w:eastAsia="Arial" w:hAnsi="Arial"/>
                <w:sz w:val="8"/>
                <w:szCs w:val="8"/>
                <w:color w:val="auto"/>
              </w:rPr>
              <w:t>5</w:t>
            </w:r>
          </w:p>
        </w:tc>
        <w:tc>
          <w:tcPr>
            <w:tcW w:w="0" w:type="dxa"/>
            <w:vAlign w:val="bottom"/>
          </w:tcPr>
          <w:p>
            <w:pPr>
              <w:spacing w:after="0"/>
              <w:rPr>
                <w:sz w:val="1"/>
                <w:szCs w:val="1"/>
                <w:color w:val="auto"/>
              </w:rPr>
            </w:pPr>
          </w:p>
        </w:tc>
      </w:tr>
      <w:tr>
        <w:trPr>
          <w:trHeight w:val="57"/>
        </w:trPr>
        <w:tc>
          <w:tcPr>
            <w:tcW w:w="120" w:type="dxa"/>
            <w:vAlign w:val="bottom"/>
          </w:tcPr>
          <w:p>
            <w:pPr>
              <w:spacing w:after="0"/>
              <w:rPr>
                <w:sz w:val="4"/>
                <w:szCs w:val="4"/>
                <w:color w:val="auto"/>
              </w:rPr>
            </w:pPr>
          </w:p>
        </w:tc>
        <w:tc>
          <w:tcPr>
            <w:tcW w:w="5600" w:type="dxa"/>
            <w:vAlign w:val="bottom"/>
            <w:gridSpan w:val="2"/>
          </w:tcPr>
          <w:p>
            <w:pPr>
              <w:ind w:left="100"/>
              <w:spacing w:after="0" w:line="58" w:lineRule="exact"/>
              <w:rPr>
                <w:sz w:val="20"/>
                <w:szCs w:val="20"/>
                <w:color w:val="auto"/>
              </w:rPr>
            </w:pPr>
            <w:r>
              <w:rPr>
                <w:rFonts w:ascii="Arial" w:cs="Arial" w:eastAsia="Arial" w:hAnsi="Arial"/>
                <w:sz w:val="6"/>
                <w:szCs w:val="6"/>
                <w:color w:val="auto"/>
              </w:rPr>
              <w:t>amortization of debt discount and issuance costs o $0.6 million following July 31, 2025 and through the</w:t>
            </w:r>
          </w:p>
        </w:tc>
        <w:tc>
          <w:tcPr>
            <w:tcW w:w="0" w:type="dxa"/>
            <w:vAlign w:val="bottom"/>
          </w:tcPr>
          <w:p>
            <w:pPr>
              <w:spacing w:after="0"/>
              <w:rPr>
                <w:sz w:val="1"/>
                <w:szCs w:val="1"/>
                <w:color w:val="auto"/>
              </w:rPr>
            </w:pPr>
          </w:p>
        </w:tc>
      </w:tr>
      <w:tr>
        <w:trPr>
          <w:trHeight w:val="77"/>
        </w:trPr>
        <w:tc>
          <w:tcPr>
            <w:tcW w:w="120" w:type="dxa"/>
            <w:vAlign w:val="bottom"/>
          </w:tcPr>
          <w:p>
            <w:pPr>
              <w:spacing w:after="0"/>
              <w:rPr>
                <w:sz w:val="6"/>
                <w:szCs w:val="6"/>
                <w:color w:val="auto"/>
              </w:rPr>
            </w:pPr>
          </w:p>
        </w:tc>
        <w:tc>
          <w:tcPr>
            <w:tcW w:w="3720" w:type="dxa"/>
            <w:vAlign w:val="bottom"/>
          </w:tcPr>
          <w:p>
            <w:pPr>
              <w:ind w:left="100"/>
              <w:spacing w:after="0" w:line="77" w:lineRule="exact"/>
              <w:rPr>
                <w:sz w:val="20"/>
                <w:szCs w:val="20"/>
                <w:color w:val="auto"/>
              </w:rPr>
            </w:pPr>
            <w:r>
              <w:rPr>
                <w:rFonts w:ascii="Arial" w:cs="Arial" w:eastAsia="Arial" w:hAnsi="Arial"/>
                <w:sz w:val="8"/>
                <w:szCs w:val="8"/>
                <w:color w:val="auto"/>
              </w:rPr>
              <w:t>f</w:t>
            </w: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20" w:type="dxa"/>
            <w:vAlign w:val="bottom"/>
          </w:tcPr>
          <w:p>
            <w:pPr>
              <w:spacing w:after="0"/>
              <w:rPr>
                <w:sz w:val="5"/>
                <w:szCs w:val="5"/>
                <w:color w:val="auto"/>
              </w:rPr>
            </w:pPr>
          </w:p>
        </w:tc>
        <w:tc>
          <w:tcPr>
            <w:tcW w:w="5600" w:type="dxa"/>
            <w:vAlign w:val="bottom"/>
            <w:gridSpan w:val="2"/>
          </w:tcPr>
          <w:p>
            <w:pPr>
              <w:ind w:left="100"/>
              <w:spacing w:after="0" w:line="67" w:lineRule="exact"/>
              <w:rPr>
                <w:sz w:val="20"/>
                <w:szCs w:val="20"/>
                <w:color w:val="auto"/>
              </w:rPr>
            </w:pPr>
            <w:r>
              <w:rPr>
                <w:rFonts w:ascii="Arial" w:cs="Arial" w:eastAsia="Arial" w:hAnsi="Arial"/>
                <w:sz w:val="7"/>
                <w:szCs w:val="7"/>
                <w:color w:val="auto"/>
              </w:rPr>
              <w:t>Note Conversion on the closing date of this offering, reflected as an increase in accumulated deficit   $7.0</w:t>
            </w:r>
          </w:p>
        </w:tc>
        <w:tc>
          <w:tcPr>
            <w:tcW w:w="0" w:type="dxa"/>
            <w:vAlign w:val="bottom"/>
          </w:tcPr>
          <w:p>
            <w:pPr>
              <w:spacing w:after="0"/>
              <w:rPr>
                <w:sz w:val="1"/>
                <w:szCs w:val="1"/>
                <w:color w:val="auto"/>
              </w:rPr>
            </w:pPr>
          </w:p>
        </w:tc>
      </w:tr>
      <w:tr>
        <w:trPr>
          <w:trHeight w:val="77"/>
        </w:trPr>
        <w:tc>
          <w:tcPr>
            <w:tcW w:w="120" w:type="dxa"/>
            <w:vAlign w:val="bottom"/>
          </w:tcPr>
          <w:p>
            <w:pPr>
              <w:spacing w:after="0"/>
              <w:rPr>
                <w:sz w:val="6"/>
                <w:szCs w:val="6"/>
                <w:color w:val="auto"/>
              </w:rPr>
            </w:pPr>
          </w:p>
        </w:tc>
        <w:tc>
          <w:tcPr>
            <w:tcW w:w="3720" w:type="dxa"/>
            <w:vAlign w:val="bottom"/>
          </w:tcPr>
          <w:p>
            <w:pPr>
              <w:ind w:left="100"/>
              <w:spacing w:after="0" w:line="77" w:lineRule="exact"/>
              <w:rPr>
                <w:sz w:val="20"/>
                <w:szCs w:val="20"/>
                <w:color w:val="auto"/>
              </w:rPr>
            </w:pPr>
            <w:r>
              <w:rPr>
                <w:rFonts w:ascii="Arial" w:cs="Arial" w:eastAsia="Arial" w:hAnsi="Arial"/>
                <w:sz w:val="8"/>
                <w:szCs w:val="8"/>
                <w:color w:val="auto"/>
              </w:rPr>
              <w:t>of</w:t>
            </w: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120" w:type="dxa"/>
            <w:vAlign w:val="bottom"/>
          </w:tcPr>
          <w:p>
            <w:pPr>
              <w:spacing w:after="0"/>
              <w:rPr>
                <w:sz w:val="7"/>
                <w:szCs w:val="7"/>
                <w:color w:val="auto"/>
              </w:rPr>
            </w:pPr>
          </w:p>
        </w:tc>
        <w:tc>
          <w:tcPr>
            <w:tcW w:w="5600" w:type="dxa"/>
            <w:vAlign w:val="bottom"/>
            <w:gridSpan w:val="2"/>
          </w:tcPr>
          <w:p>
            <w:pPr>
              <w:ind w:left="100"/>
              <w:spacing w:after="0" w:line="88" w:lineRule="exact"/>
              <w:rPr>
                <w:sz w:val="20"/>
                <w:szCs w:val="20"/>
                <w:color w:val="auto"/>
              </w:rPr>
            </w:pPr>
            <w:r>
              <w:rPr>
                <w:rFonts w:ascii="Arial" w:cs="Arial" w:eastAsia="Arial" w:hAnsi="Arial"/>
                <w:sz w:val="10"/>
                <w:szCs w:val="10"/>
                <w:color w:val="auto"/>
              </w:rPr>
              <w:t>million, (B) the extinguishment of the Convertible Notes, reflected as a net decrease of $195.2 million in</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104"/>
        </w:trPr>
        <w:tc>
          <w:tcPr>
            <w:tcW w:w="5500" w:type="dxa"/>
            <w:vAlign w:val="bottom"/>
            <w:gridSpan w:val="2"/>
          </w:tcPr>
          <w:p>
            <w:pPr>
              <w:spacing w:after="0" w:line="104" w:lineRule="exact"/>
              <w:rPr>
                <w:sz w:val="20"/>
                <w:szCs w:val="20"/>
                <w:color w:val="auto"/>
              </w:rPr>
            </w:pPr>
            <w:r>
              <w:rPr>
                <w:rFonts w:ascii="Arial" w:cs="Arial" w:eastAsia="Arial" w:hAnsi="Arial"/>
                <w:sz w:val="11"/>
                <w:szCs w:val="11"/>
                <w:color w:val="auto"/>
              </w:rPr>
              <w:t>Convertible Notes (and corresponding decrease in long-term debt in the table above) as of July 31, 2025</w:t>
            </w:r>
          </w:p>
        </w:tc>
      </w:tr>
      <w:tr>
        <w:trPr>
          <w:trHeight w:val="77"/>
        </w:trPr>
        <w:tc>
          <w:tcPr>
            <w:tcW w:w="2120" w:type="dxa"/>
            <w:vAlign w:val="bottom"/>
          </w:tcPr>
          <w:p>
            <w:pPr>
              <w:spacing w:after="0" w:line="77" w:lineRule="exact"/>
              <w:rPr>
                <w:sz w:val="20"/>
                <w:szCs w:val="20"/>
                <w:color w:val="auto"/>
              </w:rPr>
            </w:pPr>
            <w:r>
              <w:rPr>
                <w:rFonts w:ascii="Arial" w:cs="Arial" w:eastAsia="Arial" w:hAnsi="Arial"/>
                <w:sz w:val="8"/>
                <w:szCs w:val="8"/>
                <w:color w:val="auto"/>
              </w:rPr>
              <w:t>;</w:t>
            </w:r>
          </w:p>
        </w:tc>
        <w:tc>
          <w:tcPr>
            <w:tcW w:w="3380" w:type="dxa"/>
            <w:vAlign w:val="bottom"/>
          </w:tcPr>
          <w:p>
            <w:pPr>
              <w:spacing w:after="0"/>
              <w:rPr>
                <w:sz w:val="6"/>
                <w:szCs w:val="6"/>
                <w:color w:val="auto"/>
              </w:rPr>
            </w:pPr>
          </w:p>
        </w:tc>
      </w:tr>
      <w:tr>
        <w:trPr>
          <w:trHeight w:val="97"/>
        </w:trPr>
        <w:tc>
          <w:tcPr>
            <w:tcW w:w="5500" w:type="dxa"/>
            <w:vAlign w:val="bottom"/>
            <w:gridSpan w:val="2"/>
          </w:tcPr>
          <w:p>
            <w:pPr>
              <w:spacing w:after="0" w:line="97" w:lineRule="exact"/>
              <w:rPr>
                <w:sz w:val="20"/>
                <w:szCs w:val="20"/>
                <w:color w:val="auto"/>
              </w:rPr>
            </w:pPr>
            <w:r>
              <w:rPr>
                <w:rFonts w:ascii="Arial" w:cs="Arial" w:eastAsia="Arial" w:hAnsi="Arial"/>
                <w:sz w:val="7"/>
                <w:szCs w:val="7"/>
                <w:color w:val="auto"/>
              </w:rPr>
              <w:t>(C) the issuance of 12,836,457</w:t>
            </w:r>
            <w:r>
              <w:rPr>
                <w:rFonts w:ascii="Arial" w:cs="Arial" w:eastAsia="Arial" w:hAnsi="Arial"/>
                <w:sz w:val="11"/>
                <w:szCs w:val="11"/>
                <w:color w:val="auto"/>
                <w:vertAlign w:val="subscript"/>
              </w:rPr>
              <w:t>s</w:t>
            </w:r>
            <w:r>
              <w:rPr>
                <w:rFonts w:ascii="Arial" w:cs="Arial" w:eastAsia="Arial" w:hAnsi="Arial"/>
                <w:sz w:val="7"/>
                <w:szCs w:val="7"/>
                <w:color w:val="auto"/>
              </w:rPr>
              <w:t>shares of our Class A common stock in the Note Conversion, referred to a</w:t>
            </w:r>
          </w:p>
        </w:tc>
      </w:tr>
      <w:tr>
        <w:trPr>
          <w:trHeight w:val="104"/>
        </w:trPr>
        <w:tc>
          <w:tcPr>
            <w:tcW w:w="5500" w:type="dxa"/>
            <w:vAlign w:val="bottom"/>
            <w:gridSpan w:val="2"/>
          </w:tcPr>
          <w:p>
            <w:pPr>
              <w:spacing w:after="0" w:line="104" w:lineRule="exact"/>
              <w:rPr>
                <w:sz w:val="20"/>
                <w:szCs w:val="20"/>
                <w:color w:val="auto"/>
              </w:rPr>
            </w:pPr>
            <w:r>
              <w:rPr>
                <w:rFonts w:ascii="Arial" w:cs="Arial" w:eastAsia="Arial" w:hAnsi="Arial"/>
                <w:sz w:val="11"/>
                <w:szCs w:val="11"/>
                <w:color w:val="auto"/>
              </w:rPr>
              <w:t>the Note Conversion Shares, based on (i) the assumed initial public offering price o $25.00 per share, which</w:t>
            </w:r>
          </w:p>
        </w:tc>
      </w:tr>
      <w:tr>
        <w:trPr>
          <w:trHeight w:val="77"/>
        </w:trPr>
        <w:tc>
          <w:tcPr>
            <w:tcW w:w="2120" w:type="dxa"/>
            <w:vAlign w:val="bottom"/>
          </w:tcPr>
          <w:p>
            <w:pPr>
              <w:spacing w:after="0" w:line="77" w:lineRule="exact"/>
              <w:rPr>
                <w:sz w:val="20"/>
                <w:szCs w:val="20"/>
                <w:color w:val="auto"/>
              </w:rPr>
            </w:pPr>
            <w:r>
              <w:rPr>
                <w:rFonts w:ascii="Arial" w:cs="Arial" w:eastAsia="Arial" w:hAnsi="Arial"/>
                <w:sz w:val="8"/>
                <w:szCs w:val="8"/>
                <w:color w:val="auto"/>
              </w:rPr>
              <w:t>f</w:t>
            </w:r>
          </w:p>
        </w:tc>
        <w:tc>
          <w:tcPr>
            <w:tcW w:w="3380" w:type="dxa"/>
            <w:vAlign w:val="bottom"/>
          </w:tcPr>
          <w:p>
            <w:pPr>
              <w:spacing w:after="0"/>
              <w:rPr>
                <w:sz w:val="6"/>
                <w:szCs w:val="6"/>
                <w:color w:val="auto"/>
              </w:rPr>
            </w:pPr>
          </w:p>
        </w:tc>
      </w:tr>
      <w:tr>
        <w:trPr>
          <w:trHeight w:val="67"/>
        </w:trPr>
        <w:tc>
          <w:tcPr>
            <w:tcW w:w="5500" w:type="dxa"/>
            <w:vAlign w:val="bottom"/>
            <w:gridSpan w:val="2"/>
          </w:tcPr>
          <w:p>
            <w:pPr>
              <w:spacing w:after="0" w:line="67" w:lineRule="exact"/>
              <w:rPr>
                <w:sz w:val="20"/>
                <w:szCs w:val="20"/>
                <w:color w:val="auto"/>
              </w:rPr>
            </w:pPr>
            <w:r>
              <w:rPr>
                <w:rFonts w:ascii="Arial" w:cs="Arial" w:eastAsia="Arial" w:hAnsi="Arial"/>
                <w:sz w:val="7"/>
                <w:szCs w:val="7"/>
                <w:color w:val="auto"/>
              </w:rPr>
              <w:t>is the midpoint of the offering price range set forth on the cover page of this prospectus, and (ii) an assume</w:t>
            </w:r>
          </w:p>
        </w:tc>
      </w:tr>
      <w:tr>
        <w:trPr>
          <w:trHeight w:val="77"/>
        </w:trPr>
        <w:tc>
          <w:tcPr>
            <w:tcW w:w="2120" w:type="dxa"/>
            <w:vAlign w:val="bottom"/>
          </w:tcPr>
          <w:p>
            <w:pPr>
              <w:spacing w:after="0" w:line="77" w:lineRule="exact"/>
              <w:rPr>
                <w:sz w:val="20"/>
                <w:szCs w:val="20"/>
                <w:color w:val="auto"/>
              </w:rPr>
            </w:pPr>
            <w:r>
              <w:rPr>
                <w:rFonts w:ascii="Arial" w:cs="Arial" w:eastAsia="Arial" w:hAnsi="Arial"/>
                <w:sz w:val="8"/>
                <w:szCs w:val="8"/>
                <w:color w:val="auto"/>
              </w:rPr>
              <w:t>d</w:t>
            </w:r>
          </w:p>
        </w:tc>
        <w:tc>
          <w:tcPr>
            <w:tcW w:w="3380" w:type="dxa"/>
            <w:vAlign w:val="bottom"/>
          </w:tcPr>
          <w:p>
            <w:pPr>
              <w:spacing w:after="0"/>
              <w:rPr>
                <w:sz w:val="6"/>
                <w:szCs w:val="6"/>
                <w:color w:val="auto"/>
              </w:rPr>
            </w:pPr>
          </w:p>
        </w:tc>
      </w:tr>
      <w:tr>
        <w:trPr>
          <w:trHeight w:val="57"/>
        </w:trPr>
        <w:tc>
          <w:tcPr>
            <w:tcW w:w="5500" w:type="dxa"/>
            <w:vAlign w:val="bottom"/>
            <w:gridSpan w:val="2"/>
          </w:tcPr>
          <w:p>
            <w:pPr>
              <w:spacing w:after="0" w:line="58" w:lineRule="exact"/>
              <w:rPr>
                <w:sz w:val="20"/>
                <w:szCs w:val="20"/>
                <w:color w:val="auto"/>
              </w:rPr>
            </w:pPr>
            <w:r>
              <w:rPr>
                <w:rFonts w:ascii="Arial" w:cs="Arial" w:eastAsia="Arial" w:hAnsi="Arial"/>
                <w:sz w:val="6"/>
                <w:szCs w:val="6"/>
                <w:color w:val="auto"/>
              </w:rPr>
              <w:t>completion date of this offering of November 3, 202 , reflected as an increase to Class A common stock an</w:t>
            </w:r>
          </w:p>
        </w:tc>
      </w:tr>
      <w:tr>
        <w:trPr>
          <w:trHeight w:val="150"/>
        </w:trPr>
        <w:tc>
          <w:tcPr>
            <w:tcW w:w="2120" w:type="dxa"/>
            <w:vAlign w:val="bottom"/>
          </w:tcPr>
          <w:p>
            <w:pPr>
              <w:ind w:left="1720"/>
              <w:spacing w:after="0"/>
              <w:rPr>
                <w:sz w:val="20"/>
                <w:szCs w:val="20"/>
                <w:color w:val="auto"/>
              </w:rPr>
            </w:pPr>
            <w:r>
              <w:rPr>
                <w:rFonts w:ascii="Arial" w:cs="Arial" w:eastAsia="Arial" w:hAnsi="Arial"/>
                <w:sz w:val="11"/>
                <w:szCs w:val="11"/>
                <w:color w:val="auto"/>
              </w:rPr>
              <w:t>5</w:t>
            </w:r>
          </w:p>
        </w:tc>
        <w:tc>
          <w:tcPr>
            <w:tcW w:w="3380" w:type="dxa"/>
            <w:vAlign w:val="bottom"/>
          </w:tcPr>
          <w:p>
            <w:pPr>
              <w:jc w:val="right"/>
              <w:ind w:right="2720"/>
              <w:spacing w:after="0"/>
              <w:rPr>
                <w:sz w:val="20"/>
                <w:szCs w:val="20"/>
                <w:color w:val="auto"/>
              </w:rPr>
            </w:pPr>
            <w:r>
              <w:rPr>
                <w:rFonts w:ascii="Arial" w:cs="Arial" w:eastAsia="Arial" w:hAnsi="Arial"/>
                <w:sz w:val="11"/>
                <w:szCs w:val="11"/>
                <w:color w:val="auto"/>
              </w:rPr>
              <w:t>d</w:t>
            </w:r>
          </w:p>
        </w:tc>
      </w:tr>
      <w:tr>
        <w:trPr>
          <w:trHeight w:val="359"/>
        </w:trPr>
        <w:tc>
          <w:tcPr>
            <w:tcW w:w="2120" w:type="dxa"/>
            <w:vAlign w:val="bottom"/>
          </w:tcPr>
          <w:p>
            <w:pPr>
              <w:spacing w:after="0"/>
              <w:rPr>
                <w:sz w:val="24"/>
                <w:szCs w:val="24"/>
                <w:color w:val="auto"/>
              </w:rPr>
            </w:pPr>
          </w:p>
        </w:tc>
        <w:tc>
          <w:tcPr>
            <w:tcW w:w="3380" w:type="dxa"/>
            <w:vAlign w:val="bottom"/>
          </w:tcPr>
          <w:p>
            <w:pPr>
              <w:jc w:val="right"/>
              <w:ind w:right="2860"/>
              <w:spacing w:after="0"/>
              <w:rPr>
                <w:sz w:val="20"/>
                <w:szCs w:val="20"/>
                <w:color w:val="auto"/>
              </w:rPr>
            </w:pPr>
            <w:r>
              <w:rPr>
                <w:rFonts w:ascii="Arial" w:cs="Arial" w:eastAsia="Arial" w:hAnsi="Arial"/>
                <w:sz w:val="12"/>
                <w:szCs w:val="12"/>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ind w:left="1980" w:right="1600"/>
        <w:spacing w:after="0" w:line="263" w:lineRule="auto"/>
        <w:rPr>
          <w:sz w:val="20"/>
          <w:szCs w:val="20"/>
          <w:color w:val="auto"/>
        </w:rPr>
      </w:pPr>
      <w:r>
        <w:rPr>
          <w:rFonts w:ascii="Arial" w:cs="Arial" w:eastAsia="Arial" w:hAnsi="Arial"/>
          <w:sz w:val="11"/>
          <w:szCs w:val="11"/>
          <w:color w:val="auto"/>
        </w:rPr>
        <w:t>additional paid -in capital of $320.9 million, which represents the estimated fair value of the Note Conversion Shares based on the assumed initial public offering price of $25.00 per share, which is the midpoint of the</w:t>
      </w:r>
    </w:p>
    <w:p>
      <w:pPr>
        <w:spacing w:after="0" w:line="1" w:lineRule="exact"/>
        <w:rPr>
          <w:sz w:val="20"/>
          <w:szCs w:val="20"/>
          <w:color w:val="auto"/>
        </w:rPr>
      </w:pPr>
    </w:p>
    <w:p>
      <w:pPr>
        <w:ind w:left="1980" w:right="1600"/>
        <w:spacing w:after="0"/>
        <w:rPr>
          <w:sz w:val="20"/>
          <w:szCs w:val="20"/>
          <w:color w:val="auto"/>
        </w:rPr>
      </w:pPr>
      <w:r>
        <w:rPr>
          <w:rFonts w:ascii="Arial" w:cs="Arial" w:eastAsia="Arial" w:hAnsi="Arial"/>
          <w:sz w:val="11"/>
          <w:szCs w:val="11"/>
          <w:color w:val="auto"/>
        </w:rPr>
        <w:t>offering price range set forth on the cover page of this prospectus, and (D) the recognition of $80.3 million a</w:t>
      </w:r>
    </w:p>
    <w:p>
      <w:pPr>
        <w:spacing w:after="0" w:line="17"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loss upon extinguishment of the Convertible Notes and embedded derivative liability, reflected as a further</w:t>
      </w:r>
    </w:p>
    <w:p>
      <w:pPr>
        <w:spacing w:after="0" w:line="7" w:lineRule="exact"/>
        <w:rPr>
          <w:sz w:val="20"/>
          <w:szCs w:val="20"/>
          <w:color w:val="auto"/>
        </w:rPr>
      </w:pPr>
    </w:p>
    <w:p>
      <w:pPr>
        <w:ind w:left="1980" w:right="1620"/>
        <w:spacing w:after="0"/>
        <w:rPr>
          <w:sz w:val="20"/>
          <w:szCs w:val="20"/>
          <w:color w:val="auto"/>
        </w:rPr>
      </w:pPr>
      <w:r>
        <w:rPr>
          <w:rFonts w:ascii="Arial" w:cs="Arial" w:eastAsia="Arial" w:hAnsi="Arial"/>
          <w:sz w:val="11"/>
          <w:szCs w:val="11"/>
          <w:color w:val="auto"/>
        </w:rPr>
        <w:t>increase in accumulated deficit, equal to the fair value of the Note Conversion Shares o $320.9 million less f</w:t>
      </w:r>
    </w:p>
    <w:p>
      <w:pPr>
        <w:spacing w:after="0" w:line="17" w:lineRule="exact"/>
        <w:rPr>
          <w:sz w:val="20"/>
          <w:szCs w:val="20"/>
          <w:color w:val="auto"/>
        </w:rPr>
      </w:pPr>
    </w:p>
    <w:p>
      <w:pPr>
        <w:ind w:left="1980" w:right="1640"/>
        <w:spacing w:after="0" w:line="254" w:lineRule="auto"/>
        <w:rPr>
          <w:sz w:val="20"/>
          <w:szCs w:val="20"/>
          <w:color w:val="auto"/>
        </w:rPr>
      </w:pPr>
      <w:r>
        <w:rPr>
          <w:rFonts w:ascii="Arial" w:cs="Arial" w:eastAsia="Arial" w:hAnsi="Arial"/>
          <w:sz w:val="11"/>
          <w:szCs w:val="11"/>
          <w:color w:val="auto"/>
        </w:rPr>
        <w:t>the adjusted carrying amount of the Convertible Notes and the historical carrying amount of the embedded derivative liability of $202.1 million and $38.5 million, respectively (which loss amount will fluctuate</w:t>
      </w:r>
    </w:p>
    <w:p>
      <w:pPr>
        <w:ind w:left="1980" w:right="1980"/>
        <w:spacing w:after="0"/>
        <w:rPr>
          <w:sz w:val="20"/>
          <w:szCs w:val="20"/>
          <w:color w:val="auto"/>
        </w:rPr>
      </w:pPr>
      <w:r>
        <w:rPr>
          <w:rFonts w:ascii="Arial" w:cs="Arial" w:eastAsia="Arial" w:hAnsi="Arial"/>
          <w:sz w:val="11"/>
          <w:szCs w:val="11"/>
          <w:color w:val="auto"/>
        </w:rPr>
        <w:t>depending on the actual public offering price per share in this offering and the resulting change in th e</w:t>
      </w:r>
    </w:p>
    <w:p>
      <w:pPr>
        <w:spacing w:after="0" w:line="17" w:lineRule="exact"/>
        <w:rPr>
          <w:sz w:val="20"/>
          <w:szCs w:val="20"/>
          <w:color w:val="auto"/>
        </w:rPr>
      </w:pPr>
    </w:p>
    <w:p>
      <w:pPr>
        <w:ind w:left="1980" w:right="1960"/>
        <w:spacing w:after="0"/>
        <w:rPr>
          <w:sz w:val="20"/>
          <w:szCs w:val="20"/>
          <w:color w:val="auto"/>
        </w:rPr>
      </w:pPr>
      <w:r>
        <w:rPr>
          <w:rFonts w:ascii="Arial" w:cs="Arial" w:eastAsia="Arial" w:hAnsi="Arial"/>
          <w:sz w:val="11"/>
          <w:szCs w:val="11"/>
          <w:color w:val="auto"/>
        </w:rPr>
        <w:t>number and fair value of the Note Conversion Shares, as described further in the section titled “—Th e</w:t>
      </w:r>
    </w:p>
    <w:p>
      <w:pPr>
        <w:spacing w:after="0" w:line="7"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Offering—Note Conversion”);</w:t>
      </w:r>
    </w:p>
    <w:p>
      <w:pPr>
        <w:spacing w:after="0" w:line="5" w:lineRule="exact"/>
        <w:rPr>
          <w:sz w:val="20"/>
          <w:szCs w:val="20"/>
          <w:color w:val="auto"/>
        </w:rPr>
      </w:pPr>
    </w:p>
    <w:p>
      <w:pPr>
        <w:ind w:left="1760"/>
        <w:spacing w:after="0"/>
        <w:tabs>
          <w:tab w:leader="none" w:pos="1960" w:val="left"/>
        </w:tabs>
        <w:rPr>
          <w:sz w:val="20"/>
          <w:szCs w:val="20"/>
          <w:color w:val="auto"/>
        </w:rPr>
      </w:pPr>
      <w:r>
        <w:rPr>
          <w:rFonts w:ascii="Arial" w:cs="Arial" w:eastAsia="Arial" w:hAnsi="Arial"/>
          <w:sz w:val="11"/>
          <w:szCs w:val="11"/>
          <w:color w:val="auto"/>
        </w:rPr>
        <w:t>•</w:t>
        <w:tab/>
        <w:t>the SAFE Conversion, resulting in (A) the revaluation of the SAFEs through, but excluding November 3,</w:t>
      </w:r>
    </w:p>
    <w:p>
      <w:pPr>
        <w:ind w:left="1980"/>
        <w:spacing w:after="0" w:line="199" w:lineRule="auto"/>
        <w:rPr>
          <w:sz w:val="20"/>
          <w:szCs w:val="20"/>
          <w:color w:val="auto"/>
        </w:rPr>
      </w:pPr>
      <w:r>
        <w:rPr>
          <w:rFonts w:ascii="Arial" w:cs="Arial" w:eastAsia="Arial" w:hAnsi="Arial"/>
          <w:sz w:val="6"/>
          <w:szCs w:val="6"/>
          <w:color w:val="auto"/>
        </w:rPr>
        <w:t>,</w:t>
      </w:r>
    </w:p>
    <w:p>
      <w:pPr>
        <w:ind w:left="1980" w:right="1660"/>
        <w:spacing w:after="0" w:line="259" w:lineRule="auto"/>
        <w:rPr>
          <w:sz w:val="20"/>
          <w:szCs w:val="20"/>
          <w:color w:val="auto"/>
        </w:rPr>
      </w:pPr>
      <w:r>
        <w:rPr>
          <w:rFonts w:ascii="Arial" w:cs="Arial" w:eastAsia="Arial" w:hAnsi="Arial"/>
          <w:sz w:val="11"/>
          <w:szCs w:val="11"/>
          <w:color w:val="auto"/>
        </w:rPr>
        <w:t>2025, the assumed completion date of this offering, to $196.5 million, equal to the fair value of the SAFE Conversion Shares (as defined below), reflected as a $33.5 million increase in accumulated deficit; (B) the</w:t>
      </w:r>
    </w:p>
    <w:p>
      <w:pPr>
        <w:ind w:left="1980"/>
        <w:spacing w:after="0" w:line="180" w:lineRule="auto"/>
        <w:rPr>
          <w:sz w:val="20"/>
          <w:szCs w:val="20"/>
          <w:color w:val="auto"/>
        </w:rPr>
      </w:pPr>
      <w:r>
        <w:rPr>
          <w:rFonts w:ascii="Arial" w:cs="Arial" w:eastAsia="Arial" w:hAnsi="Arial"/>
          <w:sz w:val="9"/>
          <w:szCs w:val="9"/>
          <w:color w:val="auto"/>
        </w:rPr>
        <w:t>conversion of the SAFEs into 7,858,204</w:t>
      </w:r>
      <w:r>
        <w:rPr>
          <w:rFonts w:ascii="Arial" w:cs="Arial" w:eastAsia="Arial" w:hAnsi="Arial"/>
          <w:sz w:val="16"/>
          <w:szCs w:val="16"/>
          <w:color w:val="auto"/>
          <w:vertAlign w:val="subscript"/>
        </w:rPr>
        <w:t>,</w:t>
      </w:r>
      <w:r>
        <w:rPr>
          <w:rFonts w:ascii="Arial" w:cs="Arial" w:eastAsia="Arial" w:hAnsi="Arial"/>
          <w:sz w:val="9"/>
          <w:szCs w:val="9"/>
          <w:color w:val="auto"/>
        </w:rPr>
        <w:t>shares of our Class A common stock in the SAFE Conversion</w:t>
      </w:r>
    </w:p>
    <w:p>
      <w:pPr>
        <w:ind w:left="1980" w:right="1640"/>
        <w:spacing w:after="0"/>
        <w:rPr>
          <w:sz w:val="20"/>
          <w:szCs w:val="20"/>
          <w:color w:val="auto"/>
        </w:rPr>
      </w:pPr>
      <w:r>
        <w:rPr>
          <w:rFonts w:ascii="Arial" w:cs="Arial" w:eastAsia="Arial" w:hAnsi="Arial"/>
          <w:sz w:val="11"/>
          <w:szCs w:val="11"/>
          <w:color w:val="auto"/>
        </w:rPr>
        <w:t>referred to as the SAFE Conversion Shares, based on (i) the assumed initial public offering price o $25.00 f</w:t>
      </w:r>
    </w:p>
    <w:p>
      <w:pPr>
        <w:spacing w:after="0" w:line="17" w:lineRule="exact"/>
        <w:rPr>
          <w:sz w:val="20"/>
          <w:szCs w:val="20"/>
          <w:color w:val="auto"/>
        </w:rPr>
      </w:pPr>
    </w:p>
    <w:p>
      <w:pPr>
        <w:ind w:left="1980" w:right="1760"/>
        <w:spacing w:after="0"/>
        <w:rPr>
          <w:sz w:val="20"/>
          <w:szCs w:val="20"/>
          <w:color w:val="auto"/>
        </w:rPr>
      </w:pPr>
      <w:r>
        <w:rPr>
          <w:rFonts w:ascii="Arial" w:cs="Arial" w:eastAsia="Arial" w:hAnsi="Arial"/>
          <w:sz w:val="11"/>
          <w:szCs w:val="11"/>
          <w:color w:val="auto"/>
        </w:rPr>
        <w:t>per share, which is the midpoint of the offering price range set forth on the cover page of this prospectus ,</w:t>
      </w:r>
    </w:p>
    <w:p>
      <w:pPr>
        <w:jc w:val="center"/>
        <w:ind w:right="-359"/>
        <w:spacing w:after="0" w:line="194" w:lineRule="auto"/>
        <w:rPr>
          <w:sz w:val="20"/>
          <w:szCs w:val="20"/>
          <w:color w:val="auto"/>
        </w:rPr>
      </w:pPr>
      <w:r>
        <w:rPr>
          <w:rFonts w:ascii="Arial" w:cs="Arial" w:eastAsia="Arial" w:hAnsi="Arial"/>
          <w:sz w:val="9"/>
          <w:szCs w:val="9"/>
          <w:color w:val="auto"/>
        </w:rPr>
        <w:t>and (ii) an assumed completion date of this offering of November 3, 202 , reflected as an increase in Class</w:t>
      </w:r>
    </w:p>
    <w:p>
      <w:pPr>
        <w:jc w:val="center"/>
        <w:ind w:right="-519"/>
        <w:spacing w:after="0" w:line="200" w:lineRule="auto"/>
        <w:rPr>
          <w:sz w:val="20"/>
          <w:szCs w:val="20"/>
          <w:color w:val="auto"/>
        </w:rPr>
      </w:pPr>
      <w:r>
        <w:rPr>
          <w:rFonts w:ascii="Arial" w:cs="Arial" w:eastAsia="Arial" w:hAnsi="Arial"/>
          <w:sz w:val="6"/>
          <w:szCs w:val="6"/>
          <w:color w:val="auto"/>
        </w:rPr>
        <w:t>5</w:t>
      </w:r>
    </w:p>
    <w:p>
      <w:pPr>
        <w:ind w:left="1980"/>
        <w:spacing w:after="0"/>
        <w:rPr>
          <w:sz w:val="20"/>
          <w:szCs w:val="20"/>
          <w:color w:val="auto"/>
        </w:rPr>
      </w:pPr>
      <w:r>
        <w:rPr>
          <w:rFonts w:ascii="Arial" w:cs="Arial" w:eastAsia="Arial" w:hAnsi="Arial"/>
          <w:sz w:val="11"/>
          <w:szCs w:val="11"/>
          <w:color w:val="auto"/>
        </w:rPr>
        <w:t>A common stock and additional paid-in capital of $196.5 million and a decrease in SAFE liability of $163.0</w:t>
      </w:r>
    </w:p>
    <w:p>
      <w:pPr>
        <w:spacing w:after="0" w:line="13" w:lineRule="exact"/>
        <w:rPr>
          <w:sz w:val="20"/>
          <w:szCs w:val="20"/>
          <w:color w:val="auto"/>
        </w:rPr>
      </w:pPr>
    </w:p>
    <w:p>
      <w:pPr>
        <w:ind w:left="1980" w:right="2380"/>
        <w:spacing w:after="0"/>
        <w:rPr>
          <w:sz w:val="20"/>
          <w:szCs w:val="20"/>
          <w:color w:val="auto"/>
        </w:rPr>
      </w:pPr>
      <w:r>
        <w:rPr>
          <w:rFonts w:ascii="Arial" w:cs="Arial" w:eastAsia="Arial" w:hAnsi="Arial"/>
          <w:sz w:val="11"/>
          <w:szCs w:val="11"/>
          <w:color w:val="auto"/>
        </w:rPr>
        <w:t>million (and corresponding decrease in long-term debt in the table above) as of July 31, 202 5;</w:t>
      </w:r>
    </w:p>
    <w:p>
      <w:pPr>
        <w:spacing w:after="0" w:line="49" w:lineRule="exact"/>
        <w:rPr>
          <w:sz w:val="20"/>
          <w:szCs w:val="20"/>
          <w:color w:val="auto"/>
        </w:rPr>
      </w:pPr>
    </w:p>
    <w:p>
      <w:pPr>
        <w:ind w:left="1980" w:right="1680" w:hanging="4601"/>
        <w:spacing w:after="0"/>
        <w:tabs>
          <w:tab w:leader="none" w:pos="1960" w:val="left"/>
        </w:tabs>
        <w:rPr>
          <w:sz w:val="20"/>
          <w:szCs w:val="20"/>
          <w:color w:val="auto"/>
        </w:rPr>
      </w:pPr>
      <w:r>
        <w:rPr>
          <w:rFonts w:ascii="Arial" w:cs="Arial" w:eastAsia="Arial" w:hAnsi="Arial"/>
          <w:sz w:val="11"/>
          <w:szCs w:val="11"/>
          <w:color w:val="auto"/>
        </w:rPr>
        <w:t>•</w:t>
        <w:tab/>
        <w:t>the (A) revaluation of the redeemable convertible preferred stock warrant liability as of November 3, 202 , 5</w:t>
      </w:r>
    </w:p>
    <w:p>
      <w:pPr>
        <w:spacing w:after="0" w:line="4" w:lineRule="exact"/>
        <w:rPr>
          <w:sz w:val="20"/>
          <w:szCs w:val="20"/>
          <w:color w:val="auto"/>
        </w:rPr>
      </w:pPr>
    </w:p>
    <w:p>
      <w:pPr>
        <w:ind w:left="1980" w:right="1540"/>
        <w:spacing w:after="0"/>
        <w:rPr>
          <w:sz w:val="20"/>
          <w:szCs w:val="20"/>
          <w:color w:val="auto"/>
        </w:rPr>
      </w:pPr>
      <w:r>
        <w:rPr>
          <w:rFonts w:ascii="Arial" w:cs="Arial" w:eastAsia="Arial" w:hAnsi="Arial"/>
          <w:sz w:val="11"/>
          <w:szCs w:val="11"/>
          <w:color w:val="auto"/>
        </w:rPr>
        <w:t>the assumed completion date of this offering, based on the assumed initial public offering price o $25.00 per f</w:t>
      </w:r>
    </w:p>
    <w:p>
      <w:pPr>
        <w:spacing w:after="0" w:line="7" w:lineRule="exact"/>
        <w:rPr>
          <w:sz w:val="20"/>
          <w:szCs w:val="20"/>
          <w:color w:val="auto"/>
        </w:rPr>
      </w:pPr>
    </w:p>
    <w:p>
      <w:pPr>
        <w:ind w:left="1980" w:right="1960"/>
        <w:spacing w:after="0"/>
        <w:rPr>
          <w:sz w:val="20"/>
          <w:szCs w:val="20"/>
          <w:color w:val="auto"/>
        </w:rPr>
      </w:pPr>
      <w:r>
        <w:rPr>
          <w:rFonts w:ascii="Arial" w:cs="Arial" w:eastAsia="Arial" w:hAnsi="Arial"/>
          <w:sz w:val="11"/>
          <w:szCs w:val="11"/>
          <w:color w:val="auto"/>
        </w:rPr>
        <w:t>share, which is the midpoint of the offering price range set forth on the cover page of this prospectus ,</w:t>
      </w:r>
    </w:p>
    <w:p>
      <w:pPr>
        <w:spacing w:after="0" w:line="7" w:lineRule="exact"/>
        <w:rPr>
          <w:sz w:val="20"/>
          <w:szCs w:val="20"/>
          <w:color w:val="auto"/>
        </w:rPr>
      </w:pPr>
    </w:p>
    <w:p>
      <w:pPr>
        <w:ind w:left="1980" w:right="1840"/>
        <w:spacing w:after="0"/>
        <w:rPr>
          <w:sz w:val="20"/>
          <w:szCs w:val="20"/>
          <w:color w:val="auto"/>
        </w:rPr>
      </w:pPr>
      <w:r>
        <w:rPr>
          <w:rFonts w:ascii="Arial" w:cs="Arial" w:eastAsia="Arial" w:hAnsi="Arial"/>
          <w:sz w:val="11"/>
          <w:szCs w:val="11"/>
          <w:color w:val="auto"/>
        </w:rPr>
        <w:t>resulting in the redeemable convertible preferred stock warrant liability as of July 31, 2025 increasing b y</w:t>
      </w:r>
    </w:p>
    <w:p>
      <w:pPr>
        <w:spacing w:after="0" w:line="17"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$0.5 million to $0.9 million and reflected as a $0.5 million increase in accumulated deficit, and (B) the</w:t>
      </w:r>
    </w:p>
    <w:p>
      <w:pPr>
        <w:ind w:left="1980"/>
        <w:spacing w:after="0" w:line="194" w:lineRule="auto"/>
        <w:rPr>
          <w:sz w:val="20"/>
          <w:szCs w:val="20"/>
          <w:color w:val="auto"/>
        </w:rPr>
      </w:pPr>
      <w:r>
        <w:rPr>
          <w:rFonts w:ascii="Arial" w:cs="Arial" w:eastAsia="Arial" w:hAnsi="Arial"/>
          <w:sz w:val="9"/>
          <w:szCs w:val="9"/>
          <w:color w:val="auto"/>
        </w:rPr>
        <w:t>subsequent automatic conversion of the redeemable convertible preferred stock warrant to a Class</w:t>
      </w:r>
    </w:p>
    <w:p>
      <w:pPr>
        <w:ind w:left="1980"/>
        <w:spacing w:after="0" w:line="200" w:lineRule="auto"/>
        <w:rPr>
          <w:sz w:val="20"/>
          <w:szCs w:val="20"/>
          <w:color w:val="auto"/>
        </w:rPr>
      </w:pPr>
      <w:r>
        <w:rPr>
          <w:rFonts w:ascii="Arial" w:cs="Arial" w:eastAsia="Arial" w:hAnsi="Arial"/>
          <w:sz w:val="7"/>
          <w:szCs w:val="7"/>
          <w:color w:val="auto"/>
        </w:rPr>
        <w:t>A</w:t>
      </w:r>
    </w:p>
    <w:p>
      <w:pPr>
        <w:ind w:left="1980"/>
        <w:spacing w:after="0"/>
        <w:rPr>
          <w:sz w:val="20"/>
          <w:szCs w:val="20"/>
          <w:color w:val="auto"/>
        </w:rPr>
      </w:pPr>
      <w:r>
        <w:rPr>
          <w:rFonts w:ascii="Arial" w:cs="Arial" w:eastAsia="Arial" w:hAnsi="Arial"/>
          <w:sz w:val="11"/>
          <w:szCs w:val="11"/>
          <w:color w:val="auto"/>
        </w:rPr>
        <w:t>common stock warrant and the resulting assumed reclassification of the redeemable convertible preferred</w:t>
      </w:r>
    </w:p>
    <w:p>
      <w:pPr>
        <w:spacing w:after="0" w:line="7" w:lineRule="exact"/>
        <w:rPr>
          <w:sz w:val="20"/>
          <w:szCs w:val="20"/>
          <w:color w:val="auto"/>
        </w:rPr>
      </w:pPr>
    </w:p>
    <w:p>
      <w:pPr>
        <w:ind w:left="4260" w:right="1920" w:hanging="2276"/>
        <w:spacing w:after="0"/>
        <w:rPr>
          <w:sz w:val="20"/>
          <w:szCs w:val="20"/>
          <w:color w:val="auto"/>
        </w:rPr>
      </w:pPr>
      <w:r>
        <w:rPr>
          <w:rFonts w:ascii="Arial" w:cs="Arial" w:eastAsia="Arial" w:hAnsi="Arial"/>
          <w:sz w:val="11"/>
          <w:szCs w:val="11"/>
          <w:color w:val="auto"/>
        </w:rPr>
        <w:t>stock warrant liability through, but excluding, November 3, 202 , the assumed completion date of this 5</w:t>
      </w:r>
    </w:p>
    <w:p>
      <w:pPr>
        <w:spacing w:after="0" w:line="7" w:lineRule="exact"/>
        <w:rPr>
          <w:sz w:val="20"/>
          <w:szCs w:val="20"/>
          <w:color w:val="auto"/>
        </w:rPr>
      </w:pPr>
    </w:p>
    <w:p>
      <w:pPr>
        <w:ind w:left="3360" w:right="1980" w:hanging="1386"/>
        <w:spacing w:after="0"/>
        <w:rPr>
          <w:sz w:val="20"/>
          <w:szCs w:val="20"/>
          <w:color w:val="auto"/>
        </w:rPr>
      </w:pPr>
      <w:r>
        <w:rPr>
          <w:rFonts w:ascii="Arial" w:cs="Arial" w:eastAsia="Arial" w:hAnsi="Arial"/>
          <w:sz w:val="11"/>
          <w:szCs w:val="11"/>
          <w:color w:val="auto"/>
        </w:rPr>
        <w:t>offering, reflected as a $0.4 million decrease in other non-current liabilities as of July 31, 2025 and a n</w:t>
      </w:r>
    </w:p>
    <w:p>
      <w:pPr>
        <w:spacing w:after="0" w:line="17"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increase to additional paid-in capital of $0.9 million;</w:t>
      </w:r>
    </w:p>
    <w:p>
      <w:pPr>
        <w:spacing w:after="0" w:line="36" w:lineRule="exact"/>
        <w:rPr>
          <w:sz w:val="20"/>
          <w:szCs w:val="20"/>
          <w:color w:val="auto"/>
        </w:rPr>
      </w:pPr>
    </w:p>
    <w:p>
      <w:pPr>
        <w:ind w:left="1760"/>
        <w:spacing w:after="0"/>
        <w:tabs>
          <w:tab w:leader="none" w:pos="1960" w:val="left"/>
        </w:tabs>
        <w:rPr>
          <w:sz w:val="20"/>
          <w:szCs w:val="20"/>
          <w:color w:val="auto"/>
        </w:rPr>
      </w:pPr>
      <w:r>
        <w:rPr>
          <w:rFonts w:ascii="Arial" w:cs="Arial" w:eastAsia="Arial" w:hAnsi="Arial"/>
          <w:sz w:val="11"/>
          <w:szCs w:val="11"/>
          <w:color w:val="auto"/>
        </w:rPr>
        <w:t>•</w:t>
        <w:tab/>
        <w:t>the Warrant Determination for the SAFE Warrants upon the completion of this offering, resulting in (A) the</w:t>
      </w:r>
    </w:p>
    <w:p>
      <w:pPr>
        <w:spacing w:after="0" w:line="23" w:lineRule="exact"/>
        <w:rPr>
          <w:sz w:val="20"/>
          <w:szCs w:val="20"/>
          <w:color w:val="auto"/>
        </w:rPr>
      </w:pPr>
    </w:p>
    <w:p>
      <w:pPr>
        <w:ind w:left="4900" w:right="1600" w:hanging="2927"/>
        <w:spacing w:after="0"/>
        <w:rPr>
          <w:sz w:val="20"/>
          <w:szCs w:val="20"/>
          <w:color w:val="auto"/>
        </w:rPr>
      </w:pPr>
      <w:r>
        <w:rPr>
          <w:rFonts w:ascii="Arial" w:cs="Arial" w:eastAsia="Arial" w:hAnsi="Arial"/>
          <w:sz w:val="11"/>
          <w:szCs w:val="11"/>
          <w:color w:val="auto"/>
        </w:rPr>
        <w:t>revaluation of the SAFE Warrants through, but excluding, November 3, 202 , the assumed completion date 5</w:t>
      </w:r>
    </w:p>
    <w:p>
      <w:pPr>
        <w:spacing w:after="0" w:line="11" w:lineRule="exact"/>
        <w:rPr>
          <w:sz w:val="20"/>
          <w:szCs w:val="20"/>
          <w:color w:val="auto"/>
        </w:rPr>
      </w:pPr>
    </w:p>
    <w:p>
      <w:pPr>
        <w:ind w:left="1980" w:right="1620"/>
        <w:spacing w:after="0"/>
        <w:rPr>
          <w:sz w:val="20"/>
          <w:szCs w:val="20"/>
          <w:color w:val="auto"/>
        </w:rPr>
      </w:pPr>
      <w:r>
        <w:rPr>
          <w:rFonts w:ascii="Arial" w:cs="Arial" w:eastAsia="Arial" w:hAnsi="Arial"/>
          <w:sz w:val="11"/>
          <w:szCs w:val="11"/>
          <w:color w:val="auto"/>
        </w:rPr>
        <w:t>of this offering, based on the assumed initial public offering price o $25.00 per share, which is the midpoint f</w:t>
      </w:r>
    </w:p>
    <w:p>
      <w:pPr>
        <w:spacing w:after="0" w:line="7" w:lineRule="exact"/>
        <w:rPr>
          <w:sz w:val="20"/>
          <w:szCs w:val="20"/>
          <w:color w:val="auto"/>
        </w:rPr>
      </w:pPr>
    </w:p>
    <w:p>
      <w:pPr>
        <w:ind w:left="1980" w:right="1880"/>
        <w:spacing w:after="0"/>
        <w:rPr>
          <w:sz w:val="20"/>
          <w:szCs w:val="20"/>
          <w:color w:val="auto"/>
        </w:rPr>
      </w:pPr>
      <w:r>
        <w:rPr>
          <w:rFonts w:ascii="Arial" w:cs="Arial" w:eastAsia="Arial" w:hAnsi="Arial"/>
          <w:sz w:val="11"/>
          <w:szCs w:val="11"/>
          <w:color w:val="auto"/>
        </w:rPr>
        <w:t>of the offering price range set forth on the cover page of this prospectus, resulting in the common stoc k</w:t>
      </w:r>
    </w:p>
    <w:p>
      <w:pPr>
        <w:spacing w:after="0" w:line="17" w:lineRule="exact"/>
        <w:rPr>
          <w:sz w:val="20"/>
          <w:szCs w:val="20"/>
          <w:color w:val="auto"/>
        </w:rPr>
      </w:pPr>
    </w:p>
    <w:p>
      <w:pPr>
        <w:ind w:left="1980" w:right="1580"/>
        <w:spacing w:after="0" w:line="259" w:lineRule="auto"/>
        <w:rPr>
          <w:sz w:val="20"/>
          <w:szCs w:val="20"/>
          <w:color w:val="auto"/>
        </w:rPr>
      </w:pPr>
      <w:r>
        <w:rPr>
          <w:rFonts w:ascii="Arial" w:cs="Arial" w:eastAsia="Arial" w:hAnsi="Arial"/>
          <w:sz w:val="11"/>
          <w:szCs w:val="11"/>
          <w:color w:val="auto"/>
        </w:rPr>
        <w:t>warrant liability as of July 31, 2025 decreasing by $0.8 million to $30.4 million and reflected as a $0.8 million decrease in accumulated deficit, and (B) the reclassification of the revalued common stock warrant liability</w:t>
      </w:r>
    </w:p>
    <w:p>
      <w:pPr>
        <w:spacing w:after="0" w:line="1" w:lineRule="exact"/>
        <w:rPr>
          <w:sz w:val="20"/>
          <w:szCs w:val="20"/>
          <w:color w:val="auto"/>
        </w:rPr>
      </w:pPr>
    </w:p>
    <w:p>
      <w:pPr>
        <w:ind w:left="3160" w:right="1740" w:hanging="1186"/>
        <w:spacing w:after="0"/>
        <w:rPr>
          <w:sz w:val="20"/>
          <w:szCs w:val="20"/>
          <w:color w:val="auto"/>
        </w:rPr>
      </w:pPr>
      <w:r>
        <w:rPr>
          <w:rFonts w:ascii="Arial" w:cs="Arial" w:eastAsia="Arial" w:hAnsi="Arial"/>
          <w:sz w:val="11"/>
          <w:szCs w:val="11"/>
          <w:color w:val="auto"/>
        </w:rPr>
        <w:t>through, but excluding, November 3, 202 , the assumed completion date of this offering, reflected as the 5</w:t>
      </w:r>
    </w:p>
    <w:p>
      <w:pPr>
        <w:spacing w:after="0" w:line="11"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elimination of the common stock warrant liability of $31.2 million and a corresponding $30.4 million increase</w:t>
      </w:r>
    </w:p>
    <w:p>
      <w:pPr>
        <w:ind w:left="1980"/>
        <w:spacing w:after="0" w:line="194" w:lineRule="auto"/>
        <w:rPr>
          <w:sz w:val="20"/>
          <w:szCs w:val="20"/>
          <w:color w:val="auto"/>
        </w:rPr>
      </w:pPr>
      <w:r>
        <w:rPr>
          <w:rFonts w:ascii="Arial" w:cs="Arial" w:eastAsia="Arial" w:hAnsi="Arial"/>
          <w:sz w:val="9"/>
          <w:szCs w:val="9"/>
          <w:color w:val="auto"/>
        </w:rPr>
        <w:t>to additional paid-in capital</w:t>
      </w:r>
    </w:p>
    <w:p>
      <w:pPr>
        <w:ind w:left="1980"/>
        <w:spacing w:after="0" w:line="200" w:lineRule="auto"/>
        <w:rPr>
          <w:sz w:val="20"/>
          <w:szCs w:val="20"/>
          <w:color w:val="auto"/>
        </w:rPr>
      </w:pPr>
      <w:r>
        <w:rPr>
          <w:rFonts w:ascii="Arial" w:cs="Arial" w:eastAsia="Arial" w:hAnsi="Arial"/>
          <w:sz w:val="11"/>
          <w:szCs w:val="11"/>
          <w:color w:val="auto"/>
        </w:rPr>
        <w:t>;</w:t>
      </w:r>
    </w:p>
    <w:p>
      <w:pPr>
        <w:ind w:left="1980" w:right="1700" w:hanging="228"/>
        <w:spacing w:after="0" w:line="185" w:lineRule="auto"/>
        <w:tabs>
          <w:tab w:leader="none" w:pos="1980" w:val="left"/>
        </w:tabs>
        <w:numPr>
          <w:ilvl w:val="0"/>
          <w:numId w:val="31"/>
        </w:numPr>
        <w:rPr>
          <w:rFonts w:ascii="Arial" w:cs="Arial" w:eastAsia="Arial" w:hAnsi="Arial"/>
          <w:sz w:val="11"/>
          <w:szCs w:val="11"/>
          <w:color w:val="auto"/>
        </w:rPr>
      </w:pPr>
      <w:r>
        <w:rPr>
          <w:rFonts w:ascii="Arial" w:cs="Arial" w:eastAsia="Arial" w:hAnsi="Arial"/>
          <w:sz w:val="11"/>
          <w:szCs w:val="11"/>
          <w:color w:val="auto"/>
        </w:rPr>
        <w:t>the issuance of 1,702,289</w:t>
      </w:r>
      <w:r>
        <w:rPr>
          <w:rFonts w:ascii="Arial" w:cs="Arial" w:eastAsia="Arial" w:hAnsi="Arial"/>
          <w:sz w:val="22"/>
          <w:szCs w:val="22"/>
          <w:color w:val="auto"/>
          <w:vertAlign w:val="subscript"/>
        </w:rPr>
        <w:t>s</w:t>
      </w:r>
      <w:r>
        <w:rPr>
          <w:rFonts w:ascii="Arial" w:cs="Arial" w:eastAsia="Arial" w:hAnsi="Arial"/>
          <w:sz w:val="11"/>
          <w:szCs w:val="11"/>
          <w:color w:val="auto"/>
        </w:rPr>
        <w:t>shares of our Class A common stock in connection with the Warrant Exercise (based on the assumed initial public offering price of $25.00 per share, the midpoint of the price range set forth on the cover page of this prospectus) following the Warrant Determination for the SAFE Warrants, resulting in an increase of less than $0.1 million in cash and cash equivalents as well a correspondin</w:t>
      </w:r>
    </w:p>
    <w:p>
      <w:pPr>
        <w:ind w:left="1980"/>
        <w:spacing w:after="0" w:line="199" w:lineRule="auto"/>
        <w:rPr>
          <w:rFonts w:ascii="Arial" w:cs="Arial" w:eastAsia="Arial" w:hAnsi="Arial"/>
          <w:sz w:val="11"/>
          <w:szCs w:val="11"/>
          <w:color w:val="auto"/>
        </w:rPr>
      </w:pPr>
      <w:r>
        <w:rPr>
          <w:rFonts w:ascii="Arial" w:cs="Arial" w:eastAsia="Arial" w:hAnsi="Arial"/>
          <w:sz w:val="6"/>
          <w:szCs w:val="6"/>
          <w:color w:val="auto"/>
        </w:rPr>
        <w:t>g</w:t>
      </w:r>
    </w:p>
    <w:p>
      <w:pPr>
        <w:ind w:left="1980" w:right="2660"/>
        <w:spacing w:after="0"/>
        <w:rPr>
          <w:rFonts w:ascii="Arial" w:cs="Arial" w:eastAsia="Arial" w:hAnsi="Arial"/>
          <w:sz w:val="11"/>
          <w:szCs w:val="11"/>
          <w:color w:val="auto"/>
        </w:rPr>
      </w:pPr>
      <w:r>
        <w:rPr>
          <w:rFonts w:ascii="Arial" w:cs="Arial" w:eastAsia="Arial" w:hAnsi="Arial"/>
          <w:sz w:val="11"/>
          <w:szCs w:val="11"/>
          <w:color w:val="auto"/>
        </w:rPr>
        <w:t>increase of less than $0.1 million in Class A common stock and additional paid-in capit al;</w:t>
      </w:r>
    </w:p>
    <w:p>
      <w:pPr>
        <w:spacing w:after="0" w:line="55" w:lineRule="exact"/>
        <w:rPr>
          <w:rFonts w:ascii="Arial" w:cs="Arial" w:eastAsia="Arial" w:hAnsi="Arial"/>
          <w:sz w:val="11"/>
          <w:szCs w:val="11"/>
          <w:color w:val="auto"/>
        </w:rPr>
      </w:pPr>
    </w:p>
    <w:p>
      <w:pPr>
        <w:ind w:left="1980" w:right="1600" w:hanging="228"/>
        <w:spacing w:after="0"/>
        <w:tabs>
          <w:tab w:leader="none" w:pos="1980" w:val="left"/>
        </w:tabs>
        <w:numPr>
          <w:ilvl w:val="0"/>
          <w:numId w:val="31"/>
        </w:numPr>
        <w:rPr>
          <w:rFonts w:ascii="Arial" w:cs="Arial" w:eastAsia="Arial" w:hAnsi="Arial"/>
          <w:sz w:val="11"/>
          <w:szCs w:val="11"/>
          <w:color w:val="auto"/>
        </w:rPr>
      </w:pPr>
      <w:r>
        <w:rPr>
          <w:rFonts w:ascii="Arial" w:cs="Arial" w:eastAsia="Arial" w:hAnsi="Arial"/>
          <w:sz w:val="11"/>
          <w:szCs w:val="11"/>
          <w:color w:val="auto"/>
        </w:rPr>
        <w:t>the vesting as of the date of this prospectus and related settlement of the IPO Vesting RSUs, including thos e</w:t>
      </w:r>
    </w:p>
    <w:p>
      <w:pPr>
        <w:spacing w:after="0" w:line="7" w:lineRule="exact"/>
        <w:rPr>
          <w:rFonts w:ascii="Arial" w:cs="Arial" w:eastAsia="Arial" w:hAnsi="Arial"/>
          <w:sz w:val="11"/>
          <w:szCs w:val="11"/>
          <w:color w:val="auto"/>
        </w:rPr>
      </w:pPr>
    </w:p>
    <w:p>
      <w:pPr>
        <w:ind w:left="1980" w:right="1860"/>
        <w:spacing w:after="0"/>
        <w:rPr>
          <w:rFonts w:ascii="Arial" w:cs="Arial" w:eastAsia="Arial" w:hAnsi="Arial"/>
          <w:sz w:val="11"/>
          <w:szCs w:val="11"/>
          <w:color w:val="auto"/>
        </w:rPr>
      </w:pPr>
      <w:r>
        <w:rPr>
          <w:rFonts w:ascii="Arial" w:cs="Arial" w:eastAsia="Arial" w:hAnsi="Arial"/>
          <w:sz w:val="11"/>
          <w:szCs w:val="11"/>
          <w:color w:val="auto"/>
        </w:rPr>
        <w:t>RSUs subject to the RSU Net Settlement, in connection with this offering, resulting in (A) recognition o f</w:t>
      </w:r>
    </w:p>
    <w:p>
      <w:pPr>
        <w:spacing w:after="0" w:line="17" w:lineRule="exact"/>
        <w:rPr>
          <w:rFonts w:ascii="Arial" w:cs="Arial" w:eastAsia="Arial" w:hAnsi="Arial"/>
          <w:sz w:val="11"/>
          <w:szCs w:val="11"/>
          <w:color w:val="auto"/>
        </w:rPr>
      </w:pPr>
    </w:p>
    <w:p>
      <w:pPr>
        <w:ind w:left="1980" w:right="1620"/>
        <w:spacing w:after="0" w:line="180" w:lineRule="auto"/>
        <w:rPr>
          <w:rFonts w:ascii="Arial" w:cs="Arial" w:eastAsia="Arial" w:hAnsi="Arial"/>
          <w:sz w:val="11"/>
          <w:szCs w:val="11"/>
          <w:color w:val="auto"/>
        </w:rPr>
      </w:pPr>
      <w:r>
        <w:rPr>
          <w:rFonts w:ascii="Arial" w:cs="Arial" w:eastAsia="Arial" w:hAnsi="Arial"/>
          <w:sz w:val="11"/>
          <w:szCs w:val="11"/>
          <w:color w:val="auto"/>
        </w:rPr>
        <w:t>stock-based compensation expense of $81.1 million, reflected as an increase to additional paid-in capita and accumulated deficit; (B) the net issuance</w:t>
      </w:r>
      <w:r>
        <w:rPr>
          <w:rFonts w:ascii="Arial" w:cs="Arial" w:eastAsia="Arial" w:hAnsi="Arial"/>
          <w:sz w:val="20"/>
          <w:szCs w:val="20"/>
          <w:color w:val="auto"/>
          <w:vertAlign w:val="superscript"/>
        </w:rPr>
        <w:t>l</w:t>
      </w:r>
      <w:r>
        <w:rPr>
          <w:rFonts w:ascii="Arial" w:cs="Arial" w:eastAsia="Arial" w:hAnsi="Arial"/>
          <w:sz w:val="11"/>
          <w:szCs w:val="11"/>
          <w:color w:val="auto"/>
        </w:rPr>
        <w:t xml:space="preserve"> of 948,970 shares of Class A common stock upon settlement</w:t>
      </w:r>
    </w:p>
    <w:p>
      <w:pPr>
        <w:spacing w:after="0" w:line="1" w:lineRule="exact"/>
        <w:rPr>
          <w:sz w:val="20"/>
          <w:szCs w:val="20"/>
          <w:color w:val="auto"/>
        </w:rPr>
      </w:pPr>
    </w:p>
    <w:p>
      <w:pPr>
        <w:ind w:left="1980" w:right="1720"/>
        <w:spacing w:after="0"/>
        <w:rPr>
          <w:sz w:val="20"/>
          <w:szCs w:val="20"/>
          <w:color w:val="auto"/>
        </w:rPr>
      </w:pPr>
      <w:r>
        <w:rPr>
          <w:rFonts w:ascii="Arial" w:cs="Arial" w:eastAsia="Arial" w:hAnsi="Arial"/>
          <w:sz w:val="11"/>
          <w:szCs w:val="11"/>
          <w:color w:val="auto"/>
        </w:rPr>
        <w:t>of the IPO Vesting RSUs, including in connection with the RSU Net Settlement, after withholdin 694,607 g</w:t>
      </w:r>
    </w:p>
    <w:p>
      <w:pPr>
        <w:spacing w:after="0" w:line="17"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shares to satisfy estimated tax withholding and remittance obligations of $17.4 million, based on (A) the</w:t>
      </w:r>
    </w:p>
    <w:p>
      <w:pPr>
        <w:spacing w:after="0" w:line="7" w:lineRule="exact"/>
        <w:rPr>
          <w:sz w:val="20"/>
          <w:szCs w:val="20"/>
          <w:color w:val="auto"/>
        </w:rPr>
      </w:pPr>
    </w:p>
    <w:p>
      <w:pPr>
        <w:ind w:left="4260" w:right="1880" w:hanging="2286"/>
        <w:spacing w:after="0"/>
        <w:rPr>
          <w:sz w:val="20"/>
          <w:szCs w:val="20"/>
          <w:color w:val="auto"/>
        </w:rPr>
      </w:pPr>
      <w:r>
        <w:rPr>
          <w:rFonts w:ascii="Arial" w:cs="Arial" w:eastAsia="Arial" w:hAnsi="Arial"/>
          <w:sz w:val="11"/>
          <w:szCs w:val="11"/>
          <w:color w:val="auto"/>
        </w:rPr>
        <w:t>assumed initial public offering price of $25.00 per share, the midpoint of the price range set forth on th e</w:t>
      </w:r>
    </w:p>
    <w:p>
      <w:pPr>
        <w:spacing w:after="0" w:line="17"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cover page of this prospectus, and (B) an assumed 44% tax withholding rate; and (C) the $17.4 million</w:t>
      </w:r>
    </w:p>
    <w:p>
      <w:pPr>
        <w:spacing w:after="0" w:line="7" w:lineRule="exact"/>
        <w:rPr>
          <w:sz w:val="20"/>
          <w:szCs w:val="20"/>
          <w:color w:val="auto"/>
        </w:rPr>
      </w:pPr>
    </w:p>
    <w:p>
      <w:pPr>
        <w:ind w:left="1980" w:right="1980"/>
        <w:spacing w:after="0"/>
        <w:rPr>
          <w:sz w:val="20"/>
          <w:szCs w:val="20"/>
          <w:color w:val="auto"/>
        </w:rPr>
      </w:pPr>
      <w:r>
        <w:rPr>
          <w:rFonts w:ascii="Arial" w:cs="Arial" w:eastAsia="Arial" w:hAnsi="Arial"/>
          <w:sz w:val="11"/>
          <w:szCs w:val="11"/>
          <w:color w:val="auto"/>
        </w:rPr>
        <w:t>increase in liabilities and corresponding decrease in additional paid-in capital resulting from the shar e</w:t>
      </w:r>
    </w:p>
    <w:p>
      <w:pPr>
        <w:spacing w:after="0" w:line="7" w:lineRule="exact"/>
        <w:rPr>
          <w:sz w:val="20"/>
          <w:szCs w:val="20"/>
          <w:color w:val="auto"/>
        </w:rPr>
      </w:pPr>
    </w:p>
    <w:p>
      <w:pPr>
        <w:ind w:left="1980" w:right="1980"/>
        <w:spacing w:after="0"/>
        <w:rPr>
          <w:sz w:val="20"/>
          <w:szCs w:val="20"/>
          <w:color w:val="auto"/>
        </w:rPr>
      </w:pPr>
      <w:r>
        <w:rPr>
          <w:rFonts w:ascii="Arial" w:cs="Arial" w:eastAsia="Arial" w:hAnsi="Arial"/>
          <w:sz w:val="11"/>
          <w:szCs w:val="11"/>
          <w:color w:val="auto"/>
        </w:rPr>
        <w:t>withholding for the tax withholding and remittance obligations related to the RSU Net Settlement; an d</w:t>
      </w:r>
    </w:p>
    <w:p>
      <w:pPr>
        <w:spacing w:after="0" w:line="55" w:lineRule="exact"/>
        <w:rPr>
          <w:sz w:val="20"/>
          <w:szCs w:val="20"/>
          <w:color w:val="auto"/>
        </w:rPr>
      </w:pPr>
    </w:p>
    <w:p>
      <w:pPr>
        <w:ind w:left="1980" w:right="2020" w:hanging="228"/>
        <w:spacing w:after="0"/>
        <w:tabs>
          <w:tab w:leader="none" w:pos="1980"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 filing and effectiveness of our amended and restated certificate of incorporation, which will occu r</w:t>
      </w:r>
    </w:p>
    <w:p>
      <w:pPr>
        <w:spacing w:after="0" w:line="7" w:lineRule="exact"/>
        <w:rPr>
          <w:rFonts w:ascii="Arial" w:cs="Arial" w:eastAsia="Arial" w:hAnsi="Arial"/>
          <w:sz w:val="11"/>
          <w:szCs w:val="11"/>
          <w:color w:val="auto"/>
        </w:rPr>
      </w:pPr>
    </w:p>
    <w:p>
      <w:pPr>
        <w:ind w:left="1980"/>
        <w:spacing w:after="0" w:line="199" w:lineRule="auto"/>
        <w:rPr>
          <w:rFonts w:ascii="Arial" w:cs="Arial" w:eastAsia="Arial" w:hAnsi="Arial"/>
          <w:sz w:val="11"/>
          <w:szCs w:val="11"/>
          <w:color w:val="auto"/>
        </w:rPr>
      </w:pPr>
      <w:r>
        <w:rPr>
          <w:rFonts w:ascii="Arial" w:cs="Arial" w:eastAsia="Arial" w:hAnsi="Arial"/>
          <w:sz w:val="8"/>
          <w:szCs w:val="8"/>
          <w:color w:val="auto"/>
        </w:rPr>
        <w:t>immediately prior to the completion of this offering</w:t>
      </w:r>
    </w:p>
    <w:p>
      <w:pPr>
        <w:ind w:left="1980"/>
        <w:spacing w:after="0"/>
        <w:rPr>
          <w:rFonts w:ascii="Arial" w:cs="Arial" w:eastAsia="Arial" w:hAnsi="Arial"/>
          <w:sz w:val="11"/>
          <w:szCs w:val="11"/>
          <w:color w:val="auto"/>
        </w:rPr>
      </w:pPr>
      <w:r>
        <w:rPr>
          <w:rFonts w:ascii="Arial" w:cs="Arial" w:eastAsia="Arial" w:hAnsi="Arial"/>
          <w:sz w:val="11"/>
          <w:szCs w:val="11"/>
          <w:color w:val="auto"/>
        </w:rPr>
        <w:t>.</w:t>
      </w:r>
    </w:p>
    <w:p>
      <w:pPr>
        <w:sectPr>
          <w:pgSz w:w="11900" w:h="16840" w:orient="portrait"/>
          <w:cols w:equalWidth="0" w:num="1">
            <w:col w:w="9020"/>
          </w:cols>
          <w:pgMar w:left="1440" w:top="548" w:right="1440" w:bottom="86" w:gutter="0" w:footer="0" w:header="0"/>
        </w:sectPr>
      </w:pPr>
    </w:p>
    <w:bookmarkStart w:id="22" w:name="page23"/>
    <w:bookmarkEnd w:id="22"/>
    <w:p>
      <w:pPr>
        <w:ind w:left="1760" w:hanging="238"/>
        <w:spacing w:after="0"/>
        <w:tabs>
          <w:tab w:leader="none" w:pos="17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The pro forma as adjusted column above gives effect to</w:t>
      </w:r>
    </w:p>
    <w:p>
      <w:pPr>
        <w:ind w:left="1760"/>
        <w:spacing w:after="0" w:line="199" w:lineRule="auto"/>
        <w:rPr>
          <w:rFonts w:ascii="Arial" w:cs="Arial" w:eastAsia="Arial" w:hAnsi="Arial"/>
          <w:sz w:val="11"/>
          <w:szCs w:val="11"/>
          <w:color w:val="auto"/>
        </w:rPr>
      </w:pPr>
      <w:r>
        <w:rPr>
          <w:rFonts w:ascii="Arial" w:cs="Arial" w:eastAsia="Arial" w:hAnsi="Arial"/>
          <w:sz w:val="8"/>
          <w:szCs w:val="8"/>
          <w:color w:val="auto"/>
        </w:rPr>
        <w:t>•:   the pro forma adjustments set forth above</w:t>
      </w:r>
    </w:p>
    <w:p>
      <w:pPr>
        <w:ind w:left="1980"/>
        <w:spacing w:after="0"/>
        <w:rPr>
          <w:rFonts w:ascii="Arial" w:cs="Arial" w:eastAsia="Arial" w:hAnsi="Arial"/>
          <w:sz w:val="11"/>
          <w:szCs w:val="11"/>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-171450</wp:posOffset>
            </wp:positionV>
            <wp:extent cx="6732270" cy="9970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ind w:left="1980" w:right="1640" w:hanging="2372"/>
        <w:spacing w:after="0"/>
        <w:tabs>
          <w:tab w:leader="none" w:pos="1960" w:val="left"/>
        </w:tabs>
        <w:rPr>
          <w:sz w:val="20"/>
          <w:szCs w:val="20"/>
          <w:color w:val="auto"/>
        </w:rPr>
      </w:pPr>
      <w:r>
        <w:rPr>
          <w:rFonts w:ascii="Arial" w:cs="Arial" w:eastAsia="Arial" w:hAnsi="Arial"/>
          <w:sz w:val="11"/>
          <w:szCs w:val="11"/>
          <w:color w:val="auto"/>
        </w:rPr>
        <w:t>•</w:t>
        <w:tab/>
        <w:t>the sale and issuance by us of 30,000,000 shares of our Class A common stock in this offering, based upo n</w:t>
      </w:r>
    </w:p>
    <w:p>
      <w:pPr>
        <w:ind w:left="1980"/>
        <w:spacing w:after="0"/>
        <w:rPr>
          <w:sz w:val="20"/>
          <w:szCs w:val="20"/>
          <w:color w:val="auto"/>
        </w:rPr>
      </w:pPr>
      <w:r>
        <w:rPr>
          <w:rFonts w:ascii="Arial" w:cs="Arial" w:eastAsia="Arial" w:hAnsi="Arial"/>
          <w:sz w:val="11"/>
          <w:szCs w:val="11"/>
          <w:color w:val="auto"/>
        </w:rPr>
        <w:t>the assumed initial public offering price of $25.00 per share, which is the midpoint of the offering price range</w:t>
      </w:r>
    </w:p>
    <w:p>
      <w:pPr>
        <w:spacing w:after="0" w:line="7" w:lineRule="exact"/>
        <w:rPr>
          <w:sz w:val="20"/>
          <w:szCs w:val="20"/>
          <w:color w:val="auto"/>
        </w:rPr>
      </w:pPr>
    </w:p>
    <w:p>
      <w:pPr>
        <w:ind w:left="1980" w:right="1720"/>
        <w:spacing w:after="0"/>
        <w:rPr>
          <w:sz w:val="20"/>
          <w:szCs w:val="20"/>
          <w:color w:val="auto"/>
        </w:rPr>
      </w:pPr>
      <w:r>
        <w:rPr>
          <w:rFonts w:ascii="Arial" w:cs="Arial" w:eastAsia="Arial" w:hAnsi="Arial"/>
          <w:sz w:val="11"/>
          <w:szCs w:val="11"/>
          <w:color w:val="auto"/>
        </w:rPr>
        <w:t>set forth on the cover page of this prospectus, and our receipt o $700.4 million in estimated net proceeds f</w:t>
      </w:r>
    </w:p>
    <w:p>
      <w:pPr>
        <w:spacing w:after="0" w:line="17" w:lineRule="exact"/>
        <w:rPr>
          <w:sz w:val="20"/>
          <w:szCs w:val="20"/>
          <w:color w:val="auto"/>
        </w:rPr>
      </w:pPr>
    </w:p>
    <w:p>
      <w:pPr>
        <w:ind w:left="1980" w:right="1680"/>
        <w:spacing w:after="0"/>
        <w:rPr>
          <w:sz w:val="20"/>
          <w:szCs w:val="20"/>
          <w:color w:val="auto"/>
        </w:rPr>
      </w:pPr>
      <w:r>
        <w:rPr>
          <w:rFonts w:ascii="Arial" w:cs="Arial" w:eastAsia="Arial" w:hAnsi="Arial"/>
          <w:sz w:val="11"/>
          <w:szCs w:val="11"/>
          <w:color w:val="auto"/>
        </w:rPr>
        <w:t>from the offering after deducting underwriting discounts and commissions and estimated offering expense s</w:t>
      </w:r>
    </w:p>
    <w:p>
      <w:pPr>
        <w:spacing w:after="0" w:line="7" w:lineRule="exact"/>
        <w:rPr>
          <w:sz w:val="20"/>
          <w:szCs w:val="20"/>
          <w:color w:val="auto"/>
        </w:rPr>
      </w:pPr>
    </w:p>
    <w:p>
      <w:pPr>
        <w:jc w:val="center"/>
        <w:ind w:right="80"/>
        <w:spacing w:after="0"/>
        <w:rPr>
          <w:sz w:val="20"/>
          <w:szCs w:val="20"/>
          <w:color w:val="auto"/>
        </w:rPr>
      </w:pPr>
      <w:r>
        <w:rPr>
          <w:rFonts w:ascii="Arial" w:cs="Arial" w:eastAsia="Arial" w:hAnsi="Arial"/>
          <w:sz w:val="11"/>
          <w:szCs w:val="11"/>
          <w:color w:val="auto"/>
        </w:rPr>
        <w:t>(which offering expenses deduction excludes $0.8 million of deferred offering costs that have been</w:t>
      </w:r>
    </w:p>
    <w:p>
      <w:pPr>
        <w:spacing w:after="0" w:line="13" w:lineRule="exact"/>
        <w:rPr>
          <w:sz w:val="20"/>
          <w:szCs w:val="20"/>
          <w:color w:val="auto"/>
        </w:rPr>
      </w:pPr>
    </w:p>
    <w:tbl>
      <w:tblPr>
        <w:tblLayout w:type="fixed"/>
        <w:tblInd w:w="1760" w:type="dxa"/>
        <w:tblCellMar>
          <w:top w:w="0" w:type="dxa"/>
          <w:left w:w="0" w:type="dxa"/>
          <w:bottom w:w="0" w:type="dxa"/>
          <w:right w:w="0" w:type="dxa"/>
        </w:tblCellMar>
      </w:tblPr>
      <w:tr>
        <w:trPr>
          <w:trHeight w:val="128"/>
        </w:trPr>
        <w:tc>
          <w:tcPr>
            <w:tcW w:w="120" w:type="dxa"/>
            <w:vAlign w:val="bottom"/>
          </w:tcPr>
          <w:p>
            <w:pPr>
              <w:spacing w:after="0"/>
              <w:rPr>
                <w:sz w:val="11"/>
                <w:szCs w:val="11"/>
                <w:color w:val="auto"/>
              </w:rPr>
            </w:pPr>
          </w:p>
        </w:tc>
        <w:tc>
          <w:tcPr>
            <w:tcW w:w="5600" w:type="dxa"/>
            <w:vAlign w:val="bottom"/>
            <w:gridSpan w:val="3"/>
          </w:tcPr>
          <w:p>
            <w:pPr>
              <w:ind w:left="100"/>
              <w:spacing w:after="0"/>
              <w:rPr>
                <w:sz w:val="20"/>
                <w:szCs w:val="20"/>
                <w:color w:val="auto"/>
              </w:rPr>
            </w:pPr>
            <w:r>
              <w:rPr>
                <w:rFonts w:ascii="Arial" w:cs="Arial" w:eastAsia="Arial" w:hAnsi="Arial"/>
                <w:sz w:val="11"/>
                <w:szCs w:val="11"/>
                <w:color w:val="auto"/>
              </w:rPr>
              <w:t>previously paid as of July 31, 2025 but includes $2.6 million of deferred offering costs accrued and unpaid as</w:t>
            </w:r>
          </w:p>
        </w:tc>
        <w:tc>
          <w:tcPr>
            <w:tcW w:w="0" w:type="dxa"/>
            <w:vAlign w:val="bottom"/>
          </w:tcPr>
          <w:p>
            <w:pPr>
              <w:spacing w:after="0"/>
              <w:rPr>
                <w:sz w:val="1"/>
                <w:szCs w:val="1"/>
                <w:color w:val="auto"/>
              </w:rPr>
            </w:pPr>
          </w:p>
        </w:tc>
      </w:tr>
      <w:tr>
        <w:trPr>
          <w:trHeight w:val="114"/>
        </w:trPr>
        <w:tc>
          <w:tcPr>
            <w:tcW w:w="120" w:type="dxa"/>
            <w:vAlign w:val="bottom"/>
          </w:tcPr>
          <w:p>
            <w:pPr>
              <w:spacing w:after="0"/>
              <w:rPr>
                <w:sz w:val="9"/>
                <w:szCs w:val="9"/>
                <w:color w:val="auto"/>
              </w:rPr>
            </w:pPr>
          </w:p>
        </w:tc>
        <w:tc>
          <w:tcPr>
            <w:tcW w:w="2540" w:type="dxa"/>
            <w:vAlign w:val="bottom"/>
          </w:tcPr>
          <w:p>
            <w:pPr>
              <w:ind w:left="100"/>
              <w:spacing w:after="0" w:line="114" w:lineRule="exact"/>
              <w:rPr>
                <w:sz w:val="20"/>
                <w:szCs w:val="20"/>
                <w:color w:val="auto"/>
              </w:rPr>
            </w:pPr>
            <w:r>
              <w:rPr>
                <w:rFonts w:ascii="Arial" w:cs="Arial" w:eastAsia="Arial" w:hAnsi="Arial"/>
                <w:sz w:val="11"/>
                <w:szCs w:val="11"/>
                <w:color w:val="auto"/>
              </w:rPr>
              <w:t>of July 31, 2025)</w:t>
            </w:r>
          </w:p>
        </w:tc>
        <w:tc>
          <w:tcPr>
            <w:tcW w:w="6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2540" w:type="dxa"/>
            <w:vAlign w:val="bottom"/>
          </w:tcPr>
          <w:p>
            <w:pPr>
              <w:ind w:left="100"/>
              <w:spacing w:after="0" w:line="77" w:lineRule="exact"/>
              <w:rPr>
                <w:sz w:val="20"/>
                <w:szCs w:val="20"/>
                <w:color w:val="auto"/>
              </w:rPr>
            </w:pPr>
            <w:r>
              <w:rPr>
                <w:rFonts w:ascii="Arial" w:cs="Arial" w:eastAsia="Arial" w:hAnsi="Arial"/>
                <w:sz w:val="8"/>
                <w:szCs w:val="8"/>
                <w:color w:val="auto"/>
              </w:rPr>
              <w:t>;</w:t>
            </w:r>
          </w:p>
        </w:tc>
        <w:tc>
          <w:tcPr>
            <w:tcW w:w="6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120" w:type="dxa"/>
            <w:vAlign w:val="bottom"/>
            <w:vMerge w:val="continue"/>
          </w:tcPr>
          <w:p>
            <w:pPr>
              <w:spacing w:after="0"/>
              <w:rPr>
                <w:sz w:val="10"/>
                <w:szCs w:val="10"/>
                <w:color w:val="auto"/>
              </w:rPr>
            </w:pPr>
          </w:p>
        </w:tc>
        <w:tc>
          <w:tcPr>
            <w:tcW w:w="5600" w:type="dxa"/>
            <w:vAlign w:val="bottom"/>
            <w:gridSpan w:val="3"/>
          </w:tcPr>
          <w:p>
            <w:pPr>
              <w:ind w:left="100"/>
              <w:spacing w:after="0" w:line="125" w:lineRule="exact"/>
              <w:rPr>
                <w:sz w:val="20"/>
                <w:szCs w:val="20"/>
                <w:color w:val="auto"/>
              </w:rPr>
            </w:pPr>
            <w:r>
              <w:rPr>
                <w:rFonts w:ascii="Arial" w:cs="Arial" w:eastAsia="Arial" w:hAnsi="Arial"/>
                <w:sz w:val="11"/>
                <w:szCs w:val="11"/>
                <w:color w:val="auto"/>
              </w:rPr>
              <w:t>the elimination of $3.4 million of deferred offering costs, of which $0.8 million have been paid as of July 31,</w:t>
            </w:r>
          </w:p>
        </w:tc>
        <w:tc>
          <w:tcPr>
            <w:tcW w:w="0" w:type="dxa"/>
            <w:vAlign w:val="bottom"/>
          </w:tcPr>
          <w:p>
            <w:pPr>
              <w:spacing w:after="0"/>
              <w:rPr>
                <w:sz w:val="1"/>
                <w:szCs w:val="1"/>
                <w:color w:val="auto"/>
              </w:rPr>
            </w:pPr>
          </w:p>
        </w:tc>
      </w:tr>
      <w:tr>
        <w:trPr>
          <w:trHeight w:val="114"/>
        </w:trPr>
        <w:tc>
          <w:tcPr>
            <w:tcW w:w="120" w:type="dxa"/>
            <w:vAlign w:val="bottom"/>
          </w:tcPr>
          <w:p>
            <w:pPr>
              <w:spacing w:after="0"/>
              <w:rPr>
                <w:sz w:val="9"/>
                <w:szCs w:val="9"/>
                <w:color w:val="auto"/>
              </w:rPr>
            </w:pPr>
          </w:p>
        </w:tc>
        <w:tc>
          <w:tcPr>
            <w:tcW w:w="5600" w:type="dxa"/>
            <w:vAlign w:val="bottom"/>
            <w:gridSpan w:val="3"/>
          </w:tcPr>
          <w:p>
            <w:pPr>
              <w:ind w:left="100"/>
              <w:spacing w:after="0" w:line="114" w:lineRule="exact"/>
              <w:rPr>
                <w:sz w:val="20"/>
                <w:szCs w:val="20"/>
                <w:color w:val="auto"/>
              </w:rPr>
            </w:pPr>
            <w:r>
              <w:rPr>
                <w:rFonts w:ascii="Arial" w:cs="Arial" w:eastAsia="Arial" w:hAnsi="Arial"/>
                <w:sz w:val="11"/>
                <w:szCs w:val="11"/>
                <w:color w:val="auto"/>
              </w:rPr>
              <w:t>2025 and $2.6 million were accrued and unpaid as of July 31, 2025, reflected as a decrease in other asset</w:t>
            </w: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2540" w:type="dxa"/>
            <w:vAlign w:val="bottom"/>
          </w:tcPr>
          <w:p>
            <w:pPr>
              <w:ind w:left="100"/>
              <w:spacing w:after="0" w:line="134" w:lineRule="exact"/>
              <w:rPr>
                <w:sz w:val="20"/>
                <w:szCs w:val="20"/>
                <w:color w:val="auto"/>
              </w:rPr>
            </w:pPr>
            <w:r>
              <w:rPr>
                <w:rFonts w:ascii="Arial" w:cs="Arial" w:eastAsia="Arial" w:hAnsi="Arial"/>
                <w:sz w:val="9"/>
                <w:szCs w:val="9"/>
                <w:color w:val="auto"/>
              </w:rPr>
              <w:t>of $3.4 million,</w:t>
            </w:r>
            <w:r>
              <w:rPr>
                <w:rFonts w:ascii="Arial" w:cs="Arial" w:eastAsia="Arial" w:hAnsi="Arial"/>
                <w:sz w:val="15"/>
                <w:szCs w:val="15"/>
                <w:color w:val="auto"/>
                <w:vertAlign w:val="superscript"/>
              </w:rPr>
              <w:t>s</w:t>
            </w:r>
            <w:r>
              <w:rPr>
                <w:rFonts w:ascii="Arial" w:cs="Arial" w:eastAsia="Arial" w:hAnsi="Arial"/>
                <w:sz w:val="9"/>
                <w:szCs w:val="9"/>
                <w:color w:val="auto"/>
              </w:rPr>
              <w:t>a decrease in current liabilities o</w:t>
            </w:r>
          </w:p>
        </w:tc>
        <w:tc>
          <w:tcPr>
            <w:tcW w:w="680" w:type="dxa"/>
            <w:vAlign w:val="bottom"/>
          </w:tcPr>
          <w:p>
            <w:pPr>
              <w:ind w:left="40"/>
              <w:spacing w:after="0"/>
              <w:rPr>
                <w:sz w:val="20"/>
                <w:szCs w:val="20"/>
                <w:color w:val="auto"/>
              </w:rPr>
            </w:pPr>
            <w:r>
              <w:rPr>
                <w:rFonts w:ascii="Arial" w:cs="Arial" w:eastAsia="Arial" w:hAnsi="Arial"/>
                <w:sz w:val="11"/>
                <w:szCs w:val="11"/>
                <w:color w:val="auto"/>
              </w:rPr>
              <w:t>$2.6 million,</w:t>
            </w:r>
          </w:p>
        </w:tc>
        <w:tc>
          <w:tcPr>
            <w:tcW w:w="2380" w:type="dxa"/>
            <w:vAlign w:val="bottom"/>
          </w:tcPr>
          <w:p>
            <w:pPr>
              <w:ind w:left="60"/>
              <w:spacing w:after="0"/>
              <w:rPr>
                <w:sz w:val="20"/>
                <w:szCs w:val="20"/>
                <w:color w:val="auto"/>
              </w:rPr>
            </w:pPr>
            <w:r>
              <w:rPr>
                <w:rFonts w:ascii="Arial" w:cs="Arial" w:eastAsia="Arial" w:hAnsi="Arial"/>
                <w:sz w:val="11"/>
                <w:szCs w:val="11"/>
                <w:color w:val="auto"/>
              </w:rPr>
              <w:t>nd a decrease in additional paid-in capital of</w:t>
            </w:r>
          </w:p>
        </w:tc>
        <w:tc>
          <w:tcPr>
            <w:tcW w:w="0" w:type="dxa"/>
            <w:vAlign w:val="bottom"/>
          </w:tcPr>
          <w:p>
            <w:pPr>
              <w:spacing w:after="0"/>
              <w:rPr>
                <w:sz w:val="1"/>
                <w:szCs w:val="1"/>
                <w:color w:val="auto"/>
              </w:rPr>
            </w:pPr>
          </w:p>
        </w:tc>
      </w:tr>
      <w:tr>
        <w:trPr>
          <w:trHeight w:val="77"/>
        </w:trPr>
        <w:tc>
          <w:tcPr>
            <w:tcW w:w="120" w:type="dxa"/>
            <w:vAlign w:val="bottom"/>
          </w:tcPr>
          <w:p>
            <w:pPr>
              <w:spacing w:after="0"/>
              <w:rPr>
                <w:sz w:val="6"/>
                <w:szCs w:val="6"/>
                <w:color w:val="auto"/>
              </w:rPr>
            </w:pPr>
          </w:p>
        </w:tc>
        <w:tc>
          <w:tcPr>
            <w:tcW w:w="2540" w:type="dxa"/>
            <w:vAlign w:val="bottom"/>
          </w:tcPr>
          <w:p>
            <w:pPr>
              <w:ind w:left="440"/>
              <w:spacing w:after="0" w:line="77" w:lineRule="exact"/>
              <w:rPr>
                <w:sz w:val="20"/>
                <w:szCs w:val="20"/>
                <w:color w:val="auto"/>
              </w:rPr>
            </w:pPr>
            <w:r>
              <w:rPr>
                <w:rFonts w:ascii="Arial" w:cs="Arial" w:eastAsia="Arial" w:hAnsi="Arial"/>
                <w:sz w:val="8"/>
                <w:szCs w:val="8"/>
                <w:color w:val="auto"/>
              </w:rPr>
              <w:t>f</w:t>
            </w:r>
          </w:p>
        </w:tc>
        <w:tc>
          <w:tcPr>
            <w:tcW w:w="680" w:type="dxa"/>
            <w:vAlign w:val="bottom"/>
          </w:tcPr>
          <w:p>
            <w:pPr>
              <w:ind w:left="260"/>
              <w:spacing w:after="0" w:line="77" w:lineRule="exact"/>
              <w:rPr>
                <w:sz w:val="20"/>
                <w:szCs w:val="20"/>
                <w:color w:val="auto"/>
              </w:rPr>
            </w:pPr>
            <w:r>
              <w:rPr>
                <w:rFonts w:ascii="Arial" w:cs="Arial" w:eastAsia="Arial" w:hAnsi="Arial"/>
                <w:sz w:val="8"/>
                <w:szCs w:val="8"/>
                <w:color w:val="auto"/>
              </w:rPr>
              <w:t>a</w:t>
            </w: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2540" w:type="dxa"/>
            <w:vAlign w:val="bottom"/>
          </w:tcPr>
          <w:p>
            <w:pPr>
              <w:ind w:left="100"/>
              <w:spacing w:after="0" w:line="136" w:lineRule="exact"/>
              <w:rPr>
                <w:sz w:val="20"/>
                <w:szCs w:val="20"/>
                <w:color w:val="auto"/>
              </w:rPr>
            </w:pPr>
            <w:r>
              <w:rPr>
                <w:rFonts w:ascii="Arial" w:cs="Arial" w:eastAsia="Arial" w:hAnsi="Arial"/>
                <w:sz w:val="9"/>
                <w:szCs w:val="9"/>
                <w:color w:val="auto"/>
              </w:rPr>
              <w:t>$8.0</w:t>
            </w:r>
            <w:r>
              <w:rPr>
                <w:rFonts w:ascii="Arial" w:cs="Arial" w:eastAsia="Arial" w:hAnsi="Arial"/>
                <w:sz w:val="15"/>
                <w:szCs w:val="15"/>
                <w:color w:val="auto"/>
                <w:vertAlign w:val="subscript"/>
              </w:rPr>
              <w:t>;</w:t>
            </w:r>
            <w:r>
              <w:rPr>
                <w:rFonts w:ascii="Arial" w:cs="Arial" w:eastAsia="Arial" w:hAnsi="Arial"/>
                <w:sz w:val="9"/>
                <w:szCs w:val="9"/>
                <w:color w:val="auto"/>
              </w:rPr>
              <w:t>million</w:t>
            </w:r>
          </w:p>
        </w:tc>
        <w:tc>
          <w:tcPr>
            <w:tcW w:w="6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20" w:type="dxa"/>
            <w:vAlign w:val="bottom"/>
            <w:vMerge w:val="continue"/>
          </w:tcPr>
          <w:p>
            <w:pPr>
              <w:spacing w:after="0"/>
              <w:rPr>
                <w:sz w:val="10"/>
                <w:szCs w:val="10"/>
                <w:color w:val="auto"/>
              </w:rPr>
            </w:pPr>
          </w:p>
        </w:tc>
        <w:tc>
          <w:tcPr>
            <w:tcW w:w="5600" w:type="dxa"/>
            <w:vAlign w:val="bottom"/>
            <w:gridSpan w:val="3"/>
          </w:tcPr>
          <w:p>
            <w:pPr>
              <w:ind w:left="100"/>
              <w:spacing w:after="0" w:line="124" w:lineRule="exact"/>
              <w:rPr>
                <w:sz w:val="20"/>
                <w:szCs w:val="20"/>
                <w:color w:val="auto"/>
              </w:rPr>
            </w:pPr>
            <w:r>
              <w:rPr>
                <w:rFonts w:ascii="Arial" w:cs="Arial" w:eastAsia="Arial" w:hAnsi="Arial"/>
                <w:sz w:val="11"/>
                <w:szCs w:val="11"/>
                <w:color w:val="auto"/>
              </w:rPr>
              <w:t>the exercise of stock options for 1,975,677 shares of Class A common stock by certain selling stockholders</w:t>
            </w: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5600" w:type="dxa"/>
            <w:vAlign w:val="bottom"/>
            <w:gridSpan w:val="3"/>
          </w:tcPr>
          <w:p>
            <w:pPr>
              <w:ind w:left="100"/>
              <w:spacing w:after="0"/>
              <w:rPr>
                <w:sz w:val="20"/>
                <w:szCs w:val="20"/>
                <w:color w:val="auto"/>
              </w:rPr>
            </w:pPr>
            <w:r>
              <w:rPr>
                <w:rFonts w:ascii="Arial" w:cs="Arial" w:eastAsia="Arial" w:hAnsi="Arial"/>
                <w:sz w:val="11"/>
                <w:szCs w:val="11"/>
                <w:color w:val="auto"/>
              </w:rPr>
              <w:t>in connection with the Option Cash Exercise, reflected as a $13.7 million increase in cash and cash</w:t>
            </w:r>
          </w:p>
        </w:tc>
        <w:tc>
          <w:tcPr>
            <w:tcW w:w="0" w:type="dxa"/>
            <w:vAlign w:val="bottom"/>
          </w:tcPr>
          <w:p>
            <w:pPr>
              <w:spacing w:after="0"/>
              <w:rPr>
                <w:sz w:val="1"/>
                <w:szCs w:val="1"/>
                <w:color w:val="auto"/>
              </w:rPr>
            </w:pPr>
          </w:p>
        </w:tc>
      </w:tr>
      <w:tr>
        <w:trPr>
          <w:trHeight w:val="114"/>
        </w:trPr>
        <w:tc>
          <w:tcPr>
            <w:tcW w:w="120" w:type="dxa"/>
            <w:vAlign w:val="bottom"/>
          </w:tcPr>
          <w:p>
            <w:pPr>
              <w:spacing w:after="0"/>
              <w:rPr>
                <w:sz w:val="9"/>
                <w:szCs w:val="9"/>
                <w:color w:val="auto"/>
              </w:rPr>
            </w:pPr>
          </w:p>
        </w:tc>
        <w:tc>
          <w:tcPr>
            <w:tcW w:w="5600" w:type="dxa"/>
            <w:vAlign w:val="bottom"/>
            <w:gridSpan w:val="3"/>
          </w:tcPr>
          <w:p>
            <w:pPr>
              <w:ind w:left="100"/>
              <w:spacing w:after="0" w:line="114" w:lineRule="exact"/>
              <w:rPr>
                <w:sz w:val="20"/>
                <w:szCs w:val="20"/>
                <w:color w:val="auto"/>
              </w:rPr>
            </w:pPr>
            <w:r>
              <w:rPr>
                <w:rFonts w:ascii="Arial" w:cs="Arial" w:eastAsia="Arial" w:hAnsi="Arial"/>
                <w:sz w:val="11"/>
                <w:szCs w:val="11"/>
                <w:color w:val="auto"/>
              </w:rPr>
              <w:t>equivalents and a corresponding increase in common stock and additional paid-in capital; an</w:t>
            </w:r>
          </w:p>
        </w:tc>
        <w:tc>
          <w:tcPr>
            <w:tcW w:w="0" w:type="dxa"/>
            <w:vAlign w:val="bottom"/>
          </w:tcPr>
          <w:p>
            <w:pPr>
              <w:spacing w:after="0"/>
              <w:rPr>
                <w:sz w:val="1"/>
                <w:szCs w:val="1"/>
                <w:color w:val="auto"/>
              </w:rPr>
            </w:pPr>
          </w:p>
        </w:tc>
      </w:tr>
      <w:tr>
        <w:trPr>
          <w:trHeight w:val="77"/>
        </w:trPr>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2540" w:type="dxa"/>
            <w:vAlign w:val="bottom"/>
          </w:tcPr>
          <w:p>
            <w:pPr>
              <w:ind w:left="100"/>
              <w:spacing w:after="0" w:line="77" w:lineRule="exact"/>
              <w:rPr>
                <w:sz w:val="20"/>
                <w:szCs w:val="20"/>
                <w:color w:val="auto"/>
              </w:rPr>
            </w:pPr>
            <w:r>
              <w:rPr>
                <w:rFonts w:ascii="Arial" w:cs="Arial" w:eastAsia="Arial" w:hAnsi="Arial"/>
                <w:sz w:val="8"/>
                <w:szCs w:val="8"/>
                <w:color w:val="auto"/>
              </w:rPr>
              <w:t>d</w:t>
            </w:r>
          </w:p>
        </w:tc>
        <w:tc>
          <w:tcPr>
            <w:tcW w:w="6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120" w:type="dxa"/>
            <w:vAlign w:val="bottom"/>
            <w:vMerge w:val="continue"/>
          </w:tcPr>
          <w:p>
            <w:pPr>
              <w:spacing w:after="0"/>
              <w:rPr>
                <w:sz w:val="8"/>
                <w:szCs w:val="8"/>
                <w:color w:val="auto"/>
              </w:rPr>
            </w:pPr>
          </w:p>
        </w:tc>
        <w:tc>
          <w:tcPr>
            <w:tcW w:w="5600" w:type="dxa"/>
            <w:vAlign w:val="bottom"/>
            <w:gridSpan w:val="3"/>
          </w:tcPr>
          <w:p>
            <w:pPr>
              <w:ind w:left="100"/>
              <w:spacing w:after="0" w:line="96" w:lineRule="exact"/>
              <w:rPr>
                <w:sz w:val="20"/>
                <w:szCs w:val="20"/>
                <w:color w:val="auto"/>
              </w:rPr>
            </w:pPr>
            <w:r>
              <w:rPr>
                <w:rFonts w:ascii="Arial" w:cs="Arial" w:eastAsia="Arial" w:hAnsi="Arial"/>
                <w:sz w:val="11"/>
                <w:szCs w:val="11"/>
                <w:color w:val="auto"/>
              </w:rPr>
              <w:t>the use of net proceeds from this offering, together with existing cash and cash equivalents, if necessary, t</w:t>
            </w:r>
          </w:p>
        </w:tc>
        <w:tc>
          <w:tcPr>
            <w:tcW w:w="0" w:type="dxa"/>
            <w:vAlign w:val="bottom"/>
          </w:tcPr>
          <w:p>
            <w:pPr>
              <w:spacing w:after="0"/>
              <w:rPr>
                <w:sz w:val="1"/>
                <w:szCs w:val="1"/>
                <w:color w:val="auto"/>
              </w:rPr>
            </w:pPr>
          </w:p>
        </w:tc>
      </w:tr>
      <w:tr>
        <w:trPr>
          <w:trHeight w:val="77"/>
        </w:trPr>
        <w:tc>
          <w:tcPr>
            <w:tcW w:w="120" w:type="dxa"/>
            <w:vAlign w:val="bottom"/>
          </w:tcPr>
          <w:p>
            <w:pPr>
              <w:spacing w:after="0"/>
              <w:rPr>
                <w:sz w:val="6"/>
                <w:szCs w:val="6"/>
                <w:color w:val="auto"/>
              </w:rPr>
            </w:pPr>
          </w:p>
        </w:tc>
        <w:tc>
          <w:tcPr>
            <w:tcW w:w="2540" w:type="dxa"/>
            <w:vAlign w:val="bottom"/>
          </w:tcPr>
          <w:p>
            <w:pPr>
              <w:ind w:left="100"/>
              <w:spacing w:after="0" w:line="77" w:lineRule="exact"/>
              <w:rPr>
                <w:sz w:val="20"/>
                <w:szCs w:val="20"/>
                <w:color w:val="auto"/>
              </w:rPr>
            </w:pPr>
            <w:r>
              <w:rPr>
                <w:rFonts w:ascii="Arial" w:cs="Arial" w:eastAsia="Arial" w:hAnsi="Arial"/>
                <w:sz w:val="8"/>
                <w:szCs w:val="8"/>
                <w:color w:val="auto"/>
              </w:rPr>
              <w:t>o</w:t>
            </w:r>
          </w:p>
        </w:tc>
        <w:tc>
          <w:tcPr>
            <w:tcW w:w="6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120" w:type="dxa"/>
            <w:vAlign w:val="bottom"/>
          </w:tcPr>
          <w:p>
            <w:pPr>
              <w:spacing w:after="0"/>
              <w:rPr>
                <w:sz w:val="7"/>
                <w:szCs w:val="7"/>
                <w:color w:val="auto"/>
              </w:rPr>
            </w:pPr>
          </w:p>
        </w:tc>
        <w:tc>
          <w:tcPr>
            <w:tcW w:w="5600" w:type="dxa"/>
            <w:vAlign w:val="bottom"/>
            <w:gridSpan w:val="3"/>
          </w:tcPr>
          <w:p>
            <w:pPr>
              <w:ind w:left="100"/>
              <w:spacing w:after="0" w:line="87" w:lineRule="exact"/>
              <w:rPr>
                <w:sz w:val="20"/>
                <w:szCs w:val="20"/>
                <w:color w:val="auto"/>
              </w:rPr>
            </w:pPr>
            <w:r>
              <w:rPr>
                <w:rFonts w:ascii="Arial" w:cs="Arial" w:eastAsia="Arial" w:hAnsi="Arial"/>
                <w:sz w:val="10"/>
                <w:szCs w:val="10"/>
                <w:color w:val="auto"/>
              </w:rPr>
              <w:t>(A) satisfy the estimated tax withholding and remittance obligations related to the RSU Net Settlement as</w:t>
            </w:r>
          </w:p>
        </w:tc>
        <w:tc>
          <w:tcPr>
            <w:tcW w:w="0" w:type="dxa"/>
            <w:vAlign w:val="bottom"/>
          </w:tcPr>
          <w:p>
            <w:pPr>
              <w:spacing w:after="0"/>
              <w:rPr>
                <w:sz w:val="1"/>
                <w:szCs w:val="1"/>
                <w:color w:val="auto"/>
              </w:rPr>
            </w:pPr>
          </w:p>
        </w:tc>
      </w:tr>
      <w:tr>
        <w:trPr>
          <w:trHeight w:val="114"/>
        </w:trPr>
        <w:tc>
          <w:tcPr>
            <w:tcW w:w="120" w:type="dxa"/>
            <w:vAlign w:val="bottom"/>
          </w:tcPr>
          <w:p>
            <w:pPr>
              <w:spacing w:after="0"/>
              <w:rPr>
                <w:sz w:val="9"/>
                <w:szCs w:val="9"/>
                <w:color w:val="auto"/>
              </w:rPr>
            </w:pPr>
          </w:p>
        </w:tc>
        <w:tc>
          <w:tcPr>
            <w:tcW w:w="5600" w:type="dxa"/>
            <w:vAlign w:val="bottom"/>
            <w:gridSpan w:val="3"/>
          </w:tcPr>
          <w:p>
            <w:pPr>
              <w:ind w:left="100"/>
              <w:spacing w:after="0" w:line="114" w:lineRule="exact"/>
              <w:rPr>
                <w:sz w:val="20"/>
                <w:szCs w:val="20"/>
                <w:color w:val="auto"/>
              </w:rPr>
            </w:pPr>
            <w:r>
              <w:rPr>
                <w:rFonts w:ascii="Arial" w:cs="Arial" w:eastAsia="Arial" w:hAnsi="Arial"/>
                <w:sz w:val="11"/>
                <w:szCs w:val="11"/>
                <w:color w:val="auto"/>
              </w:rPr>
              <w:t>reflected in the pro forma adjustments described in the preceding footnote and (B) repa  $136.8 million in</w:t>
            </w:r>
          </w:p>
        </w:tc>
        <w:tc>
          <w:tcPr>
            <w:tcW w:w="0" w:type="dxa"/>
            <w:vAlign w:val="bottom"/>
          </w:tcPr>
          <w:p>
            <w:pPr>
              <w:spacing w:after="0"/>
              <w:rPr>
                <w:sz w:val="1"/>
                <w:szCs w:val="1"/>
                <w:color w:val="auto"/>
              </w:rPr>
            </w:pPr>
          </w:p>
        </w:tc>
      </w:tr>
      <w:tr>
        <w:trPr>
          <w:trHeight w:val="77"/>
        </w:trPr>
        <w:tc>
          <w:tcPr>
            <w:tcW w:w="120" w:type="dxa"/>
            <w:vAlign w:val="bottom"/>
          </w:tcPr>
          <w:p>
            <w:pPr>
              <w:spacing w:after="0"/>
              <w:rPr>
                <w:sz w:val="6"/>
                <w:szCs w:val="6"/>
                <w:color w:val="auto"/>
              </w:rPr>
            </w:pPr>
          </w:p>
        </w:tc>
        <w:tc>
          <w:tcPr>
            <w:tcW w:w="2540" w:type="dxa"/>
            <w:vAlign w:val="bottom"/>
          </w:tcPr>
          <w:p>
            <w:pPr>
              <w:ind w:left="100"/>
              <w:spacing w:after="0" w:line="77" w:lineRule="exact"/>
              <w:rPr>
                <w:sz w:val="20"/>
                <w:szCs w:val="20"/>
                <w:color w:val="auto"/>
              </w:rPr>
            </w:pPr>
            <w:r>
              <w:rPr>
                <w:rFonts w:ascii="Arial" w:cs="Arial" w:eastAsia="Arial" w:hAnsi="Arial"/>
                <w:sz w:val="8"/>
                <w:szCs w:val="8"/>
                <w:color w:val="auto"/>
              </w:rPr>
              <w:t>y</w:t>
            </w:r>
          </w:p>
        </w:tc>
        <w:tc>
          <w:tcPr>
            <w:tcW w:w="6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120" w:type="dxa"/>
            <w:vAlign w:val="bottom"/>
          </w:tcPr>
          <w:p>
            <w:pPr>
              <w:spacing w:after="0"/>
              <w:rPr>
                <w:sz w:val="4"/>
                <w:szCs w:val="4"/>
                <w:color w:val="auto"/>
              </w:rPr>
            </w:pPr>
          </w:p>
        </w:tc>
        <w:tc>
          <w:tcPr>
            <w:tcW w:w="5600" w:type="dxa"/>
            <w:vAlign w:val="bottom"/>
            <w:gridSpan w:val="3"/>
          </w:tcPr>
          <w:p>
            <w:pPr>
              <w:ind w:left="100"/>
              <w:spacing w:after="0" w:line="58" w:lineRule="exact"/>
              <w:rPr>
                <w:sz w:val="20"/>
                <w:szCs w:val="20"/>
                <w:color w:val="auto"/>
              </w:rPr>
            </w:pPr>
            <w:r>
              <w:rPr>
                <w:rFonts w:ascii="Arial" w:cs="Arial" w:eastAsia="Arial" w:hAnsi="Arial"/>
                <w:sz w:val="6"/>
                <w:szCs w:val="6"/>
                <w:color w:val="auto"/>
              </w:rPr>
              <w:t>outstanding loans, including accrued and unpaid interest and estimated lenders’ legal fees, under, an</w:t>
            </w:r>
          </w:p>
        </w:tc>
        <w:tc>
          <w:tcPr>
            <w:tcW w:w="0" w:type="dxa"/>
            <w:vAlign w:val="bottom"/>
          </w:tcPr>
          <w:p>
            <w:pPr>
              <w:spacing w:after="0"/>
              <w:rPr>
                <w:sz w:val="1"/>
                <w:szCs w:val="1"/>
                <w:color w:val="auto"/>
              </w:rPr>
            </w:pPr>
          </w:p>
        </w:tc>
      </w:tr>
      <w:tr>
        <w:trPr>
          <w:trHeight w:val="77"/>
        </w:trPr>
        <w:tc>
          <w:tcPr>
            <w:tcW w:w="120" w:type="dxa"/>
            <w:vAlign w:val="bottom"/>
          </w:tcPr>
          <w:p>
            <w:pPr>
              <w:spacing w:after="0"/>
              <w:rPr>
                <w:sz w:val="6"/>
                <w:szCs w:val="6"/>
                <w:color w:val="auto"/>
              </w:rPr>
            </w:pPr>
          </w:p>
        </w:tc>
        <w:tc>
          <w:tcPr>
            <w:tcW w:w="2540" w:type="dxa"/>
            <w:vAlign w:val="bottom"/>
          </w:tcPr>
          <w:p>
            <w:pPr>
              <w:ind w:left="100"/>
              <w:spacing w:after="0" w:line="77" w:lineRule="exact"/>
              <w:rPr>
                <w:sz w:val="20"/>
                <w:szCs w:val="20"/>
                <w:color w:val="auto"/>
              </w:rPr>
            </w:pPr>
            <w:r>
              <w:rPr>
                <w:rFonts w:ascii="Arial" w:cs="Arial" w:eastAsia="Arial" w:hAnsi="Arial"/>
                <w:sz w:val="8"/>
                <w:szCs w:val="8"/>
                <w:color w:val="auto"/>
              </w:rPr>
              <w:t>d</w:t>
            </w:r>
          </w:p>
        </w:tc>
        <w:tc>
          <w:tcPr>
            <w:tcW w:w="6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20" w:type="dxa"/>
            <w:vAlign w:val="bottom"/>
          </w:tcPr>
          <w:p>
            <w:pPr>
              <w:spacing w:after="0"/>
              <w:rPr>
                <w:sz w:val="5"/>
                <w:szCs w:val="5"/>
                <w:color w:val="auto"/>
              </w:rPr>
            </w:pPr>
          </w:p>
        </w:tc>
        <w:tc>
          <w:tcPr>
            <w:tcW w:w="5600" w:type="dxa"/>
            <w:vAlign w:val="bottom"/>
            <w:gridSpan w:val="3"/>
          </w:tcPr>
          <w:p>
            <w:pPr>
              <w:ind w:left="100"/>
              <w:spacing w:after="0" w:line="67" w:lineRule="exact"/>
              <w:rPr>
                <w:sz w:val="20"/>
                <w:szCs w:val="20"/>
                <w:color w:val="auto"/>
              </w:rPr>
            </w:pPr>
            <w:r>
              <w:rPr>
                <w:rFonts w:ascii="Arial" w:cs="Arial" w:eastAsia="Arial" w:hAnsi="Arial"/>
                <w:sz w:val="7"/>
                <w:szCs w:val="7"/>
                <w:color w:val="auto"/>
              </w:rPr>
              <w:t>terminate the Vista Facility in connection with the completion of this offering (which cash amount include</w:t>
            </w:r>
          </w:p>
        </w:tc>
        <w:tc>
          <w:tcPr>
            <w:tcW w:w="0" w:type="dxa"/>
            <w:vAlign w:val="bottom"/>
          </w:tcPr>
          <w:p>
            <w:pPr>
              <w:spacing w:after="0"/>
              <w:rPr>
                <w:sz w:val="1"/>
                <w:szCs w:val="1"/>
                <w:color w:val="auto"/>
              </w:rPr>
            </w:pPr>
          </w:p>
        </w:tc>
      </w:tr>
      <w:tr>
        <w:trPr>
          <w:trHeight w:val="77"/>
        </w:trPr>
        <w:tc>
          <w:tcPr>
            <w:tcW w:w="120" w:type="dxa"/>
            <w:vAlign w:val="bottom"/>
          </w:tcPr>
          <w:p>
            <w:pPr>
              <w:spacing w:after="0"/>
              <w:rPr>
                <w:sz w:val="6"/>
                <w:szCs w:val="6"/>
                <w:color w:val="auto"/>
              </w:rPr>
            </w:pPr>
          </w:p>
        </w:tc>
        <w:tc>
          <w:tcPr>
            <w:tcW w:w="2540" w:type="dxa"/>
            <w:vAlign w:val="bottom"/>
          </w:tcPr>
          <w:p>
            <w:pPr>
              <w:ind w:left="100"/>
              <w:spacing w:after="0" w:line="77" w:lineRule="exact"/>
              <w:rPr>
                <w:sz w:val="20"/>
                <w:szCs w:val="20"/>
                <w:color w:val="auto"/>
              </w:rPr>
            </w:pPr>
            <w:r>
              <w:rPr>
                <w:rFonts w:ascii="Arial" w:cs="Arial" w:eastAsia="Arial" w:hAnsi="Arial"/>
                <w:sz w:val="8"/>
                <w:szCs w:val="8"/>
                <w:color w:val="auto"/>
              </w:rPr>
              <w:t>s</w:t>
            </w:r>
          </w:p>
        </w:tc>
        <w:tc>
          <w:tcPr>
            <w:tcW w:w="6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120" w:type="dxa"/>
            <w:vAlign w:val="bottom"/>
          </w:tcPr>
          <w:p>
            <w:pPr>
              <w:spacing w:after="0"/>
              <w:rPr>
                <w:sz w:val="4"/>
                <w:szCs w:val="4"/>
                <w:color w:val="auto"/>
              </w:rPr>
            </w:pPr>
          </w:p>
        </w:tc>
        <w:tc>
          <w:tcPr>
            <w:tcW w:w="5600" w:type="dxa"/>
            <w:vAlign w:val="bottom"/>
            <w:gridSpan w:val="3"/>
          </w:tcPr>
          <w:p>
            <w:pPr>
              <w:ind w:left="100"/>
              <w:spacing w:after="0" w:line="58" w:lineRule="exact"/>
              <w:rPr>
                <w:sz w:val="20"/>
                <w:szCs w:val="20"/>
                <w:color w:val="auto"/>
              </w:rPr>
            </w:pPr>
            <w:r>
              <w:rPr>
                <w:rFonts w:ascii="Arial" w:cs="Arial" w:eastAsia="Arial" w:hAnsi="Arial"/>
                <w:sz w:val="6"/>
                <w:szCs w:val="6"/>
                <w:color w:val="auto"/>
              </w:rPr>
              <w:t>$3.0 million of cash interest previously paid in August 2025), resulting in (A) a decrease in notes payabl</w:t>
            </w:r>
          </w:p>
        </w:tc>
        <w:tc>
          <w:tcPr>
            <w:tcW w:w="0" w:type="dxa"/>
            <w:vAlign w:val="bottom"/>
          </w:tcPr>
          <w:p>
            <w:pPr>
              <w:spacing w:after="0"/>
              <w:rPr>
                <w:sz w:val="1"/>
                <w:szCs w:val="1"/>
                <w:color w:val="auto"/>
              </w:rPr>
            </w:pPr>
          </w:p>
        </w:tc>
      </w:tr>
      <w:tr>
        <w:trPr>
          <w:trHeight w:val="77"/>
        </w:trPr>
        <w:tc>
          <w:tcPr>
            <w:tcW w:w="120" w:type="dxa"/>
            <w:vAlign w:val="bottom"/>
          </w:tcPr>
          <w:p>
            <w:pPr>
              <w:spacing w:after="0"/>
              <w:rPr>
                <w:sz w:val="6"/>
                <w:szCs w:val="6"/>
                <w:color w:val="auto"/>
              </w:rPr>
            </w:pPr>
          </w:p>
        </w:tc>
        <w:tc>
          <w:tcPr>
            <w:tcW w:w="2540" w:type="dxa"/>
            <w:vAlign w:val="bottom"/>
          </w:tcPr>
          <w:p>
            <w:pPr>
              <w:ind w:left="320"/>
              <w:spacing w:after="0" w:line="77" w:lineRule="exact"/>
              <w:rPr>
                <w:sz w:val="20"/>
                <w:szCs w:val="20"/>
                <w:color w:val="auto"/>
              </w:rPr>
            </w:pPr>
            <w:r>
              <w:rPr>
                <w:rFonts w:ascii="Arial" w:cs="Arial" w:eastAsia="Arial" w:hAnsi="Arial"/>
                <w:sz w:val="8"/>
                <w:szCs w:val="8"/>
                <w:color w:val="auto"/>
              </w:rPr>
              <w:t>e,</w:t>
            </w:r>
          </w:p>
        </w:tc>
        <w:tc>
          <w:tcPr>
            <w:tcW w:w="6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20" w:type="dxa"/>
            <w:vAlign w:val="bottom"/>
          </w:tcPr>
          <w:p>
            <w:pPr>
              <w:spacing w:after="0"/>
              <w:rPr>
                <w:sz w:val="5"/>
                <w:szCs w:val="5"/>
                <w:color w:val="auto"/>
              </w:rPr>
            </w:pPr>
          </w:p>
        </w:tc>
        <w:tc>
          <w:tcPr>
            <w:tcW w:w="5600" w:type="dxa"/>
            <w:vAlign w:val="bottom"/>
            <w:gridSpan w:val="3"/>
          </w:tcPr>
          <w:p>
            <w:pPr>
              <w:ind w:left="100"/>
              <w:spacing w:after="0" w:line="67" w:lineRule="exact"/>
              <w:rPr>
                <w:sz w:val="20"/>
                <w:szCs w:val="20"/>
                <w:color w:val="auto"/>
              </w:rPr>
            </w:pPr>
            <w:r>
              <w:rPr>
                <w:rFonts w:ascii="Arial" w:cs="Arial" w:eastAsia="Arial" w:hAnsi="Arial"/>
                <w:sz w:val="7"/>
                <w:szCs w:val="7"/>
                <w:color w:val="auto"/>
              </w:rPr>
              <w:t>non-current of $117.1 million (and a corresponding decrease in long-term debt in the table above), (B) th</w:t>
            </w:r>
          </w:p>
        </w:tc>
        <w:tc>
          <w:tcPr>
            <w:tcW w:w="0" w:type="dxa"/>
            <w:vAlign w:val="bottom"/>
          </w:tcPr>
          <w:p>
            <w:pPr>
              <w:spacing w:after="0"/>
              <w:rPr>
                <w:sz w:val="1"/>
                <w:szCs w:val="1"/>
                <w:color w:val="auto"/>
              </w:rPr>
            </w:pPr>
          </w:p>
        </w:tc>
      </w:tr>
      <w:tr>
        <w:trPr>
          <w:trHeight w:val="77"/>
        </w:trPr>
        <w:tc>
          <w:tcPr>
            <w:tcW w:w="120" w:type="dxa"/>
            <w:vAlign w:val="bottom"/>
          </w:tcPr>
          <w:p>
            <w:pPr>
              <w:spacing w:after="0"/>
              <w:rPr>
                <w:sz w:val="6"/>
                <w:szCs w:val="6"/>
                <w:color w:val="auto"/>
              </w:rPr>
            </w:pPr>
          </w:p>
        </w:tc>
        <w:tc>
          <w:tcPr>
            <w:tcW w:w="2540" w:type="dxa"/>
            <w:vAlign w:val="bottom"/>
          </w:tcPr>
          <w:p>
            <w:pPr>
              <w:ind w:left="1200"/>
              <w:spacing w:after="0" w:line="77" w:lineRule="exact"/>
              <w:rPr>
                <w:sz w:val="20"/>
                <w:szCs w:val="20"/>
                <w:color w:val="auto"/>
              </w:rPr>
            </w:pPr>
            <w:r>
              <w:rPr>
                <w:rFonts w:ascii="Arial" w:cs="Arial" w:eastAsia="Arial" w:hAnsi="Arial"/>
                <w:sz w:val="8"/>
                <w:szCs w:val="8"/>
                <w:color w:val="auto"/>
              </w:rPr>
              <w:t>e</w:t>
            </w:r>
          </w:p>
        </w:tc>
        <w:tc>
          <w:tcPr>
            <w:tcW w:w="6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20" w:type="dxa"/>
            <w:vAlign w:val="bottom"/>
          </w:tcPr>
          <w:p>
            <w:pPr>
              <w:spacing w:after="0"/>
              <w:rPr>
                <w:sz w:val="6"/>
                <w:szCs w:val="6"/>
                <w:color w:val="auto"/>
              </w:rPr>
            </w:pPr>
          </w:p>
        </w:tc>
        <w:tc>
          <w:tcPr>
            <w:tcW w:w="5600" w:type="dxa"/>
            <w:vAlign w:val="bottom"/>
            <w:gridSpan w:val="3"/>
          </w:tcPr>
          <w:p>
            <w:pPr>
              <w:ind w:left="100"/>
              <w:spacing w:after="0" w:line="78" w:lineRule="exact"/>
              <w:rPr>
                <w:sz w:val="20"/>
                <w:szCs w:val="20"/>
                <w:color w:val="auto"/>
              </w:rPr>
            </w:pPr>
            <w:r>
              <w:rPr>
                <w:rFonts w:ascii="Arial" w:cs="Arial" w:eastAsia="Arial" w:hAnsi="Arial"/>
                <w:sz w:val="8"/>
                <w:szCs w:val="8"/>
                <w:color w:val="auto"/>
              </w:rPr>
              <w:t>recognition of $4.3 million of incremental interest expense accrued under the Vista Facility and incremental</w:t>
            </w:r>
          </w:p>
        </w:tc>
        <w:tc>
          <w:tcPr>
            <w:tcW w:w="0" w:type="dxa"/>
            <w:vAlign w:val="bottom"/>
          </w:tcPr>
          <w:p>
            <w:pPr>
              <w:spacing w:after="0"/>
              <w:rPr>
                <w:sz w:val="1"/>
                <w:szCs w:val="1"/>
                <w:color w:val="auto"/>
              </w:rPr>
            </w:pPr>
          </w:p>
        </w:tc>
      </w:tr>
      <w:tr>
        <w:trPr>
          <w:trHeight w:val="114"/>
        </w:trPr>
        <w:tc>
          <w:tcPr>
            <w:tcW w:w="120" w:type="dxa"/>
            <w:vAlign w:val="bottom"/>
          </w:tcPr>
          <w:p>
            <w:pPr>
              <w:spacing w:after="0"/>
              <w:rPr>
                <w:sz w:val="9"/>
                <w:szCs w:val="9"/>
                <w:color w:val="auto"/>
              </w:rPr>
            </w:pPr>
          </w:p>
        </w:tc>
        <w:tc>
          <w:tcPr>
            <w:tcW w:w="5600" w:type="dxa"/>
            <w:vAlign w:val="bottom"/>
            <w:gridSpan w:val="3"/>
          </w:tcPr>
          <w:p>
            <w:pPr>
              <w:ind w:left="100"/>
              <w:spacing w:after="0" w:line="114" w:lineRule="exact"/>
              <w:rPr>
                <w:sz w:val="20"/>
                <w:szCs w:val="20"/>
                <w:color w:val="auto"/>
              </w:rPr>
            </w:pPr>
            <w:r>
              <w:rPr>
                <w:rFonts w:ascii="Arial" w:cs="Arial" w:eastAsia="Arial" w:hAnsi="Arial"/>
                <w:sz w:val="11"/>
                <w:szCs w:val="11"/>
                <w:color w:val="auto"/>
              </w:rPr>
              <w:t>amortization of debt discount and issuance costs following July 31, 2025 through the closing date of thi</w:t>
            </w:r>
          </w:p>
        </w:tc>
        <w:tc>
          <w:tcPr>
            <w:tcW w:w="0" w:type="dxa"/>
            <w:vAlign w:val="bottom"/>
          </w:tcPr>
          <w:p>
            <w:pPr>
              <w:spacing w:after="0"/>
              <w:rPr>
                <w:sz w:val="1"/>
                <w:szCs w:val="1"/>
                <w:color w:val="auto"/>
              </w:rPr>
            </w:pPr>
          </w:p>
        </w:tc>
      </w:tr>
      <w:tr>
        <w:trPr>
          <w:trHeight w:val="77"/>
        </w:trPr>
        <w:tc>
          <w:tcPr>
            <w:tcW w:w="120" w:type="dxa"/>
            <w:vAlign w:val="bottom"/>
          </w:tcPr>
          <w:p>
            <w:pPr>
              <w:spacing w:after="0"/>
              <w:rPr>
                <w:sz w:val="6"/>
                <w:szCs w:val="6"/>
                <w:color w:val="auto"/>
              </w:rPr>
            </w:pPr>
          </w:p>
        </w:tc>
        <w:tc>
          <w:tcPr>
            <w:tcW w:w="2540" w:type="dxa"/>
            <w:vAlign w:val="bottom"/>
          </w:tcPr>
          <w:p>
            <w:pPr>
              <w:ind w:left="100"/>
              <w:spacing w:after="0" w:line="77" w:lineRule="exact"/>
              <w:rPr>
                <w:sz w:val="20"/>
                <w:szCs w:val="20"/>
                <w:color w:val="auto"/>
              </w:rPr>
            </w:pPr>
            <w:r>
              <w:rPr>
                <w:rFonts w:ascii="Arial" w:cs="Arial" w:eastAsia="Arial" w:hAnsi="Arial"/>
                <w:sz w:val="8"/>
                <w:szCs w:val="8"/>
                <w:color w:val="auto"/>
              </w:rPr>
              <w:t>s</w:t>
            </w:r>
          </w:p>
        </w:tc>
        <w:tc>
          <w:tcPr>
            <w:tcW w:w="680" w:type="dxa"/>
            <w:vAlign w:val="bottom"/>
          </w:tcPr>
          <w:p>
            <w:pPr>
              <w:spacing w:after="0"/>
              <w:rPr>
                <w:sz w:val="6"/>
                <w:szCs w:val="6"/>
                <w:color w:val="auto"/>
              </w:rPr>
            </w:pPr>
          </w:p>
        </w:tc>
        <w:tc>
          <w:tcPr>
            <w:tcW w:w="2380" w:type="dxa"/>
            <w:vAlign w:val="bottom"/>
            <w:vMerge w:val="restart"/>
          </w:tcPr>
          <w:p>
            <w:pPr>
              <w:ind w:left="20"/>
              <w:spacing w:after="0"/>
              <w:rPr>
                <w:sz w:val="20"/>
                <w:szCs w:val="20"/>
                <w:color w:val="auto"/>
              </w:rPr>
            </w:pPr>
            <w:r>
              <w:rPr>
                <w:rFonts w:ascii="Arial" w:cs="Arial" w:eastAsia="Arial" w:hAnsi="Arial"/>
                <w:sz w:val="11"/>
                <w:szCs w:val="11"/>
                <w:color w:val="auto"/>
              </w:rPr>
              <w:t>net increase in accrued cash interest of $0.1</w:t>
            </w:r>
          </w:p>
        </w:tc>
        <w:tc>
          <w:tcPr>
            <w:tcW w:w="0" w:type="dxa"/>
            <w:vAlign w:val="bottom"/>
          </w:tcPr>
          <w:p>
            <w:pPr>
              <w:spacing w:after="0"/>
              <w:rPr>
                <w:sz w:val="1"/>
                <w:szCs w:val="1"/>
                <w:color w:val="auto"/>
              </w:rPr>
            </w:pPr>
          </w:p>
        </w:tc>
      </w:tr>
      <w:tr>
        <w:trPr>
          <w:trHeight w:val="67"/>
        </w:trPr>
        <w:tc>
          <w:tcPr>
            <w:tcW w:w="120" w:type="dxa"/>
            <w:vAlign w:val="bottom"/>
          </w:tcPr>
          <w:p>
            <w:pPr>
              <w:spacing w:after="0"/>
              <w:rPr>
                <w:sz w:val="5"/>
                <w:szCs w:val="5"/>
                <w:color w:val="auto"/>
              </w:rPr>
            </w:pPr>
          </w:p>
        </w:tc>
        <w:tc>
          <w:tcPr>
            <w:tcW w:w="3220" w:type="dxa"/>
            <w:vAlign w:val="bottom"/>
            <w:gridSpan w:val="2"/>
          </w:tcPr>
          <w:p>
            <w:pPr>
              <w:ind w:left="100"/>
              <w:spacing w:after="0" w:line="67" w:lineRule="exact"/>
              <w:rPr>
                <w:sz w:val="20"/>
                <w:szCs w:val="20"/>
                <w:color w:val="auto"/>
              </w:rPr>
            </w:pPr>
            <w:r>
              <w:rPr>
                <w:rFonts w:ascii="Arial" w:cs="Arial" w:eastAsia="Arial" w:hAnsi="Arial"/>
                <w:sz w:val="7"/>
                <w:szCs w:val="7"/>
                <w:color w:val="auto"/>
              </w:rPr>
              <w:t>offering, reflected as an increase in accumulated deficit, (C)</w:t>
            </w: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20" w:type="dxa"/>
            <w:vAlign w:val="bottom"/>
          </w:tcPr>
          <w:p>
            <w:pPr>
              <w:spacing w:after="0"/>
              <w:rPr>
                <w:sz w:val="6"/>
                <w:szCs w:val="6"/>
                <w:color w:val="auto"/>
              </w:rPr>
            </w:pPr>
          </w:p>
        </w:tc>
        <w:tc>
          <w:tcPr>
            <w:tcW w:w="2540" w:type="dxa"/>
            <w:vAlign w:val="bottom"/>
          </w:tcPr>
          <w:p>
            <w:pPr>
              <w:ind w:left="100"/>
              <w:spacing w:after="0" w:line="77" w:lineRule="exact"/>
              <w:rPr>
                <w:sz w:val="20"/>
                <w:szCs w:val="20"/>
                <w:color w:val="auto"/>
              </w:rPr>
            </w:pPr>
            <w:r>
              <w:rPr>
                <w:rFonts w:ascii="Arial" w:cs="Arial" w:eastAsia="Arial" w:hAnsi="Arial"/>
                <w:sz w:val="8"/>
                <w:szCs w:val="8"/>
                <w:color w:val="auto"/>
              </w:rPr>
              <w:t>a</w:t>
            </w:r>
          </w:p>
        </w:tc>
        <w:tc>
          <w:tcPr>
            <w:tcW w:w="6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120" w:type="dxa"/>
            <w:vAlign w:val="bottom"/>
          </w:tcPr>
          <w:p>
            <w:pPr>
              <w:spacing w:after="0"/>
              <w:rPr>
                <w:sz w:val="2"/>
                <w:szCs w:val="2"/>
                <w:color w:val="auto"/>
              </w:rPr>
            </w:pPr>
          </w:p>
        </w:tc>
        <w:tc>
          <w:tcPr>
            <w:tcW w:w="5600" w:type="dxa"/>
            <w:vAlign w:val="bottom"/>
            <w:gridSpan w:val="3"/>
          </w:tcPr>
          <w:p>
            <w:pPr>
              <w:ind w:left="100"/>
              <w:spacing w:after="0" w:line="31" w:lineRule="exact"/>
              <w:rPr>
                <w:sz w:val="20"/>
                <w:szCs w:val="20"/>
                <w:color w:val="auto"/>
              </w:rPr>
            </w:pPr>
            <w:r>
              <w:rPr>
                <w:rFonts w:ascii="Arial" w:cs="Arial" w:eastAsia="Arial" w:hAnsi="Arial"/>
                <w:sz w:val="3"/>
                <w:szCs w:val="3"/>
                <w:color w:val="auto"/>
              </w:rPr>
              <w:t>million, reflected as an increase in current liabilitie , and (D) the recognition of a $15.5 million loss on</w:t>
            </w:r>
          </w:p>
        </w:tc>
        <w:tc>
          <w:tcPr>
            <w:tcW w:w="0" w:type="dxa"/>
            <w:vAlign w:val="bottom"/>
          </w:tcPr>
          <w:p>
            <w:pPr>
              <w:spacing w:after="0" w:line="20" w:lineRule="exact"/>
              <w:rPr>
                <w:sz w:val="1"/>
                <w:szCs w:val="1"/>
                <w:color w:val="auto"/>
              </w:rPr>
            </w:pPr>
          </w:p>
        </w:tc>
      </w:tr>
    </w:tbl>
    <w:p>
      <w:pPr>
        <w:ind w:left="1980"/>
        <w:spacing w:after="0" w:line="199" w:lineRule="auto"/>
        <w:rPr>
          <w:sz w:val="20"/>
          <w:szCs w:val="20"/>
          <w:color w:val="auto"/>
        </w:rPr>
      </w:pPr>
      <w:r>
        <w:rPr>
          <w:rFonts w:ascii="Arial" w:cs="Arial" w:eastAsia="Arial" w:hAnsi="Arial"/>
          <w:sz w:val="7"/>
          <w:szCs w:val="7"/>
          <w:color w:val="auto"/>
        </w:rPr>
        <w:t>s</w:t>
      </w:r>
    </w:p>
    <w:p>
      <w:pPr>
        <w:ind w:left="1980" w:right="1560"/>
        <w:spacing w:after="0" w:line="257" w:lineRule="auto"/>
        <w:rPr>
          <w:sz w:val="20"/>
          <w:szCs w:val="20"/>
          <w:color w:val="auto"/>
        </w:rPr>
      </w:pPr>
      <w:r>
        <w:rPr>
          <w:rFonts w:ascii="Arial" w:cs="Arial" w:eastAsia="Arial" w:hAnsi="Arial"/>
          <w:sz w:val="11"/>
          <w:szCs w:val="11"/>
          <w:color w:val="auto"/>
        </w:rPr>
        <w:t>extinguishment of the Vista Facility, reflected as a further increase in accumulated deficit equal to $15.5 million, which represents the repayment amount inclusive of estimated legal fees of $0.2 million, less $118.2 million, the adjusted carrying amount of the Vista Facility, consisting of the carrying amount of $117.1 million</w:t>
      </w:r>
    </w:p>
    <w:p>
      <w:pPr>
        <w:spacing w:after="0" w:line="2" w:lineRule="exact"/>
        <w:rPr>
          <w:sz w:val="20"/>
          <w:szCs w:val="20"/>
          <w:color w:val="auto"/>
        </w:rPr>
      </w:pPr>
    </w:p>
    <w:p>
      <w:pPr>
        <w:ind w:left="1980" w:right="1680"/>
        <w:spacing w:after="0" w:line="286" w:lineRule="auto"/>
        <w:rPr>
          <w:sz w:val="20"/>
          <w:szCs w:val="20"/>
          <w:color w:val="auto"/>
        </w:rPr>
      </w:pPr>
      <w:r>
        <w:rPr>
          <w:rFonts w:ascii="Arial" w:cs="Arial" w:eastAsia="Arial" w:hAnsi="Arial"/>
          <w:sz w:val="11"/>
          <w:szCs w:val="11"/>
          <w:color w:val="auto"/>
        </w:rPr>
        <w:t>as of July 31, 2025, as adjusted for $0.5 million of accrued interest and $0.6 million in amortization of debt discount and issuance costs following July 31, 2025 through the closing date of this offering.</w:t>
      </w:r>
    </w:p>
    <w:p>
      <w:pPr>
        <w:spacing w:after="0" w:line="8" w:lineRule="exact"/>
        <w:rPr>
          <w:sz w:val="20"/>
          <w:szCs w:val="20"/>
          <w:color w:val="auto"/>
        </w:rPr>
      </w:pPr>
    </w:p>
    <w:p>
      <w:pPr>
        <w:ind w:left="1760" w:right="1840" w:hanging="239"/>
        <w:spacing w:after="0"/>
        <w:tabs>
          <w:tab w:leader="none" w:pos="1740" w:val="left"/>
        </w:tabs>
        <w:rPr>
          <w:sz w:val="20"/>
          <w:szCs w:val="20"/>
          <w:color w:val="auto"/>
        </w:rPr>
      </w:pPr>
      <w:r>
        <w:rPr>
          <w:rFonts w:ascii="Arial" w:cs="Arial" w:eastAsia="Arial" w:hAnsi="Arial"/>
          <w:sz w:val="11"/>
          <w:szCs w:val="11"/>
          <w:color w:val="auto"/>
        </w:rPr>
        <w:t>(3)</w:t>
        <w:tab/>
        <w:t>Each $1.00 increase (decrease) in the assumed initial public offering price o $25.00 per share, which is the f</w:t>
      </w:r>
    </w:p>
    <w:p>
      <w:pPr>
        <w:spacing w:after="0" w:line="17" w:lineRule="exact"/>
        <w:rPr>
          <w:sz w:val="20"/>
          <w:szCs w:val="20"/>
          <w:color w:val="auto"/>
        </w:rPr>
      </w:pPr>
    </w:p>
    <w:p>
      <w:pPr>
        <w:ind w:left="1760" w:right="1640"/>
        <w:spacing w:after="0"/>
        <w:rPr>
          <w:sz w:val="20"/>
          <w:szCs w:val="20"/>
          <w:color w:val="auto"/>
        </w:rPr>
      </w:pPr>
      <w:r>
        <w:rPr>
          <w:rFonts w:ascii="Arial" w:cs="Arial" w:eastAsia="Arial" w:hAnsi="Arial"/>
          <w:sz w:val="11"/>
          <w:szCs w:val="11"/>
          <w:color w:val="auto"/>
        </w:rPr>
        <w:t>midpoint of the offering price range set forth on the cover page of this prospectus, would increase (decrease) th e</w:t>
      </w:r>
    </w:p>
    <w:p>
      <w:pPr>
        <w:ind w:left="1760"/>
        <w:spacing w:after="0" w:line="211" w:lineRule="auto"/>
        <w:rPr>
          <w:sz w:val="20"/>
          <w:szCs w:val="20"/>
          <w:color w:val="auto"/>
        </w:rPr>
      </w:pPr>
      <w:r>
        <w:rPr>
          <w:rFonts w:ascii="Arial" w:cs="Arial" w:eastAsia="Arial" w:hAnsi="Arial"/>
          <w:sz w:val="11"/>
          <w:szCs w:val="11"/>
          <w:color w:val="auto"/>
        </w:rPr>
        <w:t>amount of our pro forma as adjusted cash and cash equivalents, working capital, total assets, and tota</w:t>
      </w:r>
    </w:p>
    <w:p>
      <w:pPr>
        <w:ind w:left="1760"/>
        <w:spacing w:after="0" w:line="181" w:lineRule="auto"/>
        <w:rPr>
          <w:sz w:val="20"/>
          <w:szCs w:val="20"/>
          <w:color w:val="auto"/>
        </w:rPr>
      </w:pPr>
      <w:r>
        <w:rPr>
          <w:rFonts w:ascii="Arial" w:cs="Arial" w:eastAsia="Arial" w:hAnsi="Arial"/>
          <w:sz w:val="20"/>
          <w:szCs w:val="20"/>
          <w:color w:val="auto"/>
          <w:vertAlign w:val="superscript"/>
        </w:rPr>
        <w:t>l</w:t>
      </w:r>
      <w:r>
        <w:rPr>
          <w:rFonts w:ascii="Arial" w:cs="Arial" w:eastAsia="Arial" w:hAnsi="Arial"/>
          <w:sz w:val="11"/>
          <w:szCs w:val="11"/>
          <w:color w:val="auto"/>
        </w:rPr>
        <w:t>stockholders’ (deficit) equity by $28.3</w:t>
      </w:r>
      <w:r>
        <w:rPr>
          <w:rFonts w:ascii="Arial" w:cs="Arial" w:eastAsia="Arial" w:hAnsi="Arial"/>
          <w:sz w:val="20"/>
          <w:szCs w:val="20"/>
          <w:color w:val="auto"/>
          <w:vertAlign w:val="subscript"/>
        </w:rPr>
        <w:t>k</w:t>
      </w:r>
      <w:r>
        <w:rPr>
          <w:rFonts w:ascii="Arial" w:cs="Arial" w:eastAsia="Arial" w:hAnsi="Arial"/>
          <w:sz w:val="11"/>
          <w:szCs w:val="11"/>
          <w:color w:val="auto"/>
        </w:rPr>
        <w:t>million, assuming that the number of shares of our Class A common stoc</w:t>
      </w:r>
    </w:p>
    <w:p>
      <w:pPr>
        <w:ind w:left="1760" w:right="1700"/>
        <w:spacing w:after="0"/>
        <w:rPr>
          <w:sz w:val="20"/>
          <w:szCs w:val="20"/>
          <w:color w:val="auto"/>
        </w:rPr>
      </w:pPr>
      <w:r>
        <w:rPr>
          <w:rFonts w:ascii="Arial" w:cs="Arial" w:eastAsia="Arial" w:hAnsi="Arial"/>
          <w:sz w:val="11"/>
          <w:szCs w:val="11"/>
          <w:color w:val="auto"/>
        </w:rPr>
        <w:t>offered by us, as set forth on the cover page of this prospectus, remains the same, after deducting underwritin g</w:t>
      </w:r>
    </w:p>
    <w:p>
      <w:pPr>
        <w:spacing w:after="0" w:line="17" w:lineRule="exact"/>
        <w:rPr>
          <w:sz w:val="20"/>
          <w:szCs w:val="20"/>
          <w:color w:val="auto"/>
        </w:rPr>
      </w:pPr>
    </w:p>
    <w:p>
      <w:pPr>
        <w:ind w:left="1760" w:right="1720"/>
        <w:spacing w:after="0"/>
        <w:rPr>
          <w:sz w:val="20"/>
          <w:szCs w:val="20"/>
          <w:color w:val="auto"/>
        </w:rPr>
      </w:pPr>
      <w:r>
        <w:rPr>
          <w:rFonts w:ascii="Arial" w:cs="Arial" w:eastAsia="Arial" w:hAnsi="Arial"/>
          <w:sz w:val="11"/>
          <w:szCs w:val="11"/>
          <w:color w:val="auto"/>
        </w:rPr>
        <w:t>discounts and commissions, and without giving effect to corresponding increases or decreases in accumulate d</w:t>
      </w:r>
    </w:p>
    <w:p>
      <w:pPr>
        <w:spacing w:after="0" w:line="7" w:lineRule="exact"/>
        <w:rPr>
          <w:sz w:val="20"/>
          <w:szCs w:val="20"/>
          <w:color w:val="auto"/>
        </w:rPr>
      </w:pPr>
    </w:p>
    <w:p>
      <w:pPr>
        <w:ind w:left="1760" w:right="2100"/>
        <w:spacing w:after="0"/>
        <w:rPr>
          <w:sz w:val="20"/>
          <w:szCs w:val="20"/>
          <w:color w:val="auto"/>
        </w:rPr>
      </w:pPr>
      <w:r>
        <w:rPr>
          <w:rFonts w:ascii="Arial" w:cs="Arial" w:eastAsia="Arial" w:hAnsi="Arial"/>
          <w:sz w:val="11"/>
          <w:szCs w:val="11"/>
          <w:color w:val="auto"/>
        </w:rPr>
        <w:t>deficit from changes in the fair value of the Note Conversion Shares, the SAFE Conversion Shares, th e</w:t>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redeemable convertible preferred warrants, and the SAFE Warrants as well as corresponding increases or</w:t>
      </w:r>
    </w:p>
    <w:p>
      <w:pPr>
        <w:spacing w:after="0" w:line="13" w:lineRule="exact"/>
        <w:rPr>
          <w:sz w:val="20"/>
          <w:szCs w:val="20"/>
          <w:color w:val="auto"/>
        </w:rPr>
      </w:pPr>
    </w:p>
    <w:p>
      <w:pPr>
        <w:ind w:left="1760" w:right="1800"/>
        <w:spacing w:after="0"/>
        <w:rPr>
          <w:sz w:val="20"/>
          <w:szCs w:val="20"/>
          <w:color w:val="auto"/>
        </w:rPr>
      </w:pPr>
      <w:r>
        <w:rPr>
          <w:rFonts w:ascii="Arial" w:cs="Arial" w:eastAsia="Arial" w:hAnsi="Arial"/>
          <w:sz w:val="11"/>
          <w:szCs w:val="11"/>
          <w:color w:val="auto"/>
        </w:rPr>
        <w:t>decreases in total stockholders’ (deficit) equity from changes to Class A common stock and additional paid-i n</w:t>
      </w:r>
    </w:p>
    <w:p>
      <w:pPr>
        <w:spacing w:after="0" w:line="11" w:lineRule="exact"/>
        <w:rPr>
          <w:sz w:val="20"/>
          <w:szCs w:val="20"/>
          <w:color w:val="auto"/>
        </w:rPr>
      </w:pPr>
    </w:p>
    <w:p>
      <w:pPr>
        <w:ind w:left="1760" w:right="1660"/>
        <w:spacing w:after="0"/>
        <w:rPr>
          <w:sz w:val="20"/>
          <w:szCs w:val="20"/>
          <w:color w:val="auto"/>
        </w:rPr>
      </w:pPr>
      <w:r>
        <w:rPr>
          <w:rFonts w:ascii="Arial" w:cs="Arial" w:eastAsia="Arial" w:hAnsi="Arial"/>
          <w:sz w:val="11"/>
          <w:szCs w:val="11"/>
          <w:color w:val="auto"/>
        </w:rPr>
        <w:t>capital from the Warrant Exercises. An increase (decrease) of 1.0 million shares in the number of shares offere d</w:t>
      </w:r>
    </w:p>
    <w:p>
      <w:pPr>
        <w:spacing w:after="0" w:line="17" w:lineRule="exact"/>
        <w:rPr>
          <w:sz w:val="20"/>
          <w:szCs w:val="20"/>
          <w:color w:val="auto"/>
        </w:rPr>
      </w:pPr>
    </w:p>
    <w:p>
      <w:pPr>
        <w:ind w:left="1760" w:right="2080"/>
        <w:spacing w:after="0"/>
        <w:rPr>
          <w:sz w:val="20"/>
          <w:szCs w:val="20"/>
          <w:color w:val="auto"/>
        </w:rPr>
      </w:pPr>
      <w:r>
        <w:rPr>
          <w:rFonts w:ascii="Arial" w:cs="Arial" w:eastAsia="Arial" w:hAnsi="Arial"/>
          <w:sz w:val="11"/>
          <w:szCs w:val="11"/>
          <w:color w:val="auto"/>
        </w:rPr>
        <w:t>by us would increase (decrease), as applicable, the amount of our pro forma as adjusted cash and cas h</w:t>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equivalents, working capital, total assets, and total stockholders’ (deficit) equity by $23.6 million, assuming the</w:t>
      </w:r>
    </w:p>
    <w:p>
      <w:pPr>
        <w:spacing w:after="0" w:line="7" w:lineRule="exact"/>
        <w:rPr>
          <w:sz w:val="20"/>
          <w:szCs w:val="20"/>
          <w:color w:val="auto"/>
        </w:rPr>
      </w:pPr>
    </w:p>
    <w:p>
      <w:pPr>
        <w:ind w:left="1760" w:right="2160"/>
        <w:spacing w:after="0"/>
        <w:rPr>
          <w:sz w:val="20"/>
          <w:szCs w:val="20"/>
          <w:color w:val="auto"/>
        </w:rPr>
      </w:pPr>
      <w:r>
        <w:rPr>
          <w:rFonts w:ascii="Arial" w:cs="Arial" w:eastAsia="Arial" w:hAnsi="Arial"/>
          <w:sz w:val="11"/>
          <w:szCs w:val="11"/>
          <w:color w:val="auto"/>
        </w:rPr>
        <w:t>assumed initial public offering price remains the same, and after deducting underwriting discounts an d</w:t>
      </w:r>
    </w:p>
    <w:p>
      <w:pPr>
        <w:spacing w:after="0" w:line="17" w:lineRule="exact"/>
        <w:rPr>
          <w:sz w:val="20"/>
          <w:szCs w:val="20"/>
          <w:color w:val="auto"/>
        </w:rPr>
      </w:pPr>
    </w:p>
    <w:p>
      <w:pPr>
        <w:ind w:left="1760" w:right="1800"/>
        <w:spacing w:after="0" w:line="183" w:lineRule="auto"/>
        <w:rPr>
          <w:sz w:val="20"/>
          <w:szCs w:val="20"/>
          <w:color w:val="auto"/>
        </w:rPr>
      </w:pPr>
      <w:r>
        <w:rPr>
          <w:rFonts w:ascii="Arial" w:cs="Arial" w:eastAsia="Arial" w:hAnsi="Arial"/>
          <w:sz w:val="10"/>
          <w:szCs w:val="10"/>
          <w:color w:val="auto"/>
        </w:rPr>
        <w:t>commissions.</w:t>
      </w:r>
      <w:r>
        <w:rPr>
          <w:rFonts w:ascii="Arial" w:cs="Arial" w:eastAsia="Arial" w:hAnsi="Arial"/>
          <w:sz w:val="17"/>
          <w:szCs w:val="17"/>
          <w:color w:val="auto"/>
          <w:vertAlign w:val="subscript"/>
        </w:rPr>
        <w:t>t</w:t>
      </w:r>
      <w:r>
        <w:rPr>
          <w:rFonts w:ascii="Arial" w:cs="Arial" w:eastAsia="Arial" w:hAnsi="Arial"/>
          <w:sz w:val="10"/>
          <w:szCs w:val="10"/>
          <w:color w:val="auto"/>
        </w:rPr>
        <w:t>Pro forma adjustments in the footnotes above and the related information in the balance shee data are illustrative only and may differ from actual amounts based on, among other things, the actual initia</w:t>
      </w:r>
    </w:p>
    <w:p>
      <w:pPr>
        <w:spacing w:after="0" w:line="1" w:lineRule="exact"/>
        <w:rPr>
          <w:sz w:val="20"/>
          <w:szCs w:val="20"/>
          <w:color w:val="auto"/>
        </w:rPr>
      </w:pPr>
    </w:p>
    <w:p>
      <w:pPr>
        <w:ind w:left="1760" w:right="1780"/>
        <w:spacing w:after="0" w:line="181" w:lineRule="auto"/>
        <w:rPr>
          <w:sz w:val="20"/>
          <w:szCs w:val="20"/>
          <w:color w:val="auto"/>
        </w:rPr>
      </w:pPr>
      <w:r>
        <w:rPr>
          <w:rFonts w:ascii="Arial" w:cs="Arial" w:eastAsia="Arial" w:hAnsi="Arial"/>
          <w:sz w:val="20"/>
          <w:szCs w:val="20"/>
          <w:color w:val="auto"/>
          <w:vertAlign w:val="superscript"/>
        </w:rPr>
        <w:t>l</w:t>
      </w:r>
      <w:r>
        <w:rPr>
          <w:rFonts w:ascii="Arial" w:cs="Arial" w:eastAsia="Arial" w:hAnsi="Arial"/>
          <w:sz w:val="11"/>
          <w:szCs w:val="11"/>
          <w:color w:val="auto"/>
        </w:rPr>
        <w:t>public offering price and other terms of this offering determined at pricing, the actual tax withholding rates, th e</w:t>
      </w:r>
    </w:p>
    <w:p>
      <w:pPr>
        <w:ind w:left="1760" w:right="2000"/>
        <w:spacing w:after="0"/>
        <w:rPr>
          <w:sz w:val="20"/>
          <w:szCs w:val="20"/>
          <w:color w:val="auto"/>
        </w:rPr>
      </w:pPr>
      <w:r>
        <w:rPr>
          <w:rFonts w:ascii="Arial" w:cs="Arial" w:eastAsia="Arial" w:hAnsi="Arial"/>
          <w:sz w:val="11"/>
          <w:szCs w:val="11"/>
          <w:color w:val="auto"/>
        </w:rPr>
        <w:t>actual amount of RSUs settled in connection with this offering, and the actual number of shares of Class A</w:t>
      </w:r>
    </w:p>
    <w:p>
      <w:pPr>
        <w:spacing w:after="0" w:line="7" w:lineRule="exact"/>
        <w:rPr>
          <w:sz w:val="20"/>
          <w:szCs w:val="20"/>
          <w:color w:val="auto"/>
        </w:rPr>
      </w:pPr>
    </w:p>
    <w:p>
      <w:pPr>
        <w:ind w:left="1760" w:right="2380"/>
        <w:spacing w:after="0"/>
        <w:rPr>
          <w:sz w:val="20"/>
          <w:szCs w:val="20"/>
          <w:color w:val="auto"/>
        </w:rPr>
      </w:pPr>
      <w:r>
        <w:rPr>
          <w:rFonts w:ascii="Arial" w:cs="Arial" w:eastAsia="Arial" w:hAnsi="Arial"/>
          <w:sz w:val="11"/>
          <w:szCs w:val="11"/>
          <w:color w:val="auto"/>
        </w:rPr>
        <w:t>common stock issued in the Note Conversion, the SAFEs Conversion, and the Warrant Exercise s.</w:t>
      </w:r>
    </w:p>
    <w:p>
      <w:pPr>
        <w:spacing w:after="0" w:line="5"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(4)  Working capital is defined as current assets less current liabilities</w:t>
      </w:r>
    </w:p>
    <w:p>
      <w:pPr>
        <w:ind w:left="1760"/>
        <w:spacing w:after="0" w:line="181" w:lineRule="auto"/>
        <w:rPr>
          <w:sz w:val="20"/>
          <w:szCs w:val="20"/>
          <w:color w:val="auto"/>
        </w:rPr>
      </w:pPr>
      <w:r>
        <w:rPr>
          <w:rFonts w:ascii="Arial" w:cs="Arial" w:eastAsia="Arial" w:hAnsi="Arial"/>
          <w:sz w:val="11"/>
          <w:szCs w:val="11"/>
          <w:color w:val="auto"/>
        </w:rPr>
        <w:t>.</w:t>
      </w:r>
    </w:p>
    <w:p>
      <w:pPr>
        <w:ind w:left="1520"/>
        <w:spacing w:after="0" w:line="200" w:lineRule="auto"/>
        <w:rPr>
          <w:sz w:val="20"/>
          <w:szCs w:val="20"/>
          <w:color w:val="auto"/>
        </w:rPr>
      </w:pPr>
      <w:r>
        <w:rPr>
          <w:rFonts w:ascii="Arial" w:cs="Arial" w:eastAsia="Arial" w:hAnsi="Arial"/>
          <w:sz w:val="8"/>
          <w:szCs w:val="8"/>
          <w:color w:val="auto"/>
        </w:rPr>
        <w:t>(5)  Long-term debt is comprised of (A) Convertible Notes, net of $195.2 million, (B) SAFEs of $163.0 million, (C</w:t>
      </w:r>
    </w:p>
    <w:p>
      <w:pPr>
        <w:ind w:left="2040"/>
        <w:spacing w:after="0" w:line="200" w:lineRule="auto"/>
        <w:rPr>
          <w:sz w:val="20"/>
          <w:szCs w:val="20"/>
          <w:color w:val="auto"/>
        </w:rPr>
      </w:pPr>
      <w:r>
        <w:rPr>
          <w:rFonts w:ascii="Arial" w:cs="Arial" w:eastAsia="Arial" w:hAnsi="Arial"/>
          <w:sz w:val="7"/>
          <w:szCs w:val="7"/>
          <w:color w:val="auto"/>
        </w:rPr>
        <w:t>)</w:t>
      </w:r>
    </w:p>
    <w:p>
      <w:pPr>
        <w:ind w:left="1760" w:right="1620"/>
        <w:spacing w:after="0"/>
        <w:rPr>
          <w:sz w:val="20"/>
          <w:szCs w:val="20"/>
          <w:color w:val="auto"/>
        </w:rPr>
      </w:pPr>
      <w:r>
        <w:rPr>
          <w:rFonts w:ascii="Arial" w:cs="Arial" w:eastAsia="Arial" w:hAnsi="Arial"/>
          <w:sz w:val="11"/>
          <w:szCs w:val="11"/>
          <w:color w:val="auto"/>
        </w:rPr>
        <w:t>ABL Facility of $34.5 million, (D) Warehouse Credit Facility of $148.2 million, and (E) notes payable, non-curren t</w:t>
      </w:r>
    </w:p>
    <w:p>
      <w:pPr>
        <w:spacing w:after="0" w:line="7" w:lineRule="exact"/>
        <w:rPr>
          <w:sz w:val="20"/>
          <w:szCs w:val="20"/>
          <w:color w:val="auto"/>
        </w:rPr>
      </w:pPr>
    </w:p>
    <w:p>
      <w:pPr>
        <w:ind w:left="1760" w:right="1560"/>
        <w:spacing w:after="0"/>
        <w:rPr>
          <w:sz w:val="20"/>
          <w:szCs w:val="20"/>
          <w:color w:val="auto"/>
        </w:rPr>
      </w:pPr>
      <w:r>
        <w:rPr>
          <w:rFonts w:ascii="Arial" w:cs="Arial" w:eastAsia="Arial" w:hAnsi="Arial"/>
          <w:sz w:val="11"/>
          <w:szCs w:val="11"/>
          <w:color w:val="auto"/>
        </w:rPr>
        <w:t>of $117.3 million, which includes $117.1 million related to the Vista Facility, in each case as of July 31, 202 . For 5</w:t>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additional information regarding the ABL Facility, the Warehouse Credit Facility, and the Vista Facility, see the</w:t>
      </w:r>
    </w:p>
    <w:p>
      <w:pPr>
        <w:ind w:left="1760"/>
        <w:spacing w:after="0" w:line="195" w:lineRule="auto"/>
        <w:rPr>
          <w:sz w:val="20"/>
          <w:szCs w:val="20"/>
          <w:color w:val="auto"/>
        </w:rPr>
      </w:pPr>
      <w:r>
        <w:rPr>
          <w:rFonts w:ascii="Arial" w:cs="Arial" w:eastAsia="Arial" w:hAnsi="Arial"/>
          <w:sz w:val="10"/>
          <w:szCs w:val="10"/>
          <w:color w:val="auto"/>
        </w:rPr>
        <w:t>section titled “Description of Material Indebtedness.</w:t>
      </w:r>
    </w:p>
    <w:p>
      <w:pPr>
        <w:ind w:left="1760"/>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Key Business Metrics and Non-GAAP Financial Measures</w:t>
      </w:r>
    </w:p>
    <w:p>
      <w:pPr>
        <w:spacing w:after="0" w:line="130"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We review a number of operating and financial metrics, including the following key metrics and non-GAAP, financial measures to evaluate our business, measure our performance, identify trends affecting our business, formulate financial projections, and make strategic decisions. See the sections titled “Management’s Discussion and Analysis of Financial Condition and Results of Operations—Key Business Metrics” for additional information regarding our key business metrics and “Management’s Discussion and Analysis of Financial Condition and Results of Operations—Non-GAAP Financial Measures” for additional information and reconciliations of our non-GAAP financial measures to the most directly comparable financial measures prepared in accordance with GAAP.</w:t>
      </w:r>
    </w:p>
    <w:p>
      <w:pPr>
        <w:spacing w:after="0" w:line="106"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2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3"/>
          </w:tcPr>
          <w:p>
            <w:pPr>
              <w:jc w:val="right"/>
              <w:ind w:right="205"/>
              <w:spacing w:after="0"/>
              <w:rPr>
                <w:sz w:val="20"/>
                <w:szCs w:val="20"/>
                <w:color w:val="auto"/>
              </w:rPr>
            </w:pPr>
            <w:r>
              <w:rPr>
                <w:rFonts w:ascii="Arial" w:cs="Arial" w:eastAsia="Arial" w:hAnsi="Arial"/>
                <w:sz w:val="11"/>
                <w:szCs w:val="11"/>
                <w:b w:val="1"/>
                <w:bCs w:val="1"/>
                <w:color w:val="auto"/>
                <w:w w:val="99"/>
              </w:rPr>
              <w:t>Year Ended January 31,</w:t>
            </w:r>
          </w:p>
        </w:tc>
        <w:tc>
          <w:tcPr>
            <w:tcW w:w="180" w:type="dxa"/>
            <w:vAlign w:val="bottom"/>
          </w:tcPr>
          <w:p>
            <w:pPr>
              <w:spacing w:after="0"/>
              <w:rPr>
                <w:sz w:val="10"/>
                <w:szCs w:val="10"/>
                <w:color w:val="auto"/>
              </w:rPr>
            </w:pPr>
          </w:p>
        </w:tc>
        <w:tc>
          <w:tcPr>
            <w:tcW w:w="1560" w:type="dxa"/>
            <w:vAlign w:val="bottom"/>
            <w:gridSpan w:val="3"/>
          </w:tcPr>
          <w:p>
            <w:pPr>
              <w:ind w:left="6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57"/>
        </w:trPr>
        <w:tc>
          <w:tcPr>
            <w:tcW w:w="25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ind w:left="60"/>
              <w:spacing w:after="0" w:line="47" w:lineRule="exact"/>
              <w:rPr>
                <w:sz w:val="20"/>
                <w:szCs w:val="20"/>
                <w:color w:val="auto"/>
              </w:rPr>
            </w:pPr>
            <w:r>
              <w:rPr>
                <w:rFonts w:ascii="Arial" w:cs="Arial" w:eastAsia="Arial" w:hAnsi="Arial"/>
                <w:sz w:val="5"/>
                <w:szCs w:val="5"/>
                <w:b w:val="1"/>
                <w:bCs w:val="1"/>
                <w:color w:val="auto"/>
              </w:rPr>
              <w:t>,</w:t>
            </w:r>
          </w:p>
        </w:tc>
        <w:tc>
          <w:tcPr>
            <w:tcW w:w="240" w:type="dxa"/>
            <w:vAlign w:val="bottom"/>
          </w:tcPr>
          <w:p>
            <w:pPr>
              <w:spacing w:after="0"/>
              <w:rPr>
                <w:sz w:val="4"/>
                <w:szCs w:val="4"/>
                <w:color w:val="auto"/>
              </w:rPr>
            </w:pPr>
          </w:p>
        </w:tc>
        <w:tc>
          <w:tcPr>
            <w:tcW w:w="640" w:type="dxa"/>
            <w:vAlign w:val="bottom"/>
            <w:vMerge w:val="restart"/>
          </w:tcPr>
          <w:p>
            <w:pPr>
              <w:jc w:val="right"/>
              <w:ind w:right="243"/>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38"/>
        </w:trPr>
        <w:tc>
          <w:tcPr>
            <w:tcW w:w="25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2025</w:t>
            </w: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65"/>
              <w:spacing w:after="0"/>
              <w:rPr>
                <w:sz w:val="20"/>
                <w:szCs w:val="20"/>
                <w:color w:val="auto"/>
              </w:rPr>
            </w:pPr>
            <w:r>
              <w:rPr>
                <w:rFonts w:ascii="Arial" w:cs="Arial" w:eastAsia="Arial" w:hAnsi="Arial"/>
                <w:sz w:val="11"/>
                <w:szCs w:val="11"/>
                <w:b w:val="1"/>
                <w:bCs w:val="1"/>
                <w:color w:val="auto"/>
              </w:rPr>
              <w:t>2024</w:t>
            </w: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2025</w:t>
            </w: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gridSpan w:val="3"/>
          </w:tcPr>
          <w:p>
            <w:pPr>
              <w:ind w:left="380"/>
              <w:spacing w:after="0" w:line="91" w:lineRule="exact"/>
              <w:rPr>
                <w:sz w:val="20"/>
                <w:szCs w:val="20"/>
                <w:color w:val="auto"/>
              </w:rPr>
            </w:pPr>
            <w:r>
              <w:rPr>
                <w:rFonts w:ascii="Arial" w:cs="Arial" w:eastAsia="Arial" w:hAnsi="Arial"/>
                <w:sz w:val="9"/>
                <w:szCs w:val="9"/>
                <w:b w:val="1"/>
                <w:bCs w:val="1"/>
                <w:color w:val="auto"/>
              </w:rPr>
              <w:t>(in billions</w:t>
            </w: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Gross booking volume (GBV) </w:t>
            </w:r>
            <w:r>
              <w:rPr>
                <w:rFonts w:ascii="Times New Roman" w:cs="Times New Roman" w:eastAsia="Times New Roman" w:hAnsi="Times New Roman"/>
                <w:sz w:val="12"/>
                <w:szCs w:val="12"/>
                <w:color w:val="B4B4B4"/>
              </w:rPr>
              <w:t>.........................</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4"/>
              <w:spacing w:after="0"/>
              <w:rPr>
                <w:sz w:val="20"/>
                <w:szCs w:val="20"/>
                <w:color w:val="auto"/>
              </w:rPr>
            </w:pPr>
            <w:r>
              <w:rPr>
                <w:rFonts w:ascii="Arial" w:cs="Arial" w:eastAsia="Arial" w:hAnsi="Arial"/>
                <w:sz w:val="12"/>
                <w:szCs w:val="12"/>
                <w:color w:val="auto"/>
              </w:rPr>
              <w:t>6.6</w:t>
            </w:r>
          </w:p>
        </w:tc>
        <w:tc>
          <w:tcPr>
            <w:tcW w:w="2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5"/>
              <w:spacing w:after="0" w:line="239" w:lineRule="exact"/>
              <w:rPr>
                <w:sz w:val="20"/>
                <w:szCs w:val="20"/>
                <w:color w:val="auto"/>
              </w:rPr>
            </w:pPr>
            <w:r>
              <w:rPr>
                <w:rFonts w:ascii="Arial" w:cs="Arial" w:eastAsia="Arial" w:hAnsi="Arial"/>
                <w:sz w:val="21"/>
                <w:szCs w:val="21"/>
                <w:b w:val="1"/>
                <w:bCs w:val="1"/>
                <w:color w:val="auto"/>
                <w:vertAlign w:val="superscript"/>
              </w:rPr>
              <w:t>)</w:t>
            </w:r>
            <w:r>
              <w:rPr>
                <w:rFonts w:ascii="Arial" w:cs="Arial" w:eastAsia="Arial" w:hAnsi="Arial"/>
                <w:sz w:val="12"/>
                <w:szCs w:val="12"/>
                <w:color w:val="auto"/>
              </w:rPr>
              <w:t>5.0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ind w:left="460"/>
              <w:spacing w:after="0"/>
              <w:rPr>
                <w:sz w:val="20"/>
                <w:szCs w:val="20"/>
                <w:color w:val="auto"/>
              </w:rPr>
            </w:pPr>
            <w:r>
              <w:rPr>
                <w:rFonts w:ascii="Arial" w:cs="Arial" w:eastAsia="Arial" w:hAnsi="Arial"/>
                <w:sz w:val="12"/>
                <w:szCs w:val="12"/>
                <w:color w:val="auto"/>
              </w:rPr>
              <w:t>4.1</w:t>
            </w:r>
          </w:p>
        </w:tc>
        <w:tc>
          <w:tcPr>
            <w:tcW w:w="2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82"/>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Payment volume </w:t>
            </w:r>
            <w:r>
              <w:rPr>
                <w:rFonts w:ascii="Times New Roman" w:cs="Times New Roman" w:eastAsia="Times New Roman" w:hAnsi="Times New Roman"/>
                <w:sz w:val="12"/>
                <w:szCs w:val="12"/>
                <w:color w:val="B4B4B4"/>
              </w:rPr>
              <w:t>...............................................</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4"/>
              <w:spacing w:after="0"/>
              <w:rPr>
                <w:sz w:val="20"/>
                <w:szCs w:val="20"/>
                <w:color w:val="auto"/>
              </w:rPr>
            </w:pPr>
            <w:r>
              <w:rPr>
                <w:rFonts w:ascii="Arial" w:cs="Arial" w:eastAsia="Arial" w:hAnsi="Arial"/>
                <w:sz w:val="12"/>
                <w:szCs w:val="12"/>
                <w:color w:val="auto"/>
              </w:rPr>
              <w:t>3.7</w:t>
            </w:r>
          </w:p>
        </w:tc>
        <w:tc>
          <w:tcPr>
            <w:tcW w:w="2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5"/>
              <w:spacing w:after="0"/>
              <w:rPr>
                <w:sz w:val="20"/>
                <w:szCs w:val="20"/>
                <w:color w:val="auto"/>
              </w:rPr>
            </w:pPr>
            <w:r>
              <w:rPr>
                <w:rFonts w:ascii="Arial" w:cs="Arial" w:eastAsia="Arial" w:hAnsi="Arial"/>
                <w:sz w:val="12"/>
                <w:szCs w:val="12"/>
                <w:color w:val="auto"/>
              </w:rPr>
              <w:t>2.7</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ind w:left="460"/>
              <w:spacing w:after="0"/>
              <w:rPr>
                <w:sz w:val="20"/>
                <w:szCs w:val="20"/>
                <w:color w:val="auto"/>
              </w:rPr>
            </w:pPr>
            <w:r>
              <w:rPr>
                <w:rFonts w:ascii="Arial" w:cs="Arial" w:eastAsia="Arial" w:hAnsi="Arial"/>
                <w:sz w:val="12"/>
                <w:szCs w:val="12"/>
                <w:color w:val="auto"/>
              </w:rPr>
              <w:t>2.0</w:t>
            </w:r>
          </w:p>
        </w:tc>
        <w:tc>
          <w:tcPr>
            <w:tcW w:w="2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277"/>
        </w:trPr>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jc w:val="right"/>
              <w:ind w:right="205"/>
              <w:spacing w:after="0"/>
              <w:rPr>
                <w:sz w:val="20"/>
                <w:szCs w:val="20"/>
                <w:color w:val="auto"/>
              </w:rPr>
            </w:pPr>
            <w:r>
              <w:rPr>
                <w:rFonts w:ascii="Arial" w:cs="Arial" w:eastAsia="Arial" w:hAnsi="Arial"/>
                <w:sz w:val="11"/>
                <w:szCs w:val="11"/>
                <w:b w:val="1"/>
                <w:bCs w:val="1"/>
                <w:color w:val="auto"/>
                <w:w w:val="99"/>
              </w:rPr>
              <w:t>Year Ended January 31,</w:t>
            </w:r>
          </w:p>
        </w:tc>
        <w:tc>
          <w:tcPr>
            <w:tcW w:w="180" w:type="dxa"/>
            <w:vAlign w:val="bottom"/>
          </w:tcPr>
          <w:p>
            <w:pPr>
              <w:spacing w:after="0"/>
              <w:rPr>
                <w:sz w:val="24"/>
                <w:szCs w:val="24"/>
                <w:color w:val="auto"/>
              </w:rPr>
            </w:pPr>
          </w:p>
        </w:tc>
        <w:tc>
          <w:tcPr>
            <w:tcW w:w="1560" w:type="dxa"/>
            <w:vAlign w:val="bottom"/>
            <w:gridSpan w:val="3"/>
          </w:tcPr>
          <w:p>
            <w:pPr>
              <w:ind w:left="6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restart"/>
          </w:tcPr>
          <w:p>
            <w:pPr>
              <w:jc w:val="right"/>
              <w:ind w:right="244"/>
              <w:spacing w:after="0"/>
              <w:rPr>
                <w:sz w:val="20"/>
                <w:szCs w:val="20"/>
                <w:color w:val="auto"/>
              </w:rPr>
            </w:pPr>
            <w:r>
              <w:rPr>
                <w:rFonts w:ascii="Arial" w:cs="Arial" w:eastAsia="Arial" w:hAnsi="Arial"/>
                <w:sz w:val="11"/>
                <w:szCs w:val="11"/>
                <w:b w:val="1"/>
                <w:bCs w:val="1"/>
                <w:color w:val="auto"/>
              </w:rPr>
              <w:t>2025</w:t>
            </w:r>
          </w:p>
        </w:tc>
        <w:tc>
          <w:tcPr>
            <w:tcW w:w="240" w:type="dxa"/>
            <w:vAlign w:val="bottom"/>
          </w:tcPr>
          <w:p>
            <w:pPr>
              <w:spacing w:after="0"/>
              <w:rPr>
                <w:sz w:val="5"/>
                <w:szCs w:val="5"/>
                <w:color w:val="auto"/>
              </w:rPr>
            </w:pPr>
          </w:p>
        </w:tc>
        <w:tc>
          <w:tcPr>
            <w:tcW w:w="640" w:type="dxa"/>
            <w:vAlign w:val="bottom"/>
            <w:vMerge w:val="restart"/>
          </w:tcPr>
          <w:p>
            <w:pPr>
              <w:jc w:val="right"/>
              <w:ind w:right="265"/>
              <w:spacing w:after="0"/>
              <w:rPr>
                <w:sz w:val="20"/>
                <w:szCs w:val="20"/>
                <w:color w:val="auto"/>
              </w:rPr>
            </w:pPr>
            <w:r>
              <w:rPr>
                <w:rFonts w:ascii="Arial" w:cs="Arial" w:eastAsia="Arial" w:hAnsi="Arial"/>
                <w:sz w:val="11"/>
                <w:szCs w:val="11"/>
                <w:b w:val="1"/>
                <w:bCs w:val="1"/>
                <w:color w:val="auto"/>
              </w:rPr>
              <w:t>2024</w:t>
            </w:r>
          </w:p>
        </w:tc>
        <w:tc>
          <w:tcPr>
            <w:tcW w:w="180" w:type="dxa"/>
            <w:vAlign w:val="bottom"/>
          </w:tcPr>
          <w:p>
            <w:pPr>
              <w:spacing w:after="0"/>
              <w:rPr>
                <w:sz w:val="5"/>
                <w:szCs w:val="5"/>
                <w:color w:val="auto"/>
              </w:rPr>
            </w:pPr>
          </w:p>
        </w:tc>
        <w:tc>
          <w:tcPr>
            <w:tcW w:w="68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w:t>
            </w:r>
          </w:p>
        </w:tc>
        <w:tc>
          <w:tcPr>
            <w:tcW w:w="240" w:type="dxa"/>
            <w:vAlign w:val="bottom"/>
          </w:tcPr>
          <w:p>
            <w:pPr>
              <w:spacing w:after="0"/>
              <w:rPr>
                <w:sz w:val="5"/>
                <w:szCs w:val="5"/>
                <w:color w:val="auto"/>
              </w:rPr>
            </w:pPr>
          </w:p>
        </w:tc>
        <w:tc>
          <w:tcPr>
            <w:tcW w:w="640" w:type="dxa"/>
            <w:vAlign w:val="bottom"/>
            <w:vMerge w:val="restart"/>
          </w:tcPr>
          <w:p>
            <w:pPr>
              <w:jc w:val="right"/>
              <w:ind w:right="243"/>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3"/>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2025</w:t>
            </w:r>
          </w:p>
        </w:tc>
        <w:tc>
          <w:tcPr>
            <w:tcW w:w="2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240"/>
        <w:spacing w:after="0"/>
        <w:rPr>
          <w:sz w:val="20"/>
          <w:szCs w:val="20"/>
          <w:color w:val="auto"/>
        </w:rPr>
      </w:pPr>
      <w:r>
        <w:rPr>
          <w:rFonts w:ascii="Arial" w:cs="Arial" w:eastAsia="Arial" w:hAnsi="Arial"/>
          <w:sz w:val="11"/>
          <w:szCs w:val="11"/>
          <w:b w:val="1"/>
          <w:bCs w:val="1"/>
          <w:color w:val="auto"/>
        </w:rPr>
        <w:t>(dollars in thousands)</w:t>
      </w:r>
    </w:p>
    <w:p>
      <w:pPr>
        <w:sectPr>
          <w:pgSz w:w="11900" w:h="16840" w:orient="portrait"/>
          <w:cols w:equalWidth="0" w:num="1">
            <w:col w:w="9020"/>
          </w:cols>
          <w:pgMar w:left="1440" w:top="511" w:right="1440" w:bottom="135" w:gutter="0" w:footer="0" w:header="0"/>
        </w:sectPr>
      </w:pPr>
    </w:p>
    <w:bookmarkStart w:id="23" w:name="page24"/>
    <w:bookmarkEnd w:id="23"/>
    <w:tbl>
      <w:tblPr>
        <w:tblLayout w:type="fixed"/>
        <w:tblInd w:w="1520" w:type="dxa"/>
        <w:tblCellMar>
          <w:top w:w="0" w:type="dxa"/>
          <w:left w:w="0" w:type="dxa"/>
          <w:bottom w:w="0" w:type="dxa"/>
          <w:right w:w="0" w:type="dxa"/>
        </w:tblCellMar>
      </w:tblPr>
      <w:tr>
        <w:trPr>
          <w:trHeight w:val="139"/>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GAAP gross profit </w:t>
            </w:r>
            <w:r>
              <w:rPr>
                <w:rFonts w:ascii="Times New Roman" w:cs="Times New Roman" w:eastAsia="Times New Roman" w:hAnsi="Times New Roman"/>
                <w:sz w:val="12"/>
                <w:szCs w:val="12"/>
                <w:color w:val="B4B4B4"/>
              </w:rPr>
              <w:t>.............................................</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8"/>
              <w:spacing w:after="0"/>
              <w:rPr>
                <w:sz w:val="20"/>
                <w:szCs w:val="20"/>
                <w:color w:val="auto"/>
              </w:rPr>
            </w:pPr>
            <w:r>
              <w:rPr>
                <w:rFonts w:ascii="Arial" w:cs="Arial" w:eastAsia="Arial" w:hAnsi="Arial"/>
                <w:sz w:val="12"/>
                <w:szCs w:val="12"/>
                <w:color w:val="auto"/>
              </w:rPr>
              <w:t>367,022</w:t>
            </w:r>
          </w:p>
        </w:tc>
        <w:tc>
          <w:tcPr>
            <w:tcW w:w="20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8"/>
              <w:spacing w:after="0"/>
              <w:rPr>
                <w:sz w:val="20"/>
                <w:szCs w:val="20"/>
                <w:color w:val="auto"/>
              </w:rPr>
            </w:pPr>
            <w:r>
              <w:rPr>
                <w:rFonts w:ascii="Arial" w:cs="Arial" w:eastAsia="Arial" w:hAnsi="Arial"/>
                <w:sz w:val="12"/>
                <w:szCs w:val="12"/>
                <w:color w:val="auto"/>
              </w:rPr>
              <w:t>239,634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38"/>
              <w:spacing w:after="0"/>
              <w:rPr>
                <w:sz w:val="20"/>
                <w:szCs w:val="20"/>
                <w:color w:val="auto"/>
              </w:rPr>
            </w:pPr>
            <w:r>
              <w:rPr>
                <w:rFonts w:ascii="Arial" w:cs="Arial" w:eastAsia="Arial" w:hAnsi="Arial"/>
                <w:sz w:val="12"/>
                <w:szCs w:val="12"/>
                <w:color w:val="auto"/>
              </w:rPr>
              <w:t>236,830</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18"/>
              <w:spacing w:after="0"/>
              <w:rPr>
                <w:sz w:val="20"/>
                <w:szCs w:val="20"/>
                <w:color w:val="auto"/>
              </w:rPr>
            </w:pPr>
            <w:r>
              <w:rPr>
                <w:rFonts w:ascii="Arial" w:cs="Arial" w:eastAsia="Arial" w:hAnsi="Arial"/>
                <w:sz w:val="12"/>
                <w:szCs w:val="12"/>
                <w:color w:val="auto"/>
              </w:rPr>
              <w:t>171,182</w:t>
            </w:r>
          </w:p>
        </w:tc>
        <w:tc>
          <w:tcPr>
            <w:tcW w:w="0" w:type="dxa"/>
            <w:vAlign w:val="bottom"/>
          </w:tcPr>
          <w:p>
            <w:pPr>
              <w:spacing w:after="0"/>
              <w:rPr>
                <w:sz w:val="1"/>
                <w:szCs w:val="1"/>
                <w:color w:val="auto"/>
              </w:rPr>
            </w:pPr>
          </w:p>
        </w:tc>
      </w:tr>
      <w:tr>
        <w:trPr>
          <w:trHeight w:val="172"/>
        </w:trPr>
        <w:tc>
          <w:tcPr>
            <w:tcW w:w="2520" w:type="dxa"/>
            <w:vAlign w:val="bottom"/>
          </w:tcPr>
          <w:p>
            <w:pPr>
              <w:ind w:left="40"/>
              <w:spacing w:after="0" w:line="172" w:lineRule="exact"/>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Non-GAAPgrossprofit</w:t>
            </w:r>
            <w:r>
              <w:rPr>
                <w:rFonts w:ascii="Arial" w:cs="Arial" w:eastAsia="Arial" w:hAnsi="Arial"/>
                <w:sz w:val="17"/>
                <w:szCs w:val="17"/>
                <w:color w:val="000000"/>
                <w:vertAlign w:val="superscript"/>
              </w:rPr>
              <w:t>(1)</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8"/>
              <w:spacing w:after="0"/>
              <w:rPr>
                <w:sz w:val="20"/>
                <w:szCs w:val="20"/>
                <w:color w:val="auto"/>
              </w:rPr>
            </w:pPr>
            <w:r>
              <w:rPr>
                <w:rFonts w:ascii="Arial" w:cs="Arial" w:eastAsia="Arial" w:hAnsi="Arial"/>
                <w:sz w:val="12"/>
                <w:szCs w:val="12"/>
                <w:color w:val="auto"/>
              </w:rPr>
              <w:t>371,855</w:t>
            </w:r>
          </w:p>
        </w:tc>
        <w:tc>
          <w:tcPr>
            <w:tcW w:w="20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8"/>
              <w:spacing w:after="0"/>
              <w:rPr>
                <w:sz w:val="20"/>
                <w:szCs w:val="20"/>
                <w:color w:val="auto"/>
              </w:rPr>
            </w:pPr>
            <w:r>
              <w:rPr>
                <w:rFonts w:ascii="Arial" w:cs="Arial" w:eastAsia="Arial" w:hAnsi="Arial"/>
                <w:sz w:val="12"/>
                <w:szCs w:val="12"/>
                <w:color w:val="auto"/>
              </w:rPr>
              <w:t>249,229</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38"/>
              <w:spacing w:after="0"/>
              <w:rPr>
                <w:sz w:val="20"/>
                <w:szCs w:val="20"/>
                <w:color w:val="auto"/>
              </w:rPr>
            </w:pPr>
            <w:r>
              <w:rPr>
                <w:rFonts w:ascii="Arial" w:cs="Arial" w:eastAsia="Arial" w:hAnsi="Arial"/>
                <w:sz w:val="12"/>
                <w:szCs w:val="12"/>
                <w:color w:val="auto"/>
              </w:rPr>
              <w:t>239,025</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18"/>
              <w:spacing w:after="0"/>
              <w:rPr>
                <w:sz w:val="20"/>
                <w:szCs w:val="20"/>
                <w:color w:val="auto"/>
              </w:rPr>
            </w:pPr>
            <w:r>
              <w:rPr>
                <w:rFonts w:ascii="Arial" w:cs="Arial" w:eastAsia="Arial" w:hAnsi="Arial"/>
                <w:sz w:val="12"/>
                <w:szCs w:val="12"/>
                <w:color w:val="auto"/>
              </w:rPr>
              <w:t>173,152</w:t>
            </w:r>
          </w:p>
        </w:tc>
        <w:tc>
          <w:tcPr>
            <w:tcW w:w="0" w:type="dxa"/>
            <w:vAlign w:val="bottom"/>
          </w:tcPr>
          <w:p>
            <w:pPr>
              <w:spacing w:after="0"/>
              <w:rPr>
                <w:sz w:val="1"/>
                <w:szCs w:val="1"/>
                <w:color w:val="auto"/>
              </w:rPr>
            </w:pPr>
          </w:p>
        </w:tc>
      </w:tr>
      <w:tr>
        <w:trPr>
          <w:trHeight w:val="38"/>
        </w:trPr>
        <w:tc>
          <w:tcPr>
            <w:tcW w:w="2520" w:type="dxa"/>
            <w:vAlign w:val="bottom"/>
            <w:vMerge w:val="restart"/>
          </w:tcPr>
          <w:p>
            <w:pPr>
              <w:ind w:left="40"/>
              <w:spacing w:after="0"/>
              <w:rPr>
                <w:sz w:val="20"/>
                <w:szCs w:val="20"/>
                <w:color w:val="auto"/>
              </w:rPr>
            </w:pPr>
            <w:r>
              <w:rPr>
                <w:rFonts w:ascii="Arial" w:cs="Arial" w:eastAsia="Arial" w:hAnsi="Arial"/>
                <w:sz w:val="12"/>
                <w:szCs w:val="12"/>
                <w:color w:val="auto"/>
              </w:rPr>
              <w:t>GAAP gross margin</w:t>
            </w: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520" w:type="dxa"/>
            <w:vAlign w:val="bottom"/>
            <w:vMerge w:val="continue"/>
          </w:tcPr>
          <w:p>
            <w:pPr>
              <w:ind w:left="1180"/>
              <w:spacing w:after="0" w:line="67" w:lineRule="exact"/>
              <w:rPr>
                <w:sz w:val="20"/>
                <w:szCs w:val="20"/>
                <w:color w:val="auto"/>
              </w:rPr>
            </w:pPr>
            <w:r>
              <w:rPr>
                <w:rFonts w:ascii="Times New Roman" w:cs="Times New Roman" w:eastAsia="Times New Roman" w:hAnsi="Times New Roman"/>
                <w:sz w:val="7"/>
                <w:szCs w:val="7"/>
                <w:color w:val="B4B4B4"/>
              </w:rPr>
              <w:t>.........................................</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68 %</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60 %</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72 %</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67 %</w:t>
            </w:r>
          </w:p>
        </w:tc>
        <w:tc>
          <w:tcPr>
            <w:tcW w:w="0" w:type="dxa"/>
            <w:vAlign w:val="bottom"/>
          </w:tcPr>
          <w:p>
            <w:pPr>
              <w:spacing w:after="0"/>
              <w:rPr>
                <w:sz w:val="1"/>
                <w:szCs w:val="1"/>
                <w:color w:val="auto"/>
              </w:rPr>
            </w:pPr>
          </w:p>
        </w:tc>
      </w:tr>
      <w:tr>
        <w:trPr>
          <w:trHeight w:val="191"/>
        </w:trPr>
        <w:tc>
          <w:tcPr>
            <w:tcW w:w="2520" w:type="dxa"/>
            <w:vAlign w:val="bottom"/>
            <w:shd w:val="clear" w:color="auto" w:fill="CCEEFF"/>
          </w:tcPr>
          <w:p>
            <w:pPr>
              <w:ind w:left="40"/>
              <w:spacing w:after="0" w:line="191" w:lineRule="exact"/>
              <w:rPr>
                <w:sz w:val="20"/>
                <w:szCs w:val="20"/>
                <w:color w:val="auto"/>
              </w:rPr>
            </w:pPr>
            <w:r>
              <w:rPr>
                <w:rFonts w:ascii="Arial" w:cs="Arial" w:eastAsia="Arial" w:hAnsi="Arial"/>
                <w:sz w:val="12"/>
                <w:szCs w:val="12"/>
                <w:color w:val="auto"/>
              </w:rPr>
              <w:t xml:space="preserve">Non-GAAP gross margin </w:t>
            </w:r>
            <w:r>
              <w:rPr>
                <w:rFonts w:ascii="Arial" w:cs="Arial" w:eastAsia="Arial" w:hAnsi="Arial"/>
                <w:sz w:val="17"/>
                <w:szCs w:val="17"/>
                <w:color w:val="auto"/>
                <w:vertAlign w:val="superscript"/>
              </w:rPr>
              <w:t>(1)</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69 %</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62 %</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73 %</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68 %</w:t>
            </w:r>
          </w:p>
        </w:tc>
        <w:tc>
          <w:tcPr>
            <w:tcW w:w="0" w:type="dxa"/>
            <w:vAlign w:val="bottom"/>
          </w:tcPr>
          <w:p>
            <w:pPr>
              <w:spacing w:after="0"/>
              <w:rPr>
                <w:sz w:val="1"/>
                <w:szCs w:val="1"/>
                <w:color w:val="auto"/>
              </w:rPr>
            </w:pPr>
          </w:p>
        </w:tc>
      </w:tr>
      <w:tr>
        <w:trPr>
          <w:trHeight w:val="165"/>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GAAP loss from operations </w:t>
            </w:r>
            <w:r>
              <w:rPr>
                <w:rFonts w:ascii="Times New Roman" w:cs="Times New Roman" w:eastAsia="Times New Roman" w:hAnsi="Times New Roman"/>
                <w:sz w:val="12"/>
                <w:szCs w:val="12"/>
                <w:color w:val="B4B4B4"/>
              </w:rPr>
              <w:t>............................</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(107,638)</w:t>
            </w:r>
          </w:p>
        </w:tc>
        <w:tc>
          <w:tcPr>
            <w:tcW w:w="20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(246,342)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(28,151)</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(55,370)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520" w:type="dxa"/>
            <w:vAlign w:val="bottom"/>
            <w:shd w:val="clear" w:color="auto" w:fill="CCEEFF"/>
          </w:tcPr>
          <w:p>
            <w:pPr>
              <w:ind w:left="40"/>
              <w:spacing w:after="0" w:line="191" w:lineRule="exact"/>
              <w:rPr>
                <w:sz w:val="20"/>
                <w:szCs w:val="20"/>
                <w:color w:val="auto"/>
              </w:rPr>
            </w:pPr>
            <w:r>
              <w:rPr>
                <w:rFonts w:ascii="Arial" w:cs="Arial" w:eastAsia="Arial" w:hAnsi="Arial"/>
                <w:sz w:val="12"/>
                <w:szCs w:val="12"/>
                <w:color w:val="auto"/>
              </w:rPr>
              <w:t xml:space="preserve">Non-GAAP income (loss) from operations </w:t>
            </w:r>
            <w:r>
              <w:rPr>
                <w:rFonts w:ascii="Arial" w:cs="Arial" w:eastAsia="Arial" w:hAnsi="Arial"/>
                <w:sz w:val="17"/>
                <w:szCs w:val="17"/>
                <w:color w:val="auto"/>
                <w:vertAlign w:val="superscript"/>
              </w:rPr>
              <w:t>(1)</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(25,042)</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(174,753)</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11,076</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(17,485)</w:t>
            </w:r>
          </w:p>
        </w:tc>
        <w:tc>
          <w:tcPr>
            <w:tcW w:w="0" w:type="dxa"/>
            <w:vAlign w:val="bottom"/>
          </w:tcPr>
          <w:p>
            <w:pPr>
              <w:spacing w:after="0"/>
              <w:rPr>
                <w:sz w:val="1"/>
                <w:szCs w:val="1"/>
                <w:color w:val="auto"/>
              </w:rPr>
            </w:pPr>
          </w:p>
        </w:tc>
      </w:tr>
      <w:tr>
        <w:trPr>
          <w:trHeight w:val="165"/>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GAAP net loss </w:t>
            </w:r>
            <w:r>
              <w:rPr>
                <w:rFonts w:ascii="Times New Roman" w:cs="Times New Roman" w:eastAsia="Times New Roman" w:hAnsi="Times New Roman"/>
                <w:sz w:val="12"/>
                <w:szCs w:val="12"/>
                <w:color w:val="B4B4B4"/>
              </w:rPr>
              <w:t>...................................................</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(181,078)</w:t>
            </w:r>
          </w:p>
        </w:tc>
        <w:tc>
          <w:tcPr>
            <w:tcW w:w="20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(331,552)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(99,880)</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(92,544)</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520" w:type="dxa"/>
            <w:vAlign w:val="bottom"/>
            <w:shd w:val="clear" w:color="auto" w:fill="CCEEFF"/>
          </w:tcPr>
          <w:p>
            <w:pPr>
              <w:ind w:left="40"/>
              <w:spacing w:after="0" w:line="191" w:lineRule="exact"/>
              <w:rPr>
                <w:sz w:val="20"/>
                <w:szCs w:val="20"/>
                <w:color w:val="auto"/>
              </w:rPr>
            </w:pPr>
            <w:r>
              <w:rPr>
                <w:rFonts w:ascii="Arial" w:cs="Arial" w:eastAsia="Arial" w:hAnsi="Arial"/>
                <w:sz w:val="12"/>
                <w:szCs w:val="12"/>
                <w:color w:val="auto"/>
              </w:rPr>
              <w:t xml:space="preserve">Non-GAAP net loss </w:t>
            </w:r>
            <w:r>
              <w:rPr>
                <w:rFonts w:ascii="Arial" w:cs="Arial" w:eastAsia="Arial" w:hAnsi="Arial"/>
                <w:sz w:val="17"/>
                <w:szCs w:val="17"/>
                <w:color w:val="auto"/>
                <w:vertAlign w:val="superscript"/>
              </w:rPr>
              <w:t>(1)</w:t>
            </w:r>
            <w:r>
              <w:rPr>
                <w:rFonts w:ascii="Times New Roman" w:cs="Times New Roman" w:eastAsia="Times New Roman" w:hAnsi="Times New Roman"/>
                <w:sz w:val="12"/>
                <w:szCs w:val="12"/>
                <w:color w:val="B4B4B4"/>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(96,387)</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(224,353)</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(14,775)</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(49,413)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-922655</wp:posOffset>
            </wp:positionV>
            <wp:extent cx="6732270" cy="9970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1"/>
          <w:szCs w:val="11"/>
          <w:color w:val="auto"/>
        </w:rPr>
        <w:t>_______________</w:t>
      </w:r>
    </w:p>
    <w:p>
      <w:pPr>
        <w:ind w:left="1520"/>
        <w:spacing w:after="0" w:line="230" w:lineRule="auto"/>
        <w:rPr>
          <w:sz w:val="20"/>
          <w:szCs w:val="20"/>
          <w:color w:val="auto"/>
        </w:rPr>
      </w:pPr>
      <w:r>
        <w:rPr>
          <w:rFonts w:ascii="Arial" w:cs="Arial" w:eastAsia="Arial" w:hAnsi="Arial"/>
          <w:sz w:val="11"/>
          <w:szCs w:val="11"/>
          <w:color w:val="auto"/>
        </w:rPr>
        <w:t>(1)  Non-GAAP gross profit, non-GAAP gross margin, non-GAAP income (loss) from operations, and non-GAAP ne</w:t>
      </w:r>
    </w:p>
    <w:p>
      <w:pPr>
        <w:ind w:left="1760"/>
        <w:spacing w:after="0" w:line="186" w:lineRule="auto"/>
        <w:rPr>
          <w:sz w:val="20"/>
          <w:szCs w:val="20"/>
          <w:color w:val="auto"/>
        </w:rPr>
      </w:pPr>
      <w:r>
        <w:rPr>
          <w:rFonts w:ascii="Arial" w:cs="Arial" w:eastAsia="Arial" w:hAnsi="Arial"/>
          <w:sz w:val="8"/>
          <w:szCs w:val="8"/>
          <w:color w:val="auto"/>
        </w:rPr>
        <w:t>loss are not</w:t>
      </w:r>
      <w:r>
        <w:rPr>
          <w:rFonts w:ascii="Arial" w:cs="Arial" w:eastAsia="Arial" w:hAnsi="Arial"/>
          <w:sz w:val="13"/>
          <w:szCs w:val="13"/>
          <w:color w:val="auto"/>
          <w:vertAlign w:val="superscript"/>
        </w:rPr>
        <w:t>t</w:t>
      </w:r>
      <w:r>
        <w:rPr>
          <w:rFonts w:ascii="Arial" w:cs="Arial" w:eastAsia="Arial" w:hAnsi="Arial"/>
          <w:sz w:val="8"/>
          <w:szCs w:val="8"/>
          <w:color w:val="auto"/>
        </w:rPr>
        <w:t xml:space="preserve"> calculated in accordance with GAAP</w:t>
      </w:r>
    </w:p>
    <w:p>
      <w:pPr>
        <w:ind w:left="1760"/>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RISK FACTORS</w:t>
      </w:r>
    </w:p>
    <w:p>
      <w:pPr>
        <w:spacing w:after="0" w:line="132" w:lineRule="exact"/>
        <w:rPr>
          <w:sz w:val="20"/>
          <w:szCs w:val="20"/>
          <w:color w:val="auto"/>
        </w:rPr>
      </w:pPr>
    </w:p>
    <w:p>
      <w:pPr>
        <w:ind w:left="1520" w:right="1800" w:firstLine="230"/>
        <w:spacing w:after="0" w:line="271" w:lineRule="auto"/>
        <w:rPr>
          <w:sz w:val="20"/>
          <w:szCs w:val="20"/>
          <w:color w:val="auto"/>
        </w:rPr>
      </w:pPr>
      <w:r>
        <w:rPr>
          <w:rFonts w:ascii="Arial" w:cs="Arial" w:eastAsia="Arial" w:hAnsi="Arial"/>
          <w:sz w:val="12"/>
          <w:szCs w:val="12"/>
          <w:i w:val="1"/>
          <w:iCs w:val="1"/>
          <w:color w:val="auto"/>
          <w:highlight w:val="white"/>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our consolidated financial statements and the accompanying notes included elsewhere in this prospectus before deciding whether to invest in shares of our Class A common stock. Our business, financial condition, results of operations, or prospects could also be adversely affected by risks and uncertainties that are not presently known to us or that we currently believe are not material. If any of the risks actually occur, our business, financial condition, results of operations, and prospects could be adversely affected. In that event, the market price of our Class A common stock could decline, and you could lose all or part of your investment.</w:t>
      </w:r>
    </w:p>
    <w:p>
      <w:pPr>
        <w:spacing w:after="0" w:line="86"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Risks Related to Our Business and Industry</w:t>
      </w:r>
    </w:p>
    <w:p>
      <w:pPr>
        <w:spacing w:after="0" w:line="132" w:lineRule="exact"/>
        <w:rPr>
          <w:sz w:val="20"/>
          <w:szCs w:val="20"/>
          <w:color w:val="auto"/>
        </w:rPr>
      </w:pPr>
    </w:p>
    <w:p>
      <w:pPr>
        <w:ind w:left="1520" w:right="1960"/>
        <w:spacing w:after="0" w:line="292" w:lineRule="auto"/>
        <w:rPr>
          <w:sz w:val="20"/>
          <w:szCs w:val="20"/>
          <w:color w:val="auto"/>
        </w:rPr>
      </w:pPr>
      <w:r>
        <w:rPr>
          <w:rFonts w:ascii="Arial" w:cs="Arial" w:eastAsia="Arial" w:hAnsi="Arial"/>
          <w:sz w:val="12"/>
          <w:szCs w:val="12"/>
          <w:b w:val="1"/>
          <w:bCs w:val="1"/>
          <w:i w:val="1"/>
          <w:iCs w:val="1"/>
          <w:color w:val="auto"/>
        </w:rPr>
        <w:t>We have experienced rapid growth and operational and strategic expansion in recent periods. Such historical trends, including growth rates, may not continue in the future, and failure to effectively manage our growth could harm our business and results of operations.</w:t>
      </w:r>
    </w:p>
    <w:p>
      <w:pPr>
        <w:spacing w:after="0" w:line="68" w:lineRule="exact"/>
        <w:rPr>
          <w:sz w:val="20"/>
          <w:szCs w:val="20"/>
          <w:color w:val="auto"/>
        </w:rPr>
      </w:pPr>
    </w:p>
    <w:p>
      <w:pPr>
        <w:ind w:left="1520" w:right="1740" w:firstLine="230"/>
        <w:spacing w:after="0" w:line="277" w:lineRule="auto"/>
        <w:rPr>
          <w:sz w:val="20"/>
          <w:szCs w:val="20"/>
          <w:color w:val="auto"/>
        </w:rPr>
      </w:pPr>
      <w:r>
        <w:rPr>
          <w:rFonts w:ascii="Arial" w:cs="Arial" w:eastAsia="Arial" w:hAnsi="Arial"/>
          <w:sz w:val="12"/>
          <w:szCs w:val="12"/>
          <w:color w:val="auto"/>
        </w:rPr>
        <w:t>We have experienced rapid growth and increased demand for our platform in recent periods, there is no assurance that we will manage our growth successfully, and our recent growth rates may not be indicative of our future growth. Our rapid growth has resulted in increased costs as we expanded our operations to scale our business and address increased customer and user demand, and we expect to continue to invest broadly across our organization to support our growth.</w:t>
      </w:r>
    </w:p>
    <w:p>
      <w:pPr>
        <w:spacing w:after="0" w:line="84" w:lineRule="exact"/>
        <w:rPr>
          <w:sz w:val="20"/>
          <w:szCs w:val="20"/>
          <w:color w:val="auto"/>
        </w:rPr>
      </w:pPr>
    </w:p>
    <w:p>
      <w:pPr>
        <w:ind w:left="1520" w:right="1680" w:firstLine="230"/>
        <w:spacing w:after="0" w:line="269" w:lineRule="auto"/>
        <w:rPr>
          <w:sz w:val="20"/>
          <w:szCs w:val="20"/>
          <w:color w:val="auto"/>
        </w:rPr>
      </w:pPr>
      <w:r>
        <w:rPr>
          <w:rFonts w:ascii="Arial" w:cs="Arial" w:eastAsia="Arial" w:hAnsi="Arial"/>
          <w:sz w:val="12"/>
          <w:szCs w:val="12"/>
          <w:color w:val="auto"/>
        </w:rPr>
        <w:t>Continued macroeconomic uncertainty, including as a result of rising interest rates, inflation, tariffs, foreign currency fluctuation, political unrest, instability in the global banking system, and the potential for an economic recession, has resulted, and is expected to continue to result, in reductions as well as fluctuations in demand for travel and our offerings as companies reduce or deprioritize spending on T&amp;E management offerings. Macroeconomic uncertainty has impacted and may continue to impact our ability to plan for future operations and strategic initiatives or predict our future financial performance (due in part to our usage-based revenue model for certain of our offerings, including our Travel Management offerings). Disruptions and changes in traveler behavior have occurred in recent times, including as a result of the COVID-19 pandemic and macroeconomic uncertainty, and may occur in the future, and we have faced and may continue to face challenges in accurately forecasting demand for travel and travel management services as a result. To maintain growth in our business, we need to, among other things, continue development and implementation of Navan Cognition and related AI features and functionalities, increase adoption and market acceptance of our offerings beyond travel, develop and increase adoption of additional offerings, compete effectively against larger and more established market participants as well as newer entrants, successfully execute our go-to-market strategies, address an increasing portion of the unmanaged travel market, and maintain or improve our relationships with suppliers, including commission rates.</w:t>
      </w:r>
    </w:p>
    <w:p>
      <w:pPr>
        <w:spacing w:after="0" w:line="243"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Our growth has also been and may continue to be negatively impacted as our customers, particularly customers with whom we have historically high adoption or expansion rates, do not increase or decrease headcount, reduce T&amp;E budgets or otherwise increase scrutiny over IT spending for any reason, including due to macroeconomic uncertainty. Over the last few years, adoption of remote work models has also become widespread, initially as a matter of necessity in response to the COVID-19 pandemic and more recently as a matter of company policy in light of evolving perspectives on the need and desire for full-time in-person workforces. While more companies and organizations have instituted return-to-office policies and business travel levels have normalized following the COVID-19 pandemic, we cannot predict with certainty future trends in teleconference and virtual meeting technologies adoption, the impact that remote work policies will continue to have on the nature and amount of business travel, or whether employer and employee attitudes toward business travel will change in a lasting way. For example,</w:t>
      </w:r>
    </w:p>
    <w:p>
      <w:pPr>
        <w:sectPr>
          <w:pgSz w:w="11900" w:h="16840" w:orient="portrait"/>
          <w:cols w:equalWidth="0" w:num="1">
            <w:col w:w="9020"/>
          </w:cols>
          <w:pgMar w:left="1440" w:top="546" w:right="1440" w:bottom="118"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25</w:t>
      </w:r>
    </w:p>
    <w:p>
      <w:pPr>
        <w:sectPr>
          <w:pgSz w:w="11900" w:h="16840" w:orient="portrait"/>
          <w:cols w:equalWidth="0" w:num="1">
            <w:col w:w="9020"/>
          </w:cols>
          <w:pgMar w:left="1440" w:top="546" w:right="1440" w:bottom="118" w:gutter="0" w:footer="0" w:header="0"/>
          <w:type w:val="continuous"/>
        </w:sectPr>
      </w:pPr>
    </w:p>
    <w:bookmarkStart w:id="24" w:name="page25"/>
    <w:bookmarkEnd w:id="24"/>
    <w:p>
      <w:pPr>
        <w:ind w:left="1520"/>
        <w:spacing w:after="0"/>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00"/>
        <w:spacing w:after="0" w:line="312" w:lineRule="auto"/>
        <w:rPr>
          <w:sz w:val="20"/>
          <w:szCs w:val="20"/>
          <w:color w:val="auto"/>
        </w:rPr>
      </w:pPr>
      <w:r>
        <w:rPr>
          <w:rFonts w:ascii="Arial" w:cs="Arial" w:eastAsia="Arial" w:hAnsi="Arial"/>
          <w:sz w:val="12"/>
          <w:szCs w:val="12"/>
          <w:color w:val="auto"/>
        </w:rPr>
        <w:t>smaller companies with limited travel or information technology budgets may in the future prefer to use teleconference and virtual meeting technologies indefinitely or substantially limit business travel spending.</w:t>
      </w:r>
    </w:p>
    <w:p>
      <w:pPr>
        <w:spacing w:after="0" w:line="62" w:lineRule="exact"/>
        <w:rPr>
          <w:sz w:val="20"/>
          <w:szCs w:val="20"/>
          <w:color w:val="auto"/>
        </w:rPr>
      </w:pPr>
    </w:p>
    <w:p>
      <w:pPr>
        <w:ind w:left="1520" w:right="1720" w:firstLine="230"/>
        <w:spacing w:after="0" w:line="270" w:lineRule="auto"/>
        <w:rPr>
          <w:sz w:val="20"/>
          <w:szCs w:val="20"/>
          <w:color w:val="auto"/>
        </w:rPr>
      </w:pPr>
      <w:r>
        <w:rPr>
          <w:rFonts w:ascii="Arial" w:cs="Arial" w:eastAsia="Arial" w:hAnsi="Arial"/>
          <w:sz w:val="12"/>
          <w:szCs w:val="12"/>
          <w:color w:val="auto"/>
        </w:rPr>
        <w:t>We have also encountered, and will continue to encounter, the risks and uncertainties frequently experienced by growing companies in rapidly changing industries. For example, we are required to manage multiple relationships with various suppliers, payment or expense service partners, other partners, customers, and other third parties. In the event of further growth of our operations or in the number of our third-party relationships, including in connection with acquisitions of complementary businesses and companies, our computer systems, procedures, or internal controls may not be adequate to support our operations, we encounter further difficulties and delays in integrating acquired businesses and companies (including into our controls environment), and our management may not be able to manage such growth effectively. The growth and expansion of our business and platform places a significant strain on our management and our administrative, operational, and financial reporting resources. To effectively manage our growth, we must continue to implement and improve our operational, financial, and management information and reporting systems and manage our employee base, including recruiting and training new engineers, sales professionals, and agents.</w:t>
      </w:r>
    </w:p>
    <w:p>
      <w:pPr>
        <w:spacing w:after="0" w:line="87" w:lineRule="exact"/>
        <w:rPr>
          <w:sz w:val="20"/>
          <w:szCs w:val="20"/>
          <w:color w:val="auto"/>
        </w:rPr>
      </w:pPr>
    </w:p>
    <w:p>
      <w:pPr>
        <w:ind w:left="1520" w:right="1680" w:firstLine="230"/>
        <w:spacing w:after="0" w:line="273" w:lineRule="auto"/>
        <w:rPr>
          <w:sz w:val="20"/>
          <w:szCs w:val="20"/>
          <w:color w:val="auto"/>
        </w:rPr>
      </w:pPr>
      <w:r>
        <w:rPr>
          <w:rFonts w:ascii="Arial" w:cs="Arial" w:eastAsia="Arial" w:hAnsi="Arial"/>
          <w:sz w:val="12"/>
          <w:szCs w:val="12"/>
          <w:color w:val="auto"/>
        </w:rPr>
        <w:t>As a result of the foregoing, our recent growth rates and financial performance should not necessarily be considered indicative of our future performance and results of operations, and you should not rely on the recent growth in our key business metrics as an indication of our future performance. In addition, if our assumptions regarding these risks and uncertainties, which we use to plan our business strategies and operations, are incorrect or change due to industry or market developments, or if we do not address these risks successfully, our business, financial condition, results of operations, and prospects could be negatively impacted.</w:t>
      </w:r>
    </w:p>
    <w:p>
      <w:pPr>
        <w:spacing w:after="0" w:line="90" w:lineRule="exact"/>
        <w:rPr>
          <w:sz w:val="20"/>
          <w:szCs w:val="20"/>
          <w:color w:val="auto"/>
        </w:rPr>
      </w:pPr>
    </w:p>
    <w:p>
      <w:pPr>
        <w:ind w:left="1520" w:right="1820"/>
        <w:spacing w:after="0" w:line="292" w:lineRule="auto"/>
        <w:rPr>
          <w:sz w:val="20"/>
          <w:szCs w:val="20"/>
          <w:color w:val="auto"/>
        </w:rPr>
      </w:pPr>
      <w:r>
        <w:rPr>
          <w:rFonts w:ascii="Arial" w:cs="Arial" w:eastAsia="Arial" w:hAnsi="Arial"/>
          <w:sz w:val="12"/>
          <w:szCs w:val="12"/>
          <w:b w:val="1"/>
          <w:bCs w:val="1"/>
          <w:i w:val="1"/>
          <w:iCs w:val="1"/>
          <w:color w:val="auto"/>
        </w:rPr>
        <w:t>Our revenue has historically been, and is expected to continue to be, significantly dependent on our Travel Management offerings, and a prolonged or substantial decrease in, or systemic disruptions to, global travel could adversely affect us.</w:t>
      </w:r>
    </w:p>
    <w:p>
      <w:pPr>
        <w:spacing w:after="0" w:line="68" w:lineRule="exact"/>
        <w:rPr>
          <w:sz w:val="20"/>
          <w:szCs w:val="20"/>
          <w:color w:val="auto"/>
        </w:rPr>
      </w:pPr>
    </w:p>
    <w:p>
      <w:pPr>
        <w:ind w:left="1520" w:right="1780" w:firstLine="230"/>
        <w:spacing w:after="0" w:line="274" w:lineRule="auto"/>
        <w:rPr>
          <w:sz w:val="20"/>
          <w:szCs w:val="20"/>
          <w:color w:val="auto"/>
        </w:rPr>
      </w:pPr>
      <w:r>
        <w:rPr>
          <w:rFonts w:ascii="Arial" w:cs="Arial" w:eastAsia="Arial" w:hAnsi="Arial"/>
          <w:sz w:val="12"/>
          <w:szCs w:val="12"/>
          <w:color w:val="auto"/>
        </w:rPr>
        <w:t>Our revenue has historically been, and is expected to continue to be, significantly dependent on our Travel Management offerings, which have historically been and may in the future be significantly impacted by declines in, or disruptions to, global travel activity, including as a result of macroeconomic factors and widespread health concerns, epidemics, or pandemics. Factors over which we have no control but which impact travel patterns and, depending on the scope and duration, cause significant declines in global or widespread travel volumes and reductions in our customers’ travel budgets include, among other things:</w:t>
      </w:r>
    </w:p>
    <w:p>
      <w:pPr>
        <w:spacing w:after="0" w:line="241" w:lineRule="exact"/>
        <w:rPr>
          <w:sz w:val="20"/>
          <w:szCs w:val="20"/>
          <w:color w:val="auto"/>
        </w:rPr>
      </w:pPr>
    </w:p>
    <w:p>
      <w:pPr>
        <w:ind w:left="1980" w:right="1760" w:hanging="228"/>
        <w:spacing w:after="0" w:line="281" w:lineRule="auto"/>
        <w:tabs>
          <w:tab w:leader="none" w:pos="19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impact of macroeconomic uncertainty, including due to tariffs, volatile interest rates, inflation, domestic and foreign currency fluctuation, instability in the global banking system, volatility in global stock markets, and the potential for a prolonged economic recession, particularly on T&amp;E budgets and IT spending at our existing and potential customers;</w:t>
      </w:r>
    </w:p>
    <w:p>
      <w:pPr>
        <w:spacing w:after="0" w:line="80" w:lineRule="exact"/>
        <w:rPr>
          <w:rFonts w:ascii="Arial" w:cs="Arial" w:eastAsia="Arial" w:hAnsi="Arial"/>
          <w:sz w:val="12"/>
          <w:szCs w:val="12"/>
          <w:color w:val="auto"/>
        </w:rPr>
      </w:pPr>
    </w:p>
    <w:p>
      <w:pPr>
        <w:ind w:left="1980" w:hanging="228"/>
        <w:spacing w:after="0"/>
        <w:tabs>
          <w:tab w:leader="none" w:pos="19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political unrest or instability, including due to tariff policies;</w:t>
      </w:r>
    </w:p>
    <w:p>
      <w:pPr>
        <w:spacing w:after="0" w:line="129" w:lineRule="exact"/>
        <w:rPr>
          <w:rFonts w:ascii="Arial" w:cs="Arial" w:eastAsia="Arial" w:hAnsi="Arial"/>
          <w:sz w:val="12"/>
          <w:szCs w:val="12"/>
          <w:color w:val="auto"/>
        </w:rPr>
      </w:pPr>
    </w:p>
    <w:p>
      <w:pPr>
        <w:ind w:left="1980" w:right="1800" w:hanging="228"/>
        <w:spacing w:after="0" w:line="289" w:lineRule="auto"/>
        <w:tabs>
          <w:tab w:leader="none" w:pos="19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global security concerns caused by terrorist attacks, the threat of terrorist attacks, or the precautions taken in anticipation of such attacks, including elevated threat warnings or selective cancellation or redirection of travel;</w:t>
      </w:r>
    </w:p>
    <w:p>
      <w:pPr>
        <w:spacing w:after="0" w:line="75" w:lineRule="exact"/>
        <w:rPr>
          <w:rFonts w:ascii="Arial" w:cs="Arial" w:eastAsia="Arial" w:hAnsi="Arial"/>
          <w:sz w:val="12"/>
          <w:szCs w:val="12"/>
          <w:color w:val="auto"/>
        </w:rPr>
      </w:pPr>
    </w:p>
    <w:p>
      <w:pPr>
        <w:ind w:left="1980" w:right="1820" w:hanging="228"/>
        <w:spacing w:after="0" w:line="277" w:lineRule="auto"/>
        <w:tabs>
          <w:tab w:leader="none" w:pos="19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cyber-terrorism, the outbreak of hostilities, global conflict, or escalation or worsening of existing hostilities or war, such as the ongoing conflicts in Ukraine and the Middle East and tensions between China and Taiwan, in some cases resulting in sanctions imposed by the United States and other countries, and retaliatory actions taken by sanctioned countries in response to such sanctions;</w:t>
      </w:r>
    </w:p>
    <w:p>
      <w:pPr>
        <w:spacing w:after="0" w:line="83" w:lineRule="exact"/>
        <w:rPr>
          <w:rFonts w:ascii="Arial" w:cs="Arial" w:eastAsia="Arial" w:hAnsi="Arial"/>
          <w:sz w:val="12"/>
          <w:szCs w:val="12"/>
          <w:color w:val="auto"/>
        </w:rPr>
      </w:pPr>
    </w:p>
    <w:p>
      <w:pPr>
        <w:ind w:left="1980" w:right="1820" w:hanging="228"/>
        <w:spacing w:after="0" w:line="312" w:lineRule="auto"/>
        <w:tabs>
          <w:tab w:leader="none" w:pos="19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adverse changes in visa and immigration policies or the imposition of travel restrictions or more restrictive security procedures;</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980" w:right="1720" w:hanging="228"/>
        <w:spacing w:after="0" w:line="281" w:lineRule="auto"/>
        <w:tabs>
          <w:tab w:leader="none" w:pos="19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climate change-related impact to travel destinations, such as extreme weather, natural disasters and disruptions, and actions taken by governments, businesses, our suppliers, and our other partners to combat climate change, such as new travel-related regulations, policies, or conditions related to sustainability and climate-change concerns;</w:t>
      </w:r>
    </w:p>
    <w:p>
      <w:pPr>
        <w:spacing w:after="0" w:line="80" w:lineRule="exact"/>
        <w:rPr>
          <w:rFonts w:ascii="Arial" w:cs="Arial" w:eastAsia="Arial" w:hAnsi="Arial"/>
          <w:sz w:val="12"/>
          <w:szCs w:val="12"/>
          <w:color w:val="auto"/>
        </w:rPr>
      </w:pPr>
    </w:p>
    <w:p>
      <w:pPr>
        <w:ind w:left="1980" w:right="1840" w:hanging="228"/>
        <w:spacing w:after="0" w:line="312" w:lineRule="auto"/>
        <w:tabs>
          <w:tab w:leader="none" w:pos="19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occurrence of travel-related accidents or the grounding of aircraft due to safety concerns or regulatory actions;</w:t>
      </w:r>
    </w:p>
    <w:p>
      <w:pPr>
        <w:spacing w:after="0" w:line="62" w:lineRule="exact"/>
        <w:rPr>
          <w:rFonts w:ascii="Arial" w:cs="Arial" w:eastAsia="Arial" w:hAnsi="Arial"/>
          <w:sz w:val="12"/>
          <w:szCs w:val="12"/>
          <w:color w:val="auto"/>
        </w:rPr>
      </w:pPr>
    </w:p>
    <w:p>
      <w:pPr>
        <w:ind w:left="1980" w:right="1800" w:hanging="228"/>
        <w:spacing w:after="0" w:line="305" w:lineRule="auto"/>
        <w:tabs>
          <w:tab w:leader="none" w:pos="19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technical and operational disruptions at key transit hubs, including key international airports due to insufficient funding of aviation and other travel or transportation agencies or governmental bodies;</w:t>
      </w:r>
    </w:p>
    <w:p>
      <w:pPr>
        <w:spacing w:after="0" w:line="223" w:lineRule="exact"/>
        <w:rPr>
          <w:rFonts w:ascii="Arial" w:cs="Arial" w:eastAsia="Arial" w:hAnsi="Arial"/>
          <w:sz w:val="12"/>
          <w:szCs w:val="12"/>
          <w:color w:val="auto"/>
        </w:rPr>
      </w:pPr>
    </w:p>
    <w:p>
      <w:pPr>
        <w:ind w:left="1980" w:right="1720" w:hanging="228"/>
        <w:spacing w:after="0" w:line="312" w:lineRule="auto"/>
        <w:tabs>
          <w:tab w:leader="none" w:pos="19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changes in preferences from traditional hotel bookings to the use of alternative providers that are not available on our platform;</w:t>
      </w:r>
    </w:p>
    <w:p>
      <w:pPr>
        <w:spacing w:after="0" w:line="62" w:lineRule="exact"/>
        <w:rPr>
          <w:rFonts w:ascii="Arial" w:cs="Arial" w:eastAsia="Arial" w:hAnsi="Arial"/>
          <w:sz w:val="12"/>
          <w:szCs w:val="12"/>
          <w:color w:val="auto"/>
        </w:rPr>
      </w:pPr>
    </w:p>
    <w:p>
      <w:pPr>
        <w:ind w:left="1980" w:right="1700" w:hanging="228"/>
        <w:spacing w:after="0" w:line="312" w:lineRule="auto"/>
        <w:tabs>
          <w:tab w:leader="none" w:pos="19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impact of macroeconomic conditions and labor shortages on the cost and availability of airline travel, including the risk of a global recession;</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regulatory actions or changes to regulations governing the travel industry; and</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widespread health concerns or pandemics, such as the COVID-19 pandemic.</w:t>
      </w:r>
    </w:p>
    <w:p>
      <w:pPr>
        <w:spacing w:after="0" w:line="130" w:lineRule="exact"/>
        <w:rPr>
          <w:sz w:val="20"/>
          <w:szCs w:val="20"/>
          <w:color w:val="auto"/>
        </w:rPr>
      </w:pPr>
    </w:p>
    <w:p>
      <w:pPr>
        <w:ind w:left="1520" w:right="1720" w:firstLine="230"/>
        <w:spacing w:after="0" w:line="289" w:lineRule="auto"/>
        <w:rPr>
          <w:sz w:val="20"/>
          <w:szCs w:val="20"/>
          <w:color w:val="auto"/>
        </w:rPr>
      </w:pPr>
      <w:r>
        <w:rPr>
          <w:rFonts w:ascii="Arial" w:cs="Arial" w:eastAsia="Arial" w:hAnsi="Arial"/>
          <w:sz w:val="12"/>
          <w:szCs w:val="12"/>
          <w:color w:val="auto"/>
        </w:rPr>
        <w:t>We have historically experienced and may in the future experience negative impacts to our business, financial condition, results of operations, and prospects from some or all of the above disruptions to business or consumer travel.</w:t>
      </w:r>
    </w:p>
    <w:p>
      <w:pPr>
        <w:spacing w:after="0" w:line="76" w:lineRule="exact"/>
        <w:rPr>
          <w:sz w:val="20"/>
          <w:szCs w:val="20"/>
          <w:color w:val="auto"/>
        </w:rPr>
      </w:pPr>
    </w:p>
    <w:p>
      <w:pPr>
        <w:ind w:left="1520" w:right="1800" w:firstLine="230"/>
        <w:spacing w:after="0" w:line="312" w:lineRule="auto"/>
        <w:rPr>
          <w:sz w:val="20"/>
          <w:szCs w:val="20"/>
          <w:color w:val="auto"/>
        </w:rPr>
      </w:pPr>
      <w:r>
        <w:rPr>
          <w:rFonts w:ascii="Arial" w:cs="Arial" w:eastAsia="Arial" w:hAnsi="Arial"/>
          <w:sz w:val="12"/>
          <w:szCs w:val="12"/>
          <w:color w:val="auto"/>
        </w:rPr>
        <w:t>In addition, from time to time, certain airlines struggle to meet spikes in demand, leading to elevated cancellations and delays that frustrate passengers and strain airport operations. When large numbers of</w:t>
      </w:r>
    </w:p>
    <w:p>
      <w:pPr>
        <w:sectPr>
          <w:pgSz w:w="11900" w:h="16840" w:orient="portrait"/>
          <w:cols w:equalWidth="0" w:num="1">
            <w:col w:w="9020"/>
          </w:cols>
          <w:pgMar w:left="1440" w:top="1316" w:right="1440" w:bottom="37" w:gutter="0" w:footer="0" w:header="0"/>
        </w:sectPr>
      </w:pPr>
    </w:p>
    <w:bookmarkStart w:id="25" w:name="page26"/>
    <w:bookmarkEnd w:id="25"/>
    <w:p>
      <w:pPr>
        <w:ind w:left="1520" w:right="1720"/>
        <w:spacing w:after="0" w:line="209" w:lineRule="auto"/>
        <w:rPr>
          <w:sz w:val="20"/>
          <w:szCs w:val="20"/>
          <w:color w:val="auto"/>
        </w:rPr>
      </w:pPr>
      <w:r>
        <w:rPr>
          <w:rFonts w:ascii="Arial" w:cs="Arial" w:eastAsia="Arial" w:hAnsi="Arial"/>
          <w:sz w:val="12"/>
          <w:szCs w:val="12"/>
          <w:color w:val="auto"/>
        </w:rPr>
        <w:t>our customers experience delays or cancellations, our support costs tend to increase, and prolonged periods of systemic disruptions increase our operating costs and adversely affect our margins and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-146050</wp:posOffset>
            </wp:positionV>
            <wp:extent cx="6732270" cy="9970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2"/>
          <w:szCs w:val="12"/>
          <w:color w:val="auto"/>
        </w:rPr>
        <w:t>of operations.</w:t>
      </w:r>
    </w:p>
    <w:p>
      <w:pPr>
        <w:spacing w:after="0" w:line="120" w:lineRule="exact"/>
        <w:rPr>
          <w:sz w:val="20"/>
          <w:szCs w:val="20"/>
          <w:color w:val="auto"/>
        </w:rPr>
      </w:pPr>
    </w:p>
    <w:p>
      <w:pPr>
        <w:ind w:left="1520" w:right="1720"/>
        <w:spacing w:after="0" w:line="319" w:lineRule="auto"/>
        <w:rPr>
          <w:sz w:val="20"/>
          <w:szCs w:val="20"/>
          <w:color w:val="auto"/>
        </w:rPr>
      </w:pPr>
      <w:r>
        <w:rPr>
          <w:rFonts w:ascii="Arial" w:cs="Arial" w:eastAsia="Arial" w:hAnsi="Arial"/>
          <w:sz w:val="12"/>
          <w:szCs w:val="12"/>
          <w:b w:val="1"/>
          <w:bCs w:val="1"/>
          <w:i w:val="1"/>
          <w:iCs w:val="1"/>
          <w:color w:val="auto"/>
        </w:rPr>
        <w:t>Shifts in business travel trends or any decline in business travel demand would negatively impact our business, growth, results of operations, and financial condition.</w:t>
      </w:r>
    </w:p>
    <w:p>
      <w:pPr>
        <w:spacing w:after="0" w:line="52" w:lineRule="exact"/>
        <w:rPr>
          <w:sz w:val="20"/>
          <w:szCs w:val="20"/>
          <w:color w:val="auto"/>
        </w:rPr>
      </w:pPr>
    </w:p>
    <w:p>
      <w:pPr>
        <w:ind w:left="1520" w:right="1680" w:firstLine="230"/>
        <w:spacing w:after="0" w:line="269" w:lineRule="auto"/>
        <w:rPr>
          <w:sz w:val="20"/>
          <w:szCs w:val="20"/>
          <w:color w:val="auto"/>
        </w:rPr>
      </w:pPr>
      <w:r>
        <w:rPr>
          <w:rFonts w:ascii="Arial" w:cs="Arial" w:eastAsia="Arial" w:hAnsi="Arial"/>
          <w:sz w:val="12"/>
          <w:szCs w:val="12"/>
          <w:color w:val="auto"/>
        </w:rPr>
        <w:t>Our business and growth depend on continued demand for business travel. In addition to global travel trends, business travel volume has been and may in the future be impacted by a number of different factors. The continued proliferation of remote and hybrid work models has enabled many companies to replace in-person meetings and events with virtual alternatives, which can be more cost-effective, resulting in some companies reducing discretionary travel. Shifts in trends regarding return-to-office mandates at our existing and potential customers have in the past impacted and may in the future impact our growth and business model, particularly if we face difficulties in acquiring new customers. Geopolitical instability and shifting political policies and landscapes have also impacted and may continue to impact certain existing and potential customers’ policies with respect to business travel, particularly international travel, as well as business travel in and around geographic regions experiencing political instability, hostilities, or conflict. Companies have also been periodically reassessing and adjusting travel policies and related T&amp;E budgets, including due to the factors described above and broader factors impacting the travel industry generally, which has resulted and may continue to result in fluctuations in or reduced usage levels of our offerings across periods, contributing to fluctuations in our results of operations. Shifts in business travel trends or any decline in business travel demand could result in decreased new platform acquisition rates as well as reductions in usage of our offerings by our customers, which would negatively impact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1520" w:right="1720"/>
        <w:spacing w:after="0" w:line="319" w:lineRule="auto"/>
        <w:rPr>
          <w:sz w:val="20"/>
          <w:szCs w:val="20"/>
          <w:color w:val="auto"/>
        </w:rPr>
      </w:pPr>
      <w:r>
        <w:rPr>
          <w:rFonts w:ascii="Arial" w:cs="Arial" w:eastAsia="Arial" w:hAnsi="Arial"/>
          <w:sz w:val="12"/>
          <w:szCs w:val="12"/>
          <w:b w:val="1"/>
          <w:bCs w:val="1"/>
          <w:i w:val="1"/>
          <w:iCs w:val="1"/>
          <w:color w:val="auto"/>
        </w:rPr>
        <w:t>We may be unable to attract new customers and grow our customer base, which would negatively impact our revenue growth and results of operations.</w:t>
      </w:r>
    </w:p>
    <w:p>
      <w:pPr>
        <w:spacing w:after="0" w:line="52"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Our future growth depends in large part on increasing our customer base and maintaining and increasing the revenue we generate from those customers. To increase our GBV and revenue, we seek to expand our customers’ usage of our offerings, including by increasing their usage of our Travel offering and by driving their adoption and increased use of our additional offerings, including Corporate Payments, Expense Management, Meetings and Events, VIP, and Bleisure. The success of our business is substantially dependent on the actual and perceived viability, benefits, and advantages of our platform as a preferred product for T&amp;E management and corporate card programs, particularly when compared to customers’ existing alternatives and new competitive offerings.</w:t>
      </w:r>
    </w:p>
    <w:p>
      <w:pPr>
        <w:spacing w:after="0" w:line="88" w:lineRule="exact"/>
        <w:rPr>
          <w:sz w:val="20"/>
          <w:szCs w:val="20"/>
          <w:color w:val="auto"/>
        </w:rPr>
      </w:pPr>
    </w:p>
    <w:p>
      <w:pPr>
        <w:ind w:left="1520" w:right="1820" w:firstLine="230"/>
        <w:spacing w:after="0" w:line="281" w:lineRule="auto"/>
        <w:rPr>
          <w:sz w:val="20"/>
          <w:szCs w:val="20"/>
          <w:color w:val="auto"/>
        </w:rPr>
      </w:pPr>
      <w:r>
        <w:rPr>
          <w:rFonts w:ascii="Arial" w:cs="Arial" w:eastAsia="Arial" w:hAnsi="Arial"/>
          <w:sz w:val="12"/>
          <w:szCs w:val="12"/>
          <w:color w:val="auto"/>
        </w:rPr>
        <w:t>While we have experienced significant growth in the number of our customers in recent periods, we do not know whether we will continue to achieve similar customer growth rates in the future. Numerous factors have impeded and may continue to impede our ability to attract new customers and retain, and expand the use of our platform within, our customers, including:</w:t>
      </w:r>
    </w:p>
    <w:p>
      <w:pPr>
        <w:spacing w:after="0" w:line="81" w:lineRule="exact"/>
        <w:rPr>
          <w:sz w:val="20"/>
          <w:szCs w:val="20"/>
          <w:color w:val="auto"/>
        </w:rPr>
      </w:pPr>
    </w:p>
    <w:p>
      <w:pPr>
        <w:ind w:left="1980" w:right="1740" w:hanging="228"/>
        <w:spacing w:after="0" w:line="289" w:lineRule="auto"/>
        <w:tabs>
          <w:tab w:leader="none" w:pos="19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continued macroeconomic uncertainty, including as a result of tariffs and trade issues, rising interest rates, inflation, domestic and foreign currency fluctuation, instability in the global banking system, volatility in global stock markets, and the potential for a prolonged economic recession;</w:t>
      </w:r>
    </w:p>
    <w:p>
      <w:pPr>
        <w:spacing w:after="0" w:line="75" w:lineRule="exact"/>
        <w:rPr>
          <w:rFonts w:ascii="Arial" w:cs="Arial" w:eastAsia="Arial" w:hAnsi="Arial"/>
          <w:sz w:val="12"/>
          <w:szCs w:val="12"/>
          <w:color w:val="auto"/>
        </w:rPr>
      </w:pPr>
    </w:p>
    <w:p>
      <w:pPr>
        <w:ind w:left="1980" w:hanging="228"/>
        <w:spacing w:after="0"/>
        <w:tabs>
          <w:tab w:leader="none" w:pos="19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changes in demand for and trends in business travel among existing and potential customers;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reductions in T&amp;E budgets and increased IT budget scrutiny at existing or potential customers;</w:t>
      </w:r>
    </w:p>
    <w:p>
      <w:pPr>
        <w:spacing w:after="0" w:line="129" w:lineRule="exact"/>
        <w:rPr>
          <w:rFonts w:ascii="Arial" w:cs="Arial" w:eastAsia="Arial" w:hAnsi="Arial"/>
          <w:sz w:val="12"/>
          <w:szCs w:val="12"/>
          <w:color w:val="auto"/>
        </w:rPr>
      </w:pPr>
    </w:p>
    <w:p>
      <w:pPr>
        <w:ind w:left="1980" w:right="2040" w:hanging="228"/>
        <w:spacing w:after="0" w:line="312" w:lineRule="auto"/>
        <w:tabs>
          <w:tab w:leader="none" w:pos="19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failure to establish, maintain, or expand relationships with key suppliers and other partners, including any related changes in commission rates that negatively impact us;</w:t>
      </w:r>
    </w:p>
    <w:p>
      <w:pPr>
        <w:spacing w:after="0" w:line="62" w:lineRule="exact"/>
        <w:rPr>
          <w:rFonts w:ascii="Arial" w:cs="Arial" w:eastAsia="Arial" w:hAnsi="Arial"/>
          <w:sz w:val="12"/>
          <w:szCs w:val="12"/>
          <w:color w:val="auto"/>
        </w:rPr>
      </w:pPr>
    </w:p>
    <w:p>
      <w:pPr>
        <w:ind w:left="1980" w:right="1780" w:hanging="228"/>
        <w:spacing w:after="0" w:line="289" w:lineRule="auto"/>
        <w:tabs>
          <w:tab w:leader="none" w:pos="19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failure to compete effectively against alternative products or services, including traditional offline travel services provided by large and established competitors as well as digital-native offerings (including those powered by AI);</w:t>
      </w:r>
    </w:p>
    <w:p>
      <w:pPr>
        <w:spacing w:after="0" w:line="75" w:lineRule="exact"/>
        <w:rPr>
          <w:rFonts w:ascii="Arial" w:cs="Arial" w:eastAsia="Arial" w:hAnsi="Arial"/>
          <w:sz w:val="12"/>
          <w:szCs w:val="12"/>
          <w:color w:val="auto"/>
        </w:rPr>
      </w:pPr>
    </w:p>
    <w:p>
      <w:pPr>
        <w:ind w:left="1980" w:hanging="228"/>
        <w:spacing w:after="0"/>
        <w:tabs>
          <w:tab w:leader="none" w:pos="19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our ability to determine optimal pricing for our offerings, including in international markets;</w:t>
      </w:r>
    </w:p>
    <w:p>
      <w:pPr>
        <w:spacing w:after="0" w:line="129" w:lineRule="exact"/>
        <w:rPr>
          <w:rFonts w:ascii="Arial" w:cs="Arial" w:eastAsia="Arial" w:hAnsi="Arial"/>
          <w:sz w:val="12"/>
          <w:szCs w:val="12"/>
          <w:color w:val="auto"/>
        </w:rPr>
      </w:pPr>
    </w:p>
    <w:p>
      <w:pPr>
        <w:ind w:left="1980" w:right="2260" w:hanging="228"/>
        <w:spacing w:after="0" w:line="312" w:lineRule="auto"/>
        <w:tabs>
          <w:tab w:leader="none" w:pos="19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failure to successfully deploy new features and integrations or continue development or integration of Navan Cognition and related AI features and functionalities;</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failure to provide a quality customer experience and customer support; or</w:t>
      </w:r>
    </w:p>
    <w:p>
      <w:pPr>
        <w:spacing w:after="0" w:line="129" w:lineRule="exact"/>
        <w:rPr>
          <w:rFonts w:ascii="Arial" w:cs="Arial" w:eastAsia="Arial" w:hAnsi="Arial"/>
          <w:sz w:val="12"/>
          <w:szCs w:val="12"/>
          <w:color w:val="auto"/>
        </w:rPr>
      </w:pPr>
    </w:p>
    <w:p>
      <w:pPr>
        <w:ind w:left="1980" w:right="1700" w:hanging="228"/>
        <w:spacing w:after="0" w:line="312" w:lineRule="auto"/>
        <w:tabs>
          <w:tab w:leader="none" w:pos="19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failure of our sales and marketing strategies, including if we spend time and funding on strategies that do not provide sufficient return on our investment.</w:t>
      </w:r>
    </w:p>
    <w:p>
      <w:pPr>
        <w:spacing w:after="0" w:line="62" w:lineRule="exact"/>
        <w:rPr>
          <w:sz w:val="20"/>
          <w:szCs w:val="20"/>
          <w:color w:val="auto"/>
        </w:rPr>
      </w:pPr>
    </w:p>
    <w:p>
      <w:pPr>
        <w:ind w:left="1520" w:right="1700" w:firstLine="230"/>
        <w:spacing w:after="0" w:line="281" w:lineRule="auto"/>
        <w:rPr>
          <w:sz w:val="20"/>
          <w:szCs w:val="20"/>
          <w:color w:val="auto"/>
        </w:rPr>
      </w:pPr>
      <w:r>
        <w:rPr>
          <w:rFonts w:ascii="Arial" w:cs="Arial" w:eastAsia="Arial" w:hAnsi="Arial"/>
          <w:sz w:val="12"/>
          <w:szCs w:val="12"/>
          <w:color w:val="auto"/>
          <w:highlight w:val="white"/>
        </w:rPr>
        <w:t xml:space="preserve">If we are unsuccessful in our efforts to acquire new customers and increase our customer base, including due to any of the above factors, or if we do so in a way that is not profitable, our growth, business, results of operations, and financial condition would be harmed. </w:t>
      </w:r>
      <w:r>
        <w:rPr>
          <w:rFonts w:ascii="Arial" w:cs="Arial" w:eastAsia="Arial" w:hAnsi="Arial"/>
          <w:sz w:val="12"/>
          <w:szCs w:val="12"/>
          <w:color w:val="auto"/>
        </w:rPr>
        <w:t>Our growth will also depend in</w:t>
      </w:r>
      <w:r>
        <w:rPr>
          <w:rFonts w:ascii="Arial" w:cs="Arial" w:eastAsia="Arial" w:hAnsi="Arial"/>
          <w:sz w:val="12"/>
          <w:szCs w:val="12"/>
          <w:color w:val="auto"/>
          <w:highlight w:val="white"/>
        </w:rPr>
        <w:t xml:space="preserve"> </w:t>
      </w:r>
      <w:r>
        <w:rPr>
          <w:rFonts w:ascii="Arial" w:cs="Arial" w:eastAsia="Arial" w:hAnsi="Arial"/>
          <w:sz w:val="12"/>
          <w:szCs w:val="12"/>
          <w:color w:val="auto"/>
        </w:rPr>
        <w:t>part on capturing a greater portion of the unmanaged travel market.</w:t>
      </w:r>
    </w:p>
    <w:p>
      <w:pPr>
        <w:spacing w:after="0" w:line="83" w:lineRule="exact"/>
        <w:rPr>
          <w:sz w:val="20"/>
          <w:szCs w:val="20"/>
          <w:color w:val="auto"/>
        </w:rPr>
      </w:pPr>
    </w:p>
    <w:p>
      <w:pPr>
        <w:ind w:left="1520" w:right="1640"/>
        <w:spacing w:after="0" w:line="292" w:lineRule="auto"/>
        <w:rPr>
          <w:sz w:val="20"/>
          <w:szCs w:val="20"/>
          <w:color w:val="auto"/>
        </w:rPr>
      </w:pPr>
      <w:r>
        <w:rPr>
          <w:rFonts w:ascii="Arial" w:cs="Arial" w:eastAsia="Arial" w:hAnsi="Arial"/>
          <w:sz w:val="12"/>
          <w:szCs w:val="12"/>
          <w:b w:val="1"/>
          <w:bCs w:val="1"/>
          <w:i w:val="1"/>
          <w:iCs w:val="1"/>
          <w:color w:val="auto"/>
        </w:rPr>
        <w:t>We may not be successful in our efforts to retain and increase revenue from our customers, including by promoting and expanding adoption and usage of our offerings, which could adversely impact our business, financial condition, and results of operations.</w:t>
      </w:r>
    </w:p>
    <w:p>
      <w:pPr>
        <w:spacing w:after="0" w:line="68" w:lineRule="exact"/>
        <w:rPr>
          <w:sz w:val="20"/>
          <w:szCs w:val="20"/>
          <w:color w:val="auto"/>
        </w:rPr>
      </w:pPr>
    </w:p>
    <w:p>
      <w:pPr>
        <w:ind w:left="1520" w:right="1720" w:firstLine="230"/>
        <w:spacing w:after="0" w:line="275" w:lineRule="auto"/>
        <w:rPr>
          <w:sz w:val="20"/>
          <w:szCs w:val="20"/>
          <w:color w:val="auto"/>
        </w:rPr>
      </w:pPr>
      <w:r>
        <w:rPr>
          <w:rFonts w:ascii="Arial" w:cs="Arial" w:eastAsia="Arial" w:hAnsi="Arial"/>
          <w:sz w:val="12"/>
          <w:szCs w:val="12"/>
          <w:color w:val="auto"/>
        </w:rPr>
        <w:t>Our strategy involves landing customers with our Travel offering and expanding those relationships by increasing our customers’ engagement with and usage of additional offerings, including Corporate Payments, Expense Management, Meetings and Events, VIP, and Bleisure, and working to manage all of our customers’ corporate travel spend on our platform. If our customers do not adopt one or more of these additional offerings at the rate we anticipate or at all, our business and prospects could be negatively impacted. The success of these additional offerings depends upon our ability to sell them to</w:t>
      </w:r>
    </w:p>
    <w:p>
      <w:pPr>
        <w:sectPr>
          <w:pgSz w:w="11900" w:h="16840" w:orient="portrait"/>
          <w:cols w:equalWidth="0" w:num="1">
            <w:col w:w="9020"/>
          </w:cols>
          <w:pgMar w:left="1440" w:top="560" w:right="1440" w:bottom="922" w:gutter="0" w:footer="0" w:header="0"/>
        </w:sect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28</w:t>
      </w:r>
    </w:p>
    <w:p>
      <w:pPr>
        <w:sectPr>
          <w:pgSz w:w="11900" w:h="16840" w:orient="portrait"/>
          <w:cols w:equalWidth="0" w:num="1">
            <w:col w:w="9020"/>
          </w:cols>
          <w:pgMar w:left="1440" w:top="560" w:right="1440" w:bottom="922" w:gutter="0" w:footer="0" w:header="0"/>
          <w:type w:val="continuous"/>
        </w:sectPr>
      </w:pPr>
    </w:p>
    <w:bookmarkStart w:id="26" w:name="page27"/>
    <w:bookmarkEnd w:id="26"/>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520" w:right="1600"/>
        <w:spacing w:after="0" w:line="268" w:lineRule="auto"/>
        <w:rPr>
          <w:sz w:val="20"/>
          <w:szCs w:val="20"/>
          <w:color w:val="auto"/>
        </w:rPr>
      </w:pPr>
      <w:r>
        <w:rPr>
          <w:rFonts w:ascii="Arial" w:cs="Arial" w:eastAsia="Arial" w:hAnsi="Arial"/>
          <w:sz w:val="12"/>
          <w:szCs w:val="12"/>
          <w:color w:val="auto"/>
        </w:rPr>
        <w:t xml:space="preserve">our existing travel management customers and on increasing their utilization. We have been investing and expect to continue to invest in a number of strategic growth initiatives to drive adoption of these additional offerings, but there can be no assurance that such investments will be effective on a timely basis or at all. In particular, we may experience more difficulty or fluctuations in adoption and expansion rates of our additional offerings by smaller customers in the unmanaged travel market, including due to their heightened focus on total cost of ownership and self-service motions. In addition, </w:t>
      </w:r>
      <w:r>
        <w:rPr>
          <w:rFonts w:ascii="Arial" w:cs="Arial" w:eastAsia="Arial" w:hAnsi="Arial"/>
          <w:sz w:val="12"/>
          <w:szCs w:val="12"/>
          <w:color w:val="auto"/>
          <w:highlight w:val="white"/>
        </w:rPr>
        <w:t>there is a period of</w:t>
      </w:r>
      <w:r>
        <w:rPr>
          <w:rFonts w:ascii="Arial" w:cs="Arial" w:eastAsia="Arial" w:hAnsi="Arial"/>
          <w:sz w:val="12"/>
          <w:szCs w:val="12"/>
          <w:color w:val="auto"/>
        </w:rPr>
        <w:t xml:space="preserve"> </w:t>
      </w:r>
      <w:r>
        <w:rPr>
          <w:rFonts w:ascii="Arial" w:cs="Arial" w:eastAsia="Arial" w:hAnsi="Arial"/>
          <w:sz w:val="12"/>
          <w:szCs w:val="12"/>
          <w:color w:val="auto"/>
          <w:highlight w:val="white"/>
        </w:rPr>
        <w:t xml:space="preserve">time between when we acquire new customers and when we begin to recognize the bulk of our revenues, during which the customer implements our technology, moves corporate travel budgets to our platform, and then launches initial bookings. This time period fluctuates depending on the size, scope, and complexity of a customer’s overall corporate travel spend and organization. To expand our customers’ usage of our offerings, we will need to successfully partner with customers to help them realize increased value in our offerings in an efficient manner, particularly in uncertain macroeconomic environments characterized by heightened scrutiny over T&amp;E and IT budgets. </w:t>
      </w:r>
      <w:r>
        <w:rPr>
          <w:rFonts w:ascii="Arial" w:cs="Arial" w:eastAsia="Arial" w:hAnsi="Arial"/>
          <w:sz w:val="12"/>
          <w:szCs w:val="12"/>
          <w:color w:val="auto"/>
        </w:rPr>
        <w:t>If we do not effectively help our</w:t>
      </w:r>
      <w:r>
        <w:rPr>
          <w:rFonts w:ascii="Arial" w:cs="Arial" w:eastAsia="Arial" w:hAnsi="Arial"/>
          <w:sz w:val="12"/>
          <w:szCs w:val="12"/>
          <w:color w:val="auto"/>
          <w:highlight w:val="white"/>
        </w:rPr>
        <w:t xml:space="preserve"> </w:t>
      </w:r>
      <w:r>
        <w:rPr>
          <w:rFonts w:ascii="Arial" w:cs="Arial" w:eastAsia="Arial" w:hAnsi="Arial"/>
          <w:sz w:val="12"/>
          <w:szCs w:val="12"/>
          <w:color w:val="auto"/>
        </w:rPr>
        <w:t>customers realize the value of managing more of their corporate travel spend on our platform, our business, growth, and results of operations could be harmed. In addition, use of our corporate card offering, along with the Navan Connect offering that allows customers to connect their non-Navan corporate cards to the Navan Expense system, gives us insights into travelers throughout their journey and, as a result, adoption by customers of this offering is crucial to our long-term strategy of providing comprehensive and personalized experiences to travelers. Accordingly, if customers do not adopt our additional offerings, they may not realize the full value of our platform and consequently may be more difficult to retain. As a result, our business, financial condition, results of operations, and prospects may be adversely affected.</w:t>
      </w:r>
    </w:p>
    <w:p>
      <w:pPr>
        <w:spacing w:after="0" w:line="200" w:lineRule="exact"/>
        <w:rPr>
          <w:sz w:val="20"/>
          <w:szCs w:val="20"/>
          <w:color w:val="auto"/>
        </w:rPr>
      </w:pPr>
    </w:p>
    <w:p>
      <w:pPr>
        <w:spacing w:after="0" w:line="201"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Our expense management offerings are subscription-based, and expense management customers are not obligated to and may not renew their subscriptions after their existing subscriptions expire. We cannot assure you that such customers will renew subscriptions with the same or greater number of users or that they will upgrade to use features such as the corporate cards or Navan Connect. Customers may or may not renew their subscriptions as a result of a number of factors, including their satisfaction or dissatisfaction with our platform, changes we may implement in our pricing or structure, the pricing or capabilities of the products and services offered by our competitors, the effects of general economic conditions, or customers’ budgetary constraints. If our existing expense management customers do not renew their subscriptions, renew on less favorable terms, or fail to expand the adoption of our platform within their companies, our revenue may decline or grow less quickly than anticipated, which could adversely affect our business, financial condition, results of operations, and prospects.</w:t>
      </w:r>
    </w:p>
    <w:p>
      <w:pPr>
        <w:spacing w:after="0" w:line="93" w:lineRule="exact"/>
        <w:rPr>
          <w:sz w:val="20"/>
          <w:szCs w:val="20"/>
          <w:color w:val="auto"/>
        </w:rPr>
      </w:pPr>
    </w:p>
    <w:p>
      <w:pPr>
        <w:jc w:val="both"/>
        <w:ind w:left="1520" w:right="1740"/>
        <w:spacing w:after="0" w:line="292" w:lineRule="auto"/>
        <w:rPr>
          <w:sz w:val="20"/>
          <w:szCs w:val="20"/>
          <w:color w:val="auto"/>
        </w:rPr>
      </w:pPr>
      <w:r>
        <w:rPr>
          <w:rFonts w:ascii="Arial" w:cs="Arial" w:eastAsia="Arial" w:hAnsi="Arial"/>
          <w:sz w:val="12"/>
          <w:szCs w:val="12"/>
          <w:b w:val="1"/>
          <w:bCs w:val="1"/>
          <w:i w:val="1"/>
          <w:iCs w:val="1"/>
          <w:color w:val="auto"/>
        </w:rPr>
        <w:t>If we fail to offer high-quality customer support, including through our AI-powered virtual agents, or if our support is more expensive than anticipated, our business, margins, and reputation could suffer.</w:t>
      </w:r>
    </w:p>
    <w:p>
      <w:pPr>
        <w:spacing w:after="0" w:line="68" w:lineRule="exact"/>
        <w:rPr>
          <w:sz w:val="20"/>
          <w:szCs w:val="20"/>
          <w:color w:val="auto"/>
        </w:rPr>
      </w:pPr>
    </w:p>
    <w:p>
      <w:pPr>
        <w:ind w:left="1520" w:right="1700" w:firstLine="230"/>
        <w:spacing w:after="0" w:line="269" w:lineRule="auto"/>
        <w:rPr>
          <w:sz w:val="20"/>
          <w:szCs w:val="20"/>
          <w:color w:val="auto"/>
        </w:rPr>
      </w:pPr>
      <w:r>
        <w:rPr>
          <w:rFonts w:ascii="Arial" w:cs="Arial" w:eastAsia="Arial" w:hAnsi="Arial"/>
          <w:sz w:val="12"/>
          <w:szCs w:val="12"/>
          <w:color w:val="auto"/>
        </w:rPr>
        <w:t>Our customers rely on our customer support services to resolve issues and realize the full benefits provided by our platform. High-quality support is also important for retaining and expanding the use of our offerings by our customers. We provide customer support over chat, telephone, and email, including through Ava, our AI-powered virtual agent. In particular, our business and margins are highly dependent on our AI-powered framework that enables us to create, train, deploy, and supervise specialized AI-powered virtual agents that can handle complex tasks previously requiring human intervention, from booking modifications to expense tracking to resolving issues during trips. Our growth, business, margins, and results of operations could be harmed if our virtual agents do not effectively and satisfactorily address our users’ needs and demands in using our platform to book and manage business travel and related expenses (including if users ultimately need to interact with live agents due to any failures, including perceived failures, of such virtual agents). Our growth, reputation, business, margins, and results of operations could also be harmed if our virtual agents make errors or introduce flawed, incomplete, or inaccurate outputs, some of which may appear correct, including due to flaws in the logic of the AI (a so-called “hallucination”), when interacting with users or processing their requests. In some cases, our virtual agents produce results that are inaccurate or incomplete or may take unintended actions from user</w:t>
      </w: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20"/>
        <w:spacing w:after="0" w:line="271" w:lineRule="auto"/>
        <w:rPr>
          <w:sz w:val="20"/>
          <w:szCs w:val="20"/>
          <w:color w:val="auto"/>
        </w:rPr>
      </w:pPr>
      <w:r>
        <w:rPr>
          <w:rFonts w:ascii="Arial" w:cs="Arial" w:eastAsia="Arial" w:hAnsi="Arial"/>
          <w:sz w:val="12"/>
          <w:szCs w:val="12"/>
          <w:color w:val="auto"/>
        </w:rPr>
        <w:t>queries and inputs, even with no hallucinations, which could result in negative impacts to our users and customers and harm our reputation, growth, business, and results of operations. If we do not help our customers quickly resolve issues and provide effective ongoing support, or if our methods of providing support are insufficient to meet the needs of our customers, our ability to retain customers, expand usage of our offerings by our customers, and acquire new customers could suffer, and our reputation with existing or potential customers could be harmed. Moreover, if we are not able to meet the customer support needs of our customers through our AI-powered virtual agents or by chat and email, we may need to increase our support coverage and provide additional phone-based support. Agent-based phone-based support is more expensive to provide than the other customer support services we offer. As a result, increasing our support coverage and phone-based support services may negatively impact our gross margins.</w:t>
      </w:r>
    </w:p>
    <w:p>
      <w:pPr>
        <w:spacing w:after="0" w:line="241" w:lineRule="exact"/>
        <w:rPr>
          <w:sz w:val="20"/>
          <w:szCs w:val="20"/>
          <w:color w:val="auto"/>
        </w:rPr>
      </w:pPr>
    </w:p>
    <w:p>
      <w:pPr>
        <w:ind w:left="1520" w:right="1720" w:firstLine="230"/>
        <w:spacing w:after="0" w:line="270" w:lineRule="auto"/>
        <w:rPr>
          <w:sz w:val="20"/>
          <w:szCs w:val="20"/>
          <w:color w:val="auto"/>
        </w:rPr>
      </w:pPr>
      <w:r>
        <w:rPr>
          <w:rFonts w:ascii="Arial" w:cs="Arial" w:eastAsia="Arial" w:hAnsi="Arial"/>
          <w:sz w:val="12"/>
          <w:szCs w:val="12"/>
          <w:color w:val="auto"/>
        </w:rPr>
        <w:t>Our customers have experienced increased customer wait times in the past and may experience similar delays in the future, including due to circumstances outside of our control. For example, when large numbers of our travelers experience delays or cancellations, our travelers have and may in the future experience delays in receiving necessary support services from us and our suppliers. If we are unable to help our travelers quickly resolve issues as a result of support issues we ourselves experience from our suppliers, our ability to retain customers and expand their usage of our offerings and attract new customers, as well as our reputation, could be harmed, and our business, financial condition, results of operations, and prospects could be adversely affected. In addition, as we continue to grow our operations internally and reach a larger and increasingly global customer base, we need to be able to provide efficient customer support that meets the needs of companies using our platform globally at scale. The number of customers using our platform has grown significantly, which puts additional pressure on our customer support services. If we are unable to provide high-quality customer support while controlling our customer support costs, our profitability may be negatively impacted.</w:t>
      </w:r>
    </w:p>
    <w:p>
      <w:pPr>
        <w:spacing w:after="0" w:line="89" w:lineRule="exact"/>
        <w:rPr>
          <w:sz w:val="20"/>
          <w:szCs w:val="20"/>
          <w:color w:val="auto"/>
        </w:rPr>
      </w:pPr>
    </w:p>
    <w:p>
      <w:pPr>
        <w:ind w:left="1520"/>
        <w:spacing w:after="0"/>
        <w:rPr>
          <w:sz w:val="20"/>
          <w:szCs w:val="20"/>
          <w:color w:val="auto"/>
        </w:rPr>
      </w:pPr>
      <w:r>
        <w:rPr>
          <w:rFonts w:ascii="Arial" w:cs="Arial" w:eastAsia="Arial" w:hAnsi="Arial"/>
          <w:sz w:val="12"/>
          <w:szCs w:val="12"/>
          <w:b w:val="1"/>
          <w:bCs w:val="1"/>
          <w:i w:val="1"/>
          <w:iCs w:val="1"/>
          <w:color w:val="auto"/>
        </w:rPr>
        <w:t>Our Travel Management offerings depend on our relationships with suppliers.</w:t>
      </w:r>
    </w:p>
    <w:p>
      <w:pPr>
        <w:spacing w:after="0" w:line="128" w:lineRule="exact"/>
        <w:rPr>
          <w:sz w:val="20"/>
          <w:szCs w:val="20"/>
          <w:color w:val="auto"/>
        </w:rPr>
      </w:pPr>
    </w:p>
    <w:p>
      <w:pPr>
        <w:ind w:left="1520" w:right="1700" w:firstLine="230"/>
        <w:spacing w:after="0" w:line="281" w:lineRule="auto"/>
        <w:rPr>
          <w:sz w:val="20"/>
          <w:szCs w:val="20"/>
          <w:color w:val="auto"/>
        </w:rPr>
      </w:pPr>
      <w:r>
        <w:rPr>
          <w:rFonts w:ascii="Arial" w:cs="Arial" w:eastAsia="Arial" w:hAnsi="Arial"/>
          <w:sz w:val="12"/>
          <w:szCs w:val="12"/>
          <w:color w:val="auto"/>
        </w:rPr>
        <w:t>The success of our Travel Management offerings depends on our ability to maintain and expand our relationships with our suppliers to offer our customers an unrivaled range of global travel inventory at optimal prices. Our ability to maintain our supplier relationships on favorable terms will depend on, among other things, providing suppliers with access to a large, expanding, and highly engaged user base of</w:t>
      </w:r>
    </w:p>
    <w:p>
      <w:pPr>
        <w:sectPr>
          <w:pgSz w:w="11900" w:h="16840" w:orient="portrait"/>
          <w:cols w:equalWidth="0" w:num="1">
            <w:col w:w="9020"/>
          </w:cols>
          <w:pgMar w:left="1440" w:top="560" w:right="1440" w:bottom="56" w:gutter="0" w:footer="0" w:header="0"/>
        </w:sectPr>
      </w:pPr>
    </w:p>
    <w:bookmarkStart w:id="27" w:name="page28"/>
    <w:bookmarkEnd w:id="27"/>
    <w:p>
      <w:pPr>
        <w:ind w:left="1520" w:right="1700"/>
        <w:spacing w:after="0" w:line="209" w:lineRule="auto"/>
        <w:rPr>
          <w:sz w:val="20"/>
          <w:szCs w:val="20"/>
          <w:color w:val="auto"/>
        </w:rPr>
      </w:pPr>
      <w:r>
        <w:rPr>
          <w:rFonts w:ascii="Arial" w:cs="Arial" w:eastAsia="Arial" w:hAnsi="Arial"/>
          <w:sz w:val="12"/>
          <w:szCs w:val="12"/>
          <w:color w:val="auto"/>
        </w:rPr>
        <w:t>frequent travelers, visibility into traveler demand signals, flexible retailing and brand control for their products offered on our platform, access to new distribution initiatives like NDC, and access to our flexible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-146050</wp:posOffset>
            </wp:positionV>
            <wp:extent cx="6732270" cy="9970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700"/>
        <w:spacing w:after="0" w:line="272" w:lineRule="auto"/>
        <w:rPr>
          <w:sz w:val="20"/>
          <w:szCs w:val="20"/>
          <w:color w:val="auto"/>
        </w:rPr>
      </w:pPr>
      <w:r>
        <w:rPr>
          <w:rFonts w:ascii="Arial" w:cs="Arial" w:eastAsia="Arial" w:hAnsi="Arial"/>
          <w:sz w:val="12"/>
          <w:szCs w:val="12"/>
          <w:color w:val="auto"/>
        </w:rPr>
        <w:t>platform architecture and integration capabilities to allow suppliers to roll out and test new products, content, pricing, and other features. In addition, if one or more of our suppliers suffers a deterioration in its financial condition, changes our contractual commission rate, or terminates its relationship with us, it could adversely affect our ability to deliver desired travel inventory to our customers as well as our business, financial condition, and results of operations.</w:t>
      </w:r>
    </w:p>
    <w:p>
      <w:pPr>
        <w:spacing w:after="0" w:line="87"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Commissions on sales through GDSs are highly standardized, while direct supplier agreements are more variable and may involve higher commissions. If industry-wide commissions are reduced, or if we are unable to enter into favorable direct agreements with new suppliers, our business, financial condition, and results of operations could be adversely affected. Suppliers may change their commission rates, whether pursuant to our supplier contracts or more broadly, for a number of reasons, including in response to macroeconomic factors or changes in their business strategy. As part of strategic shifts, suppliers may also seek to implement their own direct distribution channels or pivot from intermediary channels, such as certain GDSs, which may result in negative impacts to our business, such as reductions in our supply inventory or increased prices by such suppliers on our platform. Such strategic shifts may reflect supplier efforts to optimize the financial profile of their distribution channels, including by managing commission rates in a manner that negatively impacts our usage-based revenue. Further proliferation or market acceptance of new distribution standards like NDC may also result in strategic shifts by our suppliers, which may negatively impact their relationships with us and are outside of our control.</w:t>
      </w: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Finally, we typically negotiate or renegotiate our agreements with these suppliers annually or every several years, depending on the duration of the agreement. No assurances can be given that suppliers will elect to participate in our platform or that our compensation, access to inventory, or access to inventory at competitive rates will not be reduced or eliminated in the future. Suppliers may also elect to reduce the cost of their products or services and therefore reduce our margins, and there can be no assurance that our agreements with suppliers will not lapse between renewals, which could limit our inventory. Such providers could seek to charge us for or otherwise restrict access to premium inventory, increase credit card fees or fees for other services, fail to provide us with accurate booking information, or otherwise take actions that could increase our operating expenses. As we focus our sales strategy on targeting and acquiring more of the unmanaged travel market, suppliers may reassess their strategic positioning with us and result in renegotiations of our contractual terms, including commission rates. Any of these actions, or other similar actions, could reduce our revenue and margins and could adversely affect our business, financial condition, results of operations, and prospects.</w:t>
      </w:r>
    </w:p>
    <w:p>
      <w:pPr>
        <w:spacing w:after="0" w:line="89" w:lineRule="exact"/>
        <w:rPr>
          <w:sz w:val="20"/>
          <w:szCs w:val="20"/>
          <w:color w:val="auto"/>
        </w:rPr>
      </w:pPr>
    </w:p>
    <w:p>
      <w:pPr>
        <w:ind w:left="1520"/>
        <w:spacing w:after="0"/>
        <w:rPr>
          <w:sz w:val="20"/>
          <w:szCs w:val="20"/>
          <w:color w:val="auto"/>
        </w:rPr>
      </w:pPr>
      <w:r>
        <w:rPr>
          <w:rFonts w:ascii="Arial" w:cs="Arial" w:eastAsia="Arial" w:hAnsi="Arial"/>
          <w:sz w:val="12"/>
          <w:szCs w:val="12"/>
          <w:b w:val="1"/>
          <w:bCs w:val="1"/>
          <w:i w:val="1"/>
          <w:iCs w:val="1"/>
          <w:color w:val="auto"/>
        </w:rPr>
        <w:t>We have a history of operating losses and may not achieve or sustain profitability in the future.</w:t>
      </w:r>
    </w:p>
    <w:p>
      <w:pPr>
        <w:spacing w:after="0" w:line="128" w:lineRule="exact"/>
        <w:rPr>
          <w:sz w:val="20"/>
          <w:szCs w:val="20"/>
          <w:color w:val="auto"/>
        </w:rPr>
      </w:pPr>
    </w:p>
    <w:p>
      <w:pPr>
        <w:ind w:left="1520" w:right="1600" w:firstLine="230"/>
        <w:spacing w:after="0" w:line="268" w:lineRule="auto"/>
        <w:rPr>
          <w:sz w:val="20"/>
          <w:szCs w:val="20"/>
          <w:color w:val="auto"/>
        </w:rPr>
      </w:pPr>
      <w:r>
        <w:rPr>
          <w:rFonts w:ascii="Arial" w:cs="Arial" w:eastAsia="Arial" w:hAnsi="Arial"/>
          <w:sz w:val="12"/>
          <w:szCs w:val="12"/>
          <w:color w:val="auto"/>
        </w:rPr>
        <w:t xml:space="preserve">We were incorporated in 2015 and have incurred net losses in each year since inception </w:t>
      </w:r>
      <w:r>
        <w:rPr>
          <w:rFonts w:ascii="Arial" w:cs="Arial" w:eastAsia="Arial" w:hAnsi="Arial"/>
          <w:sz w:val="12"/>
          <w:szCs w:val="12"/>
          <w:color w:val="auto"/>
          <w:highlight w:val="white"/>
        </w:rPr>
        <w:t>and we may</w:t>
      </w:r>
      <w:r>
        <w:rPr>
          <w:rFonts w:ascii="Arial" w:cs="Arial" w:eastAsia="Arial" w:hAnsi="Arial"/>
          <w:sz w:val="12"/>
          <w:szCs w:val="12"/>
          <w:color w:val="auto"/>
        </w:rPr>
        <w:t xml:space="preserve"> </w:t>
      </w:r>
      <w:r>
        <w:rPr>
          <w:rFonts w:ascii="Arial" w:cs="Arial" w:eastAsia="Arial" w:hAnsi="Arial"/>
          <w:sz w:val="12"/>
          <w:szCs w:val="12"/>
          <w:color w:val="auto"/>
          <w:highlight w:val="white"/>
        </w:rPr>
        <w:t xml:space="preserve">not achieve or, if achieved, sustain profitability in the future </w:t>
      </w:r>
      <w:r>
        <w:rPr>
          <w:rFonts w:ascii="Arial" w:cs="Arial" w:eastAsia="Arial" w:hAnsi="Arial"/>
          <w:sz w:val="12"/>
          <w:szCs w:val="12"/>
          <w:color w:val="auto"/>
        </w:rPr>
        <w:t>. We generated net losses of $181.1 million in</w:t>
      </w:r>
      <w:r>
        <w:rPr>
          <w:rFonts w:ascii="Arial" w:cs="Arial" w:eastAsia="Arial" w:hAnsi="Arial"/>
          <w:sz w:val="12"/>
          <w:szCs w:val="12"/>
          <w:color w:val="auto"/>
          <w:highlight w:val="white"/>
        </w:rPr>
        <w:t xml:space="preserve"> </w:t>
      </w:r>
      <w:r>
        <w:rPr>
          <w:rFonts w:ascii="Arial" w:cs="Arial" w:eastAsia="Arial" w:hAnsi="Arial"/>
          <w:sz w:val="12"/>
          <w:szCs w:val="12"/>
          <w:color w:val="auto"/>
        </w:rPr>
        <w:t>fiscal 2025 and $331.6 million in fiscal 2024. We generated net losses of $99.9 million for the six months ended July 31, 2025 and $92.5 million for the six months ended July 31, 2024. We had an accumulated deficit of $1,617 million as of January 31, 2025 and $1,717 million as of July 31, 2025. While we experienced significant revenue growth in recent periods, we cannot predict whether we will maintain this level of growth or when we will achieve profitability. We are not certain whether or when our revenue will be sufficient to sustain or increase our growth or achieve profitability in the future. Even if we achieve profitability, we may not be able to sustain or increase our profitability. We also expect our costs and expenses to increase in future periods, which could negatively affect our future results of operations if our revenue does not increase. In particular, we intend to continue to make significant investments in our business, including to further develop our platform and offerings, such as our technology infrastructure and our AI framework, features, and functionalities, expand our marketing programs and sales teams to drive new customer acquisition and expand engagement with our platform and offerings within our customers, support our international expansion, and develop and introduce new offerings, use cases, and platform features and functionalities. We will also face increased costs associated with growth, the expansion of our customer and supplier base, continued focus on our sales strategies, expansion of our efforts to increase our share of the unmanaged travel market, and increases in general and administrative expenses as a result of being a public company. We also may never achieve or maintain profitability if we are not able to acquire new customers, drive further adoption within existing customers, or maintain and strengthen our supplier relationships.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or, once achieved, sustain profitability, the value of our business and Class A common stock may significantly decrease and our business, financial condition, results of operations, and prospects could be adversely affected.</w:t>
      </w:r>
    </w:p>
    <w:p>
      <w:pPr>
        <w:spacing w:after="0" w:line="244" w:lineRule="exact"/>
        <w:rPr>
          <w:sz w:val="20"/>
          <w:szCs w:val="20"/>
          <w:color w:val="auto"/>
        </w:rPr>
      </w:pPr>
    </w:p>
    <w:p>
      <w:pPr>
        <w:ind w:left="1520" w:right="1740"/>
        <w:spacing w:after="0" w:line="284" w:lineRule="auto"/>
        <w:rPr>
          <w:sz w:val="20"/>
          <w:szCs w:val="20"/>
          <w:color w:val="auto"/>
        </w:rPr>
      </w:pPr>
      <w:r>
        <w:rPr>
          <w:rFonts w:ascii="Arial" w:cs="Arial" w:eastAsia="Arial" w:hAnsi="Arial"/>
          <w:sz w:val="12"/>
          <w:szCs w:val="12"/>
          <w:b w:val="1"/>
          <w:bCs w:val="1"/>
          <w:i w:val="1"/>
          <w:iCs w:val="1"/>
          <w:color w:val="auto"/>
        </w:rPr>
        <w:t>We have a limited history operating our business at its current scale, scope, and complexity in an evolving market and economic environment, which makes it difficult to evaluate our current business, plan for future operations and strategic initiatives, predict future results, and evaluate our future prospects, increasing the risks associated with your investment.</w:t>
      </w:r>
    </w:p>
    <w:p>
      <w:pPr>
        <w:spacing w:after="0" w:line="72" w:lineRule="exact"/>
        <w:rPr>
          <w:sz w:val="20"/>
          <w:szCs w:val="20"/>
          <w:color w:val="auto"/>
        </w:rPr>
      </w:pPr>
    </w:p>
    <w:p>
      <w:pPr>
        <w:ind w:left="1520" w:right="1700" w:firstLine="230"/>
        <w:spacing w:after="0" w:line="275" w:lineRule="auto"/>
        <w:rPr>
          <w:sz w:val="20"/>
          <w:szCs w:val="20"/>
          <w:color w:val="auto"/>
        </w:rPr>
      </w:pPr>
      <w:r>
        <w:rPr>
          <w:rFonts w:ascii="Arial" w:cs="Arial" w:eastAsia="Arial" w:hAnsi="Arial"/>
          <w:sz w:val="12"/>
          <w:szCs w:val="12"/>
          <w:color w:val="auto"/>
        </w:rPr>
        <w:t>We were incorporated in 2015, launched our Travel offering in 2016, and introduced our Expense Management offerings in 2020. Travel demand levels have normalized in recent periods, a trend that we expect to continue, and our recent accelerated growth rates have moderated and may continue to do so in future periods. Further, in more recent periods, there has been uncertainty and disruption in the political environment, global economy, and financial markets, which have resulted and may continue to result in fluctuations in demand for business travel as well as reductions of corporate travel budgets and</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ectPr>
          <w:pgSz w:w="11900" w:h="16840" w:orient="portrait"/>
          <w:cols w:equalWidth="0" w:num="1">
            <w:col w:w="9020"/>
          </w:cols>
          <w:pgMar w:left="1440" w:top="560" w:right="1440" w:bottom="38"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information technology investment. Accordingly, we have limited experience in, and data and results from,</w:t>
      </w:r>
    </w:p>
    <w:p>
      <w:pPr>
        <w:sectPr>
          <w:pgSz w:w="11900" w:h="16840" w:orient="portrait"/>
          <w:cols w:equalWidth="0" w:num="1">
            <w:col w:w="9020"/>
          </w:cols>
          <w:pgMar w:left="1440" w:top="560" w:right="1440" w:bottom="38" w:gutter="0" w:footer="0" w:header="0"/>
          <w:type w:val="continuous"/>
        </w:sectPr>
      </w:pPr>
    </w:p>
    <w:bookmarkStart w:id="28" w:name="page29"/>
    <w:bookmarkEnd w:id="28"/>
    <w:p>
      <w:pPr>
        <w:ind w:left="1520" w:right="1740"/>
        <w:spacing w:after="0" w:line="153" w:lineRule="exact"/>
        <w:rPr>
          <w:sz w:val="20"/>
          <w:szCs w:val="20"/>
          <w:color w:val="auto"/>
        </w:rPr>
      </w:pPr>
      <w:r>
        <w:rPr>
          <w:rFonts w:ascii="Arial" w:cs="Arial" w:eastAsia="Arial" w:hAnsi="Arial"/>
          <w:sz w:val="12"/>
          <w:szCs w:val="12"/>
          <w:color w:val="auto"/>
        </w:rPr>
        <w:t>operating our business at its current scale, scope, and complexity and in a rapidly evolving market for business travel. We also have limited data from, and experience operating our business under current macroeconomic conditions, including elevated inflation, rising interest rates, and foreign</w:t>
      </w:r>
      <w:r>
        <w:rPr>
          <w:rFonts w:ascii="MS PGothic" w:cs="MS PGothic" w:eastAsia="MS PGothic" w:hAnsi="MS PGothic"/>
          <w:sz w:val="12"/>
          <w:szCs w:val="12"/>
          <w:color w:val="auto"/>
        </w:rPr>
        <w:t>‐</w:t>
      </w:r>
      <w:r>
        <w:rPr>
          <w:rFonts w:ascii="Arial" w:cs="Arial" w:eastAsia="Arial" w:hAnsi="Arial"/>
          <w:sz w:val="12"/>
          <w:szCs w:val="12"/>
          <w:color w:val="auto"/>
        </w:rPr>
        <w:t>exchange fluctuations, and cannot fully predict how customers and suppliers will operate in this environment. We have encountered, and expect to continue to encounter risks and uncertainties frequently experienced by growing companies in rapidly changing industries, such as the risks and uncertainties described herein. As a result, our ability to plan for future operations and strategic initiatives, predict future results of operations, and plan for and model future growth in revenue and expenses and prospects is subject to significant risk and uncertainty as compared to companies with longer and more consistent operating histories and in more stable macroeconomic environments and industries. These circumstances in turn limit our ability to accurately predict and plan for our customer demands and, given our usage-based travel revenue model, our growth rates, revenue, margins, and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-1158875</wp:posOffset>
            </wp:positionV>
            <wp:extent cx="6732270" cy="9970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87" w:lineRule="exact"/>
        <w:rPr>
          <w:sz w:val="20"/>
          <w:szCs w:val="20"/>
          <w:color w:val="auto"/>
        </w:rPr>
      </w:pPr>
    </w:p>
    <w:p>
      <w:pPr>
        <w:ind w:left="1520" w:right="1700" w:firstLine="230"/>
        <w:spacing w:after="0" w:line="268" w:lineRule="auto"/>
        <w:rPr>
          <w:sz w:val="20"/>
          <w:szCs w:val="20"/>
          <w:color w:val="auto"/>
        </w:rPr>
      </w:pPr>
      <w:r>
        <w:rPr>
          <w:rFonts w:ascii="Arial" w:cs="Arial" w:eastAsia="Arial" w:hAnsi="Arial"/>
          <w:sz w:val="12"/>
          <w:szCs w:val="12"/>
          <w:color w:val="auto"/>
        </w:rPr>
        <w:t>Moreover, while we have invested heavily in our additional offerings beyond travel management, including our Corporate Payments, Expense Management, Meetings and Events, VIP, and Bleisure offerings, we are continuing to grow and scale these offerings, and we cannot be certain when, if ever, we will achieve meaningful scale, customer adoption and expansion, and revenue from such offerings, particularly as we continue to grow our customer base and as we scale in number of customers served. Our business and growth strategies are also dependent on continued development, and implementation and integration of Navan Cognition, our proprietary AI framework for our platform, and related AI features and functionalities for our platform. While we have invested significantly in our AI framework, features and functionalities over the past several years, including our Navan Cognition framework, to help drive future growth in our business and reduce costs, AI technology is expected to continue to rapidly advance. We may not be successful in maintaining or increasing market acceptance of our platform to satisfy customer and user demand for integrated AI technologies, features, and functionalities, particularly as competitive technologies and solutions are introduced. We may also not be successful in properly and effectively implementing and integrating our AI features and functionalities for our platform as we work to continue developing them to improve the user and customer experience with our platform and to reduce our costs. Any of these outcomes could harm our business, results of operations, and financial condition. We also expect future trends in our revenue, margins, and profitability to vary in ways that we may not anticipate or predict, which may be driven by our own product or strategic initiatives as well as external factors such as economic conditions. We also have limited experience in deploying our product-led growth strategy, as compared to our sales-led growth strategy. As a result, any predictions about our future revenue and expenses may not be as accurate as they would be if we had a longer operating history at the current scale, scope, and complexity of our business or operated in a more predictable or stable market.</w:t>
      </w:r>
    </w:p>
    <w:p>
      <w:pPr>
        <w:spacing w:after="0" w:line="93" w:lineRule="exact"/>
        <w:rPr>
          <w:sz w:val="20"/>
          <w:szCs w:val="20"/>
          <w:color w:val="auto"/>
        </w:rPr>
      </w:pPr>
    </w:p>
    <w:p>
      <w:pPr>
        <w:ind w:left="1520" w:right="1700" w:firstLine="230"/>
        <w:spacing w:after="0" w:line="271" w:lineRule="auto"/>
        <w:rPr>
          <w:sz w:val="20"/>
          <w:szCs w:val="20"/>
          <w:color w:val="auto"/>
        </w:rPr>
      </w:pPr>
      <w:r>
        <w:rPr>
          <w:rFonts w:ascii="Arial" w:cs="Arial" w:eastAsia="Arial" w:hAnsi="Arial"/>
          <w:sz w:val="12"/>
          <w:szCs w:val="12"/>
          <w:color w:val="auto"/>
        </w:rPr>
        <w:t>We have also recently completed several acquisitions of complementary businesses and have also broadened the scope and extent of our offerings outside of the United States. We have limited experience operating this expanded business at current scale and in increasing non-U.S. jurisdictions, including under economic conditions characterized by high inflation or in economic recessions. Certain of our longer-term strategic initiatives may also be obstructed or have unintended effects in the event of an economic recession, which we may not be able to predict. If our assumptions regarding these risks and uncertainties are incorrect or change due to changes in our markets or otherwise, or if we do not address these risks successfully, our results of operations could differ materially from our expectations and our business, financial condition, results of operations, and prospects could be adversely affected. We cannot assure you that we will be successful in addressing these and other challenges we may face in the future.</w:t>
      </w:r>
    </w:p>
    <w:p>
      <w:pPr>
        <w:spacing w:after="0" w:line="90" w:lineRule="exact"/>
        <w:rPr>
          <w:sz w:val="20"/>
          <w:szCs w:val="20"/>
          <w:color w:val="auto"/>
        </w:rPr>
      </w:pPr>
    </w:p>
    <w:p>
      <w:pPr>
        <w:ind w:left="1520" w:right="1740"/>
        <w:spacing w:after="0" w:line="319" w:lineRule="auto"/>
        <w:rPr>
          <w:sz w:val="20"/>
          <w:szCs w:val="20"/>
          <w:color w:val="auto"/>
        </w:rPr>
      </w:pPr>
      <w:r>
        <w:rPr>
          <w:rFonts w:ascii="Arial" w:cs="Arial" w:eastAsia="Arial" w:hAnsi="Arial"/>
          <w:sz w:val="12"/>
          <w:szCs w:val="12"/>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52" w:lineRule="exact"/>
        <w:rPr>
          <w:sz w:val="20"/>
          <w:szCs w:val="20"/>
          <w:color w:val="auto"/>
        </w:rPr>
      </w:pPr>
    </w:p>
    <w:p>
      <w:pPr>
        <w:ind w:left="1520" w:right="1740" w:firstLine="230"/>
        <w:spacing w:after="0" w:line="281" w:lineRule="auto"/>
        <w:rPr>
          <w:sz w:val="20"/>
          <w:szCs w:val="20"/>
          <w:color w:val="auto"/>
        </w:rPr>
      </w:pPr>
      <w:r>
        <w:rPr>
          <w:rFonts w:ascii="Arial" w:cs="Arial" w:eastAsia="Arial" w:hAnsi="Arial"/>
          <w:sz w:val="12"/>
          <w:szCs w:val="12"/>
          <w:color w:val="auto"/>
        </w:rPr>
        <w:t>Our results of operations have varied significantly from period to period in the past, and we expect that our results of operations will continue to vary significantly in the future such that period-to-period comparisons may not be meaningful. Accordingly, our results of operations in any one quarter should not be relied upon as indicative of our future performance. Our quarterly results of operations may fluctuate</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20"/>
        <w:spacing w:after="0" w:line="312" w:lineRule="auto"/>
        <w:rPr>
          <w:sz w:val="20"/>
          <w:szCs w:val="20"/>
          <w:color w:val="auto"/>
        </w:rPr>
      </w:pPr>
      <w:r>
        <w:rPr>
          <w:rFonts w:ascii="Arial" w:cs="Arial" w:eastAsia="Arial" w:hAnsi="Arial"/>
          <w:sz w:val="12"/>
          <w:szCs w:val="12"/>
          <w:color w:val="auto"/>
        </w:rPr>
        <w:t>as a result of a number of factors, many of which are outside of our control and may be difficult to predict, including:</w:t>
      </w:r>
    </w:p>
    <w:p>
      <w:pPr>
        <w:spacing w:after="0" w:line="62" w:lineRule="exact"/>
        <w:rPr>
          <w:sz w:val="20"/>
          <w:szCs w:val="20"/>
          <w:color w:val="auto"/>
        </w:rPr>
      </w:pPr>
    </w:p>
    <w:p>
      <w:pPr>
        <w:ind w:left="1980" w:hanging="228"/>
        <w:spacing w:after="0"/>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our ability to attract new customers and retain and grow sales within our existing customers;</w:t>
      </w:r>
    </w:p>
    <w:p>
      <w:pPr>
        <w:spacing w:after="0" w:line="129" w:lineRule="exact"/>
        <w:rPr>
          <w:rFonts w:ascii="Arial" w:cs="Arial" w:eastAsia="Arial" w:hAnsi="Arial"/>
          <w:sz w:val="12"/>
          <w:szCs w:val="12"/>
          <w:color w:val="auto"/>
        </w:rPr>
      </w:pPr>
    </w:p>
    <w:p>
      <w:pPr>
        <w:ind w:left="1980" w:right="1860" w:hanging="228"/>
        <w:spacing w:after="0" w:line="312" w:lineRule="auto"/>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our ability to drive adoption of our offerings beyond travel, including our Expense Management offerings;</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our ability to continue integrating AI into our offerings and expanding our use of AI;</w:t>
      </w:r>
    </w:p>
    <w:p>
      <w:pPr>
        <w:spacing w:after="0" w:line="129" w:lineRule="exact"/>
        <w:rPr>
          <w:rFonts w:ascii="Arial" w:cs="Arial" w:eastAsia="Arial" w:hAnsi="Arial"/>
          <w:sz w:val="12"/>
          <w:szCs w:val="12"/>
          <w:color w:val="auto"/>
        </w:rPr>
      </w:pPr>
    </w:p>
    <w:p>
      <w:pPr>
        <w:ind w:left="1980" w:right="1780" w:hanging="228"/>
        <w:spacing w:after="0" w:line="312" w:lineRule="auto"/>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our ability to maintain and expand our relationships with our suppliers, and to identify and attract new suppliers;</w:t>
      </w:r>
    </w:p>
    <w:p>
      <w:pPr>
        <w:spacing w:after="0" w:line="62" w:lineRule="exact"/>
        <w:rPr>
          <w:rFonts w:ascii="Arial" w:cs="Arial" w:eastAsia="Arial" w:hAnsi="Arial"/>
          <w:sz w:val="12"/>
          <w:szCs w:val="12"/>
          <w:color w:val="auto"/>
        </w:rPr>
      </w:pPr>
    </w:p>
    <w:p>
      <w:pPr>
        <w:ind w:left="1980" w:right="2080" w:hanging="228"/>
        <w:spacing w:after="0" w:line="312" w:lineRule="auto"/>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changes in overall demand for business travel due to technological changes or changes in business practices, including as a result of current macroeconomic conditions;</w:t>
      </w:r>
    </w:p>
    <w:p>
      <w:pPr>
        <w:spacing w:after="0" w:line="62" w:lineRule="exact"/>
        <w:rPr>
          <w:rFonts w:ascii="Arial" w:cs="Arial" w:eastAsia="Arial" w:hAnsi="Arial"/>
          <w:sz w:val="12"/>
          <w:szCs w:val="12"/>
          <w:color w:val="auto"/>
        </w:rPr>
      </w:pPr>
    </w:p>
    <w:p>
      <w:pPr>
        <w:ind w:left="1980" w:right="1840" w:hanging="228"/>
        <w:spacing w:after="0" w:line="312" w:lineRule="auto"/>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occurrence of travel-related accidents or the grounding of aircraft due to safety concerns or regulatory actions;</w:t>
      </w:r>
    </w:p>
    <w:p>
      <w:pPr>
        <w:spacing w:after="0" w:line="62" w:lineRule="exact"/>
        <w:rPr>
          <w:rFonts w:ascii="Arial" w:cs="Arial" w:eastAsia="Arial" w:hAnsi="Arial"/>
          <w:sz w:val="12"/>
          <w:szCs w:val="12"/>
          <w:color w:val="auto"/>
        </w:rPr>
      </w:pPr>
    </w:p>
    <w:p>
      <w:pPr>
        <w:jc w:val="both"/>
        <w:ind w:left="1980" w:right="2000" w:hanging="228"/>
        <w:spacing w:after="0" w:line="289" w:lineRule="auto"/>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technical and operational disruptions at key transit hubs, including key international airports, including due to insufficient funding of aviation and other travel or transportation agencies or governmental bodies;</w:t>
      </w:r>
    </w:p>
    <w:p>
      <w:pPr>
        <w:spacing w:after="0" w:line="75" w:lineRule="exact"/>
        <w:rPr>
          <w:rFonts w:ascii="Arial" w:cs="Arial" w:eastAsia="Arial" w:hAnsi="Arial"/>
          <w:sz w:val="12"/>
          <w:szCs w:val="12"/>
          <w:color w:val="auto"/>
        </w:rPr>
      </w:pPr>
    </w:p>
    <w:p>
      <w:pPr>
        <w:ind w:left="1980" w:right="1980" w:hanging="228"/>
        <w:spacing w:after="0" w:line="312" w:lineRule="auto"/>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fluctuations in demand for, or pricing of, our platform, including the mix of hotel and air travel booked each quarter;</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seasonal demand fluctuations, such as reduced travel by our users during holiday periods;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changes in customers’ T&amp;E budgets and IT spending budgets;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potential and existing customers choosing our competitors’ products and services;</w:t>
      </w:r>
    </w:p>
    <w:p>
      <w:pPr>
        <w:spacing w:after="0" w:line="129" w:lineRule="exact"/>
        <w:rPr>
          <w:rFonts w:ascii="Arial" w:cs="Arial" w:eastAsia="Arial" w:hAnsi="Arial"/>
          <w:sz w:val="12"/>
          <w:szCs w:val="12"/>
          <w:color w:val="auto"/>
        </w:rPr>
      </w:pPr>
    </w:p>
    <w:p>
      <w:pPr>
        <w:ind w:left="1980" w:right="2080" w:hanging="228"/>
        <w:spacing w:after="0" w:line="312" w:lineRule="auto"/>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development or introduction of new products or services that are easier to use or more advanced than our platform;</w:t>
      </w:r>
    </w:p>
    <w:p>
      <w:pPr>
        <w:spacing w:after="0" w:line="62" w:lineRule="exact"/>
        <w:rPr>
          <w:rFonts w:ascii="Arial" w:cs="Arial" w:eastAsia="Arial" w:hAnsi="Arial"/>
          <w:sz w:val="12"/>
          <w:szCs w:val="12"/>
          <w:color w:val="auto"/>
        </w:rPr>
      </w:pPr>
    </w:p>
    <w:p>
      <w:pPr>
        <w:ind w:left="1980" w:right="1780" w:hanging="228"/>
        <w:spacing w:after="0" w:line="312" w:lineRule="auto"/>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adoption or retention of more entrenched or rival services in the international markets where we compete;</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our ability to control costs, including our operating expenses;</w:t>
      </w:r>
    </w:p>
    <w:p>
      <w:pPr>
        <w:sectPr>
          <w:pgSz w:w="11900" w:h="16840" w:orient="portrait"/>
          <w:cols w:equalWidth="0" w:num="1">
            <w:col w:w="9020"/>
          </w:cols>
          <w:pgMar w:left="1440" w:top="560" w:right="1440" w:bottom="258" w:gutter="0" w:footer="0" w:header="0"/>
        </w:sectPr>
      </w:pPr>
    </w:p>
    <w:bookmarkStart w:id="29" w:name="page30"/>
    <w:bookmarkEnd w:id="29"/>
    <w:p>
      <w:pPr>
        <w:ind w:left="1980" w:right="1680" w:hanging="228"/>
        <w:spacing w:after="0" w:line="192" w:lineRule="auto"/>
        <w:tabs>
          <w:tab w:leader="none" w:pos="1980" w:val="left"/>
        </w:tabs>
        <w:numPr>
          <w:ilvl w:val="0"/>
          <w:numId w:val="38"/>
        </w:numPr>
        <w:rPr>
          <w:rFonts w:ascii="Arial" w:cs="Arial" w:eastAsia="Arial" w:hAnsi="Arial"/>
          <w:sz w:val="11"/>
          <w:szCs w:val="11"/>
          <w:color w:val="auto"/>
        </w:rPr>
      </w:pPr>
      <w:r>
        <w:rPr>
          <w:rFonts w:ascii="Arial" w:cs="Arial" w:eastAsia="Arial" w:hAnsi="Arial"/>
          <w:sz w:val="11"/>
          <w:szCs w:val="11"/>
          <w:color w:val="auto"/>
        </w:rPr>
        <w:t>the amount and timing of payment for operating expenses, particularly research and development and sales and marketing expenses, including commissions;</w:t>
      </w:r>
    </w:p>
    <w:p>
      <w:pPr>
        <w:spacing w:after="0" w:line="103" w:lineRule="exact"/>
        <w:rPr>
          <w:rFonts w:ascii="Arial" w:cs="Arial" w:eastAsia="Arial" w:hAnsi="Arial"/>
          <w:sz w:val="11"/>
          <w:szCs w:val="11"/>
          <w:color w:val="auto"/>
        </w:rPr>
      </w:pPr>
    </w:p>
    <w:p>
      <w:pPr>
        <w:ind w:left="1980" w:hanging="228"/>
        <w:spacing w:after="0"/>
        <w:tabs>
          <w:tab w:leader="none" w:pos="19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amount and timing of non-cash expenses, including stock-based compensation;</w:t>
      </w:r>
    </w:p>
    <w:p>
      <w:pPr>
        <w:spacing w:after="0" w:line="129" w:lineRule="exact"/>
        <w:rPr>
          <w:rFonts w:ascii="Arial" w:cs="Arial" w:eastAsia="Arial" w:hAnsi="Arial"/>
          <w:sz w:val="12"/>
          <w:szCs w:val="12"/>
          <w:color w:val="auto"/>
        </w:rPr>
      </w:pPr>
    </w:p>
    <w:p>
      <w:pPr>
        <w:ind w:left="1980" w:right="2280" w:hanging="228"/>
        <w:spacing w:after="0" w:line="312" w:lineRule="auto"/>
        <w:tabs>
          <w:tab w:leader="none" w:pos="19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amount and timing of costs associated with recruiting, training, and integrating new employees, and retaining and motivating existing employees;</w:t>
      </w:r>
    </w:p>
    <w:p>
      <w:pPr>
        <w:spacing w:after="0" w:line="62" w:lineRule="exact"/>
        <w:rPr>
          <w:rFonts w:ascii="Arial" w:cs="Arial" w:eastAsia="Arial" w:hAnsi="Arial"/>
          <w:sz w:val="12"/>
          <w:szCs w:val="12"/>
          <w:color w:val="auto"/>
        </w:rPr>
      </w:pPr>
    </w:p>
    <w:p>
      <w:pPr>
        <w:ind w:left="1980" w:right="1680" w:hanging="228"/>
        <w:spacing w:after="0" w:line="312" w:lineRule="auto"/>
        <w:tabs>
          <w:tab w:leader="none" w:pos="19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fluctuation in market interest and foreign exchange rates, and the impact of inflation and instability in the global banking system on the United States and global economies;</w:t>
      </w:r>
    </w:p>
    <w:p>
      <w:pPr>
        <w:spacing w:after="0" w:line="62" w:lineRule="exact"/>
        <w:rPr>
          <w:rFonts w:ascii="Arial" w:cs="Arial" w:eastAsia="Arial" w:hAnsi="Arial"/>
          <w:sz w:val="12"/>
          <w:szCs w:val="12"/>
          <w:color w:val="auto"/>
        </w:rPr>
      </w:pPr>
    </w:p>
    <w:p>
      <w:pPr>
        <w:jc w:val="both"/>
        <w:ind w:left="1980" w:right="1860" w:hanging="228"/>
        <w:spacing w:after="0" w:line="289" w:lineRule="auto"/>
        <w:tabs>
          <w:tab w:leader="none" w:pos="19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impact of the geopolitical conflicts, such as the ongoing conflicts in Ukraine and the Middle East, including related sanctions implemented by other countries, on global travel patterns and financial markets;</w:t>
      </w:r>
    </w:p>
    <w:p>
      <w:pPr>
        <w:spacing w:after="0" w:line="75" w:lineRule="exact"/>
        <w:rPr>
          <w:rFonts w:ascii="Arial" w:cs="Arial" w:eastAsia="Arial" w:hAnsi="Arial"/>
          <w:sz w:val="12"/>
          <w:szCs w:val="12"/>
          <w:color w:val="auto"/>
        </w:rPr>
      </w:pPr>
    </w:p>
    <w:p>
      <w:pPr>
        <w:ind w:left="1980" w:hanging="228"/>
        <w:spacing w:after="0"/>
        <w:tabs>
          <w:tab w:leader="none" w:pos="19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political unrest or instability;</w:t>
      </w:r>
    </w:p>
    <w:p>
      <w:pPr>
        <w:spacing w:after="0" w:line="129" w:lineRule="exact"/>
        <w:rPr>
          <w:rFonts w:ascii="Arial" w:cs="Arial" w:eastAsia="Arial" w:hAnsi="Arial"/>
          <w:sz w:val="12"/>
          <w:szCs w:val="12"/>
          <w:color w:val="auto"/>
        </w:rPr>
      </w:pPr>
    </w:p>
    <w:p>
      <w:pPr>
        <w:ind w:left="1980" w:right="2040" w:hanging="228"/>
        <w:spacing w:after="0" w:line="312" w:lineRule="auto"/>
        <w:tabs>
          <w:tab w:leader="none" w:pos="19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our ability to successfully execute acquisitions and integrate acquired businesses, and their accounting impact on our results of operations, including impairment of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-1654810</wp:posOffset>
            </wp:positionV>
            <wp:extent cx="6732270" cy="9970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980" w:hanging="228"/>
        <w:spacing w:after="0"/>
        <w:tabs>
          <w:tab w:leader="none" w:pos="19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impact of new accounting pronouncements or changes in our accounting policies or practices;</w:t>
      </w:r>
    </w:p>
    <w:p>
      <w:pPr>
        <w:spacing w:after="0" w:line="129" w:lineRule="exact"/>
        <w:rPr>
          <w:rFonts w:ascii="Arial" w:cs="Arial" w:eastAsia="Arial" w:hAnsi="Arial"/>
          <w:sz w:val="12"/>
          <w:szCs w:val="12"/>
          <w:color w:val="auto"/>
        </w:rPr>
      </w:pPr>
    </w:p>
    <w:p>
      <w:pPr>
        <w:ind w:left="1980" w:right="1960" w:hanging="228"/>
        <w:spacing w:after="0" w:line="312" w:lineRule="auto"/>
        <w:tabs>
          <w:tab w:leader="none" w:pos="19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security breaches of, technical difficulties with, or interruptions to, the delivery and use of our platform;</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our brand and reputation;</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legal and regulatory compliance costs in new and existing markets; and</w:t>
      </w:r>
    </w:p>
    <w:p>
      <w:pPr>
        <w:spacing w:after="0" w:line="129" w:lineRule="exact"/>
        <w:rPr>
          <w:rFonts w:ascii="Arial" w:cs="Arial" w:eastAsia="Arial" w:hAnsi="Arial"/>
          <w:sz w:val="12"/>
          <w:szCs w:val="12"/>
          <w:color w:val="auto"/>
        </w:rPr>
      </w:pPr>
    </w:p>
    <w:p>
      <w:pPr>
        <w:ind w:left="1980" w:right="2220" w:hanging="228"/>
        <w:spacing w:after="0" w:line="312" w:lineRule="auto"/>
        <w:tabs>
          <w:tab w:leader="none" w:pos="19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general economic conditions, both domestically and internationally, as well as economic conditions specifically affecting industries in which our customers participate.</w:t>
      </w:r>
    </w:p>
    <w:p>
      <w:pPr>
        <w:spacing w:after="0" w:line="62" w:lineRule="exact"/>
        <w:rPr>
          <w:sz w:val="20"/>
          <w:szCs w:val="20"/>
          <w:color w:val="auto"/>
        </w:rPr>
      </w:pPr>
    </w:p>
    <w:p>
      <w:pPr>
        <w:ind w:left="1520" w:right="1960" w:firstLine="230"/>
        <w:spacing w:after="0" w:line="281" w:lineRule="auto"/>
        <w:rPr>
          <w:sz w:val="20"/>
          <w:szCs w:val="20"/>
          <w:color w:val="auto"/>
        </w:rPr>
      </w:pPr>
      <w:r>
        <w:rPr>
          <w:rFonts w:ascii="Arial" w:cs="Arial" w:eastAsia="Arial" w:hAnsi="Arial"/>
          <w:sz w:val="12"/>
          <w:szCs w:val="12"/>
          <w:color w:val="auto"/>
        </w:rPr>
        <w:t>Any of these and other factors, or the cumulative effect of some of these factors, may cause our results of operations to vary significantly. In addition, our quarterly results may fluctuate based on the relative volume of flights and hotel stays booked on our platform, as we tend to collect higher commissions on hotel reservations than air travel.</w:t>
      </w:r>
    </w:p>
    <w:p>
      <w:pPr>
        <w:spacing w:after="0" w:line="81" w:lineRule="exact"/>
        <w:rPr>
          <w:sz w:val="20"/>
          <w:szCs w:val="20"/>
          <w:color w:val="auto"/>
        </w:rPr>
      </w:pPr>
    </w:p>
    <w:p>
      <w:pPr>
        <w:ind w:left="1520" w:right="1780" w:firstLine="230"/>
        <w:spacing w:after="0" w:line="277" w:lineRule="auto"/>
        <w:rPr>
          <w:sz w:val="20"/>
          <w:szCs w:val="20"/>
          <w:color w:val="auto"/>
        </w:rPr>
      </w:pPr>
      <w:r>
        <w:rPr>
          <w:rFonts w:ascii="Arial" w:cs="Arial" w:eastAsia="Arial" w:hAnsi="Arial"/>
          <w:sz w:val="12"/>
          <w:szCs w:val="12"/>
          <w:color w:val="auto"/>
        </w:rPr>
        <w:t>Finally, we expect to incur significant additional expenses due to the increased costs of operating as a public company. If our quarterly results of operations fall below the expectations of investors and securities analysts who cover our stock, the price of our Class A common stock could decline substantially, and we could face costly lawsuits, including securities class action suits, and our business, financial condition, results of operations, and prospects could be adversely affected.</w:t>
      </w:r>
    </w:p>
    <w:p>
      <w:pPr>
        <w:spacing w:after="0" w:line="86" w:lineRule="exact"/>
        <w:rPr>
          <w:sz w:val="20"/>
          <w:szCs w:val="20"/>
          <w:color w:val="auto"/>
        </w:rPr>
      </w:pPr>
    </w:p>
    <w:p>
      <w:pPr>
        <w:ind w:left="1520" w:right="1620"/>
        <w:spacing w:after="0" w:line="289" w:lineRule="auto"/>
        <w:rPr>
          <w:sz w:val="20"/>
          <w:szCs w:val="20"/>
          <w:color w:val="auto"/>
        </w:rPr>
      </w:pPr>
      <w:r>
        <w:rPr>
          <w:rFonts w:ascii="Arial" w:cs="Arial" w:eastAsia="Arial" w:hAnsi="Arial"/>
          <w:sz w:val="12"/>
          <w:szCs w:val="12"/>
          <w:b w:val="1"/>
          <w:bCs w:val="1"/>
          <w:i w:val="1"/>
          <w:iCs w:val="1"/>
          <w:color w:val="auto"/>
        </w:rPr>
        <w:t>Future acquisitions, strategic investments, partnerships, collaborations, or alliances could be difficult to identify and integrate, divert the attention of management, disrupt our business, dilute stockholder value, and adversely affect our business, financial condition, results of operations, and prospects.</w:t>
      </w:r>
    </w:p>
    <w:p>
      <w:pPr>
        <w:spacing w:after="0" w:line="227"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As part of our business strategy, we have in the past and may in the future seek to acquire or invest in businesses, products, or technologies that we believe could complement or expand our platform, enhance our technical capabilities, or otherwise offer growth opportunities. For example, in April 2021, we acquired Reed &amp; Mackay, or R&amp;M, a global travel management provider headquartered in the United Kingdom, or the UK, in February 2022, we acquired Comtravo, a modern travel solution in Germany, Austria, and Switzerland and Resia, a travel agency covering Northern Europe, and in May 2023 we acquired Tripeur, an India-based travel management company. However, there can be no assurance we will be able to successfully identify desirable acquisition candidates in the future,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customers or investors.</w:t>
      </w:r>
    </w:p>
    <w:p>
      <w:pPr>
        <w:spacing w:after="0" w:line="91" w:lineRule="exact"/>
        <w:rPr>
          <w:sz w:val="20"/>
          <w:szCs w:val="20"/>
          <w:color w:val="auto"/>
        </w:rPr>
      </w:pPr>
    </w:p>
    <w:p>
      <w:pPr>
        <w:ind w:left="1520" w:right="1680" w:firstLine="230"/>
        <w:spacing w:after="0" w:line="269" w:lineRule="auto"/>
        <w:rPr>
          <w:sz w:val="20"/>
          <w:szCs w:val="20"/>
          <w:color w:val="auto"/>
        </w:rPr>
      </w:pPr>
      <w:r>
        <w:rPr>
          <w:rFonts w:ascii="Arial" w:cs="Arial" w:eastAsia="Arial" w:hAnsi="Arial"/>
          <w:sz w:val="12"/>
          <w:szCs w:val="12"/>
          <w:color w:val="auto"/>
        </w:rPr>
        <w:t>We have encountered and may in the future encounter difficulties assimilating or integrating the businesses, technologies, products and platform capabilities, personnel, or operations of our acquired companies, assets, and businesses, particularly if key personnel of an acquired company choose not to work for us, their software is not easily adapted to work with our platform, or we have difficulty retaining the customers of any acquired business due to changes in ownership, management, or otherwise. We may also have difficulty establishing our company values with personnel of acquired companies, which may negatively impact our culture and work environment. Any such transactions that we are able to complete may not result in any synergies or other benefits we had expected to achieve, which could result in impairment charges that could be substantial. We have also experienced and may in the future experience difficulties and delays in integrating acquired companies and their systems into our controls environment, which may harm our ability to comply with reporting requirements, impact our understanding of certain details of our business and our ability to plan and forecast, or subject us to regulatory scrutiny. Moreover, an acquisition, investment, or business relationship may result in unforeseen operating difficulties and expenditures, including disrupting our ongoing operations, diverting management from their primary responsibilities, subjecting us to additional liabilities, increasing our expenses, and could adversely affect our business, financial condition, results of operations, and prospects.</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80" w:firstLine="230"/>
        <w:spacing w:after="0" w:line="275" w:lineRule="auto"/>
        <w:rPr>
          <w:sz w:val="20"/>
          <w:szCs w:val="20"/>
          <w:color w:val="auto"/>
        </w:rPr>
      </w:pPr>
      <w:r>
        <w:rPr>
          <w:rFonts w:ascii="Arial" w:cs="Arial" w:eastAsia="Arial" w:hAnsi="Arial"/>
          <w:sz w:val="12"/>
          <w:szCs w:val="12"/>
          <w:color w:val="auto"/>
        </w:rPr>
        <w:t>In addition, the technology and information security systems and infrastructure of businesses we acquire may be underdeveloped or subject to vulnerabilities, subjecting us to additional liabilities. We have incurred and could in the future incur significant costs related to the implementation of enhancements to information security systems and infrastructure of acquired businesses and related to the remediation of any related security breaches. If security, data protection and information security measures in place at businesses we acquire are inadequate or breached, or are subject to cybersecurity</w:t>
      </w:r>
    </w:p>
    <w:p>
      <w:pPr>
        <w:sectPr>
          <w:pgSz w:w="11900" w:h="16840" w:orient="portrait"/>
          <w:cols w:equalWidth="0" w:num="1">
            <w:col w:w="9020"/>
          </w:cols>
          <w:pgMar w:left="1440" w:top="560" w:right="1440" w:bottom="31" w:gutter="0" w:footer="0" w:header="0"/>
        </w:sectPr>
      </w:pPr>
    </w:p>
    <w:bookmarkStart w:id="30" w:name="page31"/>
    <w:bookmarkEnd w:id="30"/>
    <w:p>
      <w:pPr>
        <w:ind w:left="1520" w:right="1700"/>
        <w:spacing w:after="0" w:line="234" w:lineRule="auto"/>
        <w:rPr>
          <w:sz w:val="20"/>
          <w:szCs w:val="20"/>
          <w:color w:val="auto"/>
        </w:rPr>
      </w:pPr>
      <w:r>
        <w:rPr>
          <w:rFonts w:ascii="Arial" w:cs="Arial" w:eastAsia="Arial" w:hAnsi="Arial"/>
          <w:sz w:val="12"/>
          <w:szCs w:val="12"/>
          <w:color w:val="auto"/>
        </w:rPr>
        <w:t>attacks, or if any of the foregoing are reported or perceived to have occurred, our reputation and business could be damaged, and we could be subject to regulatory scrutiny, investigations, proceedings,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-163830</wp:posOffset>
            </wp:positionV>
            <wp:extent cx="6732270" cy="9970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700"/>
        <w:spacing w:after="0" w:line="275" w:lineRule="auto"/>
        <w:rPr>
          <w:sz w:val="20"/>
          <w:szCs w:val="20"/>
          <w:color w:val="auto"/>
        </w:rPr>
      </w:pPr>
      <w:r>
        <w:rPr>
          <w:rFonts w:ascii="Arial" w:cs="Arial" w:eastAsia="Arial" w:hAnsi="Arial"/>
          <w:sz w:val="12"/>
          <w:szCs w:val="12"/>
          <w:color w:val="auto"/>
        </w:rPr>
        <w:t>penalties. We may also acquire businesses whose operations may not be fully compliant with all applicable regulations, including governmental laws and requirements regarding economic and trade sanctions, anti-money laundering, counter-terror financing, and privacy and security laws, subjecting us to potential liabilities and requiring us to spend considerable time, effort, and resources to become compliant.</w:t>
      </w:r>
    </w:p>
    <w:p>
      <w:pPr>
        <w:spacing w:after="0" w:line="236" w:lineRule="exact"/>
        <w:rPr>
          <w:sz w:val="20"/>
          <w:szCs w:val="20"/>
          <w:color w:val="auto"/>
        </w:rPr>
      </w:pPr>
    </w:p>
    <w:p>
      <w:pPr>
        <w:ind w:left="1520" w:right="1780" w:firstLine="230"/>
        <w:spacing w:after="0" w:line="281" w:lineRule="auto"/>
        <w:rPr>
          <w:sz w:val="20"/>
          <w:szCs w:val="20"/>
          <w:color w:val="auto"/>
        </w:rPr>
      </w:pPr>
      <w:r>
        <w:rPr>
          <w:rFonts w:ascii="Arial" w:cs="Arial" w:eastAsia="Arial" w:hAnsi="Arial"/>
          <w:sz w:val="12"/>
          <w:szCs w:val="12"/>
          <w:color w:val="auto"/>
        </w:rPr>
        <w:t>Acquisitions could also result in dilutive issuances of equity securities or the incurrence of debt, as well as unfavorable accounting treatment and exposure to claims and disputes by third parties, including intellectual property claims. In addition, if an acquired business fails to meet our expectations, our business, financial condition, results of operations, and prospects could be adversely affected.</w:t>
      </w:r>
    </w:p>
    <w:p>
      <w:pPr>
        <w:spacing w:after="0" w:line="83" w:lineRule="exact"/>
        <w:rPr>
          <w:sz w:val="20"/>
          <w:szCs w:val="20"/>
          <w:color w:val="auto"/>
        </w:rPr>
      </w:pPr>
    </w:p>
    <w:p>
      <w:pPr>
        <w:ind w:left="1520" w:right="1800"/>
        <w:spacing w:after="0" w:line="319" w:lineRule="auto"/>
        <w:rPr>
          <w:sz w:val="20"/>
          <w:szCs w:val="20"/>
          <w:color w:val="auto"/>
        </w:rPr>
      </w:pPr>
      <w:r>
        <w:rPr>
          <w:rFonts w:ascii="Arial" w:cs="Arial" w:eastAsia="Arial" w:hAnsi="Arial"/>
          <w:sz w:val="12"/>
          <w:szCs w:val="12"/>
          <w:b w:val="1"/>
          <w:bCs w:val="1"/>
          <w:i w:val="1"/>
          <w:iCs w:val="1"/>
          <w:color w:val="auto"/>
        </w:rPr>
        <w:t>We plan to continue expanding our international operations which could subject us to additional costs and risks, and our continued expansion internationally may not be successful.</w:t>
      </w:r>
    </w:p>
    <w:p>
      <w:pPr>
        <w:spacing w:after="0" w:line="52"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 xml:space="preserve">A significant amount of our revenue is derived from customers from outside the United States and we plan to continue expanding our operations internationally in the future. Revenue generated from customers and suppliers outside of the United States was $221.0 million, or 41% of our revenue, and $184.8 million, or 46% of our revenue, for fiscal years 2025 and 2024, respectively, and was $128.1 million, or 39% of our revenue, and $106.1 million, or 42% of our revenue, for the six months ended July 31, 2025 and 2024, respectively. Outside of the United States, we currently have direct and indirect subsidiaries in several countries, including Canada, the United Kingdom, France, Germany, Ireland, Israel, Singapore, India, the United Arab Emirates, Australia, and New Zealand, and have employees in 16 countries. </w:t>
      </w:r>
      <w:r>
        <w:rPr>
          <w:rFonts w:ascii="Arial" w:cs="Arial" w:eastAsia="Arial" w:hAnsi="Arial"/>
          <w:sz w:val="12"/>
          <w:szCs w:val="12"/>
          <w:color w:val="auto"/>
          <w:highlight w:val="white"/>
        </w:rPr>
        <w:t>Operating in international markets requires significant resources and management attention</w:t>
      </w:r>
      <w:r>
        <w:rPr>
          <w:rFonts w:ascii="Arial" w:cs="Arial" w:eastAsia="Arial" w:hAnsi="Arial"/>
          <w:sz w:val="12"/>
          <w:szCs w:val="12"/>
          <w:color w:val="auto"/>
        </w:rPr>
        <w:t xml:space="preserve"> </w:t>
      </w:r>
      <w:r>
        <w:rPr>
          <w:rFonts w:ascii="Arial" w:cs="Arial" w:eastAsia="Arial" w:hAnsi="Arial"/>
          <w:sz w:val="12"/>
          <w:szCs w:val="12"/>
          <w:color w:val="auto"/>
          <w:highlight w:val="white"/>
        </w:rPr>
        <w:t xml:space="preserve">and subjects us to regulatory, economic and political risks that are different from those in the United States. </w:t>
      </w:r>
      <w:r>
        <w:rPr>
          <w:rFonts w:ascii="Arial" w:cs="Arial" w:eastAsia="Arial" w:hAnsi="Arial"/>
          <w:sz w:val="12"/>
          <w:szCs w:val="12"/>
          <w:color w:val="auto"/>
        </w:rPr>
        <w:t>In addition, there are significant costs and risks inherent in conducting business in international</w:t>
      </w:r>
      <w:r>
        <w:rPr>
          <w:rFonts w:ascii="Arial" w:cs="Arial" w:eastAsia="Arial" w:hAnsi="Arial"/>
          <w:sz w:val="12"/>
          <w:szCs w:val="12"/>
          <w:color w:val="auto"/>
          <w:highlight w:val="white"/>
        </w:rPr>
        <w:t xml:space="preserve"> </w:t>
      </w:r>
      <w:r>
        <w:rPr>
          <w:rFonts w:ascii="Arial" w:cs="Arial" w:eastAsia="Arial" w:hAnsi="Arial"/>
          <w:sz w:val="12"/>
          <w:szCs w:val="12"/>
          <w:color w:val="auto"/>
        </w:rPr>
        <w:t>markets, including:</w:t>
      </w:r>
    </w:p>
    <w:p>
      <w:pPr>
        <w:spacing w:after="0" w:line="244" w:lineRule="exact"/>
        <w:rPr>
          <w:sz w:val="20"/>
          <w:szCs w:val="20"/>
          <w:color w:val="auto"/>
        </w:rPr>
      </w:pPr>
    </w:p>
    <w:p>
      <w:pPr>
        <w:ind w:left="1980" w:right="1780" w:hanging="228"/>
        <w:spacing w:after="0" w:line="312" w:lineRule="auto"/>
        <w:tabs>
          <w:tab w:leader="none" w:pos="19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establishing and maintaining effective controls at foreign locations and the associated increased costs;</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adapting our platform and offerings to non-U.S. consumers’ preferences and customs;</w:t>
      </w:r>
    </w:p>
    <w:p>
      <w:pPr>
        <w:spacing w:after="0" w:line="129" w:lineRule="exact"/>
        <w:rPr>
          <w:rFonts w:ascii="Arial" w:cs="Arial" w:eastAsia="Arial" w:hAnsi="Arial"/>
          <w:sz w:val="12"/>
          <w:szCs w:val="12"/>
          <w:color w:val="auto"/>
        </w:rPr>
      </w:pPr>
    </w:p>
    <w:p>
      <w:pPr>
        <w:ind w:left="1980" w:right="2120" w:hanging="228"/>
        <w:spacing w:after="0" w:line="312" w:lineRule="auto"/>
        <w:tabs>
          <w:tab w:leader="none" w:pos="1980" w:val="left"/>
        </w:tabs>
        <w:numPr>
          <w:ilvl w:val="0"/>
          <w:numId w:val="40"/>
        </w:numPr>
        <w:rPr>
          <w:rFonts w:ascii="Arial" w:cs="Arial" w:eastAsia="Arial" w:hAnsi="Arial"/>
          <w:sz w:val="12"/>
          <w:szCs w:val="12"/>
          <w:color w:val="auto"/>
        </w:rPr>
      </w:pPr>
      <w:r>
        <w:rPr>
          <w:rFonts w:ascii="Arial" w:cs="Arial" w:eastAsia="Arial" w:hAnsi="Arial"/>
          <w:sz w:val="12"/>
          <w:szCs w:val="12"/>
          <w:color w:val="auto"/>
          <w:highlight w:val="white"/>
        </w:rPr>
        <w:t>localizing our platform and features for specific countries, including translation into foreign languages, tax, and regulatory updates and associated expenses;</w:t>
      </w:r>
    </w:p>
    <w:p>
      <w:pPr>
        <w:spacing w:after="0" w:line="62" w:lineRule="exact"/>
        <w:rPr>
          <w:rFonts w:ascii="Arial" w:cs="Arial" w:eastAsia="Arial" w:hAnsi="Arial"/>
          <w:sz w:val="12"/>
          <w:szCs w:val="12"/>
          <w:color w:val="auto"/>
        </w:rPr>
      </w:pPr>
    </w:p>
    <w:p>
      <w:pPr>
        <w:ind w:left="1980" w:right="1820" w:hanging="228"/>
        <w:spacing w:after="0" w:line="312" w:lineRule="auto"/>
        <w:tabs>
          <w:tab w:leader="none" w:pos="19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expanding our platform and offerings to cover travel methods and providers that are not part, or do not reflect a significant portion, of our offering in the U.S.;</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increased competition from local providers;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compliance with foreign laws, regulations and licensing requirements;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adapting to doing business in other languages and/or cultures;</w:t>
      </w:r>
    </w:p>
    <w:p>
      <w:pPr>
        <w:spacing w:after="0" w:line="129" w:lineRule="exact"/>
        <w:rPr>
          <w:rFonts w:ascii="Arial" w:cs="Arial" w:eastAsia="Arial" w:hAnsi="Arial"/>
          <w:sz w:val="12"/>
          <w:szCs w:val="12"/>
          <w:color w:val="auto"/>
        </w:rPr>
      </w:pPr>
    </w:p>
    <w:p>
      <w:pPr>
        <w:ind w:left="1980" w:right="1800" w:hanging="228"/>
        <w:spacing w:after="0" w:line="289" w:lineRule="auto"/>
        <w:tabs>
          <w:tab w:leader="none" w:pos="19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compliance with the laws of numerous taxing jurisdictions where we conduct business, potential double taxation of our international earnings, and potentially adverse tax consequences due to U.S. and foreign tax laws as they relate to our international operations;</w:t>
      </w: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980" w:right="1740" w:hanging="228"/>
        <w:spacing w:after="0" w:line="289" w:lineRule="auto"/>
        <w:tabs>
          <w:tab w:leader="none" w:pos="19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compliance with anti-bribery laws, such as the U.S. Foreign Corrupt Practices Act of 1977, or the FCPA, and the UK Bribery Act 2010, or the UK Bribery Act, by us, our team members, our suppliers, and our other partners;</w:t>
      </w:r>
    </w:p>
    <w:p>
      <w:pPr>
        <w:spacing w:after="0" w:line="75" w:lineRule="exact"/>
        <w:rPr>
          <w:rFonts w:ascii="Arial" w:cs="Arial" w:eastAsia="Arial" w:hAnsi="Arial"/>
          <w:sz w:val="12"/>
          <w:szCs w:val="12"/>
          <w:color w:val="auto"/>
        </w:rPr>
      </w:pPr>
    </w:p>
    <w:p>
      <w:pPr>
        <w:ind w:left="1980" w:right="1700" w:hanging="228"/>
        <w:spacing w:after="0" w:line="312" w:lineRule="auto"/>
        <w:tabs>
          <w:tab w:leader="none" w:pos="19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difficulties in staffing and managing global operations and the increased travel, infrastructure, and compliance costs associated with multiple international locations;</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 xml:space="preserve">regulatory </w:t>
      </w:r>
      <w:r>
        <w:rPr>
          <w:rFonts w:ascii="Arial" w:cs="Arial" w:eastAsia="Arial" w:hAnsi="Arial"/>
          <w:sz w:val="12"/>
          <w:szCs w:val="12"/>
          <w:color w:val="auto"/>
          <w:highlight w:val="white"/>
        </w:rPr>
        <w:t>and other delays and difficulties in setting up foreign operations;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complexity and other risks associated with current and future foreign legal requirements, including</w:t>
      </w:r>
    </w:p>
    <w:p>
      <w:pPr>
        <w:spacing w:after="0" w:line="27" w:lineRule="exact"/>
        <w:rPr>
          <w:sz w:val="20"/>
          <w:szCs w:val="20"/>
          <w:color w:val="auto"/>
        </w:rPr>
      </w:pPr>
    </w:p>
    <w:p>
      <w:pPr>
        <w:ind w:left="1980" w:right="1600"/>
        <w:spacing w:after="0" w:line="275" w:lineRule="auto"/>
        <w:rPr>
          <w:sz w:val="20"/>
          <w:szCs w:val="20"/>
          <w:color w:val="auto"/>
        </w:rPr>
      </w:pPr>
      <w:r>
        <w:rPr>
          <w:rFonts w:ascii="Arial" w:cs="Arial" w:eastAsia="Arial" w:hAnsi="Arial"/>
          <w:sz w:val="12"/>
          <w:szCs w:val="12"/>
          <w:color w:val="auto"/>
        </w:rPr>
        <w:t xml:space="preserve">legal requirements related to data privacy and security frameworks, such as the European Union, or the EU, and UK General Data Protection Regulations, and other </w:t>
      </w:r>
      <w:r>
        <w:rPr>
          <w:rFonts w:ascii="Arial" w:cs="Arial" w:eastAsia="Arial" w:hAnsi="Arial"/>
          <w:sz w:val="12"/>
          <w:szCs w:val="12"/>
          <w:color w:val="auto"/>
          <w:highlight w:val="white"/>
        </w:rPr>
        <w:t>data privacy and security laws</w:t>
      </w:r>
      <w:r>
        <w:rPr>
          <w:rFonts w:ascii="Arial" w:cs="Arial" w:eastAsia="Arial" w:hAnsi="Arial"/>
          <w:sz w:val="12"/>
          <w:szCs w:val="12"/>
          <w:color w:val="auto"/>
        </w:rPr>
        <w:t xml:space="preserve"> </w:t>
      </w:r>
      <w:r>
        <w:rPr>
          <w:rFonts w:ascii="Arial" w:cs="Arial" w:eastAsia="Arial" w:hAnsi="Arial"/>
          <w:sz w:val="12"/>
          <w:szCs w:val="12"/>
          <w:color w:val="auto"/>
          <w:highlight w:val="white"/>
        </w:rPr>
        <w:t xml:space="preserve">that impose different and potentially conflicting obligations with respect to how personal data is processed or require that customer data be stored in a designated territory </w:t>
      </w:r>
      <w:r>
        <w:rPr>
          <w:rFonts w:ascii="Arial" w:cs="Arial" w:eastAsia="Arial" w:hAnsi="Arial"/>
          <w:sz w:val="12"/>
          <w:szCs w:val="12"/>
          <w:color w:val="auto"/>
        </w:rPr>
        <w:t>;</w:t>
      </w:r>
    </w:p>
    <w:p>
      <w:pPr>
        <w:spacing w:after="0" w:line="83" w:lineRule="exact"/>
        <w:rPr>
          <w:sz w:val="20"/>
          <w:szCs w:val="20"/>
          <w:color w:val="auto"/>
        </w:rPr>
      </w:pPr>
    </w:p>
    <w:p>
      <w:pPr>
        <w:ind w:left="1980" w:hanging="228"/>
        <w:spacing w:after="0"/>
        <w:tabs>
          <w:tab w:leader="none" w:pos="19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currency exchange rate fluctuations and related effects on our results of operations;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economic and political instability in some countries;</w:t>
      </w:r>
    </w:p>
    <w:p>
      <w:pPr>
        <w:spacing w:after="0" w:line="129" w:lineRule="exact"/>
        <w:rPr>
          <w:rFonts w:ascii="Arial" w:cs="Arial" w:eastAsia="Arial" w:hAnsi="Arial"/>
          <w:sz w:val="12"/>
          <w:szCs w:val="12"/>
          <w:color w:val="auto"/>
        </w:rPr>
      </w:pPr>
    </w:p>
    <w:p>
      <w:pPr>
        <w:ind w:left="1980" w:right="2120" w:hanging="228"/>
        <w:spacing w:after="0" w:line="312" w:lineRule="auto"/>
        <w:tabs>
          <w:tab w:leader="none" w:pos="19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uncertainty of protection for intellectual property rights in some countries and practical difficulties of enforcing rights abroad; and</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other costs of doing business internationally.</w:t>
      </w:r>
    </w:p>
    <w:p>
      <w:pPr>
        <w:spacing w:after="0" w:line="130" w:lineRule="exact"/>
        <w:rPr>
          <w:sz w:val="20"/>
          <w:szCs w:val="20"/>
          <w:color w:val="auto"/>
        </w:rPr>
      </w:pPr>
    </w:p>
    <w:p>
      <w:pPr>
        <w:ind w:left="1520" w:right="1740" w:firstLine="230"/>
        <w:spacing w:after="0" w:line="270" w:lineRule="auto"/>
        <w:rPr>
          <w:sz w:val="20"/>
          <w:szCs w:val="20"/>
          <w:color w:val="auto"/>
        </w:rPr>
      </w:pPr>
      <w:r>
        <w:rPr>
          <w:rFonts w:ascii="Arial" w:cs="Arial" w:eastAsia="Arial" w:hAnsi="Arial"/>
          <w:sz w:val="12"/>
          <w:szCs w:val="12"/>
          <w:color w:val="auto"/>
        </w:rPr>
        <w:t>These factors and other factors have historically posed and may in the future pose challenges to growing our international operations organically, and could harm our international operations and, consequently, negatively impact our business, results of operations, and financial condition. As we seek to continue to expand internationally, we will likely encounter unexpected challenges and expenses due to local regulations, requirements, practices, and markets. Further, we may incur significant operating expenses as a result of our international expansion, and it may not be successful. We also hold cash and cash equivalents internationally, and in some cases, such liquidity resources may not be easily transferred across jurisdictions, which may negatively impact our financial condition and results of operations. We have limited experience with regulatory environments and market practices internationally, and we may not be able to penetrate or successfully operate in new markets. If we are unable to continue to expand internationally and manage the complexity of our global operations successfully, our business, financial condition, results of operations, and prospects could be adversely affected.</w:t>
      </w:r>
    </w:p>
    <w:p>
      <w:pPr>
        <w:spacing w:after="0" w:line="244" w:lineRule="exact"/>
        <w:rPr>
          <w:sz w:val="20"/>
          <w:szCs w:val="20"/>
          <w:color w:val="auto"/>
        </w:rPr>
      </w:pPr>
    </w:p>
    <w:p>
      <w:pPr>
        <w:jc w:val="both"/>
        <w:ind w:left="1520" w:right="1960"/>
        <w:spacing w:after="0" w:line="319" w:lineRule="auto"/>
        <w:rPr>
          <w:sz w:val="20"/>
          <w:szCs w:val="20"/>
          <w:color w:val="auto"/>
        </w:rPr>
      </w:pPr>
      <w:r>
        <w:rPr>
          <w:rFonts w:ascii="Arial" w:cs="Arial" w:eastAsia="Arial" w:hAnsi="Arial"/>
          <w:sz w:val="12"/>
          <w:szCs w:val="12"/>
          <w:b w:val="1"/>
          <w:bCs w:val="1"/>
          <w:i w:val="1"/>
          <w:iCs w:val="1"/>
          <w:color w:val="auto"/>
        </w:rPr>
        <w:t>Failure to effectively develop and expand our sales and marketing capabilities could harm our ability to increase our customer base and achieve broader market acceptance of our platform.</w:t>
      </w:r>
    </w:p>
    <w:p>
      <w:pPr>
        <w:spacing w:after="0" w:line="52" w:lineRule="exact"/>
        <w:rPr>
          <w:sz w:val="20"/>
          <w:szCs w:val="20"/>
          <w:color w:val="auto"/>
        </w:rPr>
      </w:pPr>
    </w:p>
    <w:p>
      <w:pPr>
        <w:ind w:left="1520" w:right="1800" w:firstLine="230"/>
        <w:spacing w:after="0" w:line="289" w:lineRule="auto"/>
        <w:rPr>
          <w:sz w:val="20"/>
          <w:szCs w:val="20"/>
          <w:color w:val="auto"/>
        </w:rPr>
      </w:pPr>
      <w:r>
        <w:rPr>
          <w:rFonts w:ascii="Arial" w:cs="Arial" w:eastAsia="Arial" w:hAnsi="Arial"/>
          <w:sz w:val="12"/>
          <w:szCs w:val="12"/>
          <w:color w:val="auto"/>
        </w:rPr>
        <w:t>Our ability to increase our customers and achieve broader market acceptance of our platform will depend to a significant extent on our ability to expand our sales and marketing teams and to deploy our sales and marketing resources efficiently. We intend to continue investing significantly in our sales force</w:t>
      </w:r>
    </w:p>
    <w:p>
      <w:pPr>
        <w:sectPr>
          <w:pgSz w:w="11900" w:h="16840" w:orient="portrait"/>
          <w:cols w:equalWidth="0" w:num="1">
            <w:col w:w="9020"/>
          </w:cols>
          <w:pgMar w:left="1440" w:top="560" w:right="1440" w:bottom="89" w:gutter="0" w:footer="0" w:header="0"/>
        </w:sectPr>
      </w:pPr>
    </w:p>
    <w:bookmarkStart w:id="31" w:name="page32"/>
    <w:bookmarkEnd w:id="31"/>
    <w:p>
      <w:pPr>
        <w:ind w:left="1520"/>
        <w:spacing w:after="0"/>
        <w:rPr>
          <w:sz w:val="20"/>
          <w:szCs w:val="20"/>
          <w:color w:val="auto"/>
        </w:rPr>
      </w:pPr>
      <w:r>
        <w:rPr>
          <w:rFonts w:ascii="Arial" w:cs="Arial" w:eastAsia="Arial" w:hAnsi="Arial"/>
          <w:sz w:val="12"/>
          <w:szCs w:val="12"/>
          <w:color w:val="auto"/>
        </w:rPr>
        <w:t>a</w:t>
      </w:r>
      <w:r>
        <w:rPr>
          <w:rFonts w:ascii="Arial" w:cs="Arial" w:eastAsia="Arial" w:hAnsi="Arial"/>
          <w:sz w:val="24"/>
          <w:szCs w:val="24"/>
          <w:color w:val="auto"/>
          <w:vertAlign w:val="superscript"/>
        </w:rPr>
        <w:t>n</w:t>
      </w:r>
      <w:r>
        <w:rPr>
          <w:rFonts w:ascii="Arial" w:cs="Arial" w:eastAsia="Arial" w:hAnsi="Arial"/>
          <w:sz w:val="12"/>
          <w:szCs w:val="12"/>
          <w:color w:val="auto"/>
        </w:rPr>
        <w:t>d capabilities to land customers with our Travel offering and expand their adoption, usage 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-25400</wp:posOffset>
            </wp:positionV>
            <wp:extent cx="6732270" cy="9970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840"/>
        <w:spacing w:after="0" w:line="291" w:lineRule="auto"/>
        <w:rPr>
          <w:sz w:val="20"/>
          <w:szCs w:val="20"/>
          <w:color w:val="auto"/>
        </w:rPr>
      </w:pPr>
      <w:r>
        <w:rPr>
          <w:rFonts w:ascii="Arial" w:cs="Arial" w:eastAsia="Arial" w:hAnsi="Arial"/>
          <w:sz w:val="12"/>
          <w:szCs w:val="12"/>
          <w:color w:val="auto"/>
        </w:rPr>
        <w:t>e gagement with additional offerings. Our growth and business strategy are dependent on our ability to successfully execute our sales strategies at increasing scale.</w:t>
      </w:r>
    </w:p>
    <w:p>
      <w:pPr>
        <w:spacing w:after="0" w:line="74"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color w:val="auto"/>
        </w:rPr>
        <w:t>Successfully executing our sales and marketing strategy requires strong leadership, alignment across our sales and marketing functions, and the ability to scale across diverse customer types, channels, and geographies. If we are unable to recruit, hire, develop, and retain high-performing sales or marketing personnel, if our new sales or marketing personnel are unable to achieve desired productivity levels in a reasonable period of time, or if our sales and marketing leaders fail to execute our sales strategies effectively, our ability to attract new customers and expand usage of and engagement with our offerings could be harmed.</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00" w:firstLine="230"/>
        <w:spacing w:after="0" w:line="268" w:lineRule="auto"/>
        <w:rPr>
          <w:sz w:val="20"/>
          <w:szCs w:val="20"/>
          <w:color w:val="auto"/>
        </w:rPr>
      </w:pPr>
      <w:r>
        <w:rPr>
          <w:rFonts w:ascii="Arial" w:cs="Arial" w:eastAsia="Arial" w:hAnsi="Arial"/>
          <w:sz w:val="12"/>
          <w:szCs w:val="12"/>
          <w:color w:val="auto"/>
        </w:rPr>
        <w:t>We have historically focused our customer acquisition strategy on targeting mid-size and larger customers with a direct sales-led motion via our dedicated sales team. These customers often have a travel and expense vendor already and are sometimes characterized by more complex customer requirements, higher upfront sales costs, and less predictability in the timing or likelihood of expanding their usage of and engagement with additional offerings following adoption of our Travel offering. In certain circumstances, a larger enterprise or company’s decision to initially adopt our platform, particularly our Travel offering, and expand their usage of and engagement with additional offerings, may be a company-wide decision, requiring additional education regarding the use and benefits of our platform for managing their business travel spend. As a result, the length of our sales cycle and ramp time for usage of and engagement with additional offerings has varied, and may continue to vary, significantly from customer to customer depending on the size and type of the customer. We have also more recently begun deploying our PLG go-to-market strategy to acquire new customers who have traditionally been unmanaged, meaning they have historically not used any travel and expense vendor or solution. Our success depends on our ability to maintain brand trust, execute effective growth marketing, deliver a flexible and intuitive platform experience, and demonstrate tangible cost savings and differentiated technology at scale, including compared to those of our competitors. These customers demand flexible deployment of our offerings within their companies and prioritize ease of use, particularly self-service implementation tools, to roll out our offerings across their employee base at their own pace. While we may adjust our sales strategies from time to time, including investing in newer motions such as our PLG strategy and targeting different customer channels, we have historically acquired the majority of our customers through our SLG strategy and expect such strategy and related customer channels to remain an important driver for new customer growth in the future. If we fail to allocate sufficient sales and marketing funds and resources to our SLG sales strategy, including due to prioritization of other sales strategies that do not generate meaningful return on our investment, our growth, including in new customer acquisition, and our business could be harmed.</w:t>
      </w:r>
    </w:p>
    <w:p>
      <w:pPr>
        <w:spacing w:after="0" w:line="244" w:lineRule="exact"/>
        <w:rPr>
          <w:sz w:val="20"/>
          <w:szCs w:val="20"/>
          <w:color w:val="auto"/>
        </w:rPr>
      </w:pPr>
    </w:p>
    <w:p>
      <w:pPr>
        <w:ind w:left="1520" w:right="1760" w:firstLine="230"/>
        <w:spacing w:after="0" w:line="271" w:lineRule="auto"/>
        <w:rPr>
          <w:sz w:val="20"/>
          <w:szCs w:val="20"/>
          <w:color w:val="auto"/>
        </w:rPr>
      </w:pPr>
      <w:r>
        <w:rPr>
          <w:rFonts w:ascii="Arial" w:cs="Arial" w:eastAsia="Arial" w:hAnsi="Arial"/>
          <w:sz w:val="12"/>
          <w:szCs w:val="12"/>
          <w:color w:val="auto"/>
        </w:rPr>
        <w:t>We also dedicate significant resources to sales and marketing programs, including digital advertising services. The effectiveness and cost of these programs may fluctuate due to competition for key search terms, changes in search engine use, and changes in the search algorithms used by major search engines. We have limited experience conducting broad brand marketing campaigns and other marketing initiatives. Even if we successfully increase revenue as a result of our paid marketing efforts, it may not offset the additional marketing expenses we incur. Our marketing campaigns may also be long-term endeavors, and we may not be able to accurately assess the success of these campaigns for several periods. If we are not able to effectively develop our sales and marketing capabilities and implement our marketing strategies, our business, financial condition, results of operations, and prospects could be adversely affected.</w:t>
      </w:r>
    </w:p>
    <w:p>
      <w:pPr>
        <w:spacing w:after="0" w:line="245" w:lineRule="exact"/>
        <w:rPr>
          <w:sz w:val="20"/>
          <w:szCs w:val="20"/>
          <w:color w:val="auto"/>
        </w:rPr>
      </w:pPr>
    </w:p>
    <w:p>
      <w:pPr>
        <w:ind w:left="1520" w:right="2100"/>
        <w:spacing w:after="0" w:line="292" w:lineRule="auto"/>
        <w:rPr>
          <w:sz w:val="20"/>
          <w:szCs w:val="20"/>
          <w:color w:val="auto"/>
        </w:rPr>
      </w:pPr>
      <w:r>
        <w:rPr>
          <w:rFonts w:ascii="Arial" w:cs="Arial" w:eastAsia="Arial" w:hAnsi="Arial"/>
          <w:sz w:val="12"/>
          <w:szCs w:val="12"/>
          <w:b w:val="1"/>
          <w:bCs w:val="1"/>
          <w:i w:val="1"/>
          <w:iCs w:val="1"/>
          <w:color w:val="auto"/>
        </w:rPr>
        <w:t>If we fail to adapt and respond effectively to rapidly changing technology, evolving industry standards, and changing customer needs or preferences, our platform may become less competitive.</w:t>
      </w:r>
    </w:p>
    <w:p>
      <w:pPr>
        <w:spacing w:after="0" w:line="68" w:lineRule="exact"/>
        <w:rPr>
          <w:sz w:val="20"/>
          <w:szCs w:val="20"/>
          <w:color w:val="auto"/>
        </w:rPr>
      </w:pPr>
    </w:p>
    <w:p>
      <w:pPr>
        <w:ind w:left="1520" w:right="1800" w:firstLine="230"/>
        <w:spacing w:after="0" w:line="271" w:lineRule="auto"/>
        <w:rPr>
          <w:sz w:val="20"/>
          <w:szCs w:val="20"/>
          <w:color w:val="auto"/>
        </w:rPr>
      </w:pPr>
      <w:r>
        <w:rPr>
          <w:rFonts w:ascii="Arial" w:cs="Arial" w:eastAsia="Arial" w:hAnsi="Arial"/>
          <w:sz w:val="12"/>
          <w:szCs w:val="12"/>
          <w:color w:val="auto"/>
        </w:rPr>
        <w:t>The business software and travel industries are subject to rapid technological change, evolving industry standards and practices, and changing customer needs and preferences. The success of our business will depend, in part, on our ability to adapt and respond effectively to these changes by continually modifying and enhancing our platform and offerings to keep pace with changes in hardware systems and software applications, AI, database technology, and evolving technical standards and interfaces on a timely basis. If we are unable to develop and market new technology, features, and functionality for our platform that keep pace with rapid technological and industry change and satisfy our customers, our revenue, and results of operations could be adversely affected. If new technologies emerge that deliver competitive products at lower prices, with more use cases, more efficiently, more conveniently, or more securely, it could adversely impact our ability to compete.</w:t>
      </w:r>
    </w:p>
    <w:p>
      <w:pPr>
        <w:spacing w:after="0" w:line="88" w:lineRule="exact"/>
        <w:rPr>
          <w:sz w:val="20"/>
          <w:szCs w:val="20"/>
          <w:color w:val="auto"/>
        </w:rPr>
      </w:pPr>
    </w:p>
    <w:p>
      <w:pPr>
        <w:ind w:left="1520" w:right="1860" w:firstLine="230"/>
        <w:spacing w:after="0" w:line="289" w:lineRule="auto"/>
        <w:rPr>
          <w:sz w:val="20"/>
          <w:szCs w:val="20"/>
          <w:color w:val="auto"/>
        </w:rPr>
      </w:pPr>
      <w:r>
        <w:rPr>
          <w:rFonts w:ascii="Arial" w:cs="Arial" w:eastAsia="Arial" w:hAnsi="Arial"/>
          <w:sz w:val="12"/>
          <w:szCs w:val="12"/>
          <w:color w:val="auto"/>
        </w:rPr>
        <w:t>We have incorporated AI-based solutions into our offerings, including through our Navan Cognition framework powering our virtual agents, including our virtual agent chatbot software. As with many innovations, AI presents risks, challenges, and unintended consequences that could impact our</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00"/>
        <w:spacing w:after="0" w:line="270" w:lineRule="auto"/>
        <w:rPr>
          <w:sz w:val="20"/>
          <w:szCs w:val="20"/>
          <w:color w:val="auto"/>
        </w:rPr>
      </w:pPr>
      <w:r>
        <w:rPr>
          <w:rFonts w:ascii="Arial" w:cs="Arial" w:eastAsia="Arial" w:hAnsi="Arial"/>
          <w:sz w:val="12"/>
          <w:szCs w:val="12"/>
          <w:color w:val="auto"/>
        </w:rPr>
        <w:t>successful ability to incorporate the use of AI in our business. For example, our algorithms may be flawed and not achieve sufficient levels of accuracy or contain biased information. Moreover, AI models may create flawed, incomplete, or inaccurate outputs, some of which may appear correct. This may happen if the inputs that the model relied on were inaccurate, incomplete, or flawed (including if a bad actor “poisons” the AI with bad inputs or logic), or if the logic of the AI is flawed, resulting in a hallucination. Algorithms are also subject to privacy and data security laws, as well as increasing regulation and scrutiny. In addition, our competitors or other third parties may incorporate AI solutions into their products more successfully than us, and their AI solutions may achieve higher market acceptance than ours, which may result in us failing to recoup our investments in developing AI-powered applications. For example, competitors leveraging AI or other automation may drive increasing efficiency in their support costs while offering faster, more personalized service than ours. We have made significant investments in our AI</w:t>
      </w:r>
    </w:p>
    <w:p>
      <w:pPr>
        <w:sectPr>
          <w:pgSz w:w="11900" w:h="16840" w:orient="portrait"/>
          <w:cols w:equalWidth="0" w:num="1">
            <w:col w:w="9020"/>
          </w:cols>
          <w:pgMar w:left="1440" w:top="334" w:right="1440" w:bottom="76" w:gutter="0" w:footer="0" w:header="0"/>
        </w:sectPr>
      </w:pPr>
    </w:p>
    <w:bookmarkStart w:id="32" w:name="page33"/>
    <w:bookmarkEnd w:id="32"/>
    <w:p>
      <w:pPr>
        <w:ind w:left="1520" w:right="1700"/>
        <w:spacing w:after="0" w:line="201" w:lineRule="auto"/>
        <w:rPr>
          <w:sz w:val="20"/>
          <w:szCs w:val="20"/>
          <w:color w:val="auto"/>
        </w:rPr>
      </w:pPr>
      <w:r>
        <w:rPr>
          <w:rFonts w:ascii="Arial" w:cs="Arial" w:eastAsia="Arial" w:hAnsi="Arial"/>
          <w:sz w:val="12"/>
          <w:szCs w:val="12"/>
          <w:color w:val="auto"/>
        </w:rPr>
        <w:t>technology, including in our Navan Cognition framework powering our virtual agents, including our virtual agent chatbot software, which are critical tools in the efficient scaling of our platform. Our ability to employ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-139700</wp:posOffset>
            </wp:positionV>
            <wp:extent cx="6732270" cy="9970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680"/>
        <w:spacing w:after="0" w:line="268" w:lineRule="auto"/>
        <w:rPr>
          <w:sz w:val="20"/>
          <w:szCs w:val="20"/>
          <w:color w:val="auto"/>
        </w:rPr>
      </w:pPr>
      <w:r>
        <w:rPr>
          <w:rFonts w:ascii="Arial" w:cs="Arial" w:eastAsia="Arial" w:hAnsi="Arial"/>
          <w:sz w:val="12"/>
          <w:szCs w:val="12"/>
          <w:color w:val="auto"/>
        </w:rPr>
        <w:t>AI, or the ability of our competitors to do so better, may negatively impact our gross margins, impair our ability to compete effectively, result in reputational harm and have an adverse impact on our operating results. Our platform must also integrate with a variety of network, hardware, mobile, and software platforms and technologies. We need to continuously modify and enhance our platform and offerings to adapt to changes and innovation in these technologies as well as to demonstrate increasing benefits and efficiencies of our platform to customers and their employees, who are expected to demand continued innovation in the features and functionalities of our platform and offerings. This development effort will require significant engineering, marketing, and sales resources, all of which would affect our business and results of operations. Any failure of our platform to operate effectively with future technologies could reduce the demand for our platform. If we are unable to respond to these changes in a cost-effective manner, our platform may become less marketable and less competitive or obsolete, which could adversely affect our business, financial condition, results of operations, and prospects.</w:t>
      </w:r>
    </w:p>
    <w:p>
      <w:pPr>
        <w:spacing w:after="0" w:line="93" w:lineRule="exact"/>
        <w:rPr>
          <w:sz w:val="20"/>
          <w:szCs w:val="20"/>
          <w:color w:val="auto"/>
        </w:rPr>
      </w:pPr>
    </w:p>
    <w:p>
      <w:pPr>
        <w:ind w:left="1520" w:right="1620"/>
        <w:spacing w:after="0" w:line="319" w:lineRule="auto"/>
        <w:rPr>
          <w:sz w:val="20"/>
          <w:szCs w:val="20"/>
          <w:color w:val="auto"/>
        </w:rPr>
      </w:pPr>
      <w:r>
        <w:rPr>
          <w:rFonts w:ascii="Arial" w:cs="Arial" w:eastAsia="Arial" w:hAnsi="Arial"/>
          <w:sz w:val="12"/>
          <w:szCs w:val="12"/>
          <w:b w:val="1"/>
          <w:bCs w:val="1"/>
          <w:i w:val="1"/>
          <w:iCs w:val="1"/>
          <w:color w:val="auto"/>
        </w:rPr>
        <w:t>Our corporate card offering exposes us to credit risk and other risks related to customers' ability to pay the balances incurred on their corporate cards.</w:t>
      </w:r>
    </w:p>
    <w:p>
      <w:pPr>
        <w:spacing w:after="0" w:line="52" w:lineRule="exact"/>
        <w:rPr>
          <w:sz w:val="20"/>
          <w:szCs w:val="20"/>
          <w:color w:val="auto"/>
        </w:rPr>
      </w:pPr>
    </w:p>
    <w:p>
      <w:pPr>
        <w:ind w:left="1520" w:right="1700" w:firstLine="230"/>
        <w:spacing w:after="0" w:line="269" w:lineRule="auto"/>
        <w:rPr>
          <w:sz w:val="20"/>
          <w:szCs w:val="20"/>
          <w:color w:val="auto"/>
        </w:rPr>
      </w:pPr>
      <w:r>
        <w:rPr>
          <w:rFonts w:ascii="Arial" w:cs="Arial" w:eastAsia="Arial" w:hAnsi="Arial"/>
          <w:sz w:val="12"/>
          <w:szCs w:val="12"/>
          <w:color w:val="auto"/>
        </w:rPr>
        <w:t>We offer our corporate card product to a wide range of businesses, and the success of this product depends on our ability to effectively manage related risks and detect fraud. The credit decision-making process for our corporate card uses proprietary risk assessment methodologies and other techniques designed to analyze the credit risk of specific businesses based on, among other factors, their past purchase and transaction history. In addition, we bear the entire credit risk and are liable to the issuing bank to settle the transaction and may incur losses as a result of claims from the issuing banks. While we would seek to recover losses from a customer, we may not fully recover them if a customer is unwilling or unable to pay due to their financial condition. Because we are liable to the issuing bank, we may also bear the risk of losses if a customer does not provide payment due to fraudulent or disputed transactions. We are also subject to risk from fraudulent acts of employees or contractors. Additionally, criminals are using increasingly sophisticated methods to engage in illegal activities which they may use to target us, including “skimming,” counterfeit payment cards, phishing schemes, and identity theft. A single, significant incident or a series of incidents of fraud or theft involving our corporate cards could result in reputational damage to us, potentially reducing the use and acceptance of our corporate card offering or lead to greater regulation that would increase our compliance costs. Fraudulent activity could also result in the imposition of regulatory sanctions, including significant monetary fines. The foregoing could harm our business, results of operations, and financial condition.</w:t>
      </w:r>
    </w:p>
    <w:p>
      <w:pPr>
        <w:spacing w:after="0" w:line="88" w:lineRule="exact"/>
        <w:rPr>
          <w:sz w:val="20"/>
          <w:szCs w:val="20"/>
          <w:color w:val="auto"/>
        </w:rPr>
      </w:pPr>
    </w:p>
    <w:p>
      <w:pPr>
        <w:ind w:left="1520" w:right="1700" w:firstLine="230"/>
        <w:spacing w:after="0" w:line="275" w:lineRule="auto"/>
        <w:rPr>
          <w:sz w:val="20"/>
          <w:szCs w:val="20"/>
          <w:color w:val="auto"/>
        </w:rPr>
      </w:pPr>
      <w:r>
        <w:rPr>
          <w:rFonts w:ascii="Arial" w:cs="Arial" w:eastAsia="Arial" w:hAnsi="Arial"/>
          <w:sz w:val="12"/>
          <w:szCs w:val="12"/>
          <w:color w:val="auto"/>
        </w:rPr>
        <w:t>Additionally, our funding model relies on a variety of funding arrangements, including warehouse facilities and purchase arrangements, with a variety of funding sources. Any significant underperformance of the card receivables we own may adversely impact our relationship with such funding sources and result in an increase in our cost of financing, a modification or termination of our existing funding arrangements or our ability to procure funding, which could adversely affect our business, financial condition, results of operations, and prospects.</w:t>
      </w: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1520" w:right="1660"/>
        <w:spacing w:after="0" w:line="284" w:lineRule="auto"/>
        <w:rPr>
          <w:sz w:val="20"/>
          <w:szCs w:val="20"/>
          <w:color w:val="auto"/>
        </w:rPr>
      </w:pPr>
      <w:r>
        <w:rPr>
          <w:rFonts w:ascii="Arial" w:cs="Arial" w:eastAsia="Arial" w:hAnsi="Arial"/>
          <w:sz w:val="12"/>
          <w:szCs w:val="12"/>
          <w:b w:val="1"/>
          <w:bCs w:val="1"/>
          <w:i w:val="1"/>
          <w:iCs w:val="1"/>
          <w:color w:val="auto"/>
        </w:rPr>
        <w:t>While we have entered into redundant relationships with third -party partners and issuing banks for our corporate cards, if we lose any of these services, or if the card network ceases to support our cards, our business, results of operations, financial condition, and growth prospects could be harmed.</w:t>
      </w:r>
    </w:p>
    <w:p>
      <w:pPr>
        <w:spacing w:after="0" w:line="72" w:lineRule="exact"/>
        <w:rPr>
          <w:sz w:val="20"/>
          <w:szCs w:val="20"/>
          <w:color w:val="auto"/>
        </w:rPr>
      </w:pPr>
    </w:p>
    <w:p>
      <w:pPr>
        <w:ind w:left="1520" w:right="1700" w:firstLine="230"/>
        <w:spacing w:after="0" w:line="271" w:lineRule="auto"/>
        <w:rPr>
          <w:sz w:val="20"/>
          <w:szCs w:val="20"/>
          <w:color w:val="auto"/>
        </w:rPr>
      </w:pPr>
      <w:r>
        <w:rPr>
          <w:rFonts w:ascii="Arial" w:cs="Arial" w:eastAsia="Arial" w:hAnsi="Arial"/>
          <w:sz w:val="12"/>
          <w:szCs w:val="12"/>
          <w:color w:val="auto"/>
        </w:rPr>
        <w:t>Our corporate card is an important element of our growth strategy. We have entered into card issuing agreements with bank program managers and issuing banks for card issuing, compliance, transaction settlement, and related services. Those agreements include significant security, compliance, and operational obligations, including adherence on short notice to evolving regulatory requirements. If we are not able to comply with those obligations or our agreements with the third-party bank program managers and issuing banks are suspended, limited, or otherwise terminated for any reason (including, but not limited to, the failure by an issuing bank to comply with applicable regulations), we could experience service interruptions, delays, and additional expenses in arranging new services. As a result, we may be unable to replace these services on competitive terms, or at all, which could adversely affect our business, financial condition, results of operations, and prospects.</w:t>
      </w:r>
    </w:p>
    <w:p>
      <w:pPr>
        <w:spacing w:after="0" w:line="88"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Our Navan Connect service enables customers to connect their non-Navan corporate cards to our expense management platform to automate reporting and, in some cases, enable the creation of virtual cards for travel bookings on our platform. We do not bear the credit risk or the risk of card losses on cards enrolled in Navan Connect. These cards are issued independently from Navan, and accordingly, we do not have agreements in place that would make Navan liable for those cards' transactions. We do not earn revenue from interchange on cards enrolled in Navan Connect. Navan Connect depends on us maintaining contractual relationships with card networks and card providers, and if a card network or card provider suspends or terminates its agreement with us, our business, financial condition, results of operations, and prospects could be harmed.</w:t>
      </w:r>
    </w:p>
    <w:p>
      <w:pPr>
        <w:spacing w:after="0" w:line="87" w:lineRule="exact"/>
        <w:rPr>
          <w:sz w:val="20"/>
          <w:szCs w:val="20"/>
          <w:color w:val="auto"/>
        </w:rPr>
      </w:pPr>
    </w:p>
    <w:p>
      <w:pPr>
        <w:ind w:left="1520" w:right="1620"/>
        <w:spacing w:after="0" w:line="279" w:lineRule="auto"/>
        <w:rPr>
          <w:sz w:val="20"/>
          <w:szCs w:val="20"/>
          <w:color w:val="auto"/>
        </w:rPr>
      </w:pPr>
      <w:r>
        <w:rPr>
          <w:rFonts w:ascii="Arial" w:cs="Arial" w:eastAsia="Arial" w:hAnsi="Arial"/>
          <w:sz w:val="12"/>
          <w:szCs w:val="12"/>
          <w:b w:val="1"/>
          <w:bCs w:val="1"/>
          <w:i w:val="1"/>
          <w:iCs w:val="1"/>
          <w:color w:val="auto"/>
        </w:rPr>
        <w:t>Dependence on third-party service providers by us and our suppliers involves risks, including security incidents, service disruptions, and operational failures that could compromise confidential information, disrupt critical business operations, and damage our reputation. Interruptions or delays in these services have impaired and may in the future impair the delivery of our platform, harming our business.</w:t>
      </w:r>
    </w:p>
    <w:p>
      <w:pPr>
        <w:spacing w:after="0" w:line="76" w:lineRule="exact"/>
        <w:rPr>
          <w:sz w:val="20"/>
          <w:szCs w:val="20"/>
          <w:color w:val="auto"/>
        </w:rPr>
      </w:pPr>
    </w:p>
    <w:p>
      <w:pPr>
        <w:ind w:left="1520" w:right="1700" w:firstLine="230"/>
        <w:spacing w:after="0" w:line="269" w:lineRule="auto"/>
        <w:rPr>
          <w:sz w:val="20"/>
          <w:szCs w:val="20"/>
          <w:color w:val="auto"/>
        </w:rPr>
      </w:pPr>
      <w:r>
        <w:rPr>
          <w:rFonts w:ascii="Arial" w:cs="Arial" w:eastAsia="Arial" w:hAnsi="Arial"/>
          <w:sz w:val="12"/>
          <w:szCs w:val="12"/>
          <w:color w:val="auto"/>
        </w:rPr>
        <w:t>We host our platform using third-party cloud infrastructure services. All of our offerings utilize resources operated by us through these providers. We therefore depend on our third-party cloud providers’ ability to protect their data centers against damage or interruption from natural disasters, power or telecommunications failures, criminal acts, and similar events. Our operations depend on protecting the cloud infrastructure hosted by such providers by maintaining their respective configuration, architecture, and interconnection specifications, as well as the information stored in these virtual data centers and transmitted by third-party internet service providers. We have periodically experienced service disruptions in the past, and we cannot assure you that we will not experience interruptions or delays in our service in the future. We may also incur significant costs for using alternative equipment or taking other actions in preparation for, or in reaction to, events that damage the data storage services we use. Although we have disaster recovery plans that utilize multiple data storage locations, an incident affecting our backup data storage locations that may be caused by fire, flood, severe storm, earthquake, power loss, telecommunications failures, unauthorized intrusion, computer viruses, disabling devices, natural disasters, military actions, terrorist attacks, negligence, and other similar events beyond our control could negatively affect our platform.</w:t>
      </w:r>
    </w:p>
    <w:p>
      <w:pPr>
        <w:sectPr>
          <w:pgSz w:w="11900" w:h="16840" w:orient="portrait"/>
          <w:cols w:equalWidth="0" w:num="1">
            <w:col w:w="9020"/>
          </w:cols>
          <w:pgMar w:left="1440" w:top="560" w:right="1440" w:bottom="374" w:gutter="0" w:footer="0" w:header="0"/>
        </w:sectPr>
      </w:pPr>
    </w:p>
    <w:bookmarkStart w:id="33" w:name="page34"/>
    <w:bookmarkEnd w:id="33"/>
    <w:p>
      <w:pPr>
        <w:ind w:left="1520" w:right="1720" w:firstLine="230"/>
        <w:spacing w:after="0" w:line="192" w:lineRule="auto"/>
        <w:rPr>
          <w:sz w:val="20"/>
          <w:szCs w:val="20"/>
          <w:color w:val="auto"/>
        </w:rPr>
      </w:pPr>
      <w:r>
        <w:rPr>
          <w:rFonts w:ascii="Arial" w:cs="Arial" w:eastAsia="Arial" w:hAnsi="Arial"/>
          <w:sz w:val="11"/>
          <w:szCs w:val="11"/>
          <w:color w:val="auto"/>
        </w:rPr>
        <w:t>Beyond cloud hosting, we rely on numerous third parties to operate our critical business systems and process confidential and personal information, such as payment processors that handle customer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-121920</wp:posOffset>
            </wp:positionV>
            <wp:extent cx="6732270" cy="9970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760"/>
        <w:spacing w:after="0" w:line="275" w:lineRule="auto"/>
        <w:rPr>
          <w:sz w:val="20"/>
          <w:szCs w:val="20"/>
          <w:color w:val="auto"/>
        </w:rPr>
      </w:pPr>
      <w:r>
        <w:rPr>
          <w:rFonts w:ascii="Arial" w:cs="Arial" w:eastAsia="Arial" w:hAnsi="Arial"/>
          <w:sz w:val="12"/>
          <w:szCs w:val="12"/>
          <w:color w:val="auto"/>
        </w:rPr>
        <w:t>card payments, cloud service providers, and customer care centers. Our ability to monitor these third parties' information security practices is limited, creating significant exposure to potential security events, disruptions, or outages outside our direct control. These third parties may inappropriately access confidential and personal information or may lack adequate security measures, potentially leading to</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80"/>
        <w:spacing w:after="0" w:line="312" w:lineRule="auto"/>
        <w:rPr>
          <w:sz w:val="20"/>
          <w:szCs w:val="20"/>
          <w:color w:val="auto"/>
        </w:rPr>
      </w:pPr>
      <w:r>
        <w:rPr>
          <w:rFonts w:ascii="Arial" w:cs="Arial" w:eastAsia="Arial" w:hAnsi="Arial"/>
          <w:sz w:val="12"/>
          <w:szCs w:val="12"/>
          <w:color w:val="auto"/>
        </w:rPr>
        <w:t>security incidents that compromise the confidentiality, integrity, or availability of systems they operate for us or the information they process on our behalf.</w:t>
      </w:r>
    </w:p>
    <w:p>
      <w:pPr>
        <w:spacing w:after="0" w:line="62" w:lineRule="exact"/>
        <w:rPr>
          <w:sz w:val="20"/>
          <w:szCs w:val="20"/>
          <w:color w:val="auto"/>
        </w:rPr>
      </w:pPr>
    </w:p>
    <w:p>
      <w:pPr>
        <w:ind w:left="1520" w:right="1760" w:firstLine="230"/>
        <w:spacing w:after="0" w:line="270" w:lineRule="auto"/>
        <w:rPr>
          <w:sz w:val="20"/>
          <w:szCs w:val="20"/>
          <w:color w:val="auto"/>
        </w:rPr>
      </w:pPr>
      <w:r>
        <w:rPr>
          <w:rFonts w:ascii="Arial" w:cs="Arial" w:eastAsia="Arial" w:hAnsi="Arial"/>
          <w:sz w:val="12"/>
          <w:szCs w:val="12"/>
          <w:color w:val="auto"/>
        </w:rPr>
        <w:t>For example, the CrowdStrike incident and resulting systems outage in July 2024 significantly impacted airline operations and forced several major carriers to ground flights for a prolonged period. While we were not the source of that incident and the CrowdStrike incident did not have a direct impact on our operations, disruptions of this nature could in the future significantly affect our ability to provide timely travel services to customers who rely on our platform for booking, itinerary management and support. Substantial or sustained failures caused by third-party software issues, airline infrastructure outages or vulnerabilities in our systems could lead to service delays, reduced functionality, customer frustration and reduced trust in our platform. Any prolonged service disruption affecting our platform for any of the foregoing reasons could damage our reputation with current and potential customers, expose us to liability, or cause us to lose or otherwise harm our business. Also, in the event of damage or interruption, our insurance policies may not adequately compensate us for any losses that we may incur. Such failures could adversely affect our business, financial condition, results of operations, and prospects.</w:t>
      </w:r>
    </w:p>
    <w:p>
      <w:pPr>
        <w:spacing w:after="0" w:line="242" w:lineRule="exact"/>
        <w:rPr>
          <w:sz w:val="20"/>
          <w:szCs w:val="20"/>
          <w:color w:val="auto"/>
        </w:rPr>
      </w:pPr>
    </w:p>
    <w:p>
      <w:pPr>
        <w:ind w:left="1520" w:right="1820" w:firstLine="230"/>
        <w:spacing w:after="0" w:line="275" w:lineRule="auto"/>
        <w:rPr>
          <w:sz w:val="20"/>
          <w:szCs w:val="20"/>
          <w:color w:val="auto"/>
        </w:rPr>
      </w:pPr>
      <w:r>
        <w:rPr>
          <w:rFonts w:ascii="Arial" w:cs="Arial" w:eastAsia="Arial" w:hAnsi="Arial"/>
          <w:sz w:val="12"/>
          <w:szCs w:val="12"/>
          <w:color w:val="auto"/>
        </w:rPr>
        <w:t>Supply chain attacks targeting service providers have increased in both frequency and severity in recent years. We cannot guarantee that our service providers' infrastructure or the infrastructure of their partners has not been compromised. While we may be entitled to damages if our third-party service providers fail to satisfy their privacy or security-related obligations to us, we cannot be certain that our applicable contracts with these third parties will adequately limit our data security-related liability or provide sufficient mechanisms for indemnification or recovery from losses they cause us to incur.</w:t>
      </w:r>
    </w:p>
    <w:p>
      <w:pPr>
        <w:spacing w:after="0" w:line="85" w:lineRule="exact"/>
        <w:rPr>
          <w:sz w:val="20"/>
          <w:szCs w:val="20"/>
          <w:color w:val="auto"/>
        </w:rPr>
      </w:pPr>
    </w:p>
    <w:p>
      <w:pPr>
        <w:ind w:left="1520" w:right="1760" w:firstLine="230"/>
        <w:spacing w:after="0" w:line="275" w:lineRule="auto"/>
        <w:rPr>
          <w:sz w:val="20"/>
          <w:szCs w:val="20"/>
          <w:color w:val="auto"/>
        </w:rPr>
      </w:pPr>
      <w:r>
        <w:rPr>
          <w:rFonts w:ascii="Arial" w:cs="Arial" w:eastAsia="Arial" w:hAnsi="Arial"/>
          <w:sz w:val="12"/>
          <w:szCs w:val="12"/>
          <w:color w:val="auto"/>
        </w:rPr>
        <w:t>Our platform is accessed by many customers, often at the same time. Any interruptions or delays in access to our platform, including due to third-party provider failures or incidents, could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platform as well as delays and additional expense in arranging new facilities and services.</w:t>
      </w:r>
    </w:p>
    <w:p>
      <w:pPr>
        <w:spacing w:after="0" w:line="85" w:lineRule="exact"/>
        <w:rPr>
          <w:sz w:val="20"/>
          <w:szCs w:val="20"/>
          <w:color w:val="auto"/>
        </w:rPr>
      </w:pPr>
    </w:p>
    <w:p>
      <w:pPr>
        <w:ind w:left="1520" w:right="1680" w:firstLine="230"/>
        <w:spacing w:after="0" w:line="272" w:lineRule="auto"/>
        <w:rPr>
          <w:sz w:val="20"/>
          <w:szCs w:val="20"/>
          <w:color w:val="auto"/>
        </w:rPr>
      </w:pPr>
      <w:r>
        <w:rPr>
          <w:rFonts w:ascii="Arial" w:cs="Arial" w:eastAsia="Arial" w:hAnsi="Arial"/>
          <w:sz w:val="12"/>
          <w:szCs w:val="12"/>
          <w:color w:val="auto"/>
        </w:rPr>
        <w:t>Given the increasingly international nature of our business, we may also partner with local travel management companies in specific geographies that may not meet the cybersecurity controls expected or required by our suppliers and customers. These local partners may operate under different regulatory frameworks and security standards that don't align with our requirements or customer and supplier expectations, creating additional vulnerability points in our overall security posture. Security incidents involving these international partners could damage customer trust, result in regulatory violations across multiple jurisdictions, and create complex legal challenges due to varying international privacy laws if data these international partners process on our behalf is impacted.</w:t>
      </w:r>
    </w:p>
    <w:p>
      <w:pPr>
        <w:spacing w:after="0" w:line="90" w:lineRule="exact"/>
        <w:rPr>
          <w:sz w:val="20"/>
          <w:szCs w:val="20"/>
          <w:color w:val="auto"/>
        </w:rPr>
      </w:pPr>
    </w:p>
    <w:p>
      <w:pPr>
        <w:ind w:left="1520" w:right="1980"/>
        <w:spacing w:after="0" w:line="292" w:lineRule="auto"/>
        <w:rPr>
          <w:sz w:val="20"/>
          <w:szCs w:val="20"/>
          <w:color w:val="auto"/>
        </w:rPr>
      </w:pPr>
      <w:r>
        <w:rPr>
          <w:rFonts w:ascii="Arial" w:cs="Arial" w:eastAsia="Arial" w:hAnsi="Arial"/>
          <w:sz w:val="12"/>
          <w:szCs w:val="12"/>
          <w:b w:val="1"/>
          <w:bCs w:val="1"/>
          <w:i w:val="1"/>
          <w:iCs w:val="1"/>
          <w:color w:val="auto"/>
        </w:rPr>
        <w:t>We may not successfully develop or introduce new offerings, services, features, integrations, capabilities, and versions of our existing offerings that achieve market acceptance, and our business could be harmed and our revenue could suffer as a result.</w:t>
      </w:r>
    </w:p>
    <w:p>
      <w:pPr>
        <w:spacing w:after="0" w:line="68" w:lineRule="exact"/>
        <w:rPr>
          <w:sz w:val="20"/>
          <w:szCs w:val="20"/>
          <w:color w:val="auto"/>
        </w:rPr>
      </w:pPr>
    </w:p>
    <w:p>
      <w:pPr>
        <w:ind w:left="1520" w:right="1740" w:firstLine="230"/>
        <w:spacing w:after="0" w:line="270" w:lineRule="auto"/>
        <w:rPr>
          <w:sz w:val="20"/>
          <w:szCs w:val="20"/>
          <w:color w:val="auto"/>
        </w:rPr>
      </w:pPr>
      <w:r>
        <w:rPr>
          <w:rFonts w:ascii="Arial" w:cs="Arial" w:eastAsia="Arial" w:hAnsi="Arial"/>
          <w:sz w:val="12"/>
          <w:szCs w:val="12"/>
          <w:color w:val="auto"/>
        </w:rPr>
        <w:t>Our ability to attract new customers and increase revenue from existing customers depends in large part upon the successful development, introduction and customer acceptance of new offerings, services, features, integrations, capabilities, and versions of our existing offering. Unexpected delays in releasing new or enhanced offerings, or errors following their release, could result in loss of sales, delay in market acceptance of our platform, or customer claims against us, any of which could harm our business. The success of any new product, service, feature, integration, capability, or version depends on several factors, including timely completion and delivery, competitive pricing, adequate quality testing, integration with existing technologies, proper marketing of the offering, and market acceptance. For example, our Bleisure offering is a nascent offering, and there can be no assurance that it will reach the level of customer adoption that it was designed to achieve. We may not be able to develop new offerings successfully or to introduce and gain market acceptance of new offerings in a timely manner, or at all. If</w:t>
      </w: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960"/>
        <w:spacing w:after="0" w:line="281" w:lineRule="auto"/>
        <w:rPr>
          <w:sz w:val="20"/>
          <w:szCs w:val="20"/>
          <w:color w:val="auto"/>
        </w:rPr>
      </w:pPr>
      <w:r>
        <w:rPr>
          <w:rFonts w:ascii="Arial" w:cs="Arial" w:eastAsia="Arial" w:hAnsi="Arial"/>
          <w:sz w:val="12"/>
          <w:szCs w:val="12"/>
          <w:color w:val="auto"/>
        </w:rPr>
        <w:t>we are unable to expand our offerings in a manner that increases retention of existing customers and attracts new customers, or successfully drives adoption by our travel management customers of our expense management and corporate card offerings, our business, financial condition, results of operations, and prospects could be adversely affected.</w:t>
      </w:r>
    </w:p>
    <w:p>
      <w:pPr>
        <w:spacing w:after="0" w:line="83" w:lineRule="exact"/>
        <w:rPr>
          <w:sz w:val="20"/>
          <w:szCs w:val="20"/>
          <w:color w:val="auto"/>
        </w:rPr>
      </w:pPr>
    </w:p>
    <w:p>
      <w:pPr>
        <w:ind w:left="1520"/>
        <w:spacing w:after="0"/>
        <w:rPr>
          <w:sz w:val="20"/>
          <w:szCs w:val="20"/>
          <w:color w:val="auto"/>
        </w:rPr>
      </w:pPr>
      <w:r>
        <w:rPr>
          <w:rFonts w:ascii="Arial" w:cs="Arial" w:eastAsia="Arial" w:hAnsi="Arial"/>
          <w:sz w:val="12"/>
          <w:szCs w:val="12"/>
          <w:b w:val="1"/>
          <w:bCs w:val="1"/>
          <w:i w:val="1"/>
          <w:iCs w:val="1"/>
          <w:color w:val="auto"/>
        </w:rPr>
        <w:t>Our business is affected by seasonality.</w:t>
      </w:r>
    </w:p>
    <w:p>
      <w:pPr>
        <w:spacing w:after="0" w:line="128" w:lineRule="exact"/>
        <w:rPr>
          <w:sz w:val="20"/>
          <w:szCs w:val="20"/>
          <w:color w:val="auto"/>
        </w:rPr>
      </w:pPr>
    </w:p>
    <w:p>
      <w:pPr>
        <w:ind w:left="1520" w:right="1740" w:firstLine="230"/>
        <w:spacing w:after="0" w:line="271" w:lineRule="auto"/>
        <w:rPr>
          <w:sz w:val="20"/>
          <w:szCs w:val="20"/>
          <w:color w:val="auto"/>
        </w:rPr>
      </w:pPr>
      <w:r>
        <w:rPr>
          <w:rFonts w:ascii="Arial" w:cs="Arial" w:eastAsia="Arial" w:hAnsi="Arial"/>
          <w:sz w:val="12"/>
          <w:szCs w:val="12"/>
          <w:color w:val="auto"/>
        </w:rPr>
        <w:t>Our business has historically been influenced by seasonality, primarily related to seasonal travel trends of business travelers, as our users typically travel less during holiday periods, though this effect varies regionally. As a result, our travel revenue has historically been stronger in the third fiscal quarter. Additionally, a portion of the revenue from our expense management offerings is driven by the volume of corporate card spending processed by our expense management platform, which tends to decrease during periods of decreased business travel. In addition, demand for travel generally fluctuates based on a number of factors, including periods of perceived or actual adverse economic conditions and times of political or economic uncertainty. As a result of quarterly fluctuations caused by these and other factors, comparisons of our results of operations across different fiscal quarters may not be accurate indicators of our future performance. Furthermore, our rapid growth in recent years may obscure the extent to which</w:t>
      </w:r>
    </w:p>
    <w:p>
      <w:pPr>
        <w:sectPr>
          <w:pgSz w:w="11900" w:h="16840" w:orient="portrait"/>
          <w:cols w:equalWidth="0" w:num="1">
            <w:col w:w="9020"/>
          </w:cols>
          <w:pgMar w:left="1440" w:top="560" w:right="1440" w:bottom="34" w:gutter="0" w:footer="0" w:header="0"/>
        </w:sectPr>
      </w:pPr>
    </w:p>
    <w:bookmarkStart w:id="34" w:name="page35"/>
    <w:bookmarkEnd w:id="34"/>
    <w:p>
      <w:pPr>
        <w:ind w:left="1520" w:right="2000"/>
        <w:spacing w:after="0" w:line="234" w:lineRule="auto"/>
        <w:rPr>
          <w:sz w:val="20"/>
          <w:szCs w:val="20"/>
          <w:color w:val="auto"/>
        </w:rPr>
      </w:pPr>
      <w:r>
        <w:rPr>
          <w:rFonts w:ascii="Arial" w:cs="Arial" w:eastAsia="Arial" w:hAnsi="Arial"/>
          <w:sz w:val="12"/>
          <w:szCs w:val="12"/>
          <w:color w:val="auto"/>
        </w:rPr>
        <w:t>seasonality trends have affected our business and may continue to affect our business. Accordingly, yearly or quarterly comparisons of our results of operations may not be useful and our results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-163830</wp:posOffset>
            </wp:positionV>
            <wp:extent cx="6732270" cy="9970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740"/>
        <w:spacing w:after="0" w:line="279" w:lineRule="auto"/>
        <w:rPr>
          <w:sz w:val="20"/>
          <w:szCs w:val="20"/>
          <w:color w:val="auto"/>
        </w:rPr>
      </w:pPr>
      <w:r>
        <w:rPr>
          <w:rFonts w:ascii="Arial" w:cs="Arial" w:eastAsia="Arial" w:hAnsi="Arial"/>
          <w:sz w:val="12"/>
          <w:szCs w:val="12"/>
          <w:color w:val="auto"/>
        </w:rPr>
        <w:t>particular period will not necessarily be indicative of the results to be expected for any future period. Seasonality in our business can also be affected by introductions of new or enhanced offerings, including the costs associated with such introductions.</w:t>
      </w:r>
    </w:p>
    <w:p>
      <w:pPr>
        <w:spacing w:after="0" w:line="83" w:lineRule="exact"/>
        <w:rPr>
          <w:sz w:val="20"/>
          <w:szCs w:val="20"/>
          <w:color w:val="auto"/>
        </w:rPr>
      </w:pPr>
    </w:p>
    <w:p>
      <w:pPr>
        <w:ind w:left="1520" w:right="2000"/>
        <w:spacing w:after="0" w:line="292" w:lineRule="auto"/>
        <w:rPr>
          <w:sz w:val="20"/>
          <w:szCs w:val="20"/>
          <w:color w:val="auto"/>
        </w:rPr>
      </w:pPr>
      <w:r>
        <w:rPr>
          <w:rFonts w:ascii="Arial" w:cs="Arial" w:eastAsia="Arial" w:hAnsi="Arial"/>
          <w:sz w:val="12"/>
          <w:szCs w:val="12"/>
          <w:b w:val="1"/>
          <w:bCs w:val="1"/>
          <w:i w:val="1"/>
          <w:iCs w:val="1"/>
          <w:color w:val="auto"/>
        </w:rPr>
        <w:t>Our business depends on a strong brand, and if we are not able to maintain and enhance our brand, our ability to maintain and expand our base of customers may be impaired, and our business and results of operations will be harmed.</w:t>
      </w:r>
    </w:p>
    <w:p>
      <w:pPr>
        <w:spacing w:after="0" w:line="68" w:lineRule="exact"/>
        <w:rPr>
          <w:sz w:val="20"/>
          <w:szCs w:val="20"/>
          <w:color w:val="auto"/>
        </w:rPr>
      </w:pPr>
    </w:p>
    <w:p>
      <w:pPr>
        <w:jc w:val="both"/>
        <w:ind w:left="1520" w:right="1680" w:firstLine="230"/>
        <w:spacing w:after="0" w:line="272" w:lineRule="auto"/>
        <w:rPr>
          <w:sz w:val="20"/>
          <w:szCs w:val="20"/>
          <w:color w:val="auto"/>
        </w:rPr>
      </w:pPr>
      <w:r>
        <w:rPr>
          <w:rFonts w:ascii="Arial" w:cs="Arial" w:eastAsia="Arial" w:hAnsi="Arial"/>
          <w:sz w:val="12"/>
          <w:szCs w:val="12"/>
          <w:color w:val="auto"/>
        </w:rPr>
        <w:t>We believe that the brand identity that we have developed has significantly contributed to the success of our business. We also believe that maintaining and enhancing the Navan brand is critical to expanding our customer base and establishing and maintaining relationships with suppliers and other partners.</w:t>
      </w:r>
    </w:p>
    <w:p>
      <w:pPr>
        <w:spacing w:after="0" w:line="2" w:lineRule="exact"/>
        <w:rPr>
          <w:sz w:val="20"/>
          <w:szCs w:val="20"/>
          <w:color w:val="auto"/>
        </w:rPr>
      </w:pPr>
    </w:p>
    <w:p>
      <w:pPr>
        <w:ind w:left="1520" w:right="1700"/>
        <w:spacing w:after="0" w:line="267" w:lineRule="auto"/>
        <w:rPr>
          <w:sz w:val="20"/>
          <w:szCs w:val="20"/>
          <w:color w:val="auto"/>
        </w:rPr>
      </w:pPr>
      <w:r>
        <w:rPr>
          <w:rFonts w:ascii="Arial" w:cs="Arial" w:eastAsia="Arial" w:hAnsi="Arial"/>
          <w:sz w:val="12"/>
          <w:szCs w:val="12"/>
          <w:color w:val="auto"/>
        </w:rPr>
        <w:t>Successful promotion and protection of our brand will depend largely on the effectiveness of our marketing efforts, our ability to ensure that our platform remains high-quality, reliable, useful and competitively priced, the quality and perceived value of our platform, our ability to successfully differentiate our platform and features from those of our competitors, and the ability of our customers to achieve successful results by using our platform and features. Maintaining and enhancing our brand may require us to make substantial investments not just in our Travel Management offerings but also in newer offerings, such as Bleisure, and to make substantial investments in new non-U.S. markets, which may not be successful. Marketing campaigns are also critical to the success of our product-led growth sales strategy. Substantial advertising expenditures may be required to maintain and enhance our brand, which may not prove successful. Advertising and other brand promotion activities may not generate customer awareness or increase revenue, and even if they do, any increase in revenue may not offset the expenses we incur in building our brand. In addition, existing and future brand-marketing campaigns and customer awareness strategies may have lengthy return on investment time horizons. We also have limited experience conducting broad marketing campaigns, such as global integrated marketing campaigns, and other marketing initiatives. As a result, we may not be able to adequately assess the benefits of such initiatives until we have made substantial investments of time and capital, which could also negatively impact our ability to effectively allocate sales and marketing funds and resources to the sales strategy that generates the greatest return on our investment. There could also be a negative reaction to certain advertising campaigns and values-based activity and communications.</w:t>
      </w:r>
    </w:p>
    <w:p>
      <w:pPr>
        <w:spacing w:after="0" w:line="249" w:lineRule="exact"/>
        <w:rPr>
          <w:sz w:val="20"/>
          <w:szCs w:val="20"/>
          <w:color w:val="auto"/>
        </w:rPr>
      </w:pPr>
    </w:p>
    <w:p>
      <w:pPr>
        <w:ind w:left="1520" w:right="1700" w:firstLine="230"/>
        <w:spacing w:after="0" w:line="277" w:lineRule="auto"/>
        <w:rPr>
          <w:sz w:val="20"/>
          <w:szCs w:val="20"/>
          <w:color w:val="auto"/>
        </w:rPr>
      </w:pPr>
      <w:r>
        <w:rPr>
          <w:rFonts w:ascii="Arial" w:cs="Arial" w:eastAsia="Arial" w:hAnsi="Arial"/>
          <w:sz w:val="12"/>
          <w:szCs w:val="12"/>
          <w:color w:val="auto"/>
        </w:rPr>
        <w:t>Additionally, our brand could be damaged by incidents involving our suppliers, particularly if the incidents receive considerable negative publicity or result in litigation, some of which may occur in the ordinary course of our business or the business of our suppliers and other partners. In addition, our failure to provide timely and sufficient support services to our users and customers in connection with travel delays and incidents could harm our brand and reputation. Such incidents may arise from events that are</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00"/>
        <w:spacing w:after="0" w:line="275" w:lineRule="auto"/>
        <w:rPr>
          <w:sz w:val="20"/>
          <w:szCs w:val="20"/>
          <w:color w:val="auto"/>
        </w:rPr>
      </w:pPr>
      <w:r>
        <w:rPr>
          <w:rFonts w:ascii="Arial" w:cs="Arial" w:eastAsia="Arial" w:hAnsi="Arial"/>
          <w:sz w:val="12"/>
          <w:szCs w:val="12"/>
          <w:color w:val="auto"/>
        </w:rPr>
        <w:t>or may be beyond our control, such as actions taken (or not taken) by one or more suppliers, including flight delays and cancellations. If we fail to promote and maintain the Navan brand, or if we incur excessive expenses in this effort, we may fail to attract or retain customers necessary to realize a sufficient return on our brand-building efforts or to achieve the widespread brand awareness that is critical for broad customer adoption of our platform and features. We anticipate that, as our market becomes increasingly competitive, maintaining and enhancing our brand may become more difficult and expensive.</w:t>
      </w:r>
    </w:p>
    <w:p>
      <w:pPr>
        <w:spacing w:after="0" w:line="87" w:lineRule="exact"/>
        <w:rPr>
          <w:sz w:val="20"/>
          <w:szCs w:val="20"/>
          <w:color w:val="auto"/>
        </w:rPr>
      </w:pPr>
    </w:p>
    <w:p>
      <w:pPr>
        <w:ind w:left="1520" w:right="1720"/>
        <w:spacing w:after="0" w:line="319" w:lineRule="auto"/>
        <w:rPr>
          <w:sz w:val="20"/>
          <w:szCs w:val="20"/>
          <w:color w:val="auto"/>
        </w:rPr>
      </w:pPr>
      <w:r>
        <w:rPr>
          <w:rFonts w:ascii="Arial" w:cs="Arial" w:eastAsia="Arial" w:hAnsi="Arial"/>
          <w:sz w:val="12"/>
          <w:szCs w:val="12"/>
          <w:b w:val="1"/>
          <w:bCs w:val="1"/>
          <w:i w:val="1"/>
          <w:iCs w:val="1"/>
          <w:color w:val="auto"/>
        </w:rPr>
        <w:t>We face significant competition in the markets we serve, and if we do not compete effectively, our business, results of operations, and financial condition could be harmed.</w:t>
      </w:r>
    </w:p>
    <w:p>
      <w:pPr>
        <w:spacing w:after="0" w:line="52" w:lineRule="exact"/>
        <w:rPr>
          <w:sz w:val="20"/>
          <w:szCs w:val="20"/>
          <w:color w:val="auto"/>
        </w:rPr>
      </w:pPr>
    </w:p>
    <w:p>
      <w:pPr>
        <w:ind w:left="1520" w:right="1700" w:firstLine="230"/>
        <w:spacing w:after="0" w:line="269" w:lineRule="auto"/>
        <w:rPr>
          <w:sz w:val="20"/>
          <w:szCs w:val="20"/>
          <w:color w:val="auto"/>
        </w:rPr>
      </w:pPr>
      <w:r>
        <w:rPr>
          <w:rFonts w:ascii="Arial" w:cs="Arial" w:eastAsia="Arial" w:hAnsi="Arial"/>
          <w:sz w:val="12"/>
          <w:szCs w:val="12"/>
          <w:color w:val="auto"/>
        </w:rPr>
        <w:t>Our offerings address a highly competitive market with entrenched incumbent industry participants, ranging from legacy service providers to more modern software companies. Some of our competitors may have access to more financial resources, greater name recognition, and better-established customer bases in their target segments, differentiated business models, technology, and other capabilities or a differentiated geographic coverage, which may make it difficult for us to retain or attract new customers. In addition, competitors are increasingly using AI and automation to improve service quality and reduce operational costs, allowing them to deliver more personalized user experiences or more efficient support at scale. New AI-native entrants may bypass traditional models and gain traction quickly, particularly in the unmanaged travel market, including by offering products that more effectively streamline the travel booking and expense management process using AI or other digital-native tools. At the same time, legacy competitors may continue to benefit from their brand strength, customer relationships, and market influence while integrating AI into their offerings, particularly if certain enterprise customers continue to favor traditional offline travel management services. Our travel suppliers may also seek to develop and implement or further invest in existing direct distribution channels. If we cannot compete effectively, our business, financial condition, results of operations, and prospects could be adversely affected.</w:t>
      </w:r>
    </w:p>
    <w:p>
      <w:pPr>
        <w:spacing w:after="0" w:line="91"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color w:val="auto"/>
        </w:rPr>
        <w:t>In travel management, we currently compete, and will continue to compete, with a variety of travel and travel-related companies, including other corporate travel management service providers such as BCD Group, Global Business Travel Group, Inc., and SAP Concur, traditional travel agencies, and emerging and established online travel agencies. We compete, to a lesser extent, with credit card loyalty programs, online travel search and price comparison services, facilitators of alternative accommodations such as short-term home or condominium rentals, and social media and e-commerce websites, as well as direct-booking platforms from hotel chains and airlines.</w:t>
      </w:r>
    </w:p>
    <w:p>
      <w:pPr>
        <w:spacing w:after="0" w:line="88" w:lineRule="exact"/>
        <w:rPr>
          <w:sz w:val="20"/>
          <w:szCs w:val="20"/>
          <w:color w:val="auto"/>
        </w:rPr>
      </w:pPr>
    </w:p>
    <w:p>
      <w:pPr>
        <w:ind w:left="1520" w:right="1700" w:firstLine="230"/>
        <w:spacing w:after="0" w:line="268" w:lineRule="auto"/>
        <w:rPr>
          <w:sz w:val="20"/>
          <w:szCs w:val="20"/>
          <w:color w:val="auto"/>
        </w:rPr>
      </w:pPr>
      <w:r>
        <w:rPr>
          <w:rFonts w:ascii="Arial" w:cs="Arial" w:eastAsia="Arial" w:hAnsi="Arial"/>
          <w:sz w:val="12"/>
          <w:szCs w:val="12"/>
          <w:color w:val="auto"/>
        </w:rPr>
        <w:t>In addition, our expense management and corporate card offerings face significant competitive challenges from do-it-yourself approaches as well as companies that provide traditional horizontal platform solutions with expense management features, such as Expensify, Oracle, and SAP, corporate card providers, and expense management solutions, such as Brex and Ramp. Moreover, some travelers may prefer to use their existing travel rewards credit cards to book rather than our corporate card, even if their personal rewards from our expense management offerings would be superior. It is difficult to predict adoption rates and demand for our expense management offerings, the future growth rate and size of the market for expense management and other pre-accounting products, or the entry of competitive offerings. Some traditional horizontal platform solutions with expense management features have substantially greater revenue, personnel, and other resources than we do. We also face competition from a growing number of other businesses offering expense management solutions and corporate cards. Some of these companies are using AI to automate workflows and deliver more adaptive user experiences, which may shift customer expectations and alter how expense management solutions are evaluated and adopted. With the introduction of new technologies and the entry of new companies into the market, we expect competition to persist and intensify. Additionally, it is possible that larger companies with substantial resources that operate in adjacent accounting, finance, or compliance verticals may decide to pursue expense management automation and become immediate, significant competitors. Merger and acquisition activity in the technology industry could increase the likelihood that we compete with other large technology companies.</w:t>
      </w:r>
    </w:p>
    <w:p>
      <w:pPr>
        <w:sectPr>
          <w:pgSz w:w="11900" w:h="16840" w:orient="portrait"/>
          <w:cols w:equalWidth="0" w:num="1">
            <w:col w:w="9020"/>
          </w:cols>
          <w:pgMar w:left="1440" w:top="560" w:right="1440" w:bottom="263" w:gutter="0" w:footer="0" w:header="0"/>
        </w:sectPr>
      </w:pPr>
    </w:p>
    <w:bookmarkStart w:id="35" w:name="page36"/>
    <w:bookmarkEnd w:id="35"/>
    <w:p>
      <w:pPr>
        <w:jc w:val="center"/>
        <w:ind w:right="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40" w:firstLine="230"/>
        <w:spacing w:after="0" w:line="275" w:lineRule="auto"/>
        <w:rPr>
          <w:sz w:val="20"/>
          <w:szCs w:val="20"/>
          <w:color w:val="auto"/>
        </w:rPr>
      </w:pPr>
      <w:r>
        <w:rPr>
          <w:rFonts w:ascii="Arial" w:cs="Arial" w:eastAsia="Arial" w:hAnsi="Arial"/>
          <w:sz w:val="12"/>
          <w:szCs w:val="12"/>
          <w:color w:val="auto"/>
        </w:rPr>
        <w:t>We cannot assure you that we will be able to compete successfully against any current, emerging, and future competitors or provide sufficiently differentiated products and services to our customer base in any of the markets we serve. Increasing competition from current and emerging competitors, consolidation of our competitors, the introduction of new technologies, and the continued expansion of existing technologies may force us to make changes to our business model, which could adversely affect our business, financial condition, results of operations, and prospects.</w:t>
      </w:r>
    </w:p>
    <w:p>
      <w:pPr>
        <w:spacing w:after="0" w:line="87" w:lineRule="exact"/>
        <w:rPr>
          <w:sz w:val="20"/>
          <w:szCs w:val="20"/>
          <w:color w:val="auto"/>
        </w:rPr>
      </w:pPr>
    </w:p>
    <w:p>
      <w:pPr>
        <w:ind w:left="1520" w:right="1840"/>
        <w:spacing w:after="0" w:line="292" w:lineRule="auto"/>
        <w:rPr>
          <w:sz w:val="20"/>
          <w:szCs w:val="20"/>
          <w:color w:val="auto"/>
        </w:rPr>
      </w:pPr>
      <w:r>
        <w:rPr>
          <w:rFonts w:ascii="Arial" w:cs="Arial" w:eastAsia="Arial" w:hAnsi="Arial"/>
          <w:sz w:val="12"/>
          <w:szCs w:val="12"/>
          <w:b w:val="1"/>
          <w:bCs w:val="1"/>
          <w:i w:val="1"/>
          <w:iCs w:val="1"/>
          <w:color w:val="auto"/>
        </w:rPr>
        <w:t>If our customers or users of our platform engage in, or are subject to, fraud, criminal activity, or inappropriate conduct, our reputation, brand, business, financial condition, and results of operations could be harmed.</w:t>
      </w:r>
    </w:p>
    <w:p>
      <w:pPr>
        <w:spacing w:after="0" w:line="68" w:lineRule="exact"/>
        <w:rPr>
          <w:sz w:val="20"/>
          <w:szCs w:val="20"/>
          <w:color w:val="auto"/>
        </w:rPr>
      </w:pPr>
    </w:p>
    <w:p>
      <w:pPr>
        <w:ind w:left="1520" w:right="1700" w:firstLine="230"/>
        <w:spacing w:after="0" w:line="268" w:lineRule="auto"/>
        <w:rPr>
          <w:sz w:val="20"/>
          <w:szCs w:val="20"/>
          <w:color w:val="auto"/>
        </w:rPr>
      </w:pPr>
      <w:r>
        <w:rPr>
          <w:rFonts w:ascii="Arial" w:cs="Arial" w:eastAsia="Arial" w:hAnsi="Arial"/>
          <w:sz w:val="12"/>
          <w:szCs w:val="12"/>
          <w:color w:val="auto"/>
          <w:highlight w:val="white"/>
        </w:rPr>
        <w:t xml:space="preserve">We are not able to control or predict the actions of our customers or users during their engagement with our platform or otherwise. </w:t>
      </w:r>
      <w:r>
        <w:rPr>
          <w:rFonts w:ascii="Arial" w:cs="Arial" w:eastAsia="Arial" w:hAnsi="Arial"/>
          <w:sz w:val="12"/>
          <w:szCs w:val="12"/>
          <w:color w:val="auto"/>
        </w:rPr>
        <w:t>We face the risk of criminal activity, fraud, and inappropriate conduct from</w:t>
      </w:r>
      <w:r>
        <w:rPr>
          <w:rFonts w:ascii="Arial" w:cs="Arial" w:eastAsia="Arial" w:hAnsi="Arial"/>
          <w:sz w:val="12"/>
          <w:szCs w:val="12"/>
          <w:color w:val="auto"/>
          <w:highlight w:val="white"/>
        </w:rPr>
        <w:t xml:space="preserve"> </w:t>
      </w:r>
      <w:r>
        <w:rPr>
          <w:rFonts w:ascii="Arial" w:cs="Arial" w:eastAsia="Arial" w:hAnsi="Arial"/>
          <w:sz w:val="12"/>
          <w:szCs w:val="12"/>
          <w:color w:val="auto"/>
        </w:rPr>
        <w:t xml:space="preserve">users or individuals impersonating users on our platform. Such risks include identity theft, use of stolen or fraudulent credit card data, social engineering attacks to gain unauthorized account access, and fraudulent exploitation of our payment card programs. </w:t>
      </w:r>
      <w:r>
        <w:rPr>
          <w:rFonts w:ascii="Arial" w:cs="Arial" w:eastAsia="Arial" w:hAnsi="Arial"/>
          <w:sz w:val="12"/>
          <w:szCs w:val="12"/>
          <w:color w:val="auto"/>
          <w:highlight w:val="white"/>
        </w:rPr>
        <w:t>This conduct has in the past involved, and may in</w:t>
      </w:r>
      <w:r>
        <w:rPr>
          <w:rFonts w:ascii="Arial" w:cs="Arial" w:eastAsia="Arial" w:hAnsi="Arial"/>
          <w:sz w:val="12"/>
          <w:szCs w:val="12"/>
          <w:color w:val="auto"/>
        </w:rPr>
        <w:t xml:space="preserve"> </w:t>
      </w:r>
      <w:r>
        <w:rPr>
          <w:rFonts w:ascii="Arial" w:cs="Arial" w:eastAsia="Arial" w:hAnsi="Arial"/>
          <w:sz w:val="12"/>
          <w:szCs w:val="12"/>
          <w:color w:val="auto"/>
          <w:highlight w:val="white"/>
        </w:rPr>
        <w:t xml:space="preserve">the future involve, coordinated and complex fraud schemes that are difficult to detect and prevent. Given their complexity, such schemes have in the past persisted, and future schemes may also persist, for lengthy periods prior to detection. </w:t>
      </w:r>
      <w:r>
        <w:rPr>
          <w:rFonts w:ascii="Arial" w:cs="Arial" w:eastAsia="Arial" w:hAnsi="Arial"/>
          <w:sz w:val="12"/>
          <w:szCs w:val="12"/>
          <w:color w:val="auto"/>
        </w:rPr>
        <w:t>If our platform is perceived as a conduit for such activity or if we fail to</w:t>
      </w:r>
      <w:r>
        <w:rPr>
          <w:rFonts w:ascii="Arial" w:cs="Arial" w:eastAsia="Arial" w:hAnsi="Arial"/>
          <w:sz w:val="12"/>
          <w:szCs w:val="12"/>
          <w:color w:val="auto"/>
          <w:highlight w:val="white"/>
        </w:rPr>
        <w:t xml:space="preserve"> </w:t>
      </w:r>
      <w:r>
        <w:rPr>
          <w:rFonts w:ascii="Arial" w:cs="Arial" w:eastAsia="Arial" w:hAnsi="Arial"/>
          <w:sz w:val="12"/>
          <w:szCs w:val="12"/>
          <w:color w:val="auto"/>
        </w:rPr>
        <w:t xml:space="preserve">effectively detect and prevent these threats, our brand reputation could be seriously damaged, resulting in negative press coverage, customer attrition, damage to our supplier relationships, and reduced market confidence. The financial impact of such fraudulent activities is often difficult to quantify quickly or with precision due to the complexity of certain of these schemes. Consequently, the negative effects on our financial results may continue into future periods or have a greater impact than initially anticipated, even after the fraudulent activity has been terminated. </w:t>
      </w:r>
      <w:r>
        <w:rPr>
          <w:rFonts w:ascii="Arial" w:cs="Arial" w:eastAsia="Arial" w:hAnsi="Arial"/>
          <w:sz w:val="12"/>
          <w:szCs w:val="12"/>
          <w:color w:val="auto"/>
          <w:highlight w:val="white"/>
        </w:rPr>
        <w:t>If the fraudulent activity occurs through systems</w:t>
      </w:r>
      <w:r>
        <w:rPr>
          <w:rFonts w:ascii="Arial" w:cs="Arial" w:eastAsia="Arial" w:hAnsi="Arial"/>
          <w:sz w:val="12"/>
          <w:szCs w:val="12"/>
          <w:color w:val="auto"/>
        </w:rPr>
        <w:t xml:space="preserve"> </w:t>
      </w:r>
      <w:r>
        <w:rPr>
          <w:rFonts w:ascii="Arial" w:cs="Arial" w:eastAsia="Arial" w:hAnsi="Arial"/>
          <w:sz w:val="12"/>
          <w:szCs w:val="12"/>
          <w:color w:val="auto"/>
          <w:highlight w:val="white"/>
        </w:rPr>
        <w:t xml:space="preserve">controlled by any of our partners, such as our suppliers, we may be unable to remediate or prevent this activity in a timely manner or at all due to limitations in, or our ability to, interact with such systems. </w:t>
      </w:r>
      <w:r>
        <w:rPr>
          <w:rFonts w:ascii="Arial" w:cs="Arial" w:eastAsia="Arial" w:hAnsi="Arial"/>
          <w:sz w:val="12"/>
          <w:szCs w:val="12"/>
          <w:color w:val="auto"/>
        </w:rPr>
        <w:t>The</w:t>
      </w:r>
      <w:r>
        <w:rPr>
          <w:rFonts w:ascii="Arial" w:cs="Arial" w:eastAsia="Arial" w:hAnsi="Arial"/>
          <w:sz w:val="12"/>
          <w:szCs w:val="12"/>
          <w:color w:val="auto"/>
          <w:highlight w:val="white"/>
        </w:rPr>
        <w:t xml:space="preserve"> </w:t>
      </w:r>
      <w:r>
        <w:rPr>
          <w:rFonts w:ascii="Arial" w:cs="Arial" w:eastAsia="Arial" w:hAnsi="Arial"/>
          <w:sz w:val="12"/>
          <w:szCs w:val="12"/>
          <w:color w:val="auto"/>
        </w:rPr>
        <w:t>process of identifying the full scope of losses often requires extensive investigation, potentially delaying financial reporting and creating additional operational challenges.</w:t>
      </w:r>
    </w:p>
    <w:p>
      <w:pPr>
        <w:spacing w:after="0" w:line="97" w:lineRule="exact"/>
        <w:rPr>
          <w:sz w:val="20"/>
          <w:szCs w:val="20"/>
          <w:color w:val="auto"/>
        </w:rPr>
      </w:pPr>
    </w:p>
    <w:p>
      <w:pPr>
        <w:ind w:left="1520" w:right="1960" w:firstLine="230"/>
        <w:spacing w:after="0" w:line="312" w:lineRule="auto"/>
        <w:rPr>
          <w:sz w:val="20"/>
          <w:szCs w:val="20"/>
          <w:color w:val="auto"/>
        </w:rPr>
      </w:pPr>
      <w:r>
        <w:rPr>
          <w:rFonts w:ascii="Arial" w:cs="Arial" w:eastAsia="Arial" w:hAnsi="Arial"/>
          <w:sz w:val="12"/>
          <w:szCs w:val="12"/>
          <w:color w:val="auto"/>
        </w:rPr>
        <w:t>Our failure to adequately detect, address, or prevent these fraudulent transactions could result in multiple adverse consequences beyond direct financial losses, including:</w:t>
      </w:r>
    </w:p>
    <w:p>
      <w:pPr>
        <w:spacing w:after="0" w:line="62" w:lineRule="exact"/>
        <w:rPr>
          <w:sz w:val="20"/>
          <w:szCs w:val="20"/>
          <w:color w:val="auto"/>
        </w:rPr>
      </w:pPr>
    </w:p>
    <w:p>
      <w:pPr>
        <w:ind w:left="1980" w:hanging="228"/>
        <w:spacing w:after="0"/>
        <w:tabs>
          <w:tab w:leader="none" w:pos="19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significant damage to our reputation and brand trust;</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litigation and regulatory action across multiple jurisdictions;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errors in financial statements potentially requiring corrections or restatements;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delays in preparing and filing periodic reports;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failures to meet our reporting and other obligations as a public company; and</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additional expenses for remediation and enhanced security measures.</w:t>
      </w:r>
    </w:p>
    <w:p>
      <w:pPr>
        <w:spacing w:after="0" w:line="130" w:lineRule="exact"/>
        <w:rPr>
          <w:sz w:val="20"/>
          <w:szCs w:val="20"/>
          <w:color w:val="auto"/>
        </w:rPr>
      </w:pPr>
    </w:p>
    <w:p>
      <w:pPr>
        <w:ind w:left="1520" w:right="1700" w:firstLine="230"/>
        <w:spacing w:after="0" w:line="281" w:lineRule="auto"/>
        <w:rPr>
          <w:sz w:val="20"/>
          <w:szCs w:val="20"/>
          <w:color w:val="auto"/>
        </w:rPr>
      </w:pPr>
      <w:r>
        <w:rPr>
          <w:rFonts w:ascii="Arial" w:cs="Arial" w:eastAsia="Arial" w:hAnsi="Arial"/>
          <w:sz w:val="12"/>
          <w:szCs w:val="12"/>
          <w:color w:val="auto"/>
        </w:rPr>
        <w:t>These risks extend beyond direct fraud against our systems. If criminal, inappropriate, or other negative incidents occur due to the conduct of customers, users, suppliers, or other third parties using our platform, our ability to attract and retain business relationships may be harmed. These incidents can significantly undermine confidence in our services, even when we are not directly at fault.</w:t>
      </w:r>
    </w:p>
    <w:p>
      <w:pPr>
        <w:spacing w:after="0" w:line="81" w:lineRule="exact"/>
        <w:rPr>
          <w:sz w:val="20"/>
          <w:szCs w:val="20"/>
          <w:color w:val="auto"/>
        </w:rPr>
      </w:pPr>
    </w:p>
    <w:p>
      <w:pPr>
        <w:ind w:left="1520" w:right="1740" w:firstLine="230"/>
        <w:spacing w:after="0" w:line="275" w:lineRule="auto"/>
        <w:rPr>
          <w:sz w:val="20"/>
          <w:szCs w:val="20"/>
          <w:color w:val="auto"/>
        </w:rPr>
      </w:pPr>
      <w:r>
        <w:rPr>
          <w:rFonts w:ascii="Arial" w:cs="Arial" w:eastAsia="Arial" w:hAnsi="Arial"/>
          <w:sz w:val="12"/>
          <w:szCs w:val="12"/>
          <w:color w:val="auto"/>
        </w:rPr>
        <w:t xml:space="preserve">As our platform continues to grow in scale and geographic reach, the sophistication and variety of potential fraud schemes will likely evolve in parallel. This requires continuous investment in fraud detection technologies, security protocols, and specialized personnel to protect our platform integrity and financial stability. The travel industry is particularly vulnerable to these risks due to the high transaction values and complex payment systems involved, making effective fraud prevention a critical component of our operational strategy and long-term business viability. </w:t>
      </w:r>
      <w:r>
        <w:rPr>
          <w:rFonts w:ascii="Arial" w:cs="Arial" w:eastAsia="Arial" w:hAnsi="Arial"/>
          <w:sz w:val="12"/>
          <w:szCs w:val="12"/>
          <w:color w:val="auto"/>
          <w:highlight w:val="white"/>
        </w:rPr>
        <w:t>If criminal, inappropriate, or other negative</w:t>
      </w: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2040"/>
        <w:spacing w:after="0" w:line="312" w:lineRule="auto"/>
        <w:rPr>
          <w:sz w:val="20"/>
          <w:szCs w:val="20"/>
          <w:color w:val="auto"/>
        </w:rPr>
      </w:pPr>
      <w:r>
        <w:rPr>
          <w:rFonts w:ascii="Arial" w:cs="Arial" w:eastAsia="Arial" w:hAnsi="Arial"/>
          <w:sz w:val="12"/>
          <w:szCs w:val="12"/>
          <w:color w:val="auto"/>
          <w:highlight w:val="white"/>
        </w:rPr>
        <w:t>incidents occur due to the conduct of third parties, our ability to attract and retain customers may be harmed, and our reputation, business, and financial results could be harmed.</w:t>
      </w:r>
    </w:p>
    <w:p>
      <w:pPr>
        <w:spacing w:after="0" w:line="64" w:lineRule="exact"/>
        <w:rPr>
          <w:sz w:val="20"/>
          <w:szCs w:val="20"/>
          <w:color w:val="auto"/>
        </w:rPr>
      </w:pPr>
    </w:p>
    <w:p>
      <w:pPr>
        <w:ind w:left="1520" w:right="1860"/>
        <w:spacing w:after="0" w:line="319" w:lineRule="auto"/>
        <w:rPr>
          <w:sz w:val="20"/>
          <w:szCs w:val="20"/>
          <w:color w:val="auto"/>
        </w:rPr>
      </w:pPr>
      <w:r>
        <w:rPr>
          <w:rFonts w:ascii="Arial" w:cs="Arial" w:eastAsia="Arial" w:hAnsi="Arial"/>
          <w:sz w:val="12"/>
          <w:szCs w:val="12"/>
          <w:b w:val="1"/>
          <w:bCs w:val="1"/>
          <w:i w:val="1"/>
          <w:iCs w:val="1"/>
          <w:color w:val="auto"/>
        </w:rPr>
        <w:t>If the prices we charge in connection with our offerings are unacceptable to our customers, our business, financial condition, and results of operations may be adversely impacted.</w:t>
      </w:r>
    </w:p>
    <w:p>
      <w:pPr>
        <w:spacing w:after="0" w:line="52" w:lineRule="exact"/>
        <w:rPr>
          <w:sz w:val="20"/>
          <w:szCs w:val="20"/>
          <w:color w:val="auto"/>
        </w:rPr>
      </w:pPr>
    </w:p>
    <w:p>
      <w:pPr>
        <w:ind w:left="1520" w:right="1700" w:firstLine="230"/>
        <w:spacing w:after="0" w:line="269" w:lineRule="auto"/>
        <w:rPr>
          <w:sz w:val="20"/>
          <w:szCs w:val="20"/>
          <w:color w:val="auto"/>
        </w:rPr>
      </w:pPr>
      <w:r>
        <w:rPr>
          <w:rFonts w:ascii="Arial" w:cs="Arial" w:eastAsia="Arial" w:hAnsi="Arial"/>
          <w:sz w:val="12"/>
          <w:szCs w:val="12"/>
          <w:color w:val="auto"/>
        </w:rPr>
        <w:t>We primarily generate revenue through commissions received from our suppliers based on the dollar volume of bookings made by users on our platform as well as per-trip or per-transaction fees from customers for access to our travel management platform or on-demand travel management services. We also generate revenue from annual subscription fees paid by our customers for access to our expense management offerings. As the market for our platform matures, or as new or existing competitors introduce new products or services that compete with ours, we may experience pricing pressure and be unable to renew our agreements with existing customers or attract new customers at prices that are consistent with our pricing model and operating budget. Moreover, our pricing strategy may come under pressure due to industry developments or macroeconomic conditions that are out of our control, including changes in available travel inventory, changes in inventory network standards like the NDC, reduced commission rates, or changes to interchange fees, as well as overall inflation and budget constraints impacting customers in an uncertain macroeconomic environment. Our pricing strategy for existing and new offerings we introduce may prove to be unappealing to our customers, and our competitors could choose to bundle certain products and services competitive with ours. If this were to occur, it is possible that we would have to change our pricing strategies or reduce our prices, which could adversely affect our business, financial condition, results of operations, and prospects.</w:t>
      </w:r>
    </w:p>
    <w:p>
      <w:pPr>
        <w:sectPr>
          <w:pgSz w:w="11900" w:h="16840" w:orient="portrait"/>
          <w:cols w:equalWidth="0" w:num="1">
            <w:col w:w="9020"/>
          </w:cols>
          <w:pgMar w:left="1440" w:top="1019" w:right="1440" w:bottom="74" w:gutter="0" w:footer="0" w:header="0"/>
        </w:sectPr>
      </w:pPr>
    </w:p>
    <w:bookmarkStart w:id="36" w:name="page37"/>
    <w:bookmarkEnd w:id="36"/>
    <w:p>
      <w:pPr>
        <w:ind w:left="1520" w:right="1760"/>
        <w:spacing w:after="0" w:line="284" w:lineRule="auto"/>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72" w:lineRule="exact"/>
        <w:rPr>
          <w:sz w:val="20"/>
          <w:szCs w:val="20"/>
          <w:color w:val="auto"/>
        </w:rPr>
      </w:pPr>
    </w:p>
    <w:p>
      <w:pPr>
        <w:ind w:left="1520" w:right="1680" w:firstLine="230"/>
        <w:spacing w:after="0" w:line="269" w:lineRule="auto"/>
        <w:rPr>
          <w:sz w:val="20"/>
          <w:szCs w:val="20"/>
          <w:color w:val="auto"/>
        </w:rPr>
      </w:pPr>
      <w:r>
        <w:rPr>
          <w:rFonts w:ascii="Arial" w:cs="Arial" w:eastAsia="Arial" w:hAnsi="Arial"/>
          <w:sz w:val="12"/>
          <w:szCs w:val="12"/>
          <w:color w:val="auto"/>
        </w:rPr>
        <w:t>Our internal tools have a number of limitations and our methodologies for tracking these metrics may change over time, which could result in unexpected changes to our metrics, including the metrics we report. We calculate and track performance metrics with internal tools, which are not independently verified by any third party. While we believe our metrics are reasonable estimates of our business and financial performance for the applicable period of measurement, the methodologies used to measure these metrics require significant judgment and may be susceptible to algorithm or other technical errors. For example, the accuracy and consistency of our performance metrics may be impacted by changes to internal assumptions regarding how we account for and track customers, limitations on system implementations, and limitations on third-party tools’ ability to match our database. If the internal tools we use to track these metrics undercount or overcount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performance metrics are not accurate representations of our business or growth trends; if we discover material inaccuracies in our metrics; or if the metrics we rely on to track our performance do not provide an accurate measurement of our business, our reputation may be harmed, we may be subject to legal or regulatory actions, and our business, financial condition, results of operations, and prospects could be adversely affected.</w:t>
      </w:r>
    </w:p>
    <w:p>
      <w:pPr>
        <w:spacing w:after="0" w:line="90" w:lineRule="exact"/>
        <w:rPr>
          <w:sz w:val="20"/>
          <w:szCs w:val="20"/>
          <w:color w:val="auto"/>
        </w:rPr>
      </w:pPr>
    </w:p>
    <w:p>
      <w:pPr>
        <w:jc w:val="both"/>
        <w:ind w:left="1520" w:right="1780"/>
        <w:spacing w:after="0" w:line="292" w:lineRule="auto"/>
        <w:rPr>
          <w:sz w:val="20"/>
          <w:szCs w:val="20"/>
          <w:color w:val="auto"/>
        </w:rPr>
      </w:pPr>
      <w:r>
        <w:rPr>
          <w:rFonts w:ascii="Arial" w:cs="Arial" w:eastAsia="Arial" w:hAnsi="Arial"/>
          <w:sz w:val="12"/>
          <w:szCs w:val="12"/>
          <w:b w:val="1"/>
          <w:bCs w:val="1"/>
          <w:i w:val="1"/>
          <w:iCs w:val="1"/>
          <w:color w:val="auto"/>
        </w:rPr>
        <w:t>Our estimates of market opportunity and forecasts of market growth included in this prospectus may prove to be inaccurate, and even if the markets in which we compete achieve the forecasted growth, our business could fail to grow at similar rates, if at all.</w:t>
      </w:r>
    </w:p>
    <w:p>
      <w:pPr>
        <w:spacing w:after="0" w:line="68" w:lineRule="exact"/>
        <w:rPr>
          <w:sz w:val="20"/>
          <w:szCs w:val="20"/>
          <w:color w:val="auto"/>
        </w:rPr>
      </w:pPr>
    </w:p>
    <w:p>
      <w:pPr>
        <w:ind w:left="1520" w:right="1700" w:firstLine="230"/>
        <w:spacing w:after="0" w:line="281" w:lineRule="auto"/>
        <w:rPr>
          <w:sz w:val="20"/>
          <w:szCs w:val="20"/>
          <w:color w:val="auto"/>
        </w:rPr>
      </w:pPr>
      <w:r>
        <w:rPr>
          <w:rFonts w:ascii="Arial" w:cs="Arial" w:eastAsia="Arial" w:hAnsi="Arial"/>
          <w:sz w:val="12"/>
          <w:szCs w:val="12"/>
          <w:color w:val="auto"/>
        </w:rPr>
        <w:t>The estimates of market opportunity and forecasts of market growth included in this prospectus may prove to be inaccurate. Market opportunity estimates and growth forecasts included in this prospectus, including those we have generated ourselves or that include our data, are subject to significant uncertainty and are based on assumptions and estimates that may not prove to be accurate, including the</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2020"/>
        <w:spacing w:after="0" w:line="312" w:lineRule="auto"/>
        <w:rPr>
          <w:sz w:val="20"/>
          <w:szCs w:val="20"/>
          <w:color w:val="auto"/>
        </w:rPr>
      </w:pPr>
      <w:r>
        <w:rPr>
          <w:rFonts w:ascii="Arial" w:cs="Arial" w:eastAsia="Arial" w:hAnsi="Arial"/>
          <w:sz w:val="12"/>
          <w:szCs w:val="12"/>
          <w:color w:val="auto"/>
        </w:rPr>
        <w:t>risks described herein. Even if the markets in which we compete achieve the forecasted growth, our business could fail to grow at similar rates, if at all.</w:t>
      </w:r>
    </w:p>
    <w:p>
      <w:pPr>
        <w:spacing w:after="0" w:line="62" w:lineRule="exact"/>
        <w:rPr>
          <w:sz w:val="20"/>
          <w:szCs w:val="20"/>
          <w:color w:val="auto"/>
        </w:rPr>
      </w:pPr>
    </w:p>
    <w:p>
      <w:pPr>
        <w:ind w:left="1520" w:right="1680" w:firstLine="230"/>
        <w:spacing w:after="0" w:line="271" w:lineRule="auto"/>
        <w:rPr>
          <w:sz w:val="20"/>
          <w:szCs w:val="20"/>
          <w:color w:val="auto"/>
        </w:rPr>
      </w:pPr>
      <w:r>
        <w:rPr>
          <w:rFonts w:ascii="Arial" w:cs="Arial" w:eastAsia="Arial" w:hAnsi="Arial"/>
          <w:sz w:val="12"/>
          <w:szCs w:val="12"/>
          <w:color w:val="auto"/>
        </w:rPr>
        <w:t>The variables that go into the calculation of our market opportunity are subject to change over time, and there is no guarantee that any particular number or percentage of addressable customers or travelers covered by our market opportunity estimates will purchase our offerings at all or generate any particular level of revenue for us. Any expansion in the markets in which we operate depends on a number of factors, including the cost, performance, and perceived value associated with our platform and those of our competitors. Even if the markets in which we compete meet the size estimates and growth forecasts, our business could fail to grow at similar rates, if at all. Our growth is subject to many factors, including our success in implementing our business strategy, which is subject to many risks and uncertainties. Accordingly, our forecasts of market growth included in this prospectus should not be taken as indicative of our future growth.</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Risks Related to Our People</w:t>
      </w:r>
    </w:p>
    <w:p>
      <w:pPr>
        <w:spacing w:after="0" w:line="132" w:lineRule="exact"/>
        <w:rPr>
          <w:sz w:val="20"/>
          <w:szCs w:val="20"/>
          <w:color w:val="auto"/>
        </w:rPr>
      </w:pPr>
    </w:p>
    <w:p>
      <w:pPr>
        <w:ind w:left="1520" w:right="1840"/>
        <w:spacing w:after="0" w:line="292" w:lineRule="auto"/>
        <w:rPr>
          <w:sz w:val="20"/>
          <w:szCs w:val="20"/>
          <w:color w:val="auto"/>
        </w:rPr>
      </w:pPr>
      <w:r>
        <w:rPr>
          <w:rFonts w:ascii="Arial" w:cs="Arial" w:eastAsia="Arial" w:hAnsi="Arial"/>
          <w:sz w:val="12"/>
          <w:szCs w:val="12"/>
          <w:b w:val="1"/>
          <w:bCs w:val="1"/>
          <w:i w:val="1"/>
          <w:iCs w:val="1"/>
          <w:color w:val="auto"/>
        </w:rPr>
        <w:t>If we lose Ariel Cohen, our co-founder and Chief Executive Officer, or other key members of our management team or are unable to attract and retain executives and employees we need to support our operations and growth, our business may be harmed.</w:t>
      </w:r>
    </w:p>
    <w:p>
      <w:pPr>
        <w:spacing w:after="0" w:line="68" w:lineRule="exact"/>
        <w:rPr>
          <w:sz w:val="20"/>
          <w:szCs w:val="20"/>
          <w:color w:val="auto"/>
        </w:rPr>
      </w:pPr>
    </w:p>
    <w:p>
      <w:pPr>
        <w:ind w:left="1520" w:right="1680" w:firstLine="230"/>
        <w:spacing w:after="0" w:line="268" w:lineRule="auto"/>
        <w:rPr>
          <w:sz w:val="20"/>
          <w:szCs w:val="20"/>
          <w:color w:val="auto"/>
        </w:rPr>
      </w:pPr>
      <w:r>
        <w:rPr>
          <w:rFonts w:ascii="Arial" w:cs="Arial" w:eastAsia="Arial" w:hAnsi="Arial"/>
          <w:sz w:val="12"/>
          <w:szCs w:val="12"/>
          <w:color w:val="auto"/>
        </w:rPr>
        <w:t>Our success and future growth depend upon the continued services of our management team and other key employees throughout our organization. The loss of key personnel, including key members of our management team or members of our board of directors, as well as certain of our key marketing, sales, finance, support, product development, human resources, or technology personnel, could disrupt our operations and have a negative impact on our ability to grow our business. In particular, Ariel Cohen, our co-founder and Chief Executive Officer, is critical to our overall management, as well as the continued development of our platform, offerings, culture, and strategic direction. Additionally, certain key members of our management team are based in, or spend considerable time in, Israel, including at our office in Tel Aviv, and the escalating military conflict between Iran and Israel may impact their safety and availability, potentially disrupting our operations and business continuity. From time to time, there may be changes in our management team resulting from the hiring or departure of executives and key employees, which could disrupt our business. In addition, we may face challenges retaining senior management of companies we acquire. Our senior management and key employees are employed on an at-will basis. We currently do not have “key person” insurance for any of our employees. Certain of our key employees have been with us for a long period of time and have fully vested stock options or other long-term equity incentives that may cease to be as attractive once we are a public company and such awards are publicly tradable. The loss of our founders, or one or more of our senior management, key members of senior management of acquired companies, or other key employees could harm our business, and we may not be able to find adequate replacements. To retain our senior management and key employees, we may also decide to provide them with certain compensation types and structures that may be perceived negatively by certain stakeholders or advisory groups or result in stockholder complaints or disputes, which could negatively impact our reputation, stock price, and business. We cannot ensure that we will be able to retain the services of any members of our senior management or other key employees or that we would be able to timely replace members of our senior management or other key employees should any of them depart.</w:t>
      </w:r>
    </w:p>
    <w:p>
      <w:pPr>
        <w:spacing w:after="0" w:line="244" w:lineRule="exact"/>
        <w:rPr>
          <w:sz w:val="20"/>
          <w:szCs w:val="20"/>
          <w:color w:val="auto"/>
        </w:rPr>
      </w:pPr>
    </w:p>
    <w:p>
      <w:pPr>
        <w:ind w:left="1520" w:right="1760" w:firstLine="230"/>
        <w:spacing w:after="0" w:line="272" w:lineRule="auto"/>
        <w:rPr>
          <w:sz w:val="20"/>
          <w:szCs w:val="20"/>
          <w:color w:val="auto"/>
        </w:rPr>
      </w:pPr>
      <w:r>
        <w:rPr>
          <w:rFonts w:ascii="Arial" w:cs="Arial" w:eastAsia="Arial" w:hAnsi="Arial"/>
          <w:sz w:val="12"/>
          <w:szCs w:val="12"/>
          <w:color w:val="auto"/>
        </w:rPr>
        <w:t>In addition, to execute our business strategy, we must attract and retain highly qualified personnel. Competition for highly skilled personnel is intense, especially in the San Francisco Bay Area where we are headquartered, and where we have a need for highly skilled personnel, and we may not be successful in hiring or retaining qualified personnel to fulfill our current or future needs. We compete with many other companies for software developers with high levels of experience in designing, developing, and managing cloud-based software and payment systems, as well as for skilled legal and compliance and risk operations professionals. We may also face increased competition for personnel from other companies which adopt approaches to remote work that differ from ours. In addition, the current regulatory environment related to immigration is uncertain, including with respect to the availability of</w:t>
      </w:r>
    </w:p>
    <w:p>
      <w:pPr>
        <w:sectPr>
          <w:pgSz w:w="11900" w:h="16840" w:orient="portrait"/>
          <w:cols w:equalWidth="0" w:num="1">
            <w:col w:w="9020"/>
          </w:cols>
          <w:pgMar w:left="1440" w:top="590" w:right="1440" w:bottom="243" w:gutter="0" w:footer="0" w:header="0"/>
        </w:sect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45</w:t>
      </w:r>
    </w:p>
    <w:p>
      <w:pPr>
        <w:sectPr>
          <w:pgSz w:w="11900" w:h="16840" w:orient="portrait"/>
          <w:cols w:equalWidth="0" w:num="1">
            <w:col w:w="9020"/>
          </w:cols>
          <w:pgMar w:left="1440" w:top="590" w:right="1440" w:bottom="243" w:gutter="0" w:footer="0" w:header="0"/>
          <w:type w:val="continuous"/>
        </w:sectPr>
      </w:pPr>
    </w:p>
    <w:bookmarkStart w:id="37" w:name="page38"/>
    <w:bookmarkEnd w:id="37"/>
    <w:p>
      <w:pPr>
        <w:ind w:left="1520"/>
        <w:spacing w:after="0"/>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860"/>
        <w:spacing w:after="0" w:line="289" w:lineRule="auto"/>
        <w:rPr>
          <w:sz w:val="20"/>
          <w:szCs w:val="20"/>
          <w:color w:val="auto"/>
        </w:rPr>
      </w:pPr>
      <w:r>
        <w:rPr>
          <w:rFonts w:ascii="Arial" w:cs="Arial" w:eastAsia="Arial" w:hAnsi="Arial"/>
          <w:sz w:val="12"/>
          <w:szCs w:val="12"/>
          <w:color w:val="auto"/>
        </w:rPr>
        <w:t>certain visas. Many of the companies with which we compete for experienced personnel have greater resources than we do and can frequently offer such personnel substantially greater compensation than we can offer.</w:t>
      </w:r>
    </w:p>
    <w:p>
      <w:pPr>
        <w:spacing w:after="0" w:line="76" w:lineRule="exact"/>
        <w:rPr>
          <w:sz w:val="20"/>
          <w:szCs w:val="20"/>
          <w:color w:val="auto"/>
        </w:rPr>
      </w:pPr>
    </w:p>
    <w:p>
      <w:pPr>
        <w:ind w:left="1520" w:right="1680" w:firstLine="230"/>
        <w:spacing w:after="0" w:line="270" w:lineRule="auto"/>
        <w:rPr>
          <w:sz w:val="20"/>
          <w:szCs w:val="20"/>
          <w:color w:val="auto"/>
        </w:rPr>
      </w:pPr>
      <w:r>
        <w:rPr>
          <w:rFonts w:ascii="Arial" w:cs="Arial" w:eastAsia="Arial" w:hAnsi="Arial"/>
          <w:sz w:val="12"/>
          <w:szCs w:val="12"/>
          <w:color w:val="auto"/>
        </w:rPr>
        <w:t>In addition, job candidates and existing employees often consider the value of the equity awards they receive in connection with their employment. If the perceived value of our equity or equity awards declines, experiences significant volatility, or increases such that prospective employees believe there is limited upside to the value of our equity awards, it may adversely affect our ability to recruit and retain highly skilled employees. If we fail to attract new personnel or fail to retain and motivate our current personnel, our business and future growth prospects would be severely harmed. Inflationary pressures, or stress over economic, geopolitical, or pandemic-related events such as those the global market is currently experiencing, may also result in employee attrition. Further, our competitors may be successful in recruiting and hiring members of our management team or other key employees, and it may be difficult for us to find suitable replacements on a timely basis, on competitive terms, or at all. If we fail to identify, attract, develop, and integrate new personnel, or fail to retain and motivate our current personnel, our growth prospects would be adversely affected, which could adversely affect our business, financial condition, results of operations, and prospects.</w:t>
      </w:r>
    </w:p>
    <w:p>
      <w:pPr>
        <w:spacing w:after="0" w:line="89" w:lineRule="exact"/>
        <w:rPr>
          <w:sz w:val="20"/>
          <w:szCs w:val="20"/>
          <w:color w:val="auto"/>
        </w:rPr>
      </w:pPr>
    </w:p>
    <w:p>
      <w:pPr>
        <w:ind w:left="1520"/>
        <w:spacing w:after="0"/>
        <w:rPr>
          <w:sz w:val="20"/>
          <w:szCs w:val="20"/>
          <w:color w:val="auto"/>
        </w:rPr>
      </w:pPr>
      <w:r>
        <w:rPr>
          <w:rFonts w:ascii="Arial" w:cs="Arial" w:eastAsia="Arial" w:hAnsi="Arial"/>
          <w:sz w:val="12"/>
          <w:szCs w:val="12"/>
          <w:b w:val="1"/>
          <w:bCs w:val="1"/>
          <w:i w:val="1"/>
          <w:iCs w:val="1"/>
          <w:color w:val="auto"/>
        </w:rPr>
        <w:t>Our management team has limited experience managing a public company.</w:t>
      </w:r>
    </w:p>
    <w:p>
      <w:pPr>
        <w:spacing w:after="0" w:line="128" w:lineRule="exact"/>
        <w:rPr>
          <w:sz w:val="20"/>
          <w:szCs w:val="20"/>
          <w:color w:val="auto"/>
        </w:rPr>
      </w:pPr>
    </w:p>
    <w:p>
      <w:pPr>
        <w:ind w:left="1520" w:right="1760" w:firstLine="230"/>
        <w:spacing w:after="0" w:line="276" w:lineRule="auto"/>
        <w:rPr>
          <w:sz w:val="20"/>
          <w:szCs w:val="20"/>
          <w:color w:val="auto"/>
        </w:rPr>
      </w:pPr>
      <w:r>
        <w:rPr>
          <w:rFonts w:ascii="Arial" w:cs="Arial" w:eastAsia="Arial" w:hAnsi="Arial"/>
          <w:sz w:val="12"/>
          <w:szCs w:val="12"/>
          <w:color w:val="auto"/>
        </w:rPr>
        <w:t>Our management team has limited experience managing a publicly traded company, interacting with public company investors and securities analysts, and complying with the increasingly complex laws pertaining to public companies. These new obligations and constituents require significant attention from our management team and could divert their attention away from the day-to-day management of our business, which could adversely affect our business, financial condition, results of operations, and prospects.</w:t>
      </w:r>
    </w:p>
    <w:p>
      <w:pPr>
        <w:spacing w:after="0" w:line="242" w:lineRule="exact"/>
        <w:rPr>
          <w:sz w:val="20"/>
          <w:szCs w:val="20"/>
          <w:color w:val="auto"/>
        </w:rPr>
      </w:pPr>
    </w:p>
    <w:p>
      <w:pPr>
        <w:ind w:left="1520" w:right="1840"/>
        <w:spacing w:after="0" w:line="292" w:lineRule="auto"/>
        <w:rPr>
          <w:sz w:val="20"/>
          <w:szCs w:val="20"/>
          <w:color w:val="auto"/>
        </w:rPr>
      </w:pPr>
      <w:r>
        <w:rPr>
          <w:rFonts w:ascii="Arial" w:cs="Arial" w:eastAsia="Arial" w:hAnsi="Arial"/>
          <w:sz w:val="12"/>
          <w:szCs w:val="12"/>
          <w:b w:val="1"/>
          <w:bCs w:val="1"/>
          <w:i w:val="1"/>
          <w:iCs w:val="1"/>
          <w:color w:val="auto"/>
        </w:rPr>
        <w:t>Our company values have contributed to our success. If we cannot maintain these values as we grow, we could lose certain benefits we derive from them, and our employee turnover could increase, which could harm our business.</w:t>
      </w:r>
    </w:p>
    <w:p>
      <w:pPr>
        <w:spacing w:after="0" w:line="68" w:lineRule="exact"/>
        <w:rPr>
          <w:sz w:val="20"/>
          <w:szCs w:val="20"/>
          <w:color w:val="auto"/>
        </w:rPr>
      </w:pPr>
    </w:p>
    <w:p>
      <w:pPr>
        <w:ind w:left="1520" w:right="1680" w:firstLine="230"/>
        <w:spacing w:after="0" w:line="271" w:lineRule="auto"/>
        <w:rPr>
          <w:sz w:val="20"/>
          <w:szCs w:val="20"/>
          <w:color w:val="auto"/>
        </w:rPr>
      </w:pPr>
      <w:r>
        <w:rPr>
          <w:rFonts w:ascii="Arial" w:cs="Arial" w:eastAsia="Arial" w:hAnsi="Arial"/>
          <w:sz w:val="12"/>
          <w:szCs w:val="12"/>
          <w:color w:val="auto"/>
        </w:rPr>
        <w:t>We believe that our company values have been and will continue to be a key contributor to our success. We have rapidly increased our workforce across all departments, and we expect to continue to hire across our business. Our anticipated headcount growth, combined with our transition from a privately-held to a publicly-traded company, may result in changes to certain employees’ adherence to our core company values. If we do not continue to maintain our adherence to our company values as we grow, including through any future acquisitions or other strategic transactions, we may experience increased turnover in a portion of our current employee base and may not continue to be successful in hiring future employees. Moreover, many of our employees may be eligible to receive significant proceeds from the sale of Class A common stock in the public markets following this offering. This may lead to higher employee attrition rates. If we do not replace departing employees on a timely basis, our business and growth may be harmed.</w:t>
      </w:r>
    </w:p>
    <w:p>
      <w:pPr>
        <w:spacing w:after="0" w:line="24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Risks Related to Privacy, Cybersecurity, and Intellectual Property</w:t>
      </w:r>
    </w:p>
    <w:p>
      <w:pPr>
        <w:spacing w:after="0" w:line="132" w:lineRule="exact"/>
        <w:rPr>
          <w:sz w:val="20"/>
          <w:szCs w:val="20"/>
          <w:color w:val="auto"/>
        </w:rPr>
      </w:pPr>
    </w:p>
    <w:p>
      <w:pPr>
        <w:ind w:left="1520" w:right="1640"/>
        <w:spacing w:after="0" w:line="276" w:lineRule="auto"/>
        <w:rPr>
          <w:sz w:val="20"/>
          <w:szCs w:val="20"/>
          <w:color w:val="auto"/>
        </w:rPr>
      </w:pPr>
      <w:r>
        <w:rPr>
          <w:rFonts w:ascii="Arial" w:cs="Arial" w:eastAsia="Arial" w:hAnsi="Arial"/>
          <w:sz w:val="12"/>
          <w:szCs w:val="12"/>
          <w:b w:val="1"/>
          <w:bCs w:val="1"/>
          <w:i w:val="1"/>
          <w:iCs w:val="1"/>
          <w:color w:val="auto"/>
        </w:rPr>
        <w:t>We are subject to stringent and changing privacy and security laws, regulations, standards, policies, and contractual obligations related to data privacy and security. Our actual or perceived failure to comply with such obligations could lead to government investigations or enforcement actions, a disruption of our services, private litigation, changes to our business practices, increased costs of operations, adverse publicity, limitations on the use or adoption of our services, and other negative effects on our results of operations and business.</w:t>
      </w:r>
    </w:p>
    <w:p>
      <w:pPr>
        <w:spacing w:after="0" w:line="79" w:lineRule="exact"/>
        <w:rPr>
          <w:sz w:val="20"/>
          <w:szCs w:val="20"/>
          <w:color w:val="auto"/>
        </w:rPr>
      </w:pPr>
    </w:p>
    <w:p>
      <w:pPr>
        <w:ind w:left="1520" w:right="1700" w:firstLine="230"/>
        <w:spacing w:after="0" w:line="281" w:lineRule="auto"/>
        <w:rPr>
          <w:sz w:val="20"/>
          <w:szCs w:val="20"/>
          <w:color w:val="auto"/>
        </w:rPr>
      </w:pPr>
      <w:r>
        <w:rPr>
          <w:rFonts w:ascii="Arial" w:cs="Arial" w:eastAsia="Arial" w:hAnsi="Arial"/>
          <w:sz w:val="12"/>
          <w:szCs w:val="12"/>
          <w:color w:val="auto"/>
        </w:rPr>
        <w:t>Our customers and travelers store personal, business, financial, and other sensitive information on our platform. In addition, we receive, store, and otherwise process personal and business information and other data, including sensitive, proprietary, or confidential information from and about actual and prospective customers and travelers, in addition to our employees and service providers. Our handling of</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60"/>
        <w:spacing w:after="0" w:line="270" w:lineRule="auto"/>
        <w:rPr>
          <w:sz w:val="20"/>
          <w:szCs w:val="20"/>
          <w:color w:val="auto"/>
        </w:rPr>
      </w:pPr>
      <w:r>
        <w:rPr>
          <w:rFonts w:ascii="Arial" w:cs="Arial" w:eastAsia="Arial" w:hAnsi="Arial"/>
          <w:sz w:val="12"/>
          <w:szCs w:val="12"/>
          <w:color w:val="auto"/>
        </w:rPr>
        <w:t>such information is subject to a variety of evolving privacy and security laws and regulations, including regulation by various government agencies, such as the U.S. Federal Trade Commission and various state, local, and foreign governments. New or proposed laws and regulations are subject to differing interpretations and may be inconsistent among jurisdictions, and guidance on implementation and compliance practices are often updated or otherwise revised, which adds to the complexity of processing personal information. Moreover, we publish privacy and security policies, representations, certifications, standards, publications, contracts, and other obligations to third parties related to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91" w:lineRule="exact"/>
        <w:rPr>
          <w:sz w:val="20"/>
          <w:szCs w:val="20"/>
          <w:color w:val="auto"/>
        </w:rPr>
      </w:pPr>
    </w:p>
    <w:p>
      <w:pPr>
        <w:ind w:left="1520" w:right="1720" w:firstLine="230"/>
        <w:spacing w:after="0" w:line="269" w:lineRule="auto"/>
        <w:rPr>
          <w:sz w:val="20"/>
          <w:szCs w:val="20"/>
          <w:color w:val="auto"/>
        </w:rPr>
      </w:pPr>
      <w:r>
        <w:rPr>
          <w:rFonts w:ascii="Arial" w:cs="Arial" w:eastAsia="Arial" w:hAnsi="Arial"/>
          <w:sz w:val="12"/>
          <w:szCs w:val="12"/>
          <w:color w:val="auto"/>
        </w:rPr>
        <w:t>In the United States, numerous federal and state laws and regulations, including state personal information laws, state data breach notification laws, federal and state consumer protection laws and regulations, and other similar laws (such as wiretapping laws) govern the collection, use, disclosure, and protection of personal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in California, the California Consumer Privacy Act, or the CCPA, requires, among other things, that covered businesses provide disclosures to California residents and afford residents abilities to opt-out of certain sales of personal information, and gives California residents the ability to limit use of certain sensitive information. The CCPA provides for fines and allows private</w:t>
      </w:r>
    </w:p>
    <w:p>
      <w:pPr>
        <w:sectPr>
          <w:pgSz w:w="11900" w:h="16840" w:orient="portrait"/>
          <w:cols w:equalWidth="0" w:num="1">
            <w:col w:w="9020"/>
          </w:cols>
          <w:pgMar w:left="1440" w:top="1191" w:right="1440" w:bottom="76" w:gutter="0" w:footer="0" w:header="0"/>
        </w:sectPr>
      </w:pPr>
    </w:p>
    <w:bookmarkStart w:id="38" w:name="page39"/>
    <w:bookmarkEnd w:id="38"/>
    <w:p>
      <w:pPr>
        <w:ind w:left="1520" w:right="1860"/>
        <w:spacing w:after="0" w:line="201" w:lineRule="auto"/>
        <w:rPr>
          <w:sz w:val="20"/>
          <w:szCs w:val="20"/>
          <w:color w:val="auto"/>
        </w:rPr>
      </w:pPr>
      <w:r>
        <w:rPr>
          <w:rFonts w:ascii="Arial" w:cs="Arial" w:eastAsia="Arial" w:hAnsi="Arial"/>
          <w:sz w:val="12"/>
          <w:szCs w:val="12"/>
          <w:color w:val="auto"/>
        </w:rPr>
        <w:t>litigants affected by certain data breaches to recover significant statutory damages. These laws demonstrate the evolving regulatory environment related to personal information and make it difficult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-139700</wp:posOffset>
            </wp:positionV>
            <wp:extent cx="6732270" cy="9970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jc w:val="both"/>
        <w:ind w:left="1520" w:right="1740"/>
        <w:spacing w:after="0" w:line="275" w:lineRule="auto"/>
        <w:rPr>
          <w:sz w:val="20"/>
          <w:szCs w:val="20"/>
          <w:color w:val="auto"/>
        </w:rPr>
      </w:pPr>
      <w:r>
        <w:rPr>
          <w:rFonts w:ascii="Arial" w:cs="Arial" w:eastAsia="Arial" w:hAnsi="Arial"/>
          <w:sz w:val="12"/>
          <w:szCs w:val="12"/>
          <w:color w:val="auto"/>
        </w:rPr>
        <w:t>predict the impact of such laws on our business or operations. Such complexities have required and may continue to require us to modify our data-processing practices and policies and to incur substantial costs and expenses in an effort to comply. Similar laws are being considered in several other states, as well as at the federal and local levels, and we expect more states to pass similar laws in the future.</w:t>
      </w:r>
    </w:p>
    <w:p>
      <w:pPr>
        <w:spacing w:after="0" w:line="83" w:lineRule="exact"/>
        <w:rPr>
          <w:sz w:val="20"/>
          <w:szCs w:val="20"/>
          <w:color w:val="auto"/>
        </w:rPr>
      </w:pPr>
    </w:p>
    <w:p>
      <w:pPr>
        <w:ind w:left="1520" w:right="1720" w:firstLine="230"/>
        <w:spacing w:after="0" w:line="271" w:lineRule="auto"/>
        <w:rPr>
          <w:sz w:val="20"/>
          <w:szCs w:val="20"/>
          <w:color w:val="auto"/>
        </w:rPr>
      </w:pPr>
      <w:r>
        <w:rPr>
          <w:rFonts w:ascii="Arial" w:cs="Arial" w:eastAsia="Arial" w:hAnsi="Arial"/>
          <w:sz w:val="12"/>
          <w:szCs w:val="12"/>
          <w:color w:val="auto"/>
        </w:rPr>
        <w:t>In addition, several foreign countries and governmental bodies, including the EU, and the UK, have laws and regulations governing the handling and processing of personal information, which are more restrictive than those in the United States. Laws and regulations in these jurisdictions apply broadly to the collection, use, storage, disclosure, security, transfer, and other processing of various types of data, including data that identifies or may be used to identify an individual. Our current and prospective service offerings subject us to the European Union General Data Protection Regulation 2016/679, or the EU GDPR, the United Kingdom (UK) Data Protection Act of 2018 that effectively implemented EU GDPR under UK law and later amended by virtue of the European Union (Withdrawal) Act 2018, collectively the UK GDPR, other EU member state-implementing legislation, and the privacy laws of many other foreign jurisdictions.</w:t>
      </w:r>
    </w:p>
    <w:p>
      <w:pPr>
        <w:spacing w:after="0" w:line="243" w:lineRule="exact"/>
        <w:rPr>
          <w:sz w:val="20"/>
          <w:szCs w:val="20"/>
          <w:color w:val="auto"/>
        </w:rPr>
      </w:pPr>
    </w:p>
    <w:p>
      <w:pPr>
        <w:ind w:left="1520" w:right="1740" w:firstLine="230"/>
        <w:spacing w:after="0" w:line="272" w:lineRule="auto"/>
        <w:rPr>
          <w:sz w:val="20"/>
          <w:szCs w:val="20"/>
          <w:color w:val="auto"/>
        </w:rPr>
      </w:pPr>
      <w:r>
        <w:rPr>
          <w:rFonts w:ascii="Arial" w:cs="Arial" w:eastAsia="Arial" w:hAnsi="Arial"/>
          <w:sz w:val="12"/>
          <w:szCs w:val="12"/>
          <w:color w:val="auto"/>
        </w:rPr>
        <w:t>For example, the EU GDPR and the UK GDPR impose stringent requirements for controllers and processors of personal data of individuals within the European Economic Area, or EEA, and the UK, respectively, and non-compliance may trigger robust regulatory investigation or enforcement and fines of up to the greater of €20 million or 4% of the annual global revenue in respect of the EU GDPR, and up to the greater of £17.5 million or up to 4% of annual global revenue in respect of the UK GDPR. Companies that violate the EU GDPR or the UK GDPR can also face prohibitions on data processing and other corrective action, such as class action lawsuits brought by classes of data subjects or by consumer protection organizations authorized at law to represent their interests. Other countries outside of Europe increasingly emulate European data protection laws. As another example, the General Data Protection</w:t>
      </w: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00"/>
        <w:spacing w:after="0" w:line="271" w:lineRule="auto"/>
        <w:rPr>
          <w:sz w:val="20"/>
          <w:szCs w:val="20"/>
          <w:color w:val="auto"/>
        </w:rPr>
      </w:pPr>
      <w:r>
        <w:rPr>
          <w:rFonts w:ascii="Arial" w:cs="Arial" w:eastAsia="Arial" w:hAnsi="Arial"/>
          <w:sz w:val="12"/>
          <w:szCs w:val="12"/>
          <w:color w:val="auto"/>
        </w:rPr>
        <w:t>Law (Lei Geral de Proteção de Dados Pessoais, or “LGPD”) (Law No. 13,709/2018) applies to our operations. The LGPD broadly regulates processing personal data of individuals in Brazil and imposes compliance obligations and penalties comparable to those of the EU GDPR. The Swiss Federal Act on Data Protection, or the FADP, also applies to the collection and processing of personal data, including health-related information, by companies located in Switzerland, or in certain circumstances, by companies located outside of Switzerland. We also have operations in Singapore and may be subject to new and emerging data privacy regimes in Asia, including Singapore’s Personal Data Protection Act. As a result, operating our business or offering our services in Europe or other countries with similar data protection laws would subject us to substantial compliance costs and potential liability and may require changes to the ways we collect and use personal information.</w:t>
      </w:r>
    </w:p>
    <w:p>
      <w:pPr>
        <w:spacing w:after="0" w:line="88" w:lineRule="exact"/>
        <w:rPr>
          <w:sz w:val="20"/>
          <w:szCs w:val="20"/>
          <w:color w:val="auto"/>
        </w:rPr>
      </w:pPr>
    </w:p>
    <w:p>
      <w:pPr>
        <w:ind w:left="1520" w:right="1720" w:firstLine="230"/>
        <w:spacing w:after="0" w:line="268" w:lineRule="auto"/>
        <w:rPr>
          <w:sz w:val="20"/>
          <w:szCs w:val="20"/>
          <w:color w:val="auto"/>
        </w:rPr>
      </w:pPr>
      <w:r>
        <w:rPr>
          <w:rFonts w:ascii="Arial" w:cs="Arial" w:eastAsia="Arial" w:hAnsi="Arial"/>
          <w:sz w:val="12"/>
          <w:szCs w:val="12"/>
          <w:color w:val="auto"/>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245"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color w:val="auto"/>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(such as China, Russia, and Iran) and covered individuals (meaning individuals and entities located in or controlled by individuals or entities located in those jurisdictions) that may impact certain business activities such as vendor engagements, sale or sharing of data, employment of certain individuals, and investor agreements. Violations of the rule could lead to significant civil and criminal fines and penalties.</w:t>
      </w:r>
    </w:p>
    <w:p>
      <w:pPr>
        <w:spacing w:after="0" w:line="88" w:lineRule="exact"/>
        <w:rPr>
          <w:sz w:val="20"/>
          <w:szCs w:val="20"/>
          <w:color w:val="auto"/>
        </w:rPr>
      </w:pPr>
    </w:p>
    <w:p>
      <w:pPr>
        <w:ind w:left="1520" w:right="1680" w:firstLine="230"/>
        <w:spacing w:after="0" w:line="272" w:lineRule="auto"/>
        <w:rPr>
          <w:sz w:val="20"/>
          <w:szCs w:val="20"/>
          <w:color w:val="auto"/>
        </w:rPr>
      </w:pPr>
      <w:r>
        <w:rPr>
          <w:rFonts w:ascii="Arial" w:cs="Arial" w:eastAsia="Arial" w:hAnsi="Arial"/>
          <w:sz w:val="12"/>
          <w:szCs w:val="12"/>
          <w:color w:val="auto"/>
        </w:rPr>
        <w:t>The scope and interpretation of the laws that are or may be applicable to us are often uncertain and may be conflicting, as a result of the rapidly evolving regulatory framework for privacy issues worldwide. As a result of the laws that are or may be applicable to us, and due to the sensitive nature of the information we collect, we have implemented policies and procedures designed to protect our data and our customers’ data against loss, misuse, corruption, misappropriation caused by systems failures, or unauthorized access. If our policies, procedures, or measures relating to privacy, data protection, information security, marketing, or customer communications fail to comply with laws, regulations, policies, legal obligations, or industry standards, we may be subject to governmental enforcement actions, litigation, regulatory investigations, fines, penalties, and negative publicity, and it could cause our</w:t>
      </w: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48</w:t>
      </w:r>
    </w:p>
    <w:p>
      <w:pPr>
        <w:sectPr>
          <w:pgSz w:w="11900" w:h="16840" w:orient="portrait"/>
          <w:cols w:equalWidth="0" w:num="1">
            <w:col w:w="9020"/>
          </w:cols>
          <w:pgMar w:left="1440" w:top="560" w:right="1440" w:bottom="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ectPr>
          <w:pgSz w:w="11900" w:h="16840" w:orient="portrait"/>
          <w:cols w:equalWidth="0" w:num="1">
            <w:col w:w="9020"/>
          </w:cols>
          <w:pgMar w:left="1440" w:top="560" w:right="1440" w:bottom="48" w:gutter="0" w:footer="0" w:header="0"/>
          <w:type w:val="continuous"/>
        </w:sectPr>
      </w:pPr>
    </w:p>
    <w:bookmarkStart w:id="39" w:name="page40"/>
    <w:bookmarkEnd w:id="39"/>
    <w:p>
      <w:pPr>
        <w:ind w:left="1520" w:right="1840"/>
        <w:spacing w:after="0" w:line="31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application providers, customers, suppliers, and other partners to lose trust in us, which could harm our business, financial condition, results of operations, and prospects.</w:t>
      </w:r>
    </w:p>
    <w:p>
      <w:pPr>
        <w:spacing w:after="0" w:line="62" w:lineRule="exact"/>
        <w:rPr>
          <w:sz w:val="20"/>
          <w:szCs w:val="20"/>
          <w:color w:val="auto"/>
        </w:rPr>
      </w:pPr>
    </w:p>
    <w:p>
      <w:pPr>
        <w:ind w:left="1520" w:right="1740" w:firstLine="230"/>
        <w:spacing w:after="0" w:line="270" w:lineRule="auto"/>
        <w:rPr>
          <w:sz w:val="20"/>
          <w:szCs w:val="20"/>
          <w:color w:val="auto"/>
        </w:rPr>
      </w:pPr>
      <w:r>
        <w:rPr>
          <w:rFonts w:ascii="Arial" w:cs="Arial" w:eastAsia="Arial" w:hAnsi="Arial"/>
          <w:sz w:val="12"/>
          <w:szCs w:val="12"/>
          <w:color w:val="auto"/>
        </w:rPr>
        <w:t>In addition to government regulation, privacy advocates and industry groups may propose new and different self-regulatory standards that may apply to us. 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 successful. Because the interpretation and application of privacy, data protection and information security laws, regulations, rules, and other standards and obligations are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negatively impact our business, financial condition, results of operations, and prospects.</w:t>
      </w:r>
    </w:p>
    <w:p>
      <w:pPr>
        <w:spacing w:after="0" w:line="89" w:lineRule="exact"/>
        <w:rPr>
          <w:sz w:val="20"/>
          <w:szCs w:val="20"/>
          <w:color w:val="auto"/>
        </w:rPr>
      </w:pPr>
    </w:p>
    <w:p>
      <w:pPr>
        <w:ind w:left="1520" w:right="1680" w:firstLine="230"/>
        <w:spacing w:after="0" w:line="267" w:lineRule="auto"/>
        <w:rPr>
          <w:sz w:val="20"/>
          <w:szCs w:val="20"/>
          <w:color w:val="auto"/>
        </w:rPr>
      </w:pPr>
      <w:r>
        <w:rPr>
          <w:rFonts w:ascii="Arial" w:cs="Arial" w:eastAsia="Arial" w:hAnsi="Arial"/>
          <w:sz w:val="12"/>
          <w:szCs w:val="12"/>
          <w:color w:val="auto"/>
        </w:rPr>
        <w:t>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Our business is heavily reliant on revenue from behavioral, interest-based, or tailored advertising, which we refer to collectively as targeted advertising, but delivering targeted advertisements is becoming increasingly difficult due to changes to our ability to gather information about user behavior through third party platforms, new laws and regulations, and consumer resistance. For example, in 2021, Apple began to require mobile applications using its operating system, iOS, to affirmatively (on an opt-in basis) obtain an end user’s permission to “track them across apps or websites owned by other companies” or access their device’s advertising identifier for advertising and advertising measurement purposes. In February 2022, Google announced similar plans to adopt additional privacy controls on its Android devices to allow users to limit sharing of their data with third parties and reduce cross-device tracking for advertising purposes. Additionally, Google has announced that it intends to phase out third-party cookies in its Chrome browser, which could make it more difficult for us to target advertisements. Other browsers, such as Firefox and Safari, have already adopted similar measures.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The ePrivacy Regulation and national implementing laws are anticipated to replace the current national laws implementing the ePrivacy Directive, which may require us to make significant operational changes.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collection, use, and sharing of personal data to deliver targeted advertising. Individuals are now more aware of options related to consent, “do not track” mechanisms (such as browser signals from the Global Privacy Control), and “ad-blocking” software to prevent the collection of their personal data for targeted advertising purposes. As a result, we may be required to change the way we market our offerings, and any of these developments or changes could significantly impair our ability to reach new or existing customers or otherwise negatively affect our operations.</w:t>
      </w:r>
    </w:p>
    <w:p>
      <w:pPr>
        <w:spacing w:after="0" w:line="255" w:lineRule="exact"/>
        <w:rPr>
          <w:sz w:val="20"/>
          <w:szCs w:val="20"/>
          <w:color w:val="auto"/>
        </w:rPr>
      </w:pPr>
    </w:p>
    <w:p>
      <w:pPr>
        <w:ind w:left="1520" w:right="1820" w:firstLine="230"/>
        <w:spacing w:after="0" w:line="281" w:lineRule="auto"/>
        <w:rPr>
          <w:sz w:val="20"/>
          <w:szCs w:val="20"/>
          <w:color w:val="auto"/>
        </w:rPr>
      </w:pPr>
      <w:r>
        <w:rPr>
          <w:rFonts w:ascii="Arial" w:cs="Arial" w:eastAsia="Arial" w:hAnsi="Arial"/>
          <w:sz w:val="12"/>
          <w:szCs w:val="12"/>
          <w:color w:val="auto"/>
        </w:rPr>
        <w:t>Further, our business relies significantly on our ability to accept credit or debit card payments. Such payments are subject to the Payment Card Industry, or PCI, Data Security Standard, which is a multifaceted security standard that is designed to protect credit card account data as mandated by PCI entities. We rely on vendors to handle PCI matters and to ensure PCI compliance. Despite our</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680"/>
        <w:spacing w:after="0" w:line="272" w:lineRule="auto"/>
        <w:rPr>
          <w:sz w:val="20"/>
          <w:szCs w:val="20"/>
          <w:color w:val="auto"/>
        </w:rPr>
      </w:pPr>
      <w:r>
        <w:rPr>
          <w:rFonts w:ascii="Arial" w:cs="Arial" w:eastAsia="Arial" w:hAnsi="Arial"/>
          <w:sz w:val="12"/>
          <w:szCs w:val="12"/>
          <w:color w:val="auto"/>
        </w:rPr>
        <w:t>compliance efforts, we may become subject to claims that we have violated the PCI Data Security Standard, or PCI-DSS, based on past, present, and future business practices. In addition, payment card networks may adopt changes to the PCI-DSS, or change their interpretations of such rules in a way that we or our processors might find it difficult or even impossible to follow, or costly to implement. If we violate the PCI-DSS or other applicable rules, we may incur fines, restrictions on our ability to accept payment cards, or suffer reputational harm, all of which could have an adverse impact on our business. Noncompliance with PCI-DSS can result in penalties ranging from $5,000 to $100,000 per month by credit card companies, litigation, damage to our reputation, and revenue losses.</w:t>
      </w:r>
    </w:p>
    <w:p>
      <w:pPr>
        <w:spacing w:after="0" w:line="88" w:lineRule="exact"/>
        <w:rPr>
          <w:sz w:val="20"/>
          <w:szCs w:val="20"/>
          <w:color w:val="auto"/>
        </w:rPr>
      </w:pPr>
    </w:p>
    <w:p>
      <w:pPr>
        <w:ind w:left="1520" w:right="1720" w:firstLine="230"/>
        <w:spacing w:after="0" w:line="275" w:lineRule="auto"/>
        <w:rPr>
          <w:sz w:val="20"/>
          <w:szCs w:val="20"/>
          <w:color w:val="auto"/>
        </w:rPr>
      </w:pPr>
      <w:r>
        <w:rPr>
          <w:rFonts w:ascii="Arial" w:cs="Arial" w:eastAsia="Arial" w:hAnsi="Arial"/>
          <w:sz w:val="12"/>
          <w:szCs w:val="12"/>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85" w:lineRule="exact"/>
        <w:rPr>
          <w:sz w:val="20"/>
          <w:szCs w:val="20"/>
          <w:color w:val="auto"/>
        </w:rPr>
      </w:pPr>
    </w:p>
    <w:p>
      <w:pPr>
        <w:ind w:left="1520" w:right="1680" w:firstLine="230"/>
        <w:spacing w:after="0" w:line="269" w:lineRule="auto"/>
        <w:rPr>
          <w:sz w:val="20"/>
          <w:szCs w:val="20"/>
          <w:color w:val="auto"/>
        </w:rPr>
      </w:pPr>
      <w:r>
        <w:rPr>
          <w:rFonts w:ascii="Arial" w:cs="Arial" w:eastAsia="Arial" w:hAnsi="Arial"/>
          <w:sz w:val="12"/>
          <w:szCs w:val="12"/>
          <w:color w:val="auto"/>
        </w:rPr>
        <w:t>We may at times fail (or be perceived to have failed) in our efforts to comply with our data privacy and security obligations. Moreover, despite our efforts, our personnel or third parties with whom we work have in some cases failed and may fail in the future to comply with such obligations, which could negatively impact our business operations. Any failure or perceived failure by us to comply with laws, regulations, policies, legal, or contractual obligations, industry standards, or regulatory guidance relating to privacy, data protection, or information security, may result in governmental investigations and enforcement actions, litigation (including class claims), fines and penalties, or adverse publicity, and could cause our customers, travelers, suppliers, and other partners to lose trust in us, which could have an adverse effect on our reputation and business. Furthermore, there can be no assurance that the limitations of liability in our contracts would be enforceable or adequate or would otherwise protect us from liabilities or damages if we fail to comply with applicable privacy and security laws, privacy policies, or data protection obligations related to information security or security breaches. We also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91"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We expect that there will continue to be new proposed laws, regulations, and industry standards</w:t>
      </w:r>
    </w:p>
    <w:p>
      <w:pPr>
        <w:sectPr>
          <w:pgSz w:w="11900" w:h="16840" w:orient="portrait"/>
          <w:cols w:equalWidth="0" w:num="1">
            <w:col w:w="9020"/>
          </w:cols>
          <w:pgMar w:left="1440" w:top="1076" w:right="1440" w:bottom="76" w:gutter="0" w:footer="0" w:header="0"/>
        </w:sectPr>
      </w:pPr>
    </w:p>
    <w:bookmarkStart w:id="40" w:name="page41"/>
    <w:bookmarkEnd w:id="40"/>
    <w:p>
      <w:pPr>
        <w:ind w:left="1520" w:right="1760"/>
        <w:spacing w:after="0" w:line="234" w:lineRule="auto"/>
        <w:rPr>
          <w:sz w:val="20"/>
          <w:szCs w:val="20"/>
          <w:color w:val="auto"/>
        </w:rPr>
      </w:pPr>
      <w:r>
        <w:rPr>
          <w:rFonts w:ascii="Arial" w:cs="Arial" w:eastAsia="Arial" w:hAnsi="Arial"/>
          <w:sz w:val="12"/>
          <w:szCs w:val="12"/>
          <w:color w:val="auto"/>
        </w:rPr>
        <w:t>relating to privacy, data protection, information security, marketing, and consumer communications, and we cannot determine the impact such future laws, regulations, and standards may have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-163830</wp:posOffset>
            </wp:positionV>
            <wp:extent cx="6732270" cy="9970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720"/>
        <w:spacing w:after="0" w:line="271" w:lineRule="auto"/>
        <w:rPr>
          <w:sz w:val="20"/>
          <w:szCs w:val="20"/>
          <w:color w:val="auto"/>
        </w:rPr>
      </w:pPr>
      <w:r>
        <w:rPr>
          <w:rFonts w:ascii="Arial" w:cs="Arial" w:eastAsia="Arial" w:hAnsi="Arial"/>
          <w:sz w:val="12"/>
          <w:szCs w:val="12"/>
          <w:color w:val="auto"/>
        </w:rPr>
        <w:t>Future laws, regulations, standards, and other obligations or any changed interpretation of existing laws or regulations could impair our ability to develop and market new functionality and maintain and grow our customer base and increase revenue. Future restrictions on the collection, use, sharing, or disclosure of data, or additional requirements for express or implied consent of our customers, travelers, suppliers, or other partners for the use and disclosure of such information could require us to incur additional costs or modify our platform, possibly in a material manner, and could limit our ability to develop new functionality.</w:t>
      </w:r>
    </w:p>
    <w:p>
      <w:pPr>
        <w:spacing w:after="0" w:line="87"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If we are not able to comply with these laws or regulations, or if we become liable under these laws or regulations, our business, financial condition, or reputation could be harmed, and we may be forced to implement new measures to reduce our exposure to this liability. This may require us to expend substantial resources or to discontinue certain products or services, which would negatively affect our business, financial condition, and results of operations. In addition, the increased attention focused upon liability issues as a result of lawsuits, regulatory investigations, and legislative proposals could harm our reputation or otherwise adversely affect the growth of our business. Furthermore, any costs incurred as a result of this potential liability could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1520" w:right="1600"/>
        <w:spacing w:after="0" w:line="275" w:lineRule="auto"/>
        <w:rPr>
          <w:sz w:val="20"/>
          <w:szCs w:val="20"/>
          <w:color w:val="auto"/>
        </w:rPr>
      </w:pPr>
      <w:r>
        <w:rPr>
          <w:rFonts w:ascii="Arial" w:cs="Arial" w:eastAsia="Arial" w:hAnsi="Arial"/>
          <w:sz w:val="12"/>
          <w:szCs w:val="12"/>
          <w:b w:val="1"/>
          <w:bCs w:val="1"/>
          <w:i w:val="1"/>
          <w:iCs w:val="1"/>
          <w:color w:val="auto"/>
        </w:rPr>
        <w:t>We, our suppliers, our other partners, our customers, and others who use our services obtain and process a large amount of sensitive data. If our information technology systems or data, or those of the third parties upon with whom we work, including our suppliers, our other partners, or customers, are or were compromised, we could experience adverse impacts resulting from such compromise, including, but not limited to, regulatory investigations or actions, litigation, fines and penalties, interruptions to our operations, claims that we breached our data protection obligations, harm to our reputation, and a loss of future customers or sales and other adverse consequences.</w:t>
      </w:r>
    </w:p>
    <w:p>
      <w:pPr>
        <w:spacing w:after="0" w:line="78" w:lineRule="exact"/>
        <w:rPr>
          <w:sz w:val="20"/>
          <w:szCs w:val="20"/>
          <w:color w:val="auto"/>
        </w:rPr>
      </w:pPr>
    </w:p>
    <w:p>
      <w:pPr>
        <w:ind w:left="1520" w:right="1820" w:firstLine="230"/>
        <w:spacing w:after="0" w:line="281" w:lineRule="auto"/>
        <w:rPr>
          <w:sz w:val="20"/>
          <w:szCs w:val="20"/>
          <w:color w:val="auto"/>
        </w:rPr>
      </w:pPr>
      <w:r>
        <w:rPr>
          <w:rFonts w:ascii="Arial" w:cs="Arial" w:eastAsia="Arial" w:hAnsi="Arial"/>
          <w:sz w:val="12"/>
          <w:szCs w:val="12"/>
          <w:color w:val="auto"/>
        </w:rPr>
        <w:t>In the ordinary course of our business, we, our suppliers, payment or expense service partners, our other partners, our customers, and the third-party vendors and data centers that we use, obtain and process large amounts of sensitive data, including personal data related to our customers and travelers and their transactions, as well as other data of the counterparties to their transactions.</w:t>
      </w:r>
    </w:p>
    <w:p>
      <w:pPr>
        <w:spacing w:after="0" w:line="81" w:lineRule="exact"/>
        <w:rPr>
          <w:sz w:val="20"/>
          <w:szCs w:val="20"/>
          <w:color w:val="auto"/>
        </w:rPr>
      </w:pPr>
    </w:p>
    <w:p>
      <w:pPr>
        <w:ind w:left="1520" w:right="1680" w:firstLine="230"/>
        <w:spacing w:after="0" w:line="268" w:lineRule="auto"/>
        <w:rPr>
          <w:sz w:val="20"/>
          <w:szCs w:val="20"/>
          <w:color w:val="auto"/>
        </w:rPr>
      </w:pPr>
      <w:r>
        <w:rPr>
          <w:rFonts w:ascii="Arial" w:cs="Arial" w:eastAsia="Arial" w:hAnsi="Arial"/>
          <w:sz w:val="12"/>
          <w:szCs w:val="12"/>
          <w:color w:val="auto"/>
        </w:rPr>
        <w:t>We, and the suppliers, partners and other third-party vendors and data centers that we use, have experienced, and may in the future experience, cybersecurity attacks and threats, including threats or attempts to disrupt our information technology infrastructure and unauthorized attempts to gain access to sensitive or confidential information. Cybersecurity incidents and malicious internet-based activity continue to increase, and providers of cloud-based services have frequently been targeted by such attacks. These cybersecurity challenges, including threats to our own IT infrastructure or those of our customers or third-party providers, may take a variety of forms ranging from stolen credit cards, compromised business and personal information, errors or malfeasance of our personnel, including personnel who have authorized access to our systems and/or information, customer employee fraud, account takeover, social engineering (including through deep fakes, which may be increasingly more difficult to identify as fake, and phishing attacks), ransomware, malicious code (such as viruses and worms), malware (including as a result of advanced persistent threat intrusions), denial-of-service attacks, credential stuffing attacks, credential harvesting, personnel misconduct or error,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and can lead to significant interruptions in our operations, ability to provide our offerings,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These could be initiated by individuals or groups of hackers or sophisticated cyber criminals (including the deployment of harmful malware such as malicious code, viruses, and worms). State-sponsored cybersecurity attacks could also harm our business, financial condition, results of operations, and prospects. Threat actors, nation-states, and nation-state-supported actors now engage, and are expected to continue to engage, in cyber-attacks, including for geopolitical reasons and in connection with military conflicts and operations. During times of war and other major conflicts, we and the third parties upon which we rely may be vulnerable to heightened risk of these attacks, including cyber-attacks that could significantly disrupt our systems and operations, supply chain, and ability to provide our services.</w:t>
      </w:r>
    </w:p>
    <w:p>
      <w:pPr>
        <w:spacing w:after="0" w:line="241" w:lineRule="exact"/>
        <w:rPr>
          <w:sz w:val="20"/>
          <w:szCs w:val="20"/>
          <w:color w:val="auto"/>
        </w:rPr>
      </w:pPr>
    </w:p>
    <w:p>
      <w:pPr>
        <w:ind w:left="1520" w:right="1700" w:firstLine="230"/>
        <w:spacing w:after="0" w:line="271" w:lineRule="auto"/>
        <w:rPr>
          <w:sz w:val="20"/>
          <w:szCs w:val="20"/>
          <w:color w:val="auto"/>
        </w:rPr>
      </w:pPr>
      <w:r>
        <w:rPr>
          <w:rFonts w:ascii="Arial" w:cs="Arial" w:eastAsia="Arial" w:hAnsi="Arial"/>
          <w:sz w:val="12"/>
          <w:szCs w:val="12"/>
          <w:color w:val="auto"/>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88" w:lineRule="exact"/>
        <w:rPr>
          <w:sz w:val="20"/>
          <w:szCs w:val="20"/>
          <w:color w:val="auto"/>
        </w:rPr>
      </w:pPr>
    </w:p>
    <w:p>
      <w:pPr>
        <w:ind w:left="1520" w:right="1740" w:firstLine="230"/>
        <w:spacing w:after="0" w:line="312" w:lineRule="auto"/>
        <w:rPr>
          <w:sz w:val="20"/>
          <w:szCs w:val="20"/>
          <w:color w:val="auto"/>
        </w:rPr>
      </w:pPr>
      <w:r>
        <w:rPr>
          <w:rFonts w:ascii="Arial" w:cs="Arial" w:eastAsia="Arial" w:hAnsi="Arial"/>
          <w:sz w:val="12"/>
          <w:szCs w:val="12"/>
          <w:color w:val="auto"/>
        </w:rPr>
        <w:t>We employ a shared responsibility model where our customers are responsible for using, configuring and otherwise implementing security measures related to our platform and offerings in a manner that</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ectPr>
          <w:pgSz w:w="11900" w:h="16840" w:orient="portrait"/>
          <w:cols w:equalWidth="0" w:num="1">
            <w:col w:w="9020"/>
          </w:cols>
          <w:pgMar w:left="1440" w:top="560" w:right="1440" w:bottom="162" w:gutter="0" w:footer="0" w:header="0"/>
        </w:sectPr>
      </w:pPr>
    </w:p>
    <w:p>
      <w:pPr>
        <w:spacing w:after="0" w:line="200" w:lineRule="exact"/>
        <w:rPr>
          <w:sz w:val="20"/>
          <w:szCs w:val="20"/>
          <w:color w:val="auto"/>
        </w:rPr>
      </w:pPr>
    </w:p>
    <w:p>
      <w:pPr>
        <w:spacing w:after="0" w:line="351"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meets applicable cybersecurity standards, complies with laws, and addresses their information security</w:t>
      </w:r>
    </w:p>
    <w:p>
      <w:pPr>
        <w:sectPr>
          <w:pgSz w:w="11900" w:h="16840" w:orient="portrait"/>
          <w:cols w:equalWidth="0" w:num="1">
            <w:col w:w="9020"/>
          </w:cols>
          <w:pgMar w:left="1440" w:top="560" w:right="1440" w:bottom="162" w:gutter="0" w:footer="0" w:header="0"/>
          <w:type w:val="continuous"/>
        </w:sectPr>
      </w:pPr>
    </w:p>
    <w:bookmarkStart w:id="41" w:name="page42"/>
    <w:bookmarkEnd w:id="41"/>
    <w:p>
      <w:pPr>
        <w:ind w:left="1520" w:right="1700"/>
        <w:spacing w:after="0" w:line="312" w:lineRule="auto"/>
        <w:rPr>
          <w:sz w:val="20"/>
          <w:szCs w:val="20"/>
          <w:color w:val="auto"/>
        </w:rPr>
      </w:pPr>
      <w:r>
        <w:rPr>
          <w:rFonts w:ascii="Arial" w:cs="Arial" w:eastAsia="Arial" w:hAnsi="Arial"/>
          <w:sz w:val="11"/>
          <w:szCs w:val="11"/>
          <w:color w:val="auto"/>
        </w:rPr>
        <w:t>riskour .cuA</w:t>
      </w:r>
      <w:r>
        <w:rPr>
          <w:rFonts w:ascii="Arial" w:cs="Arial" w:eastAsia="Arial" w:hAnsi="Arial"/>
          <w:sz w:val="11"/>
          <w:szCs w:val="11"/>
          <w:b w:val="1"/>
          <w:bCs w:val="1"/>
          <w:color w:val="auto"/>
        </w:rPr>
        <w:t>s</w:t>
      </w:r>
      <w:r>
        <w:rPr>
          <w:rFonts w:ascii="Arial" w:cs="Arial" w:eastAsia="Arial" w:hAnsi="Arial"/>
          <w:sz w:val="11"/>
          <w:szCs w:val="11"/>
          <w:color w:val="auto"/>
        </w:rPr>
        <w:t>tomerspartof thatis sharedcanbe responsibilityimplemented atsecouritycustmodel,mers’wediscretion,makecertainoridentifysecuritysecurityfeaturesareasavailableor to measures for which our customers are responsible. In certain cases where our customers choose not to implement, or incorrectly implement, those features or measures, misuse our services, or otherwise experience their own vulnerabilities, policy violations, credential exposure or security incidents, even if we are not the cause of a resulting customer security issue or incident, our customer relationships reputation, and revenue may be adversely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-619760</wp:posOffset>
            </wp:positionV>
            <wp:extent cx="6732270" cy="9970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46" w:lineRule="exact"/>
        <w:rPr>
          <w:sz w:val="20"/>
          <w:szCs w:val="20"/>
          <w:color w:val="auto"/>
        </w:rPr>
      </w:pPr>
    </w:p>
    <w:p>
      <w:pPr>
        <w:ind w:left="1520" w:right="1760" w:firstLine="230"/>
        <w:spacing w:after="0" w:line="269" w:lineRule="auto"/>
        <w:rPr>
          <w:sz w:val="20"/>
          <w:szCs w:val="20"/>
          <w:color w:val="auto"/>
        </w:rPr>
      </w:pPr>
      <w:r>
        <w:rPr>
          <w:rFonts w:ascii="Arial" w:cs="Arial" w:eastAsia="Arial" w:hAnsi="Arial"/>
          <w:sz w:val="12"/>
          <w:szCs w:val="12"/>
          <w:color w:val="auto"/>
        </w:rPr>
        <w:t>The techniques used to sabotage or to obtain unauthorized access to our information technology systems or those upon whom we rely to process our information change frequently, and we have not always been able in the past and may be unable in the future to anticipate such techniques or implement adequate preventative measures or to stop security breaches in all instances. The recovery systems, security protocols, network protection mechanisms, and other security measures that we have integrated into our information technology systems, which are designed to protect against, detect, and minimize security breaches, may not be adequate to prevent or detect service interruption, system failure, or data loss. Third parties may also attempt to and successfully exploit vulnerabilities in, or obtain unauthorized access to, platforms, systems, networks, and/or physical facilities utilized by us or others upon whom we rely. For more information on this risk, see the section titled “—Risks Related to Our Business and Industry—Dependence on third-party service providers by us and our suppliers involves risks, including security incidents, service disruptions, and operational failures that could compromise confidential information, disrupt critical business operations, and damage our reputation. Interruptions or delays in these services have impaired and may in the future impair the delivery of our platform, harming our business.”</w:t>
      </w:r>
    </w:p>
    <w:p>
      <w:pPr>
        <w:spacing w:after="0" w:line="246" w:lineRule="exact"/>
        <w:rPr>
          <w:sz w:val="20"/>
          <w:szCs w:val="20"/>
          <w:color w:val="auto"/>
        </w:rPr>
      </w:pPr>
    </w:p>
    <w:p>
      <w:pPr>
        <w:ind w:left="1520" w:right="1720" w:firstLine="230"/>
        <w:spacing w:after="0" w:line="272" w:lineRule="auto"/>
        <w:rPr>
          <w:sz w:val="20"/>
          <w:szCs w:val="20"/>
          <w:color w:val="auto"/>
        </w:rPr>
      </w:pPr>
      <w:r>
        <w:rPr>
          <w:rFonts w:ascii="Arial" w:cs="Arial" w:eastAsia="Arial" w:hAnsi="Arial"/>
          <w:sz w:val="12"/>
          <w:szCs w:val="12"/>
          <w:color w:val="auto"/>
        </w:rPr>
        <w:t>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Even if we have issued or otherwise made patches or information for vulnerabilities in our software applications or offerings, our customers may be unwilling or unable to deploy such patches and use such information effectively and in a timely manner. Vulnerabilities could be exploited and result in a security incident.</w:t>
      </w:r>
    </w:p>
    <w:p>
      <w:pPr>
        <w:spacing w:after="0" w:line="88" w:lineRule="exact"/>
        <w:rPr>
          <w:sz w:val="20"/>
          <w:szCs w:val="20"/>
          <w:color w:val="auto"/>
        </w:rPr>
      </w:pPr>
    </w:p>
    <w:p>
      <w:pPr>
        <w:ind w:left="1520" w:right="1700" w:firstLine="230"/>
        <w:spacing w:after="0" w:line="286" w:lineRule="auto"/>
        <w:rPr>
          <w:sz w:val="20"/>
          <w:szCs w:val="20"/>
          <w:color w:val="auto"/>
        </w:rPr>
      </w:pPr>
      <w:r>
        <w:rPr>
          <w:rFonts w:ascii="Arial" w:cs="Arial" w:eastAsia="Arial" w:hAnsi="Arial"/>
          <w:sz w:val="12"/>
          <w:szCs w:val="12"/>
          <w:color w:val="auto"/>
        </w:rPr>
        <w:t>We and our suppliers have in the past experienced cybersecurity incidents of a limited scale. We may be unable to anticipate or prevent techniques used in the future to obtain unauthorized access or to sabotage systems because they change frequently and often are not detected until after an incident has occurred.</w:t>
      </w:r>
    </w:p>
    <w:p>
      <w:pPr>
        <w:spacing w:after="0" w:line="234" w:lineRule="exact"/>
        <w:rPr>
          <w:sz w:val="20"/>
          <w:szCs w:val="20"/>
          <w:color w:val="auto"/>
        </w:rPr>
      </w:pPr>
    </w:p>
    <w:p>
      <w:pPr>
        <w:ind w:left="1520" w:right="1740" w:firstLine="230"/>
        <w:spacing w:after="0" w:line="269" w:lineRule="auto"/>
        <w:rPr>
          <w:sz w:val="20"/>
          <w:szCs w:val="20"/>
          <w:color w:val="auto"/>
        </w:rPr>
      </w:pPr>
      <w:r>
        <w:rPr>
          <w:rFonts w:ascii="Arial" w:cs="Arial" w:eastAsia="Arial" w:hAnsi="Arial"/>
          <w:sz w:val="12"/>
          <w:szCs w:val="12"/>
          <w:color w:val="auto"/>
        </w:rPr>
        <w:t>We have certain administrative, technical, and physical security measures in place, and we have policies and procedures in place to contractually require service providers to whom we disclose data to implement and maintain reasonable privacy, data protection, and information security measures. Certain data privacy and security obligations have required us to implement and maintain specific security measures or industry-standard or reasonable security measures to protect our information technology systems and sensitive information. However, if our privacy protection, data protection, or information security measures or those of the previously mentioned third parties are inadequate or are breached or perceived to have occurred, our reputation and business could be damaged. Recent high-profile security breaches and related disclosures of sensitive data by large institutions suggest that the risk of such events is significant, even if privacy, data protection, and information security measures are implemented and enforced. If sensitive information is lost or improperly disclosed or threatened to be disclosed, we could incur significant costs associated with remediation and the implementation of additional security measures, and may incur significant liability and financial loss, and be subject to regulatory scrutiny, investigations, proceedings, and penalties.</w:t>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680" w:firstLine="230"/>
        <w:spacing w:after="0" w:line="269" w:lineRule="auto"/>
        <w:rPr>
          <w:sz w:val="20"/>
          <w:szCs w:val="20"/>
          <w:color w:val="auto"/>
        </w:rPr>
      </w:pPr>
      <w:r>
        <w:rPr>
          <w:rFonts w:ascii="Arial" w:cs="Arial" w:eastAsia="Arial" w:hAnsi="Arial"/>
          <w:sz w:val="12"/>
          <w:szCs w:val="12"/>
          <w:color w:val="auto"/>
        </w:rPr>
        <w:t>Additionally, if our own confidential business information were improperly disclosed, our business, financial condition, results of operations, and prospects could be harmed. A core aspect of our business is the reliability and security of our platform. Any perceived or actual breach of security, regardless of how it occurs or the extent of the breach, could have a significant impact on our reputation as a trusted brand, cause us to lose existing partners or other customers and travelers, prevent us from obtaining new partners and other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Further, applicable privacy and security obligations may require us to notify relevant stakeholders of security incidents. Such disclosures are costly, and the disclosures or the failure to comply with such requirements could lead to adverse consequences. Any actual or perceived security breach at a company providing services to us or our customers could have similar effects. Further, as many of our employees continue to work remotely, such as our customer support agents, these cybersecurity risks are heightened by an increased attack surface across our business and those of our partners and service providers. We have heightened monitoring in the face of such risks, but cannot guarantee that our efforts, or the efforts of those upon whom we rely and partner with, will be successful in preventing any such information security incidents.</w:t>
      </w:r>
    </w:p>
    <w:p>
      <w:pPr>
        <w:spacing w:after="0" w:line="88" w:lineRule="exact"/>
        <w:rPr>
          <w:sz w:val="20"/>
          <w:szCs w:val="20"/>
          <w:color w:val="auto"/>
        </w:rPr>
      </w:pPr>
    </w:p>
    <w:p>
      <w:pPr>
        <w:ind w:left="1520" w:right="1740" w:firstLine="230"/>
        <w:spacing w:after="0" w:line="276" w:lineRule="auto"/>
        <w:rPr>
          <w:sz w:val="20"/>
          <w:szCs w:val="20"/>
          <w:color w:val="auto"/>
        </w:rPr>
      </w:pPr>
      <w:r>
        <w:rPr>
          <w:rFonts w:ascii="Arial" w:cs="Arial" w:eastAsia="Arial" w:hAnsi="Arial"/>
          <w:sz w:val="12"/>
          <w:szCs w:val="12"/>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or that of our customers could be leaked, disclosed, or revealed as a result of or in connection with our employees’, personnel’s, or vendors’ use of AI technologies.</w:t>
      </w:r>
    </w:p>
    <w:p>
      <w:pPr>
        <w:spacing w:after="0" w:line="240"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While we maintain cybersecurity insurance, our insurance may be insufficient or may not cover all liabilities incurred as a result of cybersecurity attacks.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negatively impact our business, financial condition, results of operations, and prospects.</w:t>
      </w:r>
    </w:p>
    <w:p>
      <w:pPr>
        <w:sectPr>
          <w:pgSz w:w="11900" w:h="16840" w:orient="portrait"/>
          <w:cols w:equalWidth="0" w:num="1">
            <w:col w:w="9020"/>
          </w:cols>
          <w:pgMar w:left="1440" w:top="560" w:right="1440" w:bottom="206" w:gutter="0" w:footer="0" w:header="0"/>
        </w:sectPr>
      </w:pPr>
    </w:p>
    <w:p>
      <w:pPr>
        <w:spacing w:after="0" w:line="90" w:lineRule="exact"/>
        <w:rPr>
          <w:sz w:val="20"/>
          <w:szCs w:val="20"/>
          <w:color w:val="auto"/>
        </w:rPr>
      </w:pPr>
    </w:p>
    <w:p>
      <w:pPr>
        <w:ind w:left="1520" w:right="1840"/>
        <w:spacing w:after="0" w:line="292" w:lineRule="auto"/>
        <w:rPr>
          <w:sz w:val="20"/>
          <w:szCs w:val="20"/>
          <w:color w:val="auto"/>
        </w:rPr>
      </w:pPr>
      <w:r>
        <w:rPr>
          <w:rFonts w:ascii="Arial" w:cs="Arial" w:eastAsia="Arial" w:hAnsi="Arial"/>
          <w:sz w:val="12"/>
          <w:szCs w:val="12"/>
          <w:b w:val="1"/>
          <w:bCs w:val="1"/>
          <w:i w:val="1"/>
          <w:iCs w:val="1"/>
          <w:color w:val="auto"/>
        </w:rPr>
        <w:t>If we are unable to ensure that our platform interoperates with a variety of software applications that are developed by others, including our suppliers and other partners, we may become less competitive and our business, results of operations, and financial condition may be harmed.</w:t>
      </w:r>
    </w:p>
    <w:p>
      <w:pPr>
        <w:sectPr>
          <w:pgSz w:w="11900" w:h="16840" w:orient="portrait"/>
          <w:cols w:equalWidth="0" w:num="1">
            <w:col w:w="9020"/>
          </w:cols>
          <w:pgMar w:left="1440" w:top="560" w:right="1440" w:bottom="206" w:gutter="0" w:footer="0" w:header="0"/>
          <w:type w:val="continuous"/>
        </w:sectPr>
      </w:pPr>
    </w:p>
    <w:bookmarkStart w:id="42" w:name="page43"/>
    <w:bookmarkEnd w:id="42"/>
    <w:p>
      <w:pPr>
        <w:ind w:left="1520" w:right="1900" w:firstLine="230"/>
        <w:spacing w:after="0" w:line="183" w:lineRule="auto"/>
        <w:rPr>
          <w:sz w:val="20"/>
          <w:szCs w:val="20"/>
          <w:color w:val="auto"/>
        </w:rPr>
      </w:pPr>
      <w:r>
        <w:rPr>
          <w:rFonts w:ascii="Arial" w:cs="Arial" w:eastAsia="Arial" w:hAnsi="Arial"/>
          <w:sz w:val="9"/>
          <w:szCs w:val="9"/>
          <w:color w:val="auto"/>
        </w:rPr>
        <w:t>O</w:t>
      </w:r>
      <w:r>
        <w:rPr>
          <w:rFonts w:ascii="Arial" w:cs="Arial" w:eastAsia="Arial" w:hAnsi="Arial"/>
          <w:sz w:val="13"/>
          <w:szCs w:val="13"/>
          <w:color w:val="auto"/>
          <w:vertAlign w:val="superscript"/>
        </w:rPr>
        <w:t>u</w:t>
      </w:r>
      <w:r>
        <w:rPr>
          <w:rFonts w:ascii="Arial" w:cs="Arial" w:eastAsia="Arial" w:hAnsi="Arial"/>
          <w:sz w:val="9"/>
          <w:szCs w:val="9"/>
          <w:color w:val="auto"/>
        </w:rPr>
        <w:t>r platform must integr</w:t>
      </w:r>
      <w:r>
        <w:rPr>
          <w:rFonts w:ascii="Arial" w:cs="Arial" w:eastAsia="Arial" w:hAnsi="Arial"/>
          <w:sz w:val="13"/>
          <w:szCs w:val="13"/>
          <w:color w:val="auto"/>
          <w:vertAlign w:val="superscript"/>
        </w:rPr>
        <w:t>a</w:t>
      </w:r>
      <w:r>
        <w:rPr>
          <w:rFonts w:ascii="Arial" w:cs="Arial" w:eastAsia="Arial" w:hAnsi="Arial"/>
          <w:sz w:val="9"/>
          <w:szCs w:val="9"/>
          <w:color w:val="auto"/>
        </w:rPr>
        <w:t>te with a variety of hardware and software platform</w:t>
      </w:r>
      <w:r>
        <w:rPr>
          <w:rFonts w:ascii="Arial" w:cs="Arial" w:eastAsia="Arial" w:hAnsi="Arial"/>
          <w:sz w:val="13"/>
          <w:szCs w:val="13"/>
          <w:color w:val="auto"/>
          <w:vertAlign w:val="superscript"/>
        </w:rPr>
        <w:t>s</w:t>
      </w:r>
      <w:r>
        <w:rPr>
          <w:rFonts w:ascii="Arial" w:cs="Arial" w:eastAsia="Arial" w:hAnsi="Arial"/>
          <w:sz w:val="9"/>
          <w:szCs w:val="9"/>
          <w:color w:val="auto"/>
        </w:rPr>
        <w:t xml:space="preserve">, and we </w:t>
      </w:r>
      <w:r>
        <w:rPr>
          <w:rFonts w:ascii="Arial" w:cs="Arial" w:eastAsia="Arial" w:hAnsi="Arial"/>
          <w:sz w:val="13"/>
          <w:szCs w:val="13"/>
          <w:color w:val="auto"/>
          <w:vertAlign w:val="superscript"/>
        </w:rPr>
        <w:t>n</w:t>
      </w:r>
      <w:r>
        <w:rPr>
          <w:rFonts w:ascii="Arial" w:cs="Arial" w:eastAsia="Arial" w:hAnsi="Arial"/>
          <w:sz w:val="9"/>
          <w:szCs w:val="9"/>
          <w:color w:val="auto"/>
        </w:rPr>
        <w:t>eed to contin ously modify and enh nce our platform to adapt to changes in hardware, oftware a d browser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-115570</wp:posOffset>
            </wp:positionV>
            <wp:extent cx="6732270" cy="9970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700"/>
        <w:spacing w:after="0" w:line="270" w:lineRule="auto"/>
        <w:rPr>
          <w:sz w:val="20"/>
          <w:szCs w:val="20"/>
          <w:color w:val="auto"/>
        </w:rPr>
      </w:pPr>
      <w:r>
        <w:rPr>
          <w:rFonts w:ascii="Arial" w:cs="Arial" w:eastAsia="Arial" w:hAnsi="Arial"/>
          <w:sz w:val="12"/>
          <w:szCs w:val="12"/>
          <w:color w:val="auto"/>
        </w:rPr>
        <w:t>technologies. In particular, we have developed our platform to be able to easily integrate with third-party applications, including the applications of software providers that compete with us as well as our suppliers and other partners, through the interaction of APIs and/or platforms.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88" w:lineRule="exact"/>
        <w:rPr>
          <w:sz w:val="20"/>
          <w:szCs w:val="20"/>
          <w:color w:val="auto"/>
        </w:rPr>
      </w:pPr>
    </w:p>
    <w:p>
      <w:pPr>
        <w:ind w:left="1980" w:hanging="228"/>
        <w:spacing w:after="0"/>
        <w:tabs>
          <w:tab w:leader="none" w:pos="19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discontinues or limits our access to its software (including legacy software) or APIs;</w:t>
      </w:r>
    </w:p>
    <w:p>
      <w:pPr>
        <w:spacing w:after="0" w:line="129" w:lineRule="exact"/>
        <w:rPr>
          <w:rFonts w:ascii="Arial" w:cs="Arial" w:eastAsia="Arial" w:hAnsi="Arial"/>
          <w:sz w:val="12"/>
          <w:szCs w:val="12"/>
          <w:color w:val="auto"/>
        </w:rPr>
      </w:pPr>
    </w:p>
    <w:p>
      <w:pPr>
        <w:ind w:left="1980" w:right="1840" w:hanging="228"/>
        <w:spacing w:after="0" w:line="312" w:lineRule="auto"/>
        <w:tabs>
          <w:tab w:leader="none" w:pos="19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modifies its terms of service or other policies, including fees charged to, or other restrictions on us, or other application developers;</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changes how information is accessed by us or our customers;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establishes more favorable relationships with one or more of our competitors; or</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980" w:hanging="228"/>
        <w:spacing w:after="0"/>
        <w:tabs>
          <w:tab w:leader="none" w:pos="19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develops or otherwise favors its own competitive offerings over our platform.</w:t>
      </w:r>
    </w:p>
    <w:p>
      <w:pPr>
        <w:spacing w:after="0" w:line="130" w:lineRule="exact"/>
        <w:rPr>
          <w:sz w:val="20"/>
          <w:szCs w:val="20"/>
          <w:color w:val="auto"/>
        </w:rPr>
      </w:pPr>
    </w:p>
    <w:p>
      <w:pPr>
        <w:ind w:left="1520" w:right="1780" w:firstLine="230"/>
        <w:spacing w:after="0" w:line="272" w:lineRule="auto"/>
        <w:rPr>
          <w:sz w:val="20"/>
          <w:szCs w:val="20"/>
          <w:color w:val="auto"/>
        </w:rPr>
      </w:pPr>
      <w:r>
        <w:rPr>
          <w:rFonts w:ascii="Arial" w:cs="Arial" w:eastAsia="Arial" w:hAnsi="Arial"/>
          <w:sz w:val="12"/>
          <w:szCs w:val="12"/>
          <w:color w:val="auto"/>
        </w:rPr>
        <w:t>The agreements under which we in-license intellectual property or technology from third parties may be complex, and certain provisions in such agreements may be susceptible to multiple interpretations. The resolution of any contract interpretation disagreement that may arise could narrow the scope of our rights to the relevant technology or increase our financial or other obligations. Moreover, if disputes over intellectual property we have in-licensed, or in-license in the future, prevent or impair our ability to maintain our licensing arrangements on commercially acceptable terms, we may experience disruptions to our business or to the development of product candidates. Any of the foregoing outcomes could harm our business, financial condition, and results of operations.</w:t>
      </w:r>
    </w:p>
    <w:p>
      <w:pPr>
        <w:spacing w:after="0" w:line="88" w:lineRule="exact"/>
        <w:rPr>
          <w:sz w:val="20"/>
          <w:szCs w:val="20"/>
          <w:color w:val="auto"/>
        </w:rPr>
      </w:pPr>
    </w:p>
    <w:p>
      <w:pPr>
        <w:ind w:left="1520" w:right="1720" w:firstLine="230"/>
        <w:spacing w:after="0" w:line="272" w:lineRule="auto"/>
        <w:rPr>
          <w:sz w:val="20"/>
          <w:szCs w:val="20"/>
          <w:color w:val="auto"/>
        </w:rPr>
      </w:pPr>
      <w:r>
        <w:rPr>
          <w:rFonts w:ascii="Arial" w:cs="Arial" w:eastAsia="Arial" w:hAnsi="Arial"/>
          <w:sz w:val="12"/>
          <w:szCs w:val="12"/>
          <w:color w:val="auto"/>
        </w:rPr>
        <w:t>Third-party services and products are constantly evolving, and we may not be able to modify our platform to assure its compatibility with that of other third parties. Should any of our third-party services or product providers modify their products or standards in a manner that degrades the functionality of our platform or gives preferential treatment to competitive products or services, whether to enhance their competitive position or for any other reason, or if we are not permitted or able to integrate with these and other third-party applications in the future, our business, results of operations, and financial condition could be harmed. In addition, some of our competitors may be able to disrupt the operations or compatibility of our platform with their products or services. Such competitors may also be able to exert strong business influence on our ability to, and the terms on which we, operate our platform.</w:t>
      </w:r>
    </w:p>
    <w:p>
      <w:pPr>
        <w:spacing w:after="0" w:line="85" w:lineRule="exact"/>
        <w:rPr>
          <w:sz w:val="20"/>
          <w:szCs w:val="20"/>
          <w:color w:val="auto"/>
        </w:rPr>
      </w:pPr>
    </w:p>
    <w:p>
      <w:pPr>
        <w:ind w:left="1520" w:right="1720" w:firstLine="230"/>
        <w:spacing w:after="0" w:line="269" w:lineRule="auto"/>
        <w:rPr>
          <w:sz w:val="20"/>
          <w:szCs w:val="20"/>
          <w:color w:val="auto"/>
        </w:rPr>
      </w:pPr>
      <w:r>
        <w:rPr>
          <w:rFonts w:ascii="Arial" w:cs="Arial" w:eastAsia="Arial" w:hAnsi="Arial"/>
          <w:sz w:val="12"/>
          <w:szCs w:val="12"/>
          <w:color w:val="auto"/>
        </w:rPr>
        <w:t>Further, our platform includes mobile applications to enable individuals and companies to access our platform through their mobile devices. If our mobile applications do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of our offerings and engagement with our platform. Also, we may not be successful in developing or maintaining relationships with key participants in the mobile industry or in ensuring that our platform operates effectively with a range of operating systems, networks, devices, browsers, protocols, and standards. If we are unable to effectively anticipate and manage these risks, or if it is difficult for customers to access and use our platform, our business, financial condition, results of operations, and prospects could be adversely affected.</w:t>
      </w:r>
    </w:p>
    <w:p>
      <w:pPr>
        <w:spacing w:after="0" w:line="248" w:lineRule="exact"/>
        <w:rPr>
          <w:sz w:val="20"/>
          <w:szCs w:val="20"/>
          <w:color w:val="auto"/>
        </w:rPr>
      </w:pPr>
    </w:p>
    <w:p>
      <w:pPr>
        <w:jc w:val="center"/>
        <w:ind w:right="160"/>
        <w:spacing w:after="0"/>
        <w:rPr>
          <w:sz w:val="20"/>
          <w:szCs w:val="20"/>
          <w:color w:val="auto"/>
        </w:rPr>
      </w:pPr>
      <w:r>
        <w:rPr>
          <w:rFonts w:ascii="Arial" w:cs="Arial" w:eastAsia="Arial" w:hAnsi="Arial"/>
          <w:sz w:val="12"/>
          <w:szCs w:val="12"/>
          <w:b w:val="1"/>
          <w:bCs w:val="1"/>
          <w:i w:val="1"/>
          <w:iCs w:val="1"/>
          <w:color w:val="auto"/>
        </w:rPr>
        <w:t>We use open-source software in our platform, which could subject us to litigation or other actions.</w:t>
      </w:r>
    </w:p>
    <w:p>
      <w:pPr>
        <w:spacing w:after="0" w:line="128" w:lineRule="exact"/>
        <w:rPr>
          <w:sz w:val="20"/>
          <w:szCs w:val="20"/>
          <w:color w:val="auto"/>
        </w:rPr>
      </w:pPr>
    </w:p>
    <w:p>
      <w:pPr>
        <w:ind w:left="1520" w:right="1720" w:firstLine="230"/>
        <w:spacing w:after="0" w:line="270" w:lineRule="auto"/>
        <w:rPr>
          <w:sz w:val="20"/>
          <w:szCs w:val="20"/>
          <w:color w:val="auto"/>
        </w:rPr>
      </w:pPr>
      <w:r>
        <w:rPr>
          <w:rFonts w:ascii="Arial" w:cs="Arial" w:eastAsia="Arial" w:hAnsi="Arial"/>
          <w:sz w:val="12"/>
          <w:szCs w:val="12"/>
          <w:color w:val="auto"/>
        </w:rPr>
        <w:t>We use open-source software on our platform. Using open source software can incur greater risk than using third-party commercial software due to the fact that open source licensors do not provide warranties, maintenance and support, or other contractual protections. Open source software may also present a heightened risk of security vulnerabilities, including due to the intentional acts of malicious actors who inject such vulnerabilities into the code, or to older versions of the software not remaining current with applicable updates and patches to address vulnerabilities or other bugs. In addition, if we were to combine our proprietary technology with open-source software in a certain manner under certain open-source licenses, we could be required to release the source code of our proprietary technology. While we take precautions to monitor our use of open-source software, if we inappropriately use or incorporate open-source software subject to certain types of open-source licenses that challenge the proprietary nature of our offerings, we may be subject to claims that we violated the license requirements, or be required to re-engineer such offerings, discontinue the sale of such offerings, or take other remedial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1520" w:right="1640"/>
        <w:spacing w:after="0" w:line="292" w:lineRule="auto"/>
        <w:rPr>
          <w:sz w:val="20"/>
          <w:szCs w:val="20"/>
          <w:color w:val="auto"/>
        </w:rPr>
      </w:pPr>
      <w:r>
        <w:rPr>
          <w:rFonts w:ascii="Arial" w:cs="Arial" w:eastAsia="Arial" w:hAnsi="Arial"/>
          <w:sz w:val="12"/>
          <w:szCs w:val="12"/>
          <w:b w:val="1"/>
          <w:bCs w:val="1"/>
          <w:i w:val="1"/>
          <w:iCs w:val="1"/>
          <w:color w:val="auto"/>
        </w:rPr>
        <w:t>Our use of artificial intelligence, including Gen AI and ML, gives rise to legal, business, and operational risks, which may result in diminished performance, regulatory scrutiny, social impacts, reputational harm, and liability arising from the use of this technology.</w:t>
      </w:r>
    </w:p>
    <w:p>
      <w:pPr>
        <w:spacing w:after="0" w:line="68" w:lineRule="exact"/>
        <w:rPr>
          <w:sz w:val="20"/>
          <w:szCs w:val="20"/>
          <w:color w:val="auto"/>
        </w:rPr>
      </w:pPr>
    </w:p>
    <w:p>
      <w:pPr>
        <w:ind w:left="1520" w:right="1560" w:firstLine="230"/>
        <w:spacing w:after="0" w:line="289" w:lineRule="auto"/>
        <w:rPr>
          <w:sz w:val="20"/>
          <w:szCs w:val="20"/>
          <w:color w:val="auto"/>
        </w:rPr>
      </w:pPr>
      <w:r>
        <w:rPr>
          <w:rFonts w:ascii="Arial" w:cs="Arial" w:eastAsia="Arial" w:hAnsi="Arial"/>
          <w:sz w:val="12"/>
          <w:szCs w:val="12"/>
          <w:color w:val="auto"/>
        </w:rPr>
        <w:t>We currently use AI, including Gen AI and ML, in our platform framework and our offerings, as well as new agentic AI and Gen AI developments, including in our Navan Cognition framework and future product interface enhancements such as Navan Go. The rapid evolution of AI, including Gen AI and ML,</w:t>
      </w:r>
    </w:p>
    <w:p>
      <w:pPr>
        <w:sectPr>
          <w:pgSz w:w="11900" w:h="16840" w:orient="portrait"/>
          <w:cols w:equalWidth="0" w:num="1">
            <w:col w:w="9020"/>
          </w:cols>
          <w:pgMar w:left="1440" w:top="560" w:right="1440" w:bottom="32" w:gutter="0" w:footer="0" w:header="0"/>
        </w:sectPr>
      </w:pPr>
    </w:p>
    <w:bookmarkStart w:id="43" w:name="page44"/>
    <w:bookmarkEnd w:id="43"/>
    <w:p>
      <w:pPr>
        <w:ind w:left="1520" w:right="1800"/>
        <w:spacing w:after="0" w:line="226" w:lineRule="auto"/>
        <w:rPr>
          <w:sz w:val="20"/>
          <w:szCs w:val="20"/>
          <w:color w:val="auto"/>
        </w:rPr>
      </w:pPr>
      <w:r>
        <w:rPr>
          <w:rFonts w:ascii="Arial" w:cs="Arial" w:eastAsia="Arial" w:hAnsi="Arial"/>
          <w:sz w:val="12"/>
          <w:szCs w:val="12"/>
          <w:color w:val="auto"/>
        </w:rPr>
        <w:t>technologies will continue to require the application of significant resources to adopt, develop, test, integrate, and maintain the technologies included in our platform framework and our offerings in order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-158115</wp:posOffset>
            </wp:positionV>
            <wp:extent cx="6732270" cy="9970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760"/>
        <w:spacing w:after="0" w:line="268" w:lineRule="auto"/>
        <w:rPr>
          <w:sz w:val="20"/>
          <w:szCs w:val="20"/>
          <w:color w:val="auto"/>
        </w:rPr>
      </w:pPr>
      <w:r>
        <w:rPr>
          <w:rFonts w:ascii="Arial" w:cs="Arial" w:eastAsia="Arial" w:hAnsi="Arial"/>
          <w:sz w:val="12"/>
          <w:szCs w:val="12"/>
          <w:color w:val="auto"/>
        </w:rPr>
        <w:t>remain competitive, implement these technologies responsibly, and minimize unintended or harmful impacts. There are significant risks involved in adopting, developing, maintaining, and deploying these technologies, and there can be no assurance that the usage of such technologies will enhance our offerings or services or be beneficial to our business, including our efficiency or profitability. In particular, AI, including Gen AI and ML, technologies may be incorrectly designed or implemented; may be trained or reliant on incomplete, inadequate, inaccurate, biased, or otherwise poor quality data or on data to which we or third parties do not have sufficient rights; may produce results that are inaccurate or incomplete or may take unintended actions from user queries and inputs, even with no hallucinations; and/or may be adversely impacted by unforeseen defects, technical challenges, cybersecurity threats, third-party litigation or regulatory action, or material performance issues. Any of the above could negatively impact the performance of our offerings and business, as well as our reputation, and we could be subject to civil claims or incur liability and costs resulting from the actual or perceived violation of laws or contracts to which we are a party.</w:t>
      </w:r>
    </w:p>
    <w:p>
      <w:pPr>
        <w:spacing w:after="0" w:line="90" w:lineRule="exact"/>
        <w:rPr>
          <w:sz w:val="20"/>
          <w:szCs w:val="20"/>
          <w:color w:val="auto"/>
        </w:rPr>
      </w:pPr>
    </w:p>
    <w:p>
      <w:pPr>
        <w:ind w:left="1520" w:right="1700" w:firstLine="230"/>
        <w:spacing w:after="0" w:line="274" w:lineRule="auto"/>
        <w:rPr>
          <w:sz w:val="20"/>
          <w:szCs w:val="20"/>
          <w:color w:val="auto"/>
        </w:rPr>
      </w:pPr>
      <w:r>
        <w:rPr>
          <w:rFonts w:ascii="Arial" w:cs="Arial" w:eastAsia="Arial" w:hAnsi="Arial"/>
          <w:sz w:val="12"/>
          <w:szCs w:val="12"/>
          <w:color w:val="auto"/>
        </w:rPr>
        <w:t>In addition, AI technologies, including agentic AI, may be vulnerable to adversarial user behavior or create inaccurate or misleading content or other discriminatory or unexpected results or behaviors, such as hallucinatory behavior that can generate irrelevant, unintended, nonsensical, or factually incorrect results. Our customers may rely on or use this flawed content or information to their detriment, which may expose us to brand or reputational harm, competitive harm, consumer complaints, legal liability, and other adverse consequences, any of which could harm our business, results of operations, and financial condition.</w:t>
      </w:r>
    </w:p>
    <w:p>
      <w:pPr>
        <w:spacing w:after="0" w:line="241" w:lineRule="exact"/>
        <w:rPr>
          <w:sz w:val="20"/>
          <w:szCs w:val="20"/>
          <w:color w:val="auto"/>
        </w:rPr>
      </w:pPr>
    </w:p>
    <w:p>
      <w:pPr>
        <w:ind w:left="1520" w:right="1700" w:firstLine="230"/>
        <w:spacing w:after="0" w:line="277" w:lineRule="auto"/>
        <w:rPr>
          <w:sz w:val="20"/>
          <w:szCs w:val="20"/>
          <w:color w:val="auto"/>
        </w:rPr>
      </w:pPr>
      <w:r>
        <w:rPr>
          <w:rFonts w:ascii="Arial" w:cs="Arial" w:eastAsia="Arial" w:hAnsi="Arial"/>
          <w:sz w:val="12"/>
          <w:szCs w:val="12"/>
          <w:color w:val="auto"/>
        </w:rPr>
        <w:t>Development, maintenance and operation of AI, including Gen AI and ML, technologies requires additional investment in the development of proprietary datasets, machine learning models, and systems to train and operate models, and monitor and test for accuracy, bias, and other variables, which are complex, costly, and could impact our profit margin as we expand the use of AI, including Gen AI and ML, technologies in our offerings.</w:t>
      </w:r>
    </w:p>
    <w:p>
      <w:pPr>
        <w:spacing w:after="0" w:line="84"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In addition to our proprietary technologies, we use, or may use, AI, including Gen AI and ML, technologies licensed from third parties. Our ability to continue to adopt, integrate and use such technologies at the scale we may need may be dependent on access to specific third-party software and infrastructure, such as processing hardware or third-party AI models, and we cannot control the quality, availability or pricing of such third-party software and infrastructure, especially in a highly competitive environment. If any such third-party AI, including Gen AI and ML, technologies become incompatible with our offerings or unavailable for use or have degradations in performance, or if the providers of such models unfavorably change the terms on which their AI, including Gen AI and ML, technologies are offered or terminate their relationship with us, our solutions may become less appealing to our customers. In addition, to the extent any third-party AI, including Gen AI and ML, technologies are used as a vendor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spacing w:after="0" w:line="240" w:lineRule="exact"/>
        <w:rPr>
          <w:sz w:val="20"/>
          <w:szCs w:val="20"/>
          <w:color w:val="auto"/>
        </w:rPr>
      </w:pPr>
    </w:p>
    <w:p>
      <w:pPr>
        <w:ind w:left="1520" w:right="1880" w:firstLine="230"/>
        <w:spacing w:after="0" w:line="289" w:lineRule="auto"/>
        <w:rPr>
          <w:sz w:val="20"/>
          <w:szCs w:val="20"/>
          <w:color w:val="auto"/>
        </w:rPr>
      </w:pPr>
      <w:r>
        <w:rPr>
          <w:rFonts w:ascii="Arial" w:cs="Arial" w:eastAsia="Arial" w:hAnsi="Arial"/>
          <w:sz w:val="12"/>
          <w:szCs w:val="12"/>
          <w:color w:val="auto"/>
        </w:rPr>
        <w:t>We face competition from other companies in our industry with respect to the development and deployment of AI, including Gen AI and ML, technologies to enhance our competitive offerings. Those other companies may develop AI, including Gen AI and ML, technologies that are similar or superior to</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820"/>
        <w:spacing w:after="0" w:line="281" w:lineRule="auto"/>
        <w:rPr>
          <w:sz w:val="20"/>
          <w:szCs w:val="20"/>
          <w:color w:val="auto"/>
        </w:rPr>
      </w:pPr>
      <w:r>
        <w:rPr>
          <w:rFonts w:ascii="Arial" w:cs="Arial" w:eastAsia="Arial" w:hAnsi="Arial"/>
          <w:sz w:val="12"/>
          <w:szCs w:val="12"/>
          <w:color w:val="auto"/>
        </w:rPr>
        <w:t>ours and/or are more cost-effective and/or quicker to develop, deploy, and maintain. Any inability to develop, offer or deploy new AI, including Gen AI and ML, technologies as effectively, quickly and/or as cost-efficiently as our competitors could negatively impact our operating results, customer relationships, and growth.</w:t>
      </w:r>
    </w:p>
    <w:p>
      <w:pPr>
        <w:spacing w:after="0" w:line="81" w:lineRule="exact"/>
        <w:rPr>
          <w:sz w:val="20"/>
          <w:szCs w:val="20"/>
          <w:color w:val="auto"/>
        </w:rPr>
      </w:pPr>
    </w:p>
    <w:p>
      <w:pPr>
        <w:ind w:left="1520" w:right="1680" w:firstLine="230"/>
        <w:spacing w:after="0" w:line="268" w:lineRule="auto"/>
        <w:rPr>
          <w:sz w:val="20"/>
          <w:szCs w:val="20"/>
          <w:color w:val="auto"/>
        </w:rPr>
      </w:pPr>
      <w:r>
        <w:rPr>
          <w:rFonts w:ascii="Arial" w:cs="Arial" w:eastAsia="Arial" w:hAnsi="Arial"/>
          <w:sz w:val="12"/>
          <w:szCs w:val="12"/>
          <w:color w:val="auto"/>
        </w:rPr>
        <w:t>The regulatory and intellectual property frameworks governing the use and protection of AI, including Gen AI and ML, technologies and of its outputs are rapidly evolving, and we cannot predict how future legislation and regulation will impact our ability to offer and protect offerings that we develop which leverage AI, including Gen AI and ML, technologies. Many federal, state, and foreign government bodies and agencies have introduced or proposed additional laws and regulations, such as the EU AI Act. Additionally, existing laws and regulations may be interpreted in ways that would affect the operation of and availability of IP protection for our AI, including Gen AI and ML, technologies, as well as the outputs from our use of such technologies. As a result, implementation standards, enforcement practices, and available scope of protection are likely to remain uncertain for the foreseeable future, and we cannot yet determine the impact future laws, regulations, or standards may have on our business (including our positioning with respect to our competition) and may not always be able to anticipate how to respond to these laws or regulations. Already, certain existing legal regimes (such as those relating to data privacy) regulate certain aspects of AI, including Gen AI and ML, technologies, and new laws regulating AI, including Gen AI and ML, technologies are expected to continue to be proposed and enacted in the United States and globally. Additionally, certain privacy laws extend rights to consumers (such as the right to delete certain personal data) and regulate automated decision making, which may be incompatible with our use of AI, including Gen AI and ML. These obligations may make it harder for us to conduct our business using AI, including Gen AI and ML, lead to regulatory fines or penalties, require us to change our business practices, retrain our AI, including Gen AI and ML, or prevent or limit our use of AI, including Gen AI and ML. For example, the FTC has required other companies to turn over (or disgorge) valuable insights or trainings generated through the use of AI, including Gen AI and ML where they allege the company has violated privacy and consumer protection laws.</w:t>
      </w:r>
    </w:p>
    <w:p>
      <w:pPr>
        <w:spacing w:after="0" w:line="247"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It is also possible that new laws and regulations will be adopted in the United States and in other non-U.S. jurisdictions, or that existing laws and regulations, including data privacy, consumer protection, competition laws, may be interpreted in ways that would limit our ability to use AI, including Gen AI and ML, technologies for our business, or require us to change the way we use AI, including Gen AI and ML, technologies in a manner that negatively affects the performance of our offerings, services, and business and requires us to expend resources and adjust our offerings or services in certain jurisdictions. Further, the cost to comply with such laws, regulations, or decisions and/or guidance interpreting existing laws, could be significant and would increase our operating expenses (such as by imposing additional reporting obligations regarding our use of AI, including Gen AI and ML, technologies). Such an increase in operating expenses, as well as any actual or perceived failure to comply with such laws and regulations, could adversely affect our business, financial condition and results of operations.</w:t>
      </w:r>
    </w:p>
    <w:p>
      <w:pPr>
        <w:spacing w:after="0" w:line="91" w:lineRule="exact"/>
        <w:rPr>
          <w:sz w:val="20"/>
          <w:szCs w:val="20"/>
          <w:color w:val="auto"/>
        </w:rPr>
      </w:pPr>
    </w:p>
    <w:p>
      <w:pPr>
        <w:ind w:left="1520" w:right="1700" w:firstLine="230"/>
        <w:spacing w:after="0" w:line="289" w:lineRule="auto"/>
        <w:rPr>
          <w:sz w:val="20"/>
          <w:szCs w:val="20"/>
          <w:color w:val="auto"/>
        </w:rPr>
      </w:pPr>
      <w:r>
        <w:rPr>
          <w:rFonts w:ascii="Arial" w:cs="Arial" w:eastAsia="Arial" w:hAnsi="Arial"/>
          <w:sz w:val="12"/>
          <w:szCs w:val="12"/>
          <w:color w:val="auto"/>
        </w:rPr>
        <w:t>Any sensitive information (including confidential, competitive, proprietary, or personal data) that we or our customers and their users input into a third-party Gen AI, including Gen AI or ML, platform could be leaked or disclosed to others, including if sensitive information is used to train the third parties’ AI,</w:t>
      </w:r>
    </w:p>
    <w:p>
      <w:pPr>
        <w:sectPr>
          <w:pgSz w:w="11900" w:h="16840" w:orient="portrait"/>
          <w:cols w:equalWidth="0" w:num="1">
            <w:col w:w="9020"/>
          </w:cols>
          <w:pgMar w:left="1440" w:top="560" w:right="1440" w:bottom="99" w:gutter="0" w:footer="0" w:header="0"/>
        </w:sectPr>
      </w:pPr>
    </w:p>
    <w:bookmarkStart w:id="44" w:name="page45"/>
    <w:bookmarkEnd w:id="44"/>
    <w:p>
      <w:pPr>
        <w:ind w:left="1520" w:right="1720"/>
        <w:spacing w:after="0" w:line="183" w:lineRule="auto"/>
        <w:rPr>
          <w:sz w:val="20"/>
          <w:szCs w:val="20"/>
          <w:color w:val="auto"/>
        </w:rPr>
      </w:pPr>
      <w:r>
        <w:rPr>
          <w:rFonts w:ascii="Arial" w:cs="Arial" w:eastAsia="Arial" w:hAnsi="Arial"/>
          <w:sz w:val="9"/>
          <w:szCs w:val="9"/>
          <w:color w:val="auto"/>
        </w:rPr>
        <w:t>includi</w:t>
      </w:r>
      <w:r>
        <w:rPr>
          <w:rFonts w:ascii="Arial" w:cs="Arial" w:eastAsia="Arial" w:hAnsi="Arial"/>
          <w:sz w:val="13"/>
          <w:szCs w:val="13"/>
          <w:color w:val="auto"/>
          <w:vertAlign w:val="superscript"/>
        </w:rPr>
        <w:t>n</w:t>
      </w:r>
      <w:r>
        <w:rPr>
          <w:rFonts w:ascii="Arial" w:cs="Arial" w:eastAsia="Arial" w:hAnsi="Arial"/>
          <w:sz w:val="9"/>
          <w:szCs w:val="9"/>
          <w:color w:val="auto"/>
        </w:rPr>
        <w:t>g Gen AI or ML, model. Additionally, where an AI, including Gen AI or ML, model ingests personal data a d makes connections using such data, those technologies may reveal other personal or sensitive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-115570</wp:posOffset>
            </wp:positionV>
            <wp:extent cx="6732270" cy="9970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2"/>
          <w:szCs w:val="12"/>
          <w:color w:val="auto"/>
        </w:rPr>
        <w:t>information generated by the model.</w:t>
      </w:r>
    </w:p>
    <w:p>
      <w:pPr>
        <w:spacing w:after="0" w:line="120" w:lineRule="exact"/>
        <w:rPr>
          <w:sz w:val="20"/>
          <w:szCs w:val="20"/>
          <w:color w:val="auto"/>
        </w:rPr>
      </w:pPr>
    </w:p>
    <w:p>
      <w:pPr>
        <w:ind w:left="1520" w:right="1880"/>
        <w:spacing w:after="0" w:line="284" w:lineRule="auto"/>
        <w:rPr>
          <w:sz w:val="20"/>
          <w:szCs w:val="20"/>
          <w:color w:val="auto"/>
        </w:rPr>
      </w:pPr>
      <w:r>
        <w:rPr>
          <w:rFonts w:ascii="Arial" w:cs="Arial" w:eastAsia="Arial" w:hAnsi="Arial"/>
          <w:sz w:val="12"/>
          <w:szCs w:val="12"/>
          <w:b w:val="1"/>
          <w:bCs w:val="1"/>
          <w:i w:val="1"/>
          <w:iCs w:val="1"/>
          <w:color w:val="auto"/>
        </w:rPr>
        <w:t>Our failure or inability to protect our intellectual property rights, or claims by others that we are infringing upon or unlawfully using their intellectual property, could diminish the value of our brand and weaken our competitive position, and could adversely affect our business, financial condition, results of operations, and prospects.</w:t>
      </w:r>
    </w:p>
    <w:p>
      <w:pPr>
        <w:spacing w:after="0" w:line="72" w:lineRule="exact"/>
        <w:rPr>
          <w:sz w:val="20"/>
          <w:szCs w:val="20"/>
          <w:color w:val="auto"/>
        </w:rPr>
      </w:pPr>
    </w:p>
    <w:p>
      <w:pPr>
        <w:ind w:left="1520" w:right="1860" w:firstLine="230"/>
        <w:spacing w:after="0" w:line="289" w:lineRule="auto"/>
        <w:rPr>
          <w:sz w:val="20"/>
          <w:szCs w:val="20"/>
          <w:color w:val="auto"/>
        </w:rPr>
      </w:pPr>
      <w:r>
        <w:rPr>
          <w:rFonts w:ascii="Arial" w:cs="Arial" w:eastAsia="Arial" w:hAnsi="Arial"/>
          <w:sz w:val="12"/>
          <w:szCs w:val="12"/>
          <w:color w:val="auto"/>
        </w:rPr>
        <w:t>We currently rely on a combination of copyright, patent, trademark, trade secret, and unfair competition laws, as well as confidentiality agreements and procedures and licensing arrangements, to establish and protect our intellectual property rights. We have devoted substantial resources to the</w:t>
      </w: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00"/>
        <w:spacing w:after="0" w:line="268" w:lineRule="auto"/>
        <w:rPr>
          <w:sz w:val="20"/>
          <w:szCs w:val="20"/>
          <w:color w:val="auto"/>
        </w:rPr>
      </w:pPr>
      <w:r>
        <w:rPr>
          <w:rFonts w:ascii="Arial" w:cs="Arial" w:eastAsia="Arial" w:hAnsi="Arial"/>
          <w:sz w:val="12"/>
          <w:szCs w:val="12"/>
          <w:color w:val="auto"/>
        </w:rPr>
        <w:t>development of our proprietary technologies and related processes. In order to protect our proprietary technologies and processes, we rely in part on trade-secret laws and confidentiality agreements with our employees, licensees, independent contractors, suppliers, partners, and other advisors. These agreements may not effectively prevent disclosure of confidential information and may not provide an adequate remedy in the event of unauthorized disclosure of confidential information. We cannot be certain that the steps taken by us to protect our intellectual property rights will be adequate to prevent infringement of such rights by others. Additionally, the process of obtaining patent or trademark protection is expensive and time-consuming, and we may not be able to prosecute all necessary or desirable patent applications or apply for all necessary or desirable trademark applications at a reasonable cost or in a timely manner. Even if we are successful in such prosecutions, such legal protections may be incomplete or time-limited. Though an issued patent is presumed valid and enforceable, this presumption is not conclusive. Patents, if issued, may be challenged, deemed unenforceable, invalidated or circumvented and the related proceedings could be costly. And even if not invalidated, patents only have a limited lifespan. Furthermore, the issuance of a patent does not give us the right to practice the patented invention. Third parties may have blocking patents that could prevent us from marketing our own products and practicing our own technology. Alternatively, third parties may seek approval to market their own products that are competitive with our offerings. Thus, any patents that we may own may not provide any protection against competitors. Competitors may also attempt to replicate or reverse engineer our offerings, design around our patents, or develop and obtain patent protection for more effective products.</w:t>
      </w:r>
    </w:p>
    <w:p>
      <w:pPr>
        <w:spacing w:after="0" w:line="96"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color w:val="auto"/>
        </w:rPr>
        <w:t>Moreover, intellectual property protection may be unavailable or limited in some foreign countries where laws or law enforcement practices may not protect our intellectual property rights as fully as in the United States, and it may be more difficult for us to successfully challenge the use of our intellectual property rights by other parties in these countries. Costly and time-consuming litigation could be necessary to enforce and determine the scope of our proprietary rights, and our failure or inability to obtain or maintain trade-secret protection or otherwise protect our proprietary rights could adversely affect our business, financial condition, results of operations, and prospects.</w:t>
      </w:r>
    </w:p>
    <w:p>
      <w:pPr>
        <w:spacing w:after="0" w:line="88"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Additionally, although we require our employees, third-party providers, and contractors to assign or grant us rights in the intellectual property they create while working for us, we may not have entered into enforceable agreements in every case or may not have sufficient rights to certain works developed before the execution of such agreements. Further, applicable laws may limit the enforceability or scope of such assignments. If we are unable to adequately establish our ownership of intellectual property created for us, or if such intellectual property is later found to be owned by others, we could face claims of infringement, be required to obtain additional licenses on unfavorable terms, or lose valuable rights, any of which could adversely affect our business, financial condition, results of operations, and prospects.</w:t>
      </w:r>
    </w:p>
    <w:p>
      <w:pPr>
        <w:spacing w:after="0" w:line="88"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We have in the past and may in the future be subject to patent infringement and trademark claims and lawsuits in various jurisdictions, and we cannot be certain that our platform and solutions or activities do not violate the patents, trademarks, or other intellectual property rights of third-party claimants. Companies in the technology industry and other patent, copyright, and trademark-holders seeking to profit from royalties in connection with grants of licenses own large numbers of patents, copyrights, trademarks, domain names, and trade secrets and frequently commence litigation based on allegations of infringement, misappropriation, or other violations of intellectual property or other rights. As we face increasing competition and gain an increasingly high profile, the intellectual property rights claims against us have grown and will likely continue to grow.</w:t>
      </w:r>
    </w:p>
    <w:p>
      <w:pPr>
        <w:spacing w:after="0" w:line="85" w:lineRule="exact"/>
        <w:rPr>
          <w:sz w:val="20"/>
          <w:szCs w:val="20"/>
          <w:color w:val="auto"/>
        </w:rPr>
      </w:pPr>
    </w:p>
    <w:p>
      <w:pPr>
        <w:ind w:left="1520" w:right="1740" w:firstLine="230"/>
        <w:spacing w:after="0" w:line="272" w:lineRule="auto"/>
        <w:rPr>
          <w:sz w:val="20"/>
          <w:szCs w:val="20"/>
          <w:color w:val="auto"/>
        </w:rPr>
      </w:pPr>
      <w:r>
        <w:rPr>
          <w:rFonts w:ascii="Arial" w:cs="Arial" w:eastAsia="Arial" w:hAnsi="Arial"/>
          <w:sz w:val="12"/>
          <w:szCs w:val="12"/>
          <w:color w:val="auto"/>
        </w:rPr>
        <w:t>Further, from time to time, we may receive letters from third parties alleging that we are infringing upon their intellectual property rights or inviting us to license their intellectual property rights. Our technologies and other intellectual property may not be able to withstand such third-party claims, and successful infringement claims against us could result in significant monetary liability, prevent us from selling some of our products and services, or require us to change our branding. In addition, resolution of claims may require us to redesign our platform and offerings, license rights from third parties at a significant expense, or cease using those rights altogether. We may in the future bring claims against third parties for infringing our intellectual property rights. Costs of supporting such litigation and disputes</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00"/>
        <w:spacing w:after="0" w:line="275" w:lineRule="auto"/>
        <w:rPr>
          <w:sz w:val="20"/>
          <w:szCs w:val="20"/>
          <w:color w:val="auto"/>
        </w:rPr>
      </w:pPr>
      <w:r>
        <w:rPr>
          <w:rFonts w:ascii="Arial" w:cs="Arial" w:eastAsia="Arial" w:hAnsi="Arial"/>
          <w:sz w:val="12"/>
          <w:szCs w:val="12"/>
          <w:color w:val="auto"/>
        </w:rPr>
        <w:t>may be considerable, and there can be no assurances that a favorable outcome will be obtained. Patent infringement, trademark infringement, trade secret misappropriation, and other intellectual property claims and proceedings brought against us or brought by us, whether successful or not, could require significant attention of our management and resources and have in the past and could further result in substantial costs, harm to our brand, and could adversely affect our business, financial condition, results of operations, and prospects.</w:t>
      </w:r>
    </w:p>
    <w:p>
      <w:pPr>
        <w:spacing w:after="0" w:line="87" w:lineRule="exact"/>
        <w:rPr>
          <w:sz w:val="20"/>
          <w:szCs w:val="20"/>
          <w:color w:val="auto"/>
        </w:rPr>
      </w:pPr>
    </w:p>
    <w:p>
      <w:pPr>
        <w:ind w:left="1520" w:right="1700"/>
        <w:spacing w:after="0" w:line="292" w:lineRule="auto"/>
        <w:rPr>
          <w:sz w:val="20"/>
          <w:szCs w:val="20"/>
          <w:color w:val="auto"/>
        </w:rPr>
      </w:pPr>
      <w:r>
        <w:rPr>
          <w:rFonts w:ascii="Arial" w:cs="Arial" w:eastAsia="Arial" w:hAnsi="Arial"/>
          <w:sz w:val="12"/>
          <w:szCs w:val="12"/>
          <w:b w:val="1"/>
          <w:bCs w:val="1"/>
          <w:i w:val="1"/>
          <w:iCs w:val="1"/>
          <w:color w:val="auto"/>
        </w:rPr>
        <w:t>If we do not adequately identify our patentable inventions or protect our patent rights, the value of our offerings may be adversely affected and our business, financial condition, results of operations, and prospects could be adversely affected.</w:t>
      </w:r>
    </w:p>
    <w:p>
      <w:pPr>
        <w:spacing w:after="0" w:line="68"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We have issued patents and a number of pending patent applications in the United States to protect</w:t>
      </w:r>
    </w:p>
    <w:p>
      <w:pPr>
        <w:sectPr>
          <w:pgSz w:w="11900" w:h="16840" w:orient="portrait"/>
          <w:cols w:equalWidth="0" w:num="1">
            <w:col w:w="9020"/>
          </w:cols>
          <w:pgMar w:left="1440" w:top="560" w:right="1440" w:bottom="162" w:gutter="0" w:footer="0" w:header="0"/>
        </w:sectPr>
      </w:pPr>
    </w:p>
    <w:bookmarkStart w:id="45" w:name="page46"/>
    <w:bookmarkEnd w:id="45"/>
    <w:p>
      <w:pPr>
        <w:ind w:left="1520" w:right="1720"/>
        <w:spacing w:after="0" w:line="304" w:lineRule="auto"/>
        <w:rPr>
          <w:sz w:val="20"/>
          <w:szCs w:val="20"/>
          <w:color w:val="auto"/>
        </w:rPr>
      </w:pPr>
      <w:r>
        <w:rPr>
          <w:rFonts w:ascii="Arial" w:cs="Arial" w:eastAsia="Arial" w:hAnsi="Arial"/>
          <w:sz w:val="11"/>
          <w:szCs w:val="11"/>
          <w:color w:val="auto"/>
        </w:rPr>
        <w:t>ourpatei</w:t>
      </w:r>
      <w:r>
        <w:rPr>
          <w:rFonts w:ascii="Arial" w:cs="Arial" w:eastAsia="Arial" w:hAnsi="Arial"/>
          <w:sz w:val="11"/>
          <w:szCs w:val="11"/>
          <w:b w:val="1"/>
          <w:bCs w:val="1"/>
          <w:color w:val="auto"/>
        </w:rPr>
        <w:t>nt</w:t>
      </w:r>
      <w:r>
        <w:rPr>
          <w:rFonts w:ascii="Arial" w:cs="Arial" w:eastAsia="Arial" w:hAnsi="Arial"/>
          <w:sz w:val="11"/>
          <w:szCs w:val="11"/>
          <w:color w:val="auto"/>
        </w:rPr>
        <w:t>ellectualableinventions,propertyp articularlyndcompetitivthose arisingpositionin. However,thecourseweof maydevelopmentfailtotimelyactivitiesidentifyconductedorprotectby or on behalf of us. If we do not file for patent protection in a timely manner, we may lose the opportunity to secure such protection. Moreover, although we enter into confidentiality and non-disclosure agreements with employees, consultants, collaborators, suppliers, and other third parties, there is a risk that such parties could breach these agreements and disclose proprietary information before a patent application is filed, thereby jeopardizing our rights. We may also rely on in-licenses to patents or patent applications owned by third parties. Depending on the terms of the applicable licenses, we may not have control over the prosecution, maintenance, or enforcement of such intellectual property rights, and such activities may not be conducted in a manner that is consistent with our best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-908685</wp:posOffset>
            </wp:positionV>
            <wp:extent cx="6732270" cy="9970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50" w:lineRule="exact"/>
        <w:rPr>
          <w:sz w:val="20"/>
          <w:szCs w:val="20"/>
          <w:color w:val="auto"/>
        </w:rPr>
      </w:pPr>
    </w:p>
    <w:p>
      <w:pPr>
        <w:ind w:left="1520" w:right="1700" w:firstLine="230"/>
        <w:spacing w:after="0" w:line="275" w:lineRule="auto"/>
        <w:rPr>
          <w:sz w:val="20"/>
          <w:szCs w:val="20"/>
          <w:color w:val="auto"/>
        </w:rPr>
      </w:pPr>
      <w:r>
        <w:rPr>
          <w:rFonts w:ascii="Arial" w:cs="Arial" w:eastAsia="Arial" w:hAnsi="Arial"/>
          <w:sz w:val="12"/>
          <w:szCs w:val="12"/>
          <w:color w:val="auto"/>
        </w:rPr>
        <w:t>Additionally, some of our current and future patents and applications may share ownership with or require cross-licenses with third parties. If we are unable to obtain exclusive rights to such shared or cross-licensed intellectual property, the other co-owners may license their rights to third parties, including competitors. Furthermore, enforcement of shared patents may require cooperation from co-owners, which may not be forthcoming. Any of these factors could impair our ability to protect our innovations, limit our competitive advantage, and adversely affect our business, financial condition, and results of operations.</w:t>
      </w:r>
    </w:p>
    <w:p>
      <w:pPr>
        <w:spacing w:after="0" w:line="87" w:lineRule="exact"/>
        <w:rPr>
          <w:sz w:val="20"/>
          <w:szCs w:val="20"/>
          <w:color w:val="auto"/>
        </w:rPr>
      </w:pPr>
    </w:p>
    <w:p>
      <w:pPr>
        <w:ind w:left="1520" w:right="1940"/>
        <w:spacing w:after="0" w:line="284" w:lineRule="auto"/>
        <w:rPr>
          <w:sz w:val="20"/>
          <w:szCs w:val="20"/>
          <w:color w:val="auto"/>
        </w:rPr>
      </w:pPr>
      <w:r>
        <w:rPr>
          <w:rFonts w:ascii="Arial" w:cs="Arial" w:eastAsia="Arial" w:hAnsi="Arial"/>
          <w:sz w:val="12"/>
          <w:szCs w:val="12"/>
          <w:b w:val="1"/>
          <w:bCs w:val="1"/>
          <w:i w:val="1"/>
          <w:iCs w:val="1"/>
          <w:color w:val="auto"/>
        </w:rPr>
        <w:t>Our reliance on third parties, including employees located outside of the United States, for the development of our intellectual property exposes us to additional risks, including limited enforceability of intellectual property rights, potential violations of U.S. export controls, and increased risk of intellectual property theft or misappropriation.</w:t>
      </w:r>
    </w:p>
    <w:p>
      <w:pPr>
        <w:spacing w:after="0" w:line="72"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We rely, or may rely, on employees and third-party service providers located outside of the United States for certain aspects of development for our products and services. The use of foreign developers may expose us to risks related to trade secrets, confidentiality, and the assignment of intellectual property rights, particularly where local laws may not recognize or enforce contractual provisions related to ownership or confidentiality in the same manner as we expect in the United States. We also face risks related to compliance with U.S. export control laws and regulations when sharing technology or technical data with foreign nationals. Any failure to adequately secure our intellectual property rights or comply with applicable laws could harm our business, financial condition, results of operations, and prospects.</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Risks Related to Legal and Regulatory Matters</w:t>
      </w:r>
    </w:p>
    <w:p>
      <w:pPr>
        <w:spacing w:after="0" w:line="132" w:lineRule="exact"/>
        <w:rPr>
          <w:sz w:val="20"/>
          <w:szCs w:val="20"/>
          <w:color w:val="auto"/>
        </w:rPr>
      </w:pPr>
    </w:p>
    <w:p>
      <w:pPr>
        <w:ind w:left="1520" w:right="2080"/>
        <w:spacing w:after="0" w:line="319" w:lineRule="auto"/>
        <w:rPr>
          <w:sz w:val="20"/>
          <w:szCs w:val="20"/>
          <w:color w:val="auto"/>
        </w:rPr>
      </w:pPr>
      <w:r>
        <w:rPr>
          <w:rFonts w:ascii="Arial" w:cs="Arial" w:eastAsia="Arial" w:hAnsi="Arial"/>
          <w:sz w:val="12"/>
          <w:szCs w:val="12"/>
          <w:b w:val="1"/>
          <w:bCs w:val="1"/>
          <w:i w:val="1"/>
          <w:iCs w:val="1"/>
          <w:color w:val="auto"/>
        </w:rPr>
        <w:t>Payments and other financial services- related regulations and oversight are or may become material to our business. Our failure to comply could harm our business.</w:t>
      </w:r>
    </w:p>
    <w:p>
      <w:pPr>
        <w:spacing w:after="0" w:line="52"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color w:val="auto"/>
        </w:rPr>
        <w:t>We are directly and indirectly subject to local, state, and federal laws, rules, regulations, licensing and other authorization schemes, including card network scheme rules, and industry standards that govern our business, activities, as well as the services our vendors and our partners provide (such as our corporate card offering, which our partner banks offer via Navan). These laws, rules, regulations, and licensing and authorization schemes include, or may in the future include, those relating to banking, invoicing, cross-border and domestic money transmission, foreign exchange, payments services (such as payment processing and settlement services), lending, brokering, servicing, debt collection, anti-money</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00"/>
        <w:spacing w:after="0" w:line="270" w:lineRule="auto"/>
        <w:rPr>
          <w:sz w:val="20"/>
          <w:szCs w:val="20"/>
          <w:color w:val="auto"/>
        </w:rPr>
      </w:pPr>
      <w:r>
        <w:rPr>
          <w:rFonts w:ascii="Arial" w:cs="Arial" w:eastAsia="Arial" w:hAnsi="Arial"/>
          <w:sz w:val="12"/>
          <w:szCs w:val="12"/>
          <w:color w:val="auto"/>
        </w:rPr>
        <w:t>laundering, counter-terrorism financing, escheatment, U.S. and international sanctions regimes, and compliance with the PCI Data Security Standard, which is a set of requirements designed to ensure that all companies that process, store, or transmit payment card information maintain a secure environment to protect cardholder data. These laws, rules, regulations, licensing and other authorization schemes, and industry standards are complex, subject to change, vary across different jurisdictions, and are implemented and enforced, in the United States by multiple authorities and governing bodies, including but not limited to the U.S. Department of the Treasury, the Federal Deposit Insurance Corporation, the Board of Governors of the Federal Reserve System, the U.S. Department of Treasury’s Office of Foreign Assets Control, or OFAC, self-regulatory organizations, state banking departments, and numerous state and local governmental and regulatory authorities. We may not always be able to accurately predict the scope or applicability of certain laws, rules, regulations, licensing schemes, or standards to our business, or interpretations of the same, particularly as we expand into new areas of operations, which could have a significant negative effect on our existing business and our ability to pursue future plans.</w:t>
      </w:r>
    </w:p>
    <w:p>
      <w:pPr>
        <w:spacing w:after="0" w:line="87"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Banking agencies, including the Office of the Comptroller of the Currency, also have imposed requirements on regulated financial institutions to manage their third-party service providers. Among other things, these requirements include performing appropriate due diligence when selecting third-party service providers; evaluating the risk management, information security, and information management systems of third-party service providers; imposing contractual protections in agreements with third-party service providers (such as performance measures, audit and remediation rights, indemnification, compliance requirements, confidentiality and information security obligations, insurance requirements, and limits on liability); and conducting ongoing monitoring of the performance of third-party service providers. Our relationships with our banks, as well as third-party service providers we engage in connection with our banking relationships, require accommodating these requirements and therefore impose additional costs and risks on us in connection with such arrangements. We expect to expend significant resources on an ongoing basis in an effort to assist our bank partners in meeting their legal requirements.</w:t>
      </w:r>
    </w:p>
    <w:p>
      <w:pPr>
        <w:spacing w:after="0" w:line="242" w:lineRule="exact"/>
        <w:rPr>
          <w:sz w:val="20"/>
          <w:szCs w:val="20"/>
          <w:color w:val="auto"/>
        </w:rPr>
      </w:pPr>
    </w:p>
    <w:p>
      <w:pPr>
        <w:ind w:left="1520" w:right="1680" w:firstLine="230"/>
        <w:spacing w:after="0" w:line="269" w:lineRule="auto"/>
        <w:rPr>
          <w:sz w:val="20"/>
          <w:szCs w:val="20"/>
          <w:color w:val="auto"/>
        </w:rPr>
      </w:pPr>
      <w:r>
        <w:rPr>
          <w:rFonts w:ascii="Arial" w:cs="Arial" w:eastAsia="Arial" w:hAnsi="Arial"/>
          <w:sz w:val="12"/>
          <w:szCs w:val="12"/>
          <w:color w:val="auto"/>
        </w:rPr>
        <w:t>Further, any failure or perceived failure to comply with existing or new laws and regulations, or orders of any governmental authority, including changes to or expansion of their interpretations, may subject us to significant fines, penalties, criminal and civil lawsuits, forfeiture of significant assets, enforcement actions in one or more jurisdictions, may result in additional compliance and licensing or registration requirements, and may increase regulatory scrutiny of our business. We have been and may continue to be subject to such regulatory scrutiny. In particular, while we believe that we are not currently subject to licensing, registration, and related types of regulatory requirements with respect to our expense management offerings, we may still receive inquiries from regulators given our offering to corporate customers of credit cards issued by an issuing bank. Further, if any of our current or future product offerings become subject to additional lending-, payment-, or other financial service-related laws or regulations in the future, we could be subject to licensing and registration requirements that impose obligations and restrictions with respect to the investment of customer funds, reporting requirements, bonding requirements, minimum capital requirements, customer disclosure requirements, and oversight and examination by state regulatory agencies concerning various aspects of our business. This could also require changes to the manner in which we conduct some aspects of our business and increase our compliance costs.</w:t>
      </w:r>
    </w:p>
    <w:p>
      <w:pPr>
        <w:spacing w:after="0" w:line="244" w:lineRule="exact"/>
        <w:rPr>
          <w:sz w:val="20"/>
          <w:szCs w:val="20"/>
          <w:color w:val="auto"/>
        </w:rPr>
      </w:pPr>
    </w:p>
    <w:p>
      <w:pPr>
        <w:ind w:left="1520" w:right="1720" w:firstLine="230"/>
        <w:spacing w:after="0" w:line="281" w:lineRule="auto"/>
        <w:rPr>
          <w:sz w:val="20"/>
          <w:szCs w:val="20"/>
          <w:color w:val="auto"/>
        </w:rPr>
      </w:pPr>
      <w:r>
        <w:rPr>
          <w:rFonts w:ascii="Arial" w:cs="Arial" w:eastAsia="Arial" w:hAnsi="Arial"/>
          <w:sz w:val="12"/>
          <w:szCs w:val="12"/>
          <w:color w:val="auto"/>
        </w:rPr>
        <w:t>The adoption of new or amended money transmitter or money services business statutes and regulations or changes in regulators’ interpretation of existing state and federal money transmitter or money services business statutes or regulations could subject us to new registration or licensing requirements. Such changes could also limit business activities until we are appropriately licensed. There</w:t>
      </w:r>
    </w:p>
    <w:p>
      <w:pPr>
        <w:sectPr>
          <w:pgSz w:w="11900" w:h="16840" w:orient="portrait"/>
          <w:cols w:equalWidth="0" w:num="1">
            <w:col w:w="9020"/>
          </w:cols>
          <w:pgMar w:left="1440" w:top="560" w:right="1440" w:bottom="0" w:gutter="0" w:footer="0" w:header="0"/>
        </w:sectPr>
      </w:pPr>
    </w:p>
    <w:bookmarkStart w:id="46" w:name="page47"/>
    <w:bookmarkEnd w:id="46"/>
    <w:p>
      <w:pPr>
        <w:ind w:left="1520" w:right="1740"/>
        <w:spacing w:after="0" w:line="273" w:lineRule="auto"/>
        <w:rPr>
          <w:sz w:val="20"/>
          <w:szCs w:val="20"/>
          <w:color w:val="auto"/>
        </w:rPr>
      </w:pPr>
      <w:r>
        <w:rPr>
          <w:rFonts w:ascii="Arial" w:cs="Arial" w:eastAsia="Arial" w:hAnsi="Arial"/>
          <w:sz w:val="12"/>
          <w:szCs w:val="12"/>
          <w:color w:val="auto"/>
        </w:rPr>
        <w:t>can be no assurance that we will be able to obtain or maintain any such licenses, and, even if we were able to do so, there could be substantial costs and potential product changes involved in obtaining and maintaining such licenses, which could negatively impact our business. In addition, we may be forced to restrict or change our operations or business practices, make product changes, or delay planned product launches or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-491490</wp:posOffset>
            </wp:positionV>
            <wp:extent cx="6732270" cy="9970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00" w:firstLine="230"/>
        <w:spacing w:after="0" w:line="271" w:lineRule="auto"/>
        <w:rPr>
          <w:sz w:val="20"/>
          <w:szCs w:val="20"/>
          <w:color w:val="auto"/>
        </w:rPr>
      </w:pPr>
      <w:r>
        <w:rPr>
          <w:rFonts w:ascii="Arial" w:cs="Arial" w:eastAsia="Arial" w:hAnsi="Arial"/>
          <w:sz w:val="12"/>
          <w:szCs w:val="12"/>
          <w:color w:val="auto"/>
        </w:rPr>
        <w:t>Many of these laws and regulations are evolving, unclear, and inconsistent across various jurisdictions, and ensuring compliance with them is difficult and costly. With increasing frequency, federal and state regulators are holding businesses in the lending and payments industry to higher standards of training, monitoring, and compliance, including monitoring for possible violations of laws by our customers and people who do business with our customers while using our products. If we fail to comply with laws and regulations applicable to our business in a timely and appropriate manner, we may be subject to litigation or regulatory proceedings, we may have to pay fines and penalties, and our customer relationships and reputation may be adversely affected, which could negatively impact our business, results of operations, and financial condition. Any of the foregoing could negatively impact our brand, reputation, business, results of operations, and financial condition.</w:t>
      </w:r>
    </w:p>
    <w:p>
      <w:pPr>
        <w:spacing w:after="0" w:line="90" w:lineRule="exact"/>
        <w:rPr>
          <w:sz w:val="20"/>
          <w:szCs w:val="20"/>
          <w:color w:val="auto"/>
        </w:rPr>
      </w:pPr>
    </w:p>
    <w:p>
      <w:pPr>
        <w:jc w:val="both"/>
        <w:ind w:left="1520" w:right="1700"/>
        <w:spacing w:after="0" w:line="292" w:lineRule="auto"/>
        <w:rPr>
          <w:sz w:val="20"/>
          <w:szCs w:val="20"/>
          <w:color w:val="auto"/>
        </w:rPr>
      </w:pPr>
      <w:r>
        <w:rPr>
          <w:rFonts w:ascii="Arial" w:cs="Arial" w:eastAsia="Arial" w:hAnsi="Arial"/>
          <w:sz w:val="12"/>
          <w:szCs w:val="12"/>
          <w:b w:val="1"/>
          <w:bCs w:val="1"/>
          <w:i w:val="1"/>
          <w:iCs w:val="1"/>
          <w:color w:val="auto"/>
        </w:rPr>
        <w:t>We are subject to governmental laws and requirements regarding economic and trade sanctions, anti-money laundering, and counter-terrorism financing that could impair our ability to compete in international markets or subject us to criminal or civil liability if we violate such laws.</w:t>
      </w:r>
    </w:p>
    <w:p>
      <w:pPr>
        <w:spacing w:after="0" w:line="68" w:lineRule="exact"/>
        <w:rPr>
          <w:sz w:val="20"/>
          <w:szCs w:val="20"/>
          <w:color w:val="auto"/>
        </w:rPr>
      </w:pPr>
    </w:p>
    <w:p>
      <w:pPr>
        <w:ind w:left="1520" w:right="1680" w:firstLine="230"/>
        <w:spacing w:after="0" w:line="268" w:lineRule="auto"/>
        <w:rPr>
          <w:sz w:val="20"/>
          <w:szCs w:val="20"/>
          <w:color w:val="auto"/>
        </w:rPr>
      </w:pPr>
      <w:r>
        <w:rPr>
          <w:rFonts w:ascii="Arial" w:cs="Arial" w:eastAsia="Arial" w:hAnsi="Arial"/>
          <w:sz w:val="12"/>
          <w:szCs w:val="12"/>
          <w:color w:val="auto"/>
        </w:rPr>
        <w:t>As we continue to expand internationally, we will become subject to additional laws and regulations, and will need to implement new regulatory controls to comply with applicable laws. We are currently required to comply with U.S. economic and trade sanctions administered by OFAC, and we have processes in place to comply with such OFAC regulations as well as similar requirements in other jurisdictions, including the United Kingdom and European Union. Under OFAC and other applicable sanctions laws and regulations, direct and indirect transactions or other business dealings and activities, including the facilitation of such transactions and the provision of certain products and/or services, to specified countries, governments, individuals, and entities are prohibited. As part of our compliance efforts, we scan our customers and counterparties against OFAC and other governmental watch lists. We are also subject to or otherwise required by contract to comply with and address various anti-money laundering and counter-terrorist financing laws, regulations, and standards around the world that require the maintenance of an anti-money laundering compliance program and prohibit, among other things, facilitating transactions involving the proceeds of criminal activities or other illicit activities. Our financial institution partners as well as regulators in the United States and globally continue to increase their scrutiny of compliance with these obligations, which may require us to further invest resources in, or otherwise revise or expand our compliance program, including the procedures we use to verify the identity of our customers and to monitor transactions facilitated through our services, including payments to persons outside of the United States. Additionally, we currently engage in limited activity in OFAC-sanctioned regions based upon general licenses issued by OFAC to engage in such activity. We also have sought specific licenses from OFAC when required. We continue to review the OFAC sanctions and our practices to verify compliance. We could be subject to fines or other enforcement action, and cease and desist orders, if we are found to violate these laws, and our relationships with our financial institution partners could be at risk of or could be subject to termination or other adverse consequences.</w:t>
      </w:r>
    </w:p>
    <w:p>
      <w:pPr>
        <w:spacing w:after="0" w:line="246" w:lineRule="exact"/>
        <w:rPr>
          <w:sz w:val="20"/>
          <w:szCs w:val="20"/>
          <w:color w:val="auto"/>
        </w:rPr>
      </w:pPr>
    </w:p>
    <w:p>
      <w:pPr>
        <w:ind w:left="1520" w:right="1760" w:firstLine="230"/>
        <w:spacing w:after="0" w:line="275" w:lineRule="auto"/>
        <w:rPr>
          <w:sz w:val="20"/>
          <w:szCs w:val="20"/>
          <w:color w:val="auto"/>
        </w:rPr>
      </w:pPr>
      <w:r>
        <w:rPr>
          <w:rFonts w:ascii="Arial" w:cs="Arial" w:eastAsia="Arial" w:hAnsi="Arial"/>
          <w:sz w:val="12"/>
          <w:szCs w:val="12"/>
          <w:color w:val="auto"/>
        </w:rPr>
        <w:t>Violations of sanctions and anti-money laundering laws and regulations could lead to fines, criminal sanctions against us, our officers, or our employees, cessation of business activities in sanctioned countries, implementation of compliance programs, and prohibitions on the conduct of our business. Any such violations could include prohibitions on our ability to offer our services in our or more countries, and could significantly damage our reputation, our brand, our international expansion efforts, our ability to attract and retain employees, and our business, prospects, operating results, and financial condition.</w:t>
      </w:r>
    </w:p>
    <w:p>
      <w:pPr>
        <w:spacing w:after="0" w:line="87" w:lineRule="exact"/>
        <w:rPr>
          <w:sz w:val="20"/>
          <w:szCs w:val="20"/>
          <w:color w:val="auto"/>
        </w:rPr>
      </w:pPr>
    </w:p>
    <w:p>
      <w:pPr>
        <w:ind w:left="1520" w:right="1880"/>
        <w:spacing w:after="0" w:line="319" w:lineRule="auto"/>
        <w:rPr>
          <w:sz w:val="20"/>
          <w:szCs w:val="20"/>
          <w:color w:val="auto"/>
        </w:rPr>
      </w:pPr>
      <w:r>
        <w:rPr>
          <w:rFonts w:ascii="Arial" w:cs="Arial" w:eastAsia="Arial" w:hAnsi="Arial"/>
          <w:sz w:val="12"/>
          <w:szCs w:val="12"/>
          <w:b w:val="1"/>
          <w:bCs w:val="1"/>
          <w:i w:val="1"/>
          <w:iCs w:val="1"/>
          <w:color w:val="auto"/>
        </w:rPr>
        <w:t>We are subject to anti- corruption, anti- bribery, and similar laws, and non-compliance with such laws can subject us to criminal or civil liability and harm our business.</w:t>
      </w:r>
    </w:p>
    <w:p>
      <w:pPr>
        <w:spacing w:after="0" w:line="52" w:lineRule="exact"/>
        <w:rPr>
          <w:sz w:val="20"/>
          <w:szCs w:val="20"/>
          <w:color w:val="auto"/>
        </w:rPr>
      </w:pPr>
    </w:p>
    <w:p>
      <w:pPr>
        <w:ind w:left="1520" w:right="1700" w:firstLine="230"/>
        <w:spacing w:after="0" w:line="275" w:lineRule="auto"/>
        <w:rPr>
          <w:sz w:val="20"/>
          <w:szCs w:val="20"/>
          <w:color w:val="auto"/>
        </w:rPr>
      </w:pPr>
      <w:r>
        <w:rPr>
          <w:rFonts w:ascii="Arial" w:cs="Arial" w:eastAsia="Arial" w:hAnsi="Arial"/>
          <w:sz w:val="12"/>
          <w:szCs w:val="12"/>
          <w:color w:val="auto"/>
        </w:rPr>
        <w:t>We are subject to the FCPA, U.S. domestic bribery laws, and other anti-corruption laws, including the UK Bribery Act. Anti-corruption and anti-bribery laws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As we increase our international cross-border business</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00"/>
        <w:spacing w:after="0" w:line="272" w:lineRule="auto"/>
        <w:rPr>
          <w:sz w:val="20"/>
          <w:szCs w:val="20"/>
          <w:color w:val="auto"/>
        </w:rPr>
      </w:pPr>
      <w:r>
        <w:rPr>
          <w:rFonts w:ascii="Arial" w:cs="Arial" w:eastAsia="Arial" w:hAnsi="Arial"/>
          <w:sz w:val="12"/>
          <w:szCs w:val="12"/>
          <w:color w:val="auto"/>
        </w:rPr>
        <w:t>and expand operations abroad, we may engage with business partners and third-party intermediaries to market our services and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or have actual knowledge of such activities. In addition, we cannot assure you that all of our employees and agents will not take actions in violation of our Company compliance policies and applicable law, for which we may be ultimately held responsible. As we increase our international sales and business, our risks under these laws may increase.</w:t>
      </w:r>
    </w:p>
    <w:p>
      <w:pPr>
        <w:spacing w:after="0" w:line="85" w:lineRule="exact"/>
        <w:rPr>
          <w:sz w:val="20"/>
          <w:szCs w:val="20"/>
          <w:color w:val="auto"/>
        </w:rPr>
      </w:pPr>
    </w:p>
    <w:p>
      <w:pPr>
        <w:ind w:left="1520" w:right="1740" w:firstLine="230"/>
        <w:spacing w:after="0" w:line="273" w:lineRule="auto"/>
        <w:rPr>
          <w:sz w:val="20"/>
          <w:szCs w:val="20"/>
          <w:color w:val="auto"/>
        </w:rPr>
      </w:pPr>
      <w:r>
        <w:rPr>
          <w:rFonts w:ascii="Arial" w:cs="Arial" w:eastAsia="Arial" w:hAnsi="Arial"/>
          <w:sz w:val="12"/>
          <w:szCs w:val="12"/>
          <w:color w:val="auto"/>
        </w:rPr>
        <w:t>Any allegations or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 or debarment from U.S. government contracts, all of which could harm our business, financial condition, results of operations, and prospects. Responding to any investigation or action will likely result in a significant diversion of management’s attention and resources and significant defense costs and other professional fees. If any subpoenas are received or investigations are launched,</w:t>
      </w:r>
    </w:p>
    <w:p>
      <w:pPr>
        <w:sectPr>
          <w:pgSz w:w="11900" w:h="16840" w:orient="portrait"/>
          <w:cols w:equalWidth="0" w:num="1">
            <w:col w:w="9020"/>
          </w:cols>
          <w:pgMar w:left="1440" w:top="560" w:right="1440" w:bottom="120" w:gutter="0" w:footer="0" w:header="0"/>
        </w:sectPr>
      </w:pPr>
    </w:p>
    <w:bookmarkStart w:id="47" w:name="page48"/>
    <w:bookmarkEnd w:id="47"/>
    <w:p>
      <w:pPr>
        <w:ind w:left="1520" w:right="1900"/>
        <w:spacing w:after="0" w:line="355" w:lineRule="auto"/>
        <w:rPr>
          <w:sz w:val="20"/>
          <w:szCs w:val="20"/>
          <w:color w:val="auto"/>
        </w:rPr>
      </w:pPr>
      <w:r>
        <w:rPr>
          <w:rFonts w:ascii="Arial" w:cs="Arial" w:eastAsia="Arial" w:hAnsi="Arial"/>
          <w:sz w:val="10"/>
          <w:szCs w:val="10"/>
          <w:color w:val="auto"/>
        </w:rPr>
        <w:t>op</w:t>
      </w:r>
      <w:r>
        <w:rPr>
          <w:rFonts w:ascii="Arial" w:cs="Arial" w:eastAsia="Arial" w:hAnsi="Arial"/>
          <w:sz w:val="10"/>
          <w:szCs w:val="10"/>
          <w:b w:val="1"/>
          <w:bCs w:val="1"/>
          <w:color w:val="auto"/>
        </w:rPr>
        <w:t>r</w:t>
      </w:r>
      <w:r>
        <w:rPr>
          <w:rFonts w:ascii="Arial" w:cs="Arial" w:eastAsia="Arial" w:hAnsi="Arial"/>
          <w:sz w:val="10"/>
          <w:szCs w:val="10"/>
          <w:color w:val="auto"/>
        </w:rPr>
        <w:t>oceeding,governmentalourbusiness,orothersafinancialctions condition,areimposed,resultsorifofweoperations,donotprevailand inprospectanypos siblecouldcivilbe oradverselycriminal affected. In addition, the U.S. government may seek to hold us liable for successor liability for FCPA violations committed by companies in which we invest or that we acquire. As a general matter, investigations, enforcement actions, and sanctions could harm our reputation,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-533400</wp:posOffset>
            </wp:positionV>
            <wp:extent cx="6732270" cy="9970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31" w:lineRule="exact"/>
        <w:rPr>
          <w:sz w:val="20"/>
          <w:szCs w:val="20"/>
          <w:color w:val="auto"/>
        </w:rPr>
      </w:pPr>
    </w:p>
    <w:p>
      <w:pPr>
        <w:ind w:left="1520" w:right="2100"/>
        <w:spacing w:after="0" w:line="319" w:lineRule="auto"/>
        <w:rPr>
          <w:sz w:val="20"/>
          <w:szCs w:val="20"/>
          <w:color w:val="auto"/>
        </w:rPr>
      </w:pPr>
      <w:r>
        <w:rPr>
          <w:rFonts w:ascii="Arial" w:cs="Arial" w:eastAsia="Arial" w:hAnsi="Arial"/>
          <w:sz w:val="12"/>
          <w:szCs w:val="12"/>
          <w:b w:val="1"/>
          <w:bCs w:val="1"/>
          <w:i w:val="1"/>
          <w:iCs w:val="1"/>
          <w:color w:val="auto"/>
        </w:rPr>
        <w:t>We will face risks associated with the growth of our business with certain heavily regulated industry verticals.</w:t>
      </w:r>
    </w:p>
    <w:p>
      <w:pPr>
        <w:spacing w:after="0" w:line="52" w:lineRule="exact"/>
        <w:rPr>
          <w:sz w:val="20"/>
          <w:szCs w:val="20"/>
          <w:color w:val="auto"/>
        </w:rPr>
      </w:pPr>
    </w:p>
    <w:p>
      <w:pPr>
        <w:ind w:left="1520" w:right="1740" w:firstLine="230"/>
        <w:spacing w:after="0" w:line="272" w:lineRule="auto"/>
        <w:rPr>
          <w:sz w:val="20"/>
          <w:szCs w:val="20"/>
          <w:color w:val="auto"/>
        </w:rPr>
      </w:pPr>
      <w:r>
        <w:rPr>
          <w:rFonts w:ascii="Arial" w:cs="Arial" w:eastAsia="Arial" w:hAnsi="Arial"/>
          <w:sz w:val="12"/>
          <w:szCs w:val="12"/>
          <w:color w:val="auto"/>
        </w:rPr>
        <w:t>We market and sell our offering to customers in heavily regulated industry verticals. As a result, we face additional regulatory scrutiny, risks, and burdens from the governmental entities and agencies which regulate those industries. Selling to and supporting customers in heavily regulated verticals and expanding in those verticals will continue to require significant resources, and there is no guarantee that such efforts will be successful or beneficial to us. If we are unable to successfully maintain or expand our market share in such verticals, or cost-effectively comply with governmental and regulatory requirements applicable to our activities with customers in such verticals, our business, financial condition, and results of operations may be harmed.</w:t>
      </w:r>
    </w:p>
    <w:p>
      <w:pPr>
        <w:spacing w:after="0" w:line="90" w:lineRule="exact"/>
        <w:rPr>
          <w:sz w:val="20"/>
          <w:szCs w:val="20"/>
          <w:color w:val="auto"/>
        </w:rPr>
      </w:pPr>
    </w:p>
    <w:p>
      <w:pPr>
        <w:ind w:left="1520"/>
        <w:spacing w:after="0"/>
        <w:rPr>
          <w:sz w:val="20"/>
          <w:szCs w:val="20"/>
          <w:color w:val="auto"/>
        </w:rPr>
      </w:pPr>
      <w:r>
        <w:rPr>
          <w:rFonts w:ascii="Arial" w:cs="Arial" w:eastAsia="Arial" w:hAnsi="Arial"/>
          <w:sz w:val="12"/>
          <w:szCs w:val="12"/>
          <w:b w:val="1"/>
          <w:bCs w:val="1"/>
          <w:i w:val="1"/>
          <w:iCs w:val="1"/>
          <w:color w:val="auto"/>
        </w:rPr>
        <w:t>Any future litigation against us could be costly and time-consuming to defend.</w:t>
      </w:r>
    </w:p>
    <w:p>
      <w:pPr>
        <w:spacing w:after="0" w:line="128"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In addition to intellectual property litigation, we have in the past and may in the future become subject to legal proceedings and claims or regulatory inquiries or proceedings that arise in the ordinary course of business, such as claims brought by our customers in connection with commercial disputes, employment claims made by our current or former employees, or claims for reimbursement following misappropriation of customer data.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reducing our results of operations and leading analysts or potential investors to reduce their expectations of our performance, which could reduce the trading price of our Class A common stock. Litigation might result in substantial costs and may divert management’s attention and resources, which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Risks Related to Tax Matters</w:t>
      </w:r>
    </w:p>
    <w:p>
      <w:pPr>
        <w:spacing w:after="0" w:line="132" w:lineRule="exact"/>
        <w:rPr>
          <w:sz w:val="20"/>
          <w:szCs w:val="20"/>
          <w:color w:val="auto"/>
        </w:rPr>
      </w:pPr>
    </w:p>
    <w:p>
      <w:pPr>
        <w:ind w:left="1520"/>
        <w:spacing w:after="0"/>
        <w:rPr>
          <w:sz w:val="20"/>
          <w:szCs w:val="20"/>
          <w:color w:val="auto"/>
        </w:rPr>
      </w:pPr>
      <w:r>
        <w:rPr>
          <w:rFonts w:ascii="Arial" w:cs="Arial" w:eastAsia="Arial" w:hAnsi="Arial"/>
          <w:sz w:val="12"/>
          <w:szCs w:val="12"/>
          <w:b w:val="1"/>
          <w:bCs w:val="1"/>
          <w:i w:val="1"/>
          <w:iCs w:val="1"/>
          <w:color w:val="auto"/>
        </w:rPr>
        <w:t>We could be subject to additional tax liabilities as a result of changes in tax laws.</w:t>
      </w:r>
    </w:p>
    <w:p>
      <w:pPr>
        <w:spacing w:after="0" w:line="128" w:lineRule="exact"/>
        <w:rPr>
          <w:sz w:val="20"/>
          <w:szCs w:val="20"/>
          <w:color w:val="auto"/>
        </w:rPr>
      </w:pPr>
    </w:p>
    <w:p>
      <w:pPr>
        <w:ind w:left="1520" w:right="1780" w:firstLine="230"/>
        <w:spacing w:after="0" w:line="273" w:lineRule="auto"/>
        <w:rPr>
          <w:sz w:val="20"/>
          <w:szCs w:val="20"/>
          <w:color w:val="auto"/>
        </w:rPr>
      </w:pPr>
      <w:r>
        <w:rPr>
          <w:rFonts w:ascii="Arial" w:cs="Arial" w:eastAsia="Arial" w:hAnsi="Arial"/>
          <w:sz w:val="12"/>
          <w:szCs w:val="12"/>
          <w:color w:val="auto"/>
        </w:rPr>
        <w:t>We are subject to U.S. federal, state, and local income, sales, and other taxes in the United States, as well as foreign income, withholding, and value-added taxes, and other indirect taxes in numerous foreign jurisdictions. Significant judgment is required in evaluating our tax positions and our worldwide provision for income taxes. During the ordinary course of business, there are many activities and transactions for which the ultimate tax determination is uncertain. In addition, our future income tax obligations could be adversely affected by changes in, or interpretations of, tax laws in the United States or in other jurisdictions in which we operate.</w:t>
      </w:r>
    </w:p>
    <w:p>
      <w:pPr>
        <w:spacing w:after="0" w:line="88" w:lineRule="exact"/>
        <w:rPr>
          <w:sz w:val="20"/>
          <w:szCs w:val="20"/>
          <w:color w:val="auto"/>
        </w:rPr>
      </w:pPr>
    </w:p>
    <w:p>
      <w:pPr>
        <w:ind w:left="1520" w:right="1720" w:firstLine="230"/>
        <w:spacing w:after="0" w:line="269" w:lineRule="auto"/>
        <w:rPr>
          <w:sz w:val="20"/>
          <w:szCs w:val="20"/>
          <w:color w:val="auto"/>
        </w:rPr>
      </w:pPr>
      <w:r>
        <w:rPr>
          <w:rFonts w:ascii="Arial" w:cs="Arial" w:eastAsia="Arial" w:hAnsi="Arial"/>
          <w:sz w:val="12"/>
          <w:szCs w:val="12"/>
          <w:color w:val="auto"/>
        </w:rPr>
        <w:t>In addition, the tax regimes we are subject to or operate under are unsettled and may be subject to significant change, which may become increasingly challenging as we expand our operations globally. Changes in tax laws, issuance of new tax rulings, or changes in interpretations of existing laws could cause us to be subject to additional income-based and non-income-based taxes, including payroll, sales, use, value-added, digital, net worth, property, and goods and services taxes, which could adversely affect our results of operations and financial condition. In particular, the U.S. government recently enacted legislation commonly referred to as the One Big Beautiful Bill Act which, along with other recent U.S. federal tax reform legislation, has resulted in significant changes to the taxation of business entities including, among other changes, the imposition of minimum taxes or surtaxes on certain types of income, changes to the taxation of income derived from international operations, changes in the deduction and amortization of research and development expenditures, and limitations on the deductibility of business interest. In 2022, the Inflation Reduction Act was signed into law in the United States, which enacted, among other changes, a minimum tax on certain corporations with book income of at least $1 billion, subject to certain adjustments, and a 1% excise tax on certain stock buybacks and similar corporate actions. The issuance of additional regulatory or accounting guidance related to these and any future changes in tax law could significantly affect our tax obligations and effective tax rate in the period issued.</w:t>
      </w:r>
    </w:p>
    <w:p>
      <w:pPr>
        <w:spacing w:after="0" w:line="90" w:lineRule="exact"/>
        <w:rPr>
          <w:sz w:val="20"/>
          <w:szCs w:val="20"/>
          <w:color w:val="auto"/>
        </w:rPr>
      </w:pPr>
    </w:p>
    <w:p>
      <w:pPr>
        <w:ind w:left="1520" w:right="1720" w:firstLine="230"/>
        <w:spacing w:after="0" w:line="270" w:lineRule="auto"/>
        <w:rPr>
          <w:sz w:val="20"/>
          <w:szCs w:val="20"/>
          <w:color w:val="auto"/>
        </w:rPr>
      </w:pPr>
      <w:r>
        <w:rPr>
          <w:rFonts w:ascii="Arial" w:cs="Arial" w:eastAsia="Arial" w:hAnsi="Arial"/>
          <w:sz w:val="12"/>
          <w:szCs w:val="12"/>
          <w:color w:val="auto"/>
        </w:rPr>
        <w:t>In addition, our tax obligations and effective tax rate in the countries where we do business could increase as a result of international tax developments, including the implementation of certain initiatives led by the Organization for Economic Cooperation and Development, or the OECD, and the European Commission. For example, the OECD has been leading multilateral efforts on proposals, commonly referred to as “BEPS 2.0”, which involve the reallocation of taxing rights in respect of certain multinational enterprises above a fixed profit margin to the jurisdictions in which they carry on business (referred to as “Pillar One”) and the imposition of a minimum effective corporate tax rate (referred to as “Pillar Two”). A number of countries in which we conduct business have enacted, or are in the process of enacting, core elements of the Pillar Two rules. Based on our understanding of the applicable minimum revenue thresholds, we currently expect that we do not fall within the scope of either Pillar One or Pillar Two rules. However, if we become subject to the Pillar Two rules in the future, it could increase our overall tax obligations and result in additional compliance costs.</w:t>
      </w:r>
    </w:p>
    <w:p>
      <w:pPr>
        <w:spacing w:after="0" w:line="89" w:lineRule="exact"/>
        <w:rPr>
          <w:sz w:val="20"/>
          <w:szCs w:val="20"/>
          <w:color w:val="auto"/>
        </w:rPr>
      </w:pPr>
    </w:p>
    <w:p>
      <w:pPr>
        <w:ind w:left="1520" w:right="1680" w:firstLine="230"/>
        <w:spacing w:after="0" w:line="277" w:lineRule="auto"/>
        <w:rPr>
          <w:sz w:val="20"/>
          <w:szCs w:val="20"/>
          <w:color w:val="auto"/>
        </w:rPr>
      </w:pPr>
      <w:r>
        <w:rPr>
          <w:rFonts w:ascii="Arial" w:cs="Arial" w:eastAsia="Arial" w:hAnsi="Arial"/>
          <w:sz w:val="12"/>
          <w:szCs w:val="12"/>
          <w:color w:val="auto"/>
        </w:rPr>
        <w:t>Due to expansion of our international business activities, any changes in the U.S. taxation and foreign taxation of our cross-border activities may increase our worldwide effective tax rate and adversely affect our results of operations and financial condition. The enactment of legislation implementing changes in the U.S. taxation of international business activities or the adoption of other tax reform policies globally could adversely affect our business, financial condition, results of operations, and prospects.</w:t>
      </w:r>
    </w:p>
    <w:p>
      <w:pPr>
        <w:spacing w:after="0" w:line="86" w:lineRule="exact"/>
        <w:rPr>
          <w:sz w:val="20"/>
          <w:szCs w:val="20"/>
          <w:color w:val="auto"/>
        </w:rPr>
      </w:pPr>
    </w:p>
    <w:p>
      <w:pPr>
        <w:ind w:left="1520" w:right="1980"/>
        <w:spacing w:after="0" w:line="319" w:lineRule="auto"/>
        <w:rPr>
          <w:sz w:val="20"/>
          <w:szCs w:val="20"/>
          <w:color w:val="auto"/>
        </w:rPr>
      </w:pPr>
      <w:r>
        <w:rPr>
          <w:rFonts w:ascii="Arial" w:cs="Arial" w:eastAsia="Arial" w:hAnsi="Arial"/>
          <w:sz w:val="12"/>
          <w:szCs w:val="12"/>
          <w:b w:val="1"/>
          <w:bCs w:val="1"/>
          <w:i w:val="1"/>
          <w:iCs w:val="1"/>
          <w:color w:val="auto"/>
        </w:rPr>
        <w:t>Our ability to use our net operating loss carryforwards to offset future taxable income may be subject to certain limitations.</w:t>
      </w:r>
    </w:p>
    <w:p>
      <w:pPr>
        <w:spacing w:after="0" w:line="52" w:lineRule="exact"/>
        <w:rPr>
          <w:sz w:val="20"/>
          <w:szCs w:val="20"/>
          <w:color w:val="auto"/>
        </w:rPr>
      </w:pPr>
    </w:p>
    <w:p>
      <w:pPr>
        <w:ind w:left="1520" w:right="1760" w:firstLine="230"/>
        <w:spacing w:after="0" w:line="281" w:lineRule="auto"/>
        <w:rPr>
          <w:sz w:val="20"/>
          <w:szCs w:val="20"/>
          <w:color w:val="auto"/>
        </w:rPr>
      </w:pPr>
      <w:r>
        <w:rPr>
          <w:rFonts w:ascii="Arial" w:cs="Arial" w:eastAsia="Arial" w:hAnsi="Arial"/>
          <w:sz w:val="12"/>
          <w:szCs w:val="12"/>
          <w:color w:val="auto"/>
        </w:rPr>
        <w:t>As of January 31, 2025, we had net operating loss, or NOL, carryforwards of approximately $805.0 million, $628.6 million and $20.0 million for federal, state, and foreign tax purposes, respectively, that are available to reduce future taxable income. Under current U.S. federal income tax law, our NOLs generated in tax years beginning before January 1, 2018 will begin expiring in 2036, and our NOLs</w:t>
      </w:r>
    </w:p>
    <w:p>
      <w:pPr>
        <w:sectPr>
          <w:pgSz w:w="11900" w:h="16840" w:orient="portrait"/>
          <w:cols w:equalWidth="0" w:num="1">
            <w:col w:w="9020"/>
          </w:cols>
          <w:pgMar w:left="1440" w:top="560" w:right="1440" w:bottom="27" w:gutter="0" w:footer="0" w:header="0"/>
        </w:sectPr>
      </w:pPr>
    </w:p>
    <w:bookmarkStart w:id="48" w:name="page49"/>
    <w:bookmarkEnd w:id="48"/>
    <w:p>
      <w:pPr>
        <w:jc w:val="center"/>
        <w:ind w:right="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00"/>
        <w:spacing w:after="0" w:line="269" w:lineRule="auto"/>
        <w:rPr>
          <w:sz w:val="20"/>
          <w:szCs w:val="20"/>
          <w:color w:val="auto"/>
        </w:rPr>
      </w:pPr>
      <w:r>
        <w:rPr>
          <w:rFonts w:ascii="Arial" w:cs="Arial" w:eastAsia="Arial" w:hAnsi="Arial"/>
          <w:sz w:val="12"/>
          <w:szCs w:val="12"/>
          <w:color w:val="auto"/>
        </w:rPr>
        <w:t>generated in tax years beginning after December 31, 2017 may be carried forward indefinitely, but utilization of such post-2017 NOLs that are carried forward to taxable years beginning after December 31, 2020 is limited to a maximum of 80% of the taxable income for such year determined without regard to such carryforwards. Our state NOL carryforwards will begin to expire in 2036. Our foreign NOLs will carryforward indefinitely. As of January 31, 2025, we had available research and development tax credit carryforwards of approximately $15.5 million and $11.1 million for federal and state tax purposes, respectively. If not utilized, our federal tax credits will expire at various dates beginning in 2036. Our state tax credits do not expire and will carry forward indefinitely. Also, for state income tax purposes, the extent to which states will conform to the U.S. federal income tax laws is uncertain and there may be periods during which the use of NOL carryforwards is suspended or otherwise limited, which could accelerate or permanently increase state taxes owed. For example, California has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 Any such limitations could harm our business, results of operations, financial condition or prospects .</w:t>
      </w:r>
    </w:p>
    <w:p>
      <w:pPr>
        <w:spacing w:after="0" w:line="91" w:lineRule="exact"/>
        <w:rPr>
          <w:sz w:val="20"/>
          <w:szCs w:val="20"/>
          <w:color w:val="auto"/>
        </w:rPr>
      </w:pPr>
    </w:p>
    <w:p>
      <w:pPr>
        <w:ind w:left="1520" w:right="1740" w:firstLine="230"/>
        <w:spacing w:after="0" w:line="272" w:lineRule="auto"/>
        <w:rPr>
          <w:sz w:val="20"/>
          <w:szCs w:val="20"/>
          <w:color w:val="auto"/>
        </w:rPr>
      </w:pPr>
      <w:r>
        <w:rPr>
          <w:rFonts w:ascii="Arial" w:cs="Arial" w:eastAsia="Arial" w:hAnsi="Arial"/>
          <w:sz w:val="12"/>
          <w:szCs w:val="12"/>
          <w:color w:val="auto"/>
        </w:rPr>
        <w:t>In addition, under Sections 382 and 383 of the Code, a corporation that undergoes an “ownership change,” generally defined as a greater-than-50-percentage-point change (by value) in its equity ownership by certain stockholders over a three-year period, is subject to limitations on its ability to utilize its pre-change NOLs and other tax attributes such as research tax credits to offset future taxable income or income tax. We have identified certain ownership changes since our inception but do not believe that these changes resulted in any limitations on our ability to use our NOL carryforwards and tax credit carryforwards. We may have experienced additional ownership changes that have not yet been identified that could result in the expiration of our NOL carryforwards and tax credit carryforwards before utilization.</w:t>
      </w:r>
    </w:p>
    <w:p>
      <w:pPr>
        <w:spacing w:after="0" w:line="88" w:lineRule="exact"/>
        <w:rPr>
          <w:sz w:val="20"/>
          <w:szCs w:val="20"/>
          <w:color w:val="auto"/>
        </w:rPr>
      </w:pPr>
    </w:p>
    <w:p>
      <w:pPr>
        <w:jc w:val="both"/>
        <w:ind w:left="1520" w:right="1820" w:firstLine="230"/>
        <w:spacing w:after="0" w:line="272" w:lineRule="auto"/>
        <w:rPr>
          <w:sz w:val="20"/>
          <w:szCs w:val="20"/>
          <w:color w:val="auto"/>
        </w:rPr>
      </w:pPr>
      <w:r>
        <w:rPr>
          <w:rFonts w:ascii="Arial" w:cs="Arial" w:eastAsia="Arial" w:hAnsi="Arial"/>
          <w:sz w:val="12"/>
          <w:szCs w:val="12"/>
          <w:color w:val="auto"/>
        </w:rPr>
        <w:t>In addition, we may experience ownership changes as a result of this offering or future offerings or other changes in the ownership of our stock. Future changes in our stock ownership, many of which are outside of our control, could result in an ownership change under Sections 382 or 383 of the Code.</w:t>
      </w:r>
    </w:p>
    <w:p>
      <w:pPr>
        <w:spacing w:after="0" w:line="2" w:lineRule="exact"/>
        <w:rPr>
          <w:sz w:val="20"/>
          <w:szCs w:val="20"/>
          <w:color w:val="auto"/>
        </w:rPr>
      </w:pPr>
    </w:p>
    <w:p>
      <w:pPr>
        <w:ind w:left="1520" w:right="1740"/>
        <w:spacing w:after="0" w:line="272" w:lineRule="auto"/>
        <w:rPr>
          <w:sz w:val="20"/>
          <w:szCs w:val="20"/>
          <w:color w:val="auto"/>
        </w:rPr>
      </w:pPr>
      <w:r>
        <w:rPr>
          <w:rFonts w:ascii="Arial" w:cs="Arial" w:eastAsia="Arial" w:hAnsi="Arial"/>
          <w:sz w:val="12"/>
          <w:szCs w:val="12"/>
          <w:color w:val="auto"/>
        </w:rPr>
        <w:t>Furthermore, our ability to utilize NOLs of companies that we may acquire in the future may be subject to limitations. For these reasons, we may not be able to utilize a significant portion of the NOLs, even if we were to achieve profitability. In addition, any future changes in tax laws could impact our ability to utilize NOLs in future years and may result in greater tax liabilities than we would otherwise incur and adversely affect our cash flows and financial position.</w:t>
      </w:r>
    </w:p>
    <w:p>
      <w:pPr>
        <w:spacing w:after="0" w:line="89" w:lineRule="exact"/>
        <w:rPr>
          <w:sz w:val="20"/>
          <w:szCs w:val="20"/>
          <w:color w:val="auto"/>
        </w:rPr>
      </w:pPr>
    </w:p>
    <w:p>
      <w:pPr>
        <w:jc w:val="both"/>
        <w:ind w:left="1520" w:right="1680"/>
        <w:spacing w:after="0" w:line="292" w:lineRule="auto"/>
        <w:rPr>
          <w:sz w:val="20"/>
          <w:szCs w:val="20"/>
          <w:color w:val="auto"/>
        </w:rPr>
      </w:pPr>
      <w:r>
        <w:rPr>
          <w:rFonts w:ascii="Arial" w:cs="Arial" w:eastAsia="Arial" w:hAnsi="Arial"/>
          <w:sz w:val="12"/>
          <w:szCs w:val="12"/>
          <w:b w:val="1"/>
          <w:bCs w:val="1"/>
          <w:i w:val="1"/>
          <w:iCs w:val="1"/>
          <w:color w:val="auto"/>
        </w:rPr>
        <w:t>Our operating results may be negatively affected if we are required to pay additional sales and use tax, value added tax, or other transaction taxes, and we could be subject to liability with respect to all or a portion of past or future sales.</w:t>
      </w:r>
    </w:p>
    <w:p>
      <w:pPr>
        <w:spacing w:after="0" w:line="68" w:lineRule="exact"/>
        <w:rPr>
          <w:sz w:val="20"/>
          <w:szCs w:val="20"/>
          <w:color w:val="auto"/>
        </w:rPr>
      </w:pPr>
    </w:p>
    <w:p>
      <w:pPr>
        <w:ind w:left="1520" w:right="1680" w:firstLine="230"/>
        <w:spacing w:after="0" w:line="277" w:lineRule="auto"/>
        <w:rPr>
          <w:sz w:val="20"/>
          <w:szCs w:val="20"/>
          <w:color w:val="auto"/>
        </w:rPr>
      </w:pPr>
      <w:r>
        <w:rPr>
          <w:rFonts w:ascii="Arial" w:cs="Arial" w:eastAsia="Arial" w:hAnsi="Arial"/>
          <w:sz w:val="12"/>
          <w:szCs w:val="12"/>
          <w:color w:val="auto"/>
        </w:rPr>
        <w:t>The application of U.S. federal, state, local, and foreign tax laws to our business, or any potential changes in our business model, is unclear and continually evolving. New tax laws, statutes, rules, regulations, or ordinances could be enacted at any time (possibly with retroactive effect) and could be applied solely or disproportionately to our business model or could otherwise negatively impact our results of operations and financial condition.</w:t>
      </w:r>
    </w:p>
    <w:p>
      <w:pPr>
        <w:spacing w:after="0" w:line="84"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 A successful assertion that we are required to pay additional taxes in connection with sales of our products and solutions, or the imposition of new laws or regulations or the interpretation of existing laws and regulations requiring the payment of additional taxes, would result in increased costs and administrative burdens for us. If we are subject to additional taxes and decide to offset such increased costs by collecting and remitting such taxes from our customers, or otherwise passing those costs through to our customers, our customers may be discouraged from purchasing our products and solutions. Any increased tax burden may decrease our</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840"/>
        <w:spacing w:after="0" w:line="289" w:lineRule="auto"/>
        <w:rPr>
          <w:sz w:val="20"/>
          <w:szCs w:val="20"/>
          <w:color w:val="auto"/>
        </w:rPr>
      </w:pPr>
      <w:r>
        <w:rPr>
          <w:rFonts w:ascii="Arial" w:cs="Arial" w:eastAsia="Arial" w:hAnsi="Arial"/>
          <w:sz w:val="12"/>
          <w:szCs w:val="12"/>
          <w:color w:val="auto"/>
        </w:rPr>
        <w:t>ability or willingness to compete in relatively burdensome tax jurisdictions, result in substantial tax liabilities related to past or future sales, or otherwise seriously harm our business, results of operations, financial condition or prospects.</w:t>
      </w:r>
    </w:p>
    <w:p>
      <w:pPr>
        <w:spacing w:after="0" w:line="78" w:lineRule="exact"/>
        <w:rPr>
          <w:sz w:val="20"/>
          <w:szCs w:val="20"/>
          <w:color w:val="auto"/>
        </w:rPr>
      </w:pPr>
    </w:p>
    <w:p>
      <w:pPr>
        <w:ind w:left="1520" w:right="1760"/>
        <w:spacing w:after="0" w:line="292" w:lineRule="auto"/>
        <w:rPr>
          <w:sz w:val="20"/>
          <w:szCs w:val="20"/>
          <w:color w:val="auto"/>
        </w:rPr>
      </w:pPr>
      <w:r>
        <w:rPr>
          <w:rFonts w:ascii="Arial" w:cs="Arial" w:eastAsia="Arial" w:hAnsi="Arial"/>
          <w:sz w:val="12"/>
          <w:szCs w:val="12"/>
          <w:b w:val="1"/>
          <w:bCs w:val="1"/>
          <w:i w:val="1"/>
          <w:iCs w:val="1"/>
          <w:color w:val="auto"/>
        </w:rPr>
        <w:t>Our corporate structure and intercompany arrangements are subject to the tax laws of various jurisdictions, and we could be obligated to pay additional taxes, which could adversely affect our business, financial condition, results of operations, and prospects.</w:t>
      </w:r>
    </w:p>
    <w:p>
      <w:pPr>
        <w:spacing w:after="0" w:line="68" w:lineRule="exact"/>
        <w:rPr>
          <w:sz w:val="20"/>
          <w:szCs w:val="20"/>
          <w:color w:val="auto"/>
        </w:rPr>
      </w:pPr>
    </w:p>
    <w:p>
      <w:pPr>
        <w:ind w:left="1520" w:right="1680" w:firstLine="230"/>
        <w:spacing w:after="0" w:line="269" w:lineRule="auto"/>
        <w:rPr>
          <w:sz w:val="20"/>
          <w:szCs w:val="20"/>
          <w:color w:val="auto"/>
        </w:rPr>
      </w:pPr>
      <w:r>
        <w:rPr>
          <w:rFonts w:ascii="Arial" w:cs="Arial" w:eastAsia="Arial" w:hAnsi="Arial"/>
          <w:sz w:val="12"/>
          <w:szCs w:val="12"/>
          <w:color w:val="auto"/>
        </w:rPr>
        <w:t>We are continuing to expand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transfer-pricing regulations administered by taxing authorities in various jurisdictions in which we operate with potentially divergent tax laws. The amount of taxes we pay in different jurisdictions will depend on the application of the tax laws of the various jurisdictions, including the United States, to our international business activities, changes in tax rates, new or revised tax laws or interpretations of existing tax laws and policies by taxing authorities and courts in various jurisdictions, and our ability to operate our business in a manner consistent with our corporate structure and intercompany arrangements then in effect. It is not uncommon for tax authorities in different countries to have conflicting views, for instance, with respect to, among other things, the manner in which the arm’s length standard is applied for transfer pricing purposes, the transfer-pricing and charges for intercompany services and other transactions, or with respect to the valuation of intellectual property. If taxing authorities in any of the jurisdictions in which we conduct our international operations were to successfully challenge our transfer pricing, we could be</w:t>
      </w:r>
    </w:p>
    <w:p>
      <w:pPr>
        <w:sectPr>
          <w:pgSz w:w="11900" w:h="16840" w:orient="portrait"/>
          <w:cols w:equalWidth="0" w:num="1">
            <w:col w:w="9020"/>
          </w:cols>
          <w:pgMar w:left="1440" w:top="895" w:right="1440" w:bottom="47" w:gutter="0" w:footer="0" w:header="0"/>
        </w:sectPr>
      </w:pPr>
    </w:p>
    <w:bookmarkStart w:id="49" w:name="page50"/>
    <w:bookmarkEnd w:id="49"/>
    <w:p>
      <w:pPr>
        <w:ind w:left="1520" w:right="1720"/>
        <w:spacing w:after="0" w:line="226" w:lineRule="auto"/>
        <w:rPr>
          <w:sz w:val="20"/>
          <w:szCs w:val="20"/>
          <w:color w:val="auto"/>
        </w:rPr>
      </w:pPr>
      <w:r>
        <w:rPr>
          <w:rFonts w:ascii="Arial" w:cs="Arial" w:eastAsia="Arial" w:hAnsi="Arial"/>
          <w:sz w:val="12"/>
          <w:szCs w:val="12"/>
          <w:color w:val="auto"/>
        </w:rPr>
        <w:t>required to reallocate part or all of our income to reflect transfer-pricing adjustments, which could result in an increased tax liability to us. In such circumstances, if the country from which the income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-158115</wp:posOffset>
            </wp:positionV>
            <wp:extent cx="6732270" cy="9970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920"/>
        <w:spacing w:after="0" w:line="292" w:lineRule="auto"/>
        <w:rPr>
          <w:sz w:val="20"/>
          <w:szCs w:val="20"/>
          <w:color w:val="auto"/>
        </w:rPr>
      </w:pPr>
      <w:r>
        <w:rPr>
          <w:rFonts w:ascii="Arial" w:cs="Arial" w:eastAsia="Arial" w:hAnsi="Arial"/>
          <w:sz w:val="12"/>
          <w:szCs w:val="12"/>
          <w:color w:val="auto"/>
        </w:rPr>
        <w:t>reallocated does not agree to the reallocation, we could become subject to tax on the same income in both countries, resulting in double taxation.</w:t>
      </w:r>
    </w:p>
    <w:p>
      <w:pPr>
        <w:spacing w:after="0" w:line="74" w:lineRule="exact"/>
        <w:rPr>
          <w:sz w:val="20"/>
          <w:szCs w:val="20"/>
          <w:color w:val="auto"/>
        </w:rPr>
      </w:pPr>
    </w:p>
    <w:p>
      <w:pPr>
        <w:ind w:left="1520" w:right="1780" w:firstLine="230"/>
        <w:spacing w:after="0" w:line="273" w:lineRule="auto"/>
        <w:rPr>
          <w:sz w:val="20"/>
          <w:szCs w:val="20"/>
          <w:color w:val="auto"/>
        </w:rPr>
      </w:pPr>
      <w:r>
        <w:rPr>
          <w:rFonts w:ascii="Arial" w:cs="Arial" w:eastAsia="Arial" w:hAnsi="Arial"/>
          <w:sz w:val="12"/>
          <w:szCs w:val="12"/>
          <w:color w:val="auto"/>
        </w:rPr>
        <w:t>In addition, we have been and may continue to be audited in various foreign jurisdictions, and such jurisdictions, including jurisdictions in which we are not currently filing, may assess new or additional taxes, sales taxes and value added taxes against us. Although we believe our tax estimates are reasonable, the final determination of any tax audits or litigation could be significantly different from our historical tax provisions and accruals, which could have an adverse effect on our results of operations or cash flows in the period or periods for which a determination is made, and could significantly harm our business, financial condition, results of operations, and prospects.</w:t>
      </w:r>
    </w:p>
    <w:p>
      <w:pPr>
        <w:spacing w:after="0" w:line="90" w:lineRule="exact"/>
        <w:rPr>
          <w:sz w:val="20"/>
          <w:szCs w:val="20"/>
          <w:color w:val="auto"/>
        </w:rPr>
      </w:pPr>
    </w:p>
    <w:p>
      <w:pPr>
        <w:ind w:left="1520"/>
        <w:spacing w:after="0"/>
        <w:rPr>
          <w:sz w:val="20"/>
          <w:szCs w:val="20"/>
          <w:color w:val="auto"/>
        </w:rPr>
      </w:pPr>
      <w:r>
        <w:rPr>
          <w:rFonts w:ascii="Arial" w:cs="Arial" w:eastAsia="Arial" w:hAnsi="Arial"/>
          <w:sz w:val="12"/>
          <w:szCs w:val="12"/>
          <w:b w:val="1"/>
          <w:bCs w:val="1"/>
          <w:i w:val="1"/>
          <w:iCs w:val="1"/>
          <w:color w:val="auto"/>
        </w:rPr>
        <w:t>Changes in our effective tax rate or tax liability may adversely affect our results of operations.</w:t>
      </w:r>
    </w:p>
    <w:p>
      <w:pPr>
        <w:spacing w:after="0" w:line="12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Our effective tax rate could increase due to several factors, including:</w:t>
      </w:r>
    </w:p>
    <w:p>
      <w:pPr>
        <w:spacing w:after="0" w:line="130" w:lineRule="exact"/>
        <w:rPr>
          <w:sz w:val="20"/>
          <w:szCs w:val="20"/>
          <w:color w:val="auto"/>
        </w:rPr>
      </w:pPr>
    </w:p>
    <w:p>
      <w:pPr>
        <w:ind w:left="1980" w:right="2000" w:hanging="228"/>
        <w:spacing w:after="0" w:line="312" w:lineRule="auto"/>
        <w:tabs>
          <w:tab w:leader="none" w:pos="19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changes in the relative amounts of income before taxes in the various U.S. and international jurisdictions in which we operate due to differing statutory tax rates in various jurisdictions;</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changes in tax laws, tax treaties, and regulations or the interpretation of them;</w:t>
      </w:r>
    </w:p>
    <w:p>
      <w:pPr>
        <w:spacing w:after="0" w:line="129" w:lineRule="exact"/>
        <w:rPr>
          <w:rFonts w:ascii="Arial" w:cs="Arial" w:eastAsia="Arial" w:hAnsi="Arial"/>
          <w:sz w:val="12"/>
          <w:szCs w:val="12"/>
          <w:color w:val="auto"/>
        </w:rPr>
      </w:pPr>
    </w:p>
    <w:p>
      <w:pPr>
        <w:ind w:left="1980" w:right="1900" w:hanging="228"/>
        <w:spacing w:after="0" w:line="312" w:lineRule="auto"/>
        <w:tabs>
          <w:tab w:leader="none" w:pos="19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changes in our international operations, corporate structure, business model, or intercompany arrangements;</w:t>
      </w:r>
    </w:p>
    <w:p>
      <w:pPr>
        <w:spacing w:after="0" w:line="62" w:lineRule="exact"/>
        <w:rPr>
          <w:rFonts w:ascii="Arial" w:cs="Arial" w:eastAsia="Arial" w:hAnsi="Arial"/>
          <w:sz w:val="12"/>
          <w:szCs w:val="12"/>
          <w:color w:val="auto"/>
        </w:rPr>
      </w:pPr>
    </w:p>
    <w:p>
      <w:pPr>
        <w:ind w:left="1980" w:right="1760" w:hanging="228"/>
        <w:spacing w:after="0" w:line="289" w:lineRule="auto"/>
        <w:tabs>
          <w:tab w:leader="none" w:pos="19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changes to our assessment about our ability to realize our deferred tax assets that are based on estimates of our future results, the prudence and feasibility of possible tax-planning strategies, and the economic and political environments in which we do business;</w:t>
      </w:r>
    </w:p>
    <w:p>
      <w:pPr>
        <w:spacing w:after="0" w:line="75" w:lineRule="exact"/>
        <w:rPr>
          <w:rFonts w:ascii="Arial" w:cs="Arial" w:eastAsia="Arial" w:hAnsi="Arial"/>
          <w:sz w:val="12"/>
          <w:szCs w:val="12"/>
          <w:color w:val="auto"/>
        </w:rPr>
      </w:pPr>
    </w:p>
    <w:p>
      <w:pPr>
        <w:ind w:left="1980" w:hanging="228"/>
        <w:spacing w:after="0"/>
        <w:tabs>
          <w:tab w:leader="none" w:pos="19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outcome of current and future tax audits, examinations, or administrative appeals; and</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limitations or adverse findings regarding our ability to do business in some jurisdictions.</w:t>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2160" w:firstLine="230"/>
        <w:spacing w:after="0" w:line="312" w:lineRule="auto"/>
        <w:rPr>
          <w:sz w:val="20"/>
          <w:szCs w:val="20"/>
          <w:color w:val="auto"/>
        </w:rPr>
      </w:pPr>
      <w:r>
        <w:rPr>
          <w:rFonts w:ascii="Arial" w:cs="Arial" w:eastAsia="Arial" w:hAnsi="Arial"/>
          <w:sz w:val="12"/>
          <w:szCs w:val="12"/>
          <w:color w:val="auto"/>
        </w:rPr>
        <w:t>Any of these developments could adversely affect our business, financial condition, results of operations, and prospects.</w:t>
      </w:r>
    </w:p>
    <w:p>
      <w:pPr>
        <w:spacing w:after="0" w:line="62"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Risks Related to Financial and Accounting Matters</w:t>
      </w:r>
    </w:p>
    <w:p>
      <w:pPr>
        <w:spacing w:after="0" w:line="132" w:lineRule="exact"/>
        <w:rPr>
          <w:sz w:val="20"/>
          <w:szCs w:val="20"/>
          <w:color w:val="auto"/>
        </w:rPr>
      </w:pPr>
    </w:p>
    <w:p>
      <w:pPr>
        <w:jc w:val="both"/>
        <w:ind w:left="1520" w:right="1760"/>
        <w:spacing w:after="0" w:line="292" w:lineRule="auto"/>
        <w:rPr>
          <w:sz w:val="20"/>
          <w:szCs w:val="20"/>
          <w:color w:val="auto"/>
        </w:rPr>
      </w:pPr>
      <w:r>
        <w:rPr>
          <w:rFonts w:ascii="Arial" w:cs="Arial" w:eastAsia="Arial" w:hAnsi="Arial"/>
          <w:sz w:val="12"/>
          <w:szCs w:val="12"/>
          <w:b w:val="1"/>
          <w:bCs w:val="1"/>
          <w:i w:val="1"/>
          <w:iCs w:val="1"/>
          <w:color w:val="auto"/>
        </w:rPr>
        <w:t>If our estimates or judgments relating to our critical accounting policies prove to be incorrect or financial reporting standards or interpretations change, our business, financial condition, results of operations, and prospects could be adversely affected.</w:t>
      </w:r>
    </w:p>
    <w:p>
      <w:pPr>
        <w:spacing w:after="0" w:line="68" w:lineRule="exact"/>
        <w:rPr>
          <w:sz w:val="20"/>
          <w:szCs w:val="20"/>
          <w:color w:val="auto"/>
        </w:rPr>
      </w:pPr>
    </w:p>
    <w:p>
      <w:pPr>
        <w:ind w:left="1520" w:right="1740" w:firstLine="230"/>
        <w:spacing w:after="0" w:line="269" w:lineRule="auto"/>
        <w:rPr>
          <w:sz w:val="20"/>
          <w:szCs w:val="20"/>
          <w:color w:val="auto"/>
        </w:rPr>
      </w:pPr>
      <w:r>
        <w:rPr>
          <w:rFonts w:ascii="Arial" w:cs="Arial" w:eastAsia="Arial" w:hAnsi="Arial"/>
          <w:sz w:val="12"/>
          <w:szCs w:val="12"/>
          <w:color w:val="auto"/>
        </w:rPr>
        <w:t>The preparation of financial statements in conformity with U.S. Generally Accepted Accounting Principles, or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but are not limited to those related to revenue recognition, contract acquisition costs, valuation of embedded derivative liabilities, stock-based compensation, common stock valuations, and business combinations. Additionally, as a result of the current macroeconomic uncertainty, many of management’s estimates and assumptions have required and will continue to require increased judgment and carry a higher degree of variability and volatility. Our business, financial condition, results of operations, and prospects could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88" w:lineRule="exact"/>
        <w:rPr>
          <w:sz w:val="20"/>
          <w:szCs w:val="20"/>
          <w:color w:val="auto"/>
        </w:rPr>
      </w:pPr>
    </w:p>
    <w:p>
      <w:pPr>
        <w:ind w:left="1520" w:right="1680" w:firstLine="230"/>
        <w:spacing w:after="0" w:line="272" w:lineRule="auto"/>
        <w:rPr>
          <w:sz w:val="20"/>
          <w:szCs w:val="20"/>
          <w:color w:val="auto"/>
        </w:rPr>
      </w:pPr>
      <w:r>
        <w:rPr>
          <w:rFonts w:ascii="Arial" w:cs="Arial" w:eastAsia="Arial" w:hAnsi="Arial"/>
          <w:sz w:val="12"/>
          <w:szCs w:val="12"/>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negatively impact our business, financial condition, results of operations, and prospects, or cause an adverse deviation from our revenue and operating profit target, which may negatively impact our results of operations.</w:t>
      </w:r>
    </w:p>
    <w:p>
      <w:pPr>
        <w:spacing w:after="0" w:line="244" w:lineRule="exact"/>
        <w:rPr>
          <w:sz w:val="20"/>
          <w:szCs w:val="20"/>
          <w:color w:val="auto"/>
        </w:rPr>
      </w:pPr>
    </w:p>
    <w:p>
      <w:pPr>
        <w:jc w:val="both"/>
        <w:ind w:left="1520" w:right="1900"/>
        <w:spacing w:after="0" w:line="319" w:lineRule="auto"/>
        <w:rPr>
          <w:sz w:val="20"/>
          <w:szCs w:val="20"/>
          <w:color w:val="auto"/>
        </w:rPr>
      </w:pPr>
      <w:r>
        <w:rPr>
          <w:rFonts w:ascii="Arial" w:cs="Arial" w:eastAsia="Arial" w:hAnsi="Arial"/>
          <w:sz w:val="12"/>
          <w:szCs w:val="12"/>
          <w:b w:val="1"/>
          <w:bCs w:val="1"/>
          <w:i w:val="1"/>
          <w:iCs w:val="1"/>
          <w:color w:val="auto"/>
        </w:rPr>
        <w:t>We are an “emerging growth company” and the reduced disclosure requirements applicable to emerging growth companies may make our Class A common stock less attractive to investors.</w:t>
      </w:r>
    </w:p>
    <w:p>
      <w:pPr>
        <w:spacing w:after="0" w:line="52" w:lineRule="exact"/>
        <w:rPr>
          <w:sz w:val="20"/>
          <w:szCs w:val="20"/>
          <w:color w:val="auto"/>
        </w:rPr>
      </w:pPr>
    </w:p>
    <w:p>
      <w:pPr>
        <w:ind w:left="1520" w:right="1720" w:firstLine="230"/>
        <w:spacing w:after="0" w:line="270" w:lineRule="auto"/>
        <w:rPr>
          <w:sz w:val="20"/>
          <w:szCs w:val="20"/>
          <w:color w:val="auto"/>
        </w:rPr>
      </w:pPr>
      <w:r>
        <w:rPr>
          <w:rFonts w:ascii="Arial" w:cs="Arial" w:eastAsia="Arial" w:hAnsi="Arial"/>
          <w:sz w:val="12"/>
          <w:szCs w:val="12"/>
          <w:color w:val="auto"/>
        </w:rPr>
        <w:t>We are an “emerging growth company” as defined in Section 2(a) of the Securities Act of 1933, as amended, or the Securities Act, as modified by the Jumpstart Our Business Startups Act of 2012, or the JOBS Act. For as long as we continue to be an emerging growth company, we may take advantage of certain exemptions from various reporting requirements that are applicable to other public companies that are not emerging growth companies, including (i) not being required to comply with the independent auditor attestation requirements of the Sarbanes-Oxley Act of 2002, or the Sarbanes-Oxley Act, (ii) reduced disclosure obligations regarding executive compensation in this prospectus and our periodic reports and proxy statements and the required number of years of audited financial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in this prospectus.</w:t>
      </w:r>
    </w:p>
    <w:p>
      <w:pPr>
        <w:spacing w:after="0" w:line="89" w:lineRule="exact"/>
        <w:rPr>
          <w:sz w:val="20"/>
          <w:szCs w:val="20"/>
          <w:color w:val="auto"/>
        </w:rPr>
      </w:pPr>
    </w:p>
    <w:p>
      <w:pPr>
        <w:ind w:left="1520" w:right="1780" w:firstLine="230"/>
        <w:spacing w:after="0" w:line="312" w:lineRule="auto"/>
        <w:rPr>
          <w:sz w:val="20"/>
          <w:szCs w:val="20"/>
          <w:color w:val="auto"/>
        </w:rPr>
      </w:pPr>
      <w:r>
        <w:rPr>
          <w:rFonts w:ascii="Arial" w:cs="Arial" w:eastAsia="Arial" w:hAnsi="Arial"/>
          <w:sz w:val="12"/>
          <w:szCs w:val="12"/>
          <w:color w:val="auto"/>
        </w:rPr>
        <w:t>We could be an emerging growth company for up to five fiscal years following the completion of this offering. However, certain circumstances could cause us to lose that status earlier, including the date on</w:t>
      </w:r>
    </w:p>
    <w:p>
      <w:pPr>
        <w:sectPr>
          <w:pgSz w:w="11900" w:h="16840" w:orient="portrait"/>
          <w:cols w:equalWidth="0" w:num="1">
            <w:col w:w="9020"/>
          </w:cols>
          <w:pgMar w:left="1440" w:top="560" w:right="1440" w:bottom="367" w:gutter="0" w:footer="0" w:header="0"/>
        </w:sect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65</w:t>
      </w:r>
    </w:p>
    <w:p>
      <w:pPr>
        <w:sectPr>
          <w:pgSz w:w="11900" w:h="16840" w:orient="portrait"/>
          <w:cols w:equalWidth="0" w:num="1">
            <w:col w:w="9020"/>
          </w:cols>
          <w:pgMar w:left="1440" w:top="560" w:right="1440" w:bottom="367" w:gutter="0" w:footer="0" w:header="0"/>
          <w:type w:val="continuous"/>
        </w:sectPr>
      </w:pPr>
    </w:p>
    <w:bookmarkStart w:id="50" w:name="page51"/>
    <w:bookmarkEnd w:id="50"/>
    <w:p>
      <w:pPr>
        <w:ind w:left="1520"/>
        <w:spacing w:after="0"/>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00"/>
        <w:spacing w:after="0" w:line="289" w:lineRule="auto"/>
        <w:rPr>
          <w:sz w:val="20"/>
          <w:szCs w:val="20"/>
          <w:color w:val="auto"/>
        </w:rPr>
      </w:pPr>
      <w:r>
        <w:rPr>
          <w:rFonts w:ascii="Arial" w:cs="Arial" w:eastAsia="Arial" w:hAnsi="Arial"/>
          <w:sz w:val="12"/>
          <w:szCs w:val="12"/>
          <w:color w:val="auto"/>
        </w:rPr>
        <w:t>which we are deemed to be a “large accelerated filer,” under applicable SEC rules, if we have total annual gross revenue of $1.235 billion or more, or if we issue more than $1.0 billion in non-convertible debt during any three-year period before that time.</w:t>
      </w:r>
    </w:p>
    <w:p>
      <w:pPr>
        <w:spacing w:after="0" w:line="76" w:lineRule="exact"/>
        <w:rPr>
          <w:sz w:val="20"/>
          <w:szCs w:val="20"/>
          <w:color w:val="auto"/>
        </w:rPr>
      </w:pPr>
    </w:p>
    <w:p>
      <w:pPr>
        <w:ind w:left="1520" w:right="1700" w:firstLine="230"/>
        <w:spacing w:after="0" w:line="277" w:lineRule="auto"/>
        <w:rPr>
          <w:sz w:val="20"/>
          <w:szCs w:val="20"/>
          <w:color w:val="auto"/>
        </w:rPr>
      </w:pPr>
      <w:r>
        <w:rPr>
          <w:rFonts w:ascii="Arial" w:cs="Arial" w:eastAsia="Arial" w:hAnsi="Arial"/>
          <w:sz w:val="12"/>
          <w:szCs w:val="12"/>
          <w:color w:val="auto"/>
        </w:rPr>
        <w:t>Under the JOBS Act, emerging growth companies can also delay adopting new or revised accounting standards until such time as those standards apply to private companies. We have elected to take advantage of the benefits of this extended transition period. Accordingly, our consolidated financial statements may therefore not be comparable to those of companies that comply with such new or revised accounting standards.</w:t>
      </w:r>
    </w:p>
    <w:p>
      <w:pPr>
        <w:spacing w:after="0" w:line="84" w:lineRule="exact"/>
        <w:rPr>
          <w:sz w:val="20"/>
          <w:szCs w:val="20"/>
          <w:color w:val="auto"/>
        </w:rPr>
      </w:pPr>
    </w:p>
    <w:p>
      <w:pPr>
        <w:ind w:left="1520" w:right="1700" w:firstLine="230"/>
        <w:spacing w:after="0" w:line="289" w:lineRule="auto"/>
        <w:rPr>
          <w:sz w:val="20"/>
          <w:szCs w:val="20"/>
          <w:color w:val="auto"/>
        </w:rPr>
      </w:pPr>
      <w:r>
        <w:rPr>
          <w:rFonts w:ascii="Arial" w:cs="Arial" w:eastAsia="Arial" w:hAnsi="Arial"/>
          <w:sz w:val="12"/>
          <w:szCs w:val="12"/>
          <w:color w:val="auto"/>
        </w:rPr>
        <w:t>Investors may find our Class A common stock less attractive because we may rely on certain of these exemptions. If some investors find our common stock less attractive as a result, there may be a less active trading market for our Class A common stock and our price may be more volatile and may decline.</w:t>
      </w:r>
    </w:p>
    <w:p>
      <w:pPr>
        <w:spacing w:after="0" w:line="78" w:lineRule="exact"/>
        <w:rPr>
          <w:sz w:val="20"/>
          <w:szCs w:val="20"/>
          <w:color w:val="auto"/>
        </w:rPr>
      </w:pPr>
    </w:p>
    <w:p>
      <w:pPr>
        <w:ind w:left="1520" w:right="1860"/>
        <w:spacing w:after="0" w:line="319" w:lineRule="auto"/>
        <w:rPr>
          <w:sz w:val="20"/>
          <w:szCs w:val="20"/>
          <w:color w:val="auto"/>
        </w:rPr>
      </w:pPr>
      <w:r>
        <w:rPr>
          <w:rFonts w:ascii="Arial" w:cs="Arial" w:eastAsia="Arial" w:hAnsi="Arial"/>
          <w:sz w:val="12"/>
          <w:szCs w:val="12"/>
          <w:b w:val="1"/>
          <w:bCs w:val="1"/>
          <w:i w:val="1"/>
          <w:iCs w:val="1"/>
          <w:color w:val="auto"/>
        </w:rPr>
        <w:t>We will incur significant increased costs and demands on management resources as a result of operating as a public company.</w:t>
      </w:r>
    </w:p>
    <w:p>
      <w:pPr>
        <w:spacing w:after="0" w:line="52"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As a public company, we will incur significant legal, accounting, compliance, investor relations, and other expenses that we did not incur as a private company and these expenses will increase even more after we are no longer an “emerging growth company.” Our management and other personnel will need to devote a substantial amount of time and incur significant expense in connection with legal, compliance, and investor relations initiatives. For example, in anticipation of becoming a public company, we will need to adopt additional internal controls and disclosure controls and procedures, retain a transfer agent, and adopt insider trading policies and procedures. As a public company, we will bear all of the internal and external costs of preparing and distributing periodic public reports in compliance with our obligations under the securities laws.</w:t>
      </w:r>
    </w:p>
    <w:p>
      <w:pPr>
        <w:spacing w:after="0" w:line="242" w:lineRule="exact"/>
        <w:rPr>
          <w:sz w:val="20"/>
          <w:szCs w:val="20"/>
          <w:color w:val="auto"/>
        </w:rPr>
      </w:pPr>
    </w:p>
    <w:p>
      <w:pPr>
        <w:ind w:left="1520" w:right="1700" w:firstLine="230"/>
        <w:spacing w:after="0" w:line="269" w:lineRule="auto"/>
        <w:rPr>
          <w:sz w:val="20"/>
          <w:szCs w:val="20"/>
          <w:color w:val="auto"/>
        </w:rPr>
      </w:pPr>
      <w:r>
        <w:rPr>
          <w:rFonts w:ascii="Arial" w:cs="Arial" w:eastAsia="Arial" w:hAnsi="Arial"/>
          <w:sz w:val="12"/>
          <w:szCs w:val="12"/>
          <w:color w:val="auto"/>
        </w:rPr>
        <w:t>In addition, regulations and standards relating to corporate governance and public disclosure, including the Sarbanes-Oxley Act, and the related rules and regulations implemented by the Securities and Exchange Commission, or the SEC,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this offering, we intend to increase our directors’ and officers’ insurance coverage, which will increase our insurance cost. In the future, it may be more expensive or more difficult for us to obtain director and officer liability insurance, and we may be required to accept reduced coverage or incur substantially higher costs to obtain coverage. These factors would also make it more difficult for us to attract and retain qualified members of our board of directors, particularly to serve on our audit committee and compensation committee, and qualified executive officers. If we are unable to effectively manage these increased costs and demands upon management resources, our business, financial condition, results of operations, and prospects could be adversely affected.</w:t>
      </w:r>
    </w:p>
    <w:p>
      <w:pPr>
        <w:spacing w:after="0" w:line="245" w:lineRule="exact"/>
        <w:rPr>
          <w:sz w:val="20"/>
          <w:szCs w:val="20"/>
          <w:color w:val="auto"/>
        </w:rPr>
      </w:pPr>
    </w:p>
    <w:p>
      <w:pPr>
        <w:ind w:left="1520" w:right="1760"/>
        <w:spacing w:after="0" w:line="279" w:lineRule="auto"/>
        <w:rPr>
          <w:sz w:val="20"/>
          <w:szCs w:val="20"/>
          <w:color w:val="auto"/>
        </w:rPr>
      </w:pPr>
      <w:r>
        <w:rPr>
          <w:rFonts w:ascii="Arial" w:cs="Arial" w:eastAsia="Arial" w:hAnsi="Arial"/>
          <w:sz w:val="12"/>
          <w:szCs w:val="12"/>
          <w:b w:val="1"/>
          <w:bCs w:val="1"/>
          <w:i w:val="1"/>
          <w:iCs w:val="1"/>
          <w:color w:val="auto"/>
        </w:rPr>
        <w:t>The material weakness in our internal control over financial reporting, which we first identified in the fiscal year ended January 31, 2023, has been remediated as of the end of fiscal 2025. In the future, we may identify additional material weaknesses or otherwise fail to maintain an effective system of internal controls, which could result in material misstatements of our annual or interim consolidated financial statements or cause us to fail to meet our periodic reporting obligations.</w:t>
      </w:r>
    </w:p>
    <w:p>
      <w:pPr>
        <w:spacing w:after="0" w:line="76" w:lineRule="exact"/>
        <w:rPr>
          <w:sz w:val="20"/>
          <w:szCs w:val="20"/>
          <w:color w:val="auto"/>
        </w:rPr>
      </w:pPr>
    </w:p>
    <w:p>
      <w:pPr>
        <w:ind w:left="1520" w:right="1680" w:firstLine="230"/>
        <w:spacing w:after="0" w:line="281" w:lineRule="auto"/>
        <w:rPr>
          <w:sz w:val="20"/>
          <w:szCs w:val="20"/>
          <w:color w:val="auto"/>
        </w:rPr>
      </w:pPr>
      <w:r>
        <w:rPr>
          <w:rFonts w:ascii="Arial" w:cs="Arial" w:eastAsia="Arial" w:hAnsi="Arial"/>
          <w:sz w:val="12"/>
          <w:szCs w:val="12"/>
          <w:color w:val="auto"/>
        </w:rPr>
        <w:t>We may, in the future, discover material weaknesses in our system of internal financial and accounting controls and procedures that could result in a material misstatement of our consolidated financial statements. Our internal control over financial reporting will not prevent or detect all errors and all fraud. A control system, no matter how well designed and operated, can provide only reasonable, not</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00"/>
        <w:spacing w:after="0" w:line="289" w:lineRule="auto"/>
        <w:rPr>
          <w:sz w:val="20"/>
          <w:szCs w:val="20"/>
          <w:color w:val="auto"/>
        </w:rPr>
      </w:pPr>
      <w:r>
        <w:rPr>
          <w:rFonts w:ascii="Arial" w:cs="Arial" w:eastAsia="Arial" w:hAnsi="Arial"/>
          <w:sz w:val="12"/>
          <w:szCs w:val="12"/>
          <w:color w:val="auto"/>
        </w:rPr>
        <w:t>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76" w:lineRule="exact"/>
        <w:rPr>
          <w:sz w:val="20"/>
          <w:szCs w:val="20"/>
          <w:color w:val="auto"/>
        </w:rPr>
      </w:pPr>
    </w:p>
    <w:p>
      <w:pPr>
        <w:ind w:left="1520" w:right="1820" w:firstLine="230"/>
        <w:spacing w:after="0" w:line="281" w:lineRule="auto"/>
        <w:rPr>
          <w:sz w:val="20"/>
          <w:szCs w:val="20"/>
          <w:color w:val="auto"/>
        </w:rPr>
      </w:pPr>
      <w:r>
        <w:rPr>
          <w:rFonts w:ascii="Arial" w:cs="Arial" w:eastAsia="Arial" w:hAnsi="Arial"/>
          <w:sz w:val="12"/>
          <w:szCs w:val="12"/>
          <w:color w:val="auto"/>
        </w:rPr>
        <w:t>We have previously identified a material weakness in our internal control over financial reporting, which resulted from a lack of established internal controls and procedures and an insufficient number of accounting and finance personnel possessing the necessary GAAP technical expertise at our Reed &amp; Mackay subsidiary, resulting in a series of adjustments, including controls and procedures:</w:t>
      </w:r>
    </w:p>
    <w:p>
      <w:pPr>
        <w:spacing w:after="0" w:line="81" w:lineRule="exact"/>
        <w:rPr>
          <w:sz w:val="20"/>
          <w:szCs w:val="20"/>
          <w:color w:val="auto"/>
        </w:rPr>
      </w:pPr>
    </w:p>
    <w:p>
      <w:pPr>
        <w:ind w:left="1980" w:hanging="228"/>
        <w:spacing w:after="0"/>
        <w:tabs>
          <w:tab w:leader="none" w:pos="19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to ensure journal entries are properly reviewed and approved; and</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to ensure compliance with GAAP, specifically as it relates to accounting for revenue.</w:t>
      </w:r>
    </w:p>
    <w:p>
      <w:pPr>
        <w:spacing w:after="0" w:line="130" w:lineRule="exact"/>
        <w:rPr>
          <w:sz w:val="20"/>
          <w:szCs w:val="20"/>
          <w:color w:val="auto"/>
        </w:rPr>
      </w:pPr>
    </w:p>
    <w:p>
      <w:pPr>
        <w:ind w:left="1520" w:right="1560" w:firstLine="230"/>
        <w:spacing w:after="0" w:line="273" w:lineRule="auto"/>
        <w:rPr>
          <w:sz w:val="20"/>
          <w:szCs w:val="20"/>
          <w:color w:val="auto"/>
        </w:rPr>
      </w:pPr>
      <w:r>
        <w:rPr>
          <w:rFonts w:ascii="Arial" w:cs="Arial" w:eastAsia="Arial" w:hAnsi="Arial"/>
          <w:sz w:val="12"/>
          <w:szCs w:val="12"/>
          <w:color w:val="auto"/>
        </w:rPr>
        <w:t xml:space="preserve">After the material weakness was identified, we implemented a remediation plan that included new controls and processes, hiring additional accounting and finance personnel with an appropriate level of expertise, and improved group level oversight over and review of significant and complex transactions. </w:t>
      </w:r>
      <w:r>
        <w:rPr>
          <w:rFonts w:ascii="Arial" w:cs="Arial" w:eastAsia="Arial" w:hAnsi="Arial"/>
          <w:sz w:val="12"/>
          <w:szCs w:val="12"/>
          <w:color w:val="auto"/>
          <w:highlight w:val="white"/>
        </w:rPr>
        <w:t>As</w:t>
      </w:r>
      <w:r>
        <w:rPr>
          <w:rFonts w:ascii="Arial" w:cs="Arial" w:eastAsia="Arial" w:hAnsi="Arial"/>
          <w:sz w:val="12"/>
          <w:szCs w:val="12"/>
          <w:color w:val="auto"/>
        </w:rPr>
        <w:t xml:space="preserve"> </w:t>
      </w:r>
      <w:r>
        <w:rPr>
          <w:rFonts w:ascii="Arial" w:cs="Arial" w:eastAsia="Arial" w:hAnsi="Arial"/>
          <w:sz w:val="12"/>
          <w:szCs w:val="12"/>
          <w:color w:val="auto"/>
          <w:highlight w:val="white"/>
        </w:rPr>
        <w:t>of January 31, 2025, we completed our remediation efforts, including the testing of the operating effectiveness of the controls, and we have concluded that the material weakness has been remediated. However, we recognize that maintaining effective internal control over financial reporting will continue to require significant attention from management and expense, and we cannot assure that we will not identify material weaknesses in the future.</w:t>
      </w:r>
    </w:p>
    <w:p>
      <w:pPr>
        <w:spacing w:after="0" w:line="241" w:lineRule="exact"/>
        <w:rPr>
          <w:sz w:val="20"/>
          <w:szCs w:val="20"/>
          <w:color w:val="auto"/>
        </w:rPr>
      </w:pPr>
    </w:p>
    <w:p>
      <w:pPr>
        <w:ind w:left="1520" w:right="1760" w:firstLine="230"/>
        <w:spacing w:after="0" w:line="281" w:lineRule="auto"/>
        <w:rPr>
          <w:sz w:val="20"/>
          <w:szCs w:val="20"/>
          <w:color w:val="auto"/>
        </w:rPr>
      </w:pPr>
      <w:r>
        <w:rPr>
          <w:rFonts w:ascii="Arial" w:cs="Arial" w:eastAsia="Arial" w:hAnsi="Arial"/>
          <w:sz w:val="12"/>
          <w:szCs w:val="12"/>
          <w:color w:val="auto"/>
          <w:highlight w:val="white"/>
        </w:rPr>
        <w:t>We will be a public company in the United States subject to the Sarbanes-Oxley Act after the completion of this offering. Section 404 of the Sarbanes-Oxley Act requires that we include a report of management on our internal control over financial reporting in our annual report on Form 10-K beginning with our second annual report.</w:t>
      </w:r>
    </w:p>
    <w:p>
      <w:pPr>
        <w:spacing w:after="0" w:line="81" w:lineRule="exact"/>
        <w:rPr>
          <w:sz w:val="20"/>
          <w:szCs w:val="20"/>
          <w:color w:val="auto"/>
        </w:rPr>
      </w:pPr>
    </w:p>
    <w:p>
      <w:pPr>
        <w:ind w:left="1520" w:right="2000" w:firstLine="230"/>
        <w:spacing w:after="0" w:line="312" w:lineRule="auto"/>
        <w:rPr>
          <w:sz w:val="20"/>
          <w:szCs w:val="20"/>
          <w:color w:val="auto"/>
        </w:rPr>
      </w:pPr>
      <w:r>
        <w:rPr>
          <w:rFonts w:ascii="Arial" w:cs="Arial" w:eastAsia="Arial" w:hAnsi="Arial"/>
          <w:sz w:val="12"/>
          <w:szCs w:val="12"/>
          <w:color w:val="auto"/>
        </w:rPr>
        <w:t>Our independent registered public accounting firm is not required to formally attest to the effectiveness of our internal control over financial reporting until after we are no longer an “emerging</w:t>
      </w:r>
    </w:p>
    <w:p>
      <w:pPr>
        <w:sectPr>
          <w:pgSz w:w="11900" w:h="16840" w:orient="portrait"/>
          <w:cols w:equalWidth="0" w:num="1">
            <w:col w:w="9020"/>
          </w:cols>
          <w:pgMar w:left="1440" w:top="1067" w:right="1440" w:bottom="56" w:gutter="0" w:footer="0" w:header="0"/>
        </w:sectPr>
      </w:pPr>
    </w:p>
    <w:bookmarkStart w:id="51" w:name="page52"/>
    <w:bookmarkEnd w:id="51"/>
    <w:p>
      <w:pPr>
        <w:ind w:left="1520" w:right="1720"/>
        <w:spacing w:after="0" w:line="193" w:lineRule="auto"/>
        <w:rPr>
          <w:sz w:val="20"/>
          <w:szCs w:val="20"/>
          <w:color w:val="auto"/>
        </w:rPr>
      </w:pPr>
      <w:r>
        <w:rPr>
          <w:rFonts w:ascii="Arial" w:cs="Arial" w:eastAsia="Arial" w:hAnsi="Arial"/>
          <w:sz w:val="12"/>
          <w:szCs w:val="12"/>
          <w:color w:val="auto"/>
        </w:rPr>
        <w:t>growth company” as defined in the JOBS Act. At such time, our independent registered public accounting firm may issue a report that is adverse in the event it is not satisfied with the level at which our internal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-133985</wp:posOffset>
            </wp:positionV>
            <wp:extent cx="6732270" cy="99707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680"/>
        <w:spacing w:after="0" w:line="269" w:lineRule="auto"/>
        <w:rPr>
          <w:sz w:val="20"/>
          <w:szCs w:val="20"/>
          <w:color w:val="auto"/>
        </w:rPr>
      </w:pPr>
      <w:r>
        <w:rPr>
          <w:rFonts w:ascii="Arial" w:cs="Arial" w:eastAsia="Arial" w:hAnsi="Arial"/>
          <w:sz w:val="12"/>
          <w:szCs w:val="12"/>
          <w:color w:val="auto"/>
        </w:rPr>
        <w:t>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 or Nasdaq.</w:t>
      </w:r>
    </w:p>
    <w:p>
      <w:pPr>
        <w:spacing w:after="0" w:line="91" w:lineRule="exact"/>
        <w:rPr>
          <w:sz w:val="20"/>
          <w:szCs w:val="20"/>
          <w:color w:val="auto"/>
        </w:rPr>
      </w:pPr>
    </w:p>
    <w:p>
      <w:pPr>
        <w:ind w:left="1520" w:right="1760"/>
        <w:spacing w:after="0" w:line="292" w:lineRule="auto"/>
        <w:rPr>
          <w:sz w:val="20"/>
          <w:szCs w:val="20"/>
          <w:color w:val="auto"/>
        </w:rPr>
      </w:pPr>
      <w:r>
        <w:rPr>
          <w:rFonts w:ascii="Arial" w:cs="Arial" w:eastAsia="Arial" w:hAnsi="Arial"/>
          <w:sz w:val="12"/>
          <w:szCs w:val="12"/>
          <w:b w:val="1"/>
          <w:bCs w:val="1"/>
          <w:i w:val="1"/>
          <w:iCs w:val="1"/>
          <w:color w:val="auto"/>
        </w:rPr>
        <w:t>If we fail to maintain an effective system of disclosure controls and internal control over financial reporting, our ability to produce timely and accurate financial statements or comply with applicable laws and regulations could be impaired.</w:t>
      </w:r>
    </w:p>
    <w:p>
      <w:pPr>
        <w:spacing w:after="0" w:line="68" w:lineRule="exact"/>
        <w:rPr>
          <w:sz w:val="20"/>
          <w:szCs w:val="20"/>
          <w:color w:val="auto"/>
        </w:rPr>
      </w:pPr>
    </w:p>
    <w:p>
      <w:pPr>
        <w:ind w:left="1520" w:right="1720" w:firstLine="230"/>
        <w:spacing w:after="0" w:line="274" w:lineRule="auto"/>
        <w:rPr>
          <w:sz w:val="20"/>
          <w:szCs w:val="20"/>
          <w:color w:val="auto"/>
        </w:rPr>
      </w:pPr>
      <w:r>
        <w:rPr>
          <w:rFonts w:ascii="Arial" w:cs="Arial" w:eastAsia="Arial" w:hAnsi="Arial"/>
          <w:sz w:val="12"/>
          <w:szCs w:val="12"/>
          <w:color w:val="auto"/>
        </w:rPr>
        <w:t>As a public company, we will be subject to the reporting requirements of the Securities Exchange Act of 1934, as amended, or the Exchange Act, the Sarbanes-Oxley Act, the Dodd-Frank Wall Street Reform and Consumer Protection Act of 2010, the listing requirements of Nasdaq, and other applicable securities rules and regulations. We expect that compliance with these rules and regulations will increase our legal and financial compliance costs, make some activities more difficult, time-consuming, or costly, and increase demand on our systems and resources, particularly after we are no longer an emerging growth company.</w:t>
      </w:r>
    </w:p>
    <w:p>
      <w:pPr>
        <w:spacing w:after="0" w:line="241" w:lineRule="exact"/>
        <w:rPr>
          <w:sz w:val="20"/>
          <w:szCs w:val="20"/>
          <w:color w:val="auto"/>
        </w:rPr>
      </w:pPr>
    </w:p>
    <w:p>
      <w:pPr>
        <w:jc w:val="both"/>
        <w:ind w:left="1520" w:right="1760" w:firstLine="230"/>
        <w:spacing w:after="0" w:line="289" w:lineRule="auto"/>
        <w:rPr>
          <w:sz w:val="20"/>
          <w:szCs w:val="20"/>
          <w:color w:val="auto"/>
        </w:rPr>
      </w:pPr>
      <w:r>
        <w:rPr>
          <w:rFonts w:ascii="Arial" w:cs="Arial" w:eastAsia="Arial" w:hAnsi="Arial"/>
          <w:sz w:val="12"/>
          <w:szCs w:val="12"/>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20"/>
        <w:spacing w:after="0" w:line="273" w:lineRule="auto"/>
        <w:rPr>
          <w:sz w:val="20"/>
          <w:szCs w:val="20"/>
          <w:color w:val="auto"/>
        </w:rPr>
      </w:pPr>
      <w:r>
        <w:rPr>
          <w:rFonts w:ascii="Arial" w:cs="Arial" w:eastAsia="Arial" w:hAnsi="Arial"/>
          <w:sz w:val="12"/>
          <w:szCs w:val="12"/>
          <w:color w:val="auto"/>
        </w:rPr>
        <w:t>ensure information required to be disclosed by us in our consolidated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accounting-related costs and significant management oversight.</w:t>
      </w:r>
    </w:p>
    <w:p>
      <w:pPr>
        <w:spacing w:after="0" w:line="88" w:lineRule="exact"/>
        <w:rPr>
          <w:sz w:val="20"/>
          <w:szCs w:val="20"/>
          <w:color w:val="auto"/>
        </w:rPr>
      </w:pPr>
    </w:p>
    <w:p>
      <w:pPr>
        <w:ind w:left="1520" w:right="1700" w:firstLine="230"/>
        <w:spacing w:after="0" w:line="269" w:lineRule="auto"/>
        <w:rPr>
          <w:sz w:val="20"/>
          <w:szCs w:val="20"/>
          <w:color w:val="auto"/>
        </w:rPr>
      </w:pPr>
      <w:r>
        <w:rPr>
          <w:rFonts w:ascii="Arial" w:cs="Arial" w:eastAsia="Arial" w:hAnsi="Arial"/>
          <w:sz w:val="12"/>
          <w:szCs w:val="12"/>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results of operations,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However, while we remain an “emerging growth company,” we will not be required to include an attestation report on internal control over financial reporting issued by our independent registered public accounting firm. Ineffective disclosure controls and procedures and internal control over financial reporting could also cause investors to lose confidence in our reported financial and other information, which would likely have a negative effect on the market price of our Class A common stock. We are not currently required to comply with the SEC rules that implement Sections 302 and 404 of the Sarbanes-Oxley Act, and we are therefore not required to make a formal assessment of the effectiveness of our internal control over financial reporting for that purpose.</w:t>
      </w:r>
    </w:p>
    <w:p>
      <w:pPr>
        <w:spacing w:after="0" w:line="244" w:lineRule="exact"/>
        <w:rPr>
          <w:sz w:val="20"/>
          <w:szCs w:val="20"/>
          <w:color w:val="auto"/>
        </w:rPr>
      </w:pPr>
    </w:p>
    <w:p>
      <w:pPr>
        <w:ind w:left="1520" w:right="1720" w:firstLine="230"/>
        <w:spacing w:after="0" w:line="273" w:lineRule="auto"/>
        <w:rPr>
          <w:sz w:val="20"/>
          <w:szCs w:val="20"/>
          <w:color w:val="auto"/>
        </w:rPr>
      </w:pPr>
      <w:r>
        <w:rPr>
          <w:rFonts w:ascii="Arial" w:cs="Arial" w:eastAsia="Arial" w:hAnsi="Arial"/>
          <w:sz w:val="12"/>
          <w:szCs w:val="12"/>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cause a decline in the price of our Class A common stock and could negatively impact our business, financial condition, results of operations, and prospects.</w:t>
      </w:r>
    </w:p>
    <w:p>
      <w:pPr>
        <w:spacing w:after="0" w:line="241" w:lineRule="exact"/>
        <w:rPr>
          <w:sz w:val="20"/>
          <w:szCs w:val="20"/>
          <w:color w:val="auto"/>
        </w:rPr>
      </w:pPr>
    </w:p>
    <w:p>
      <w:pPr>
        <w:ind w:left="1520" w:right="1800" w:firstLine="230"/>
        <w:spacing w:after="0" w:line="281" w:lineRule="auto"/>
        <w:rPr>
          <w:sz w:val="20"/>
          <w:szCs w:val="20"/>
          <w:color w:val="auto"/>
        </w:rPr>
      </w:pPr>
      <w:r>
        <w:rPr>
          <w:rFonts w:ascii="Arial" w:cs="Arial" w:eastAsia="Arial" w:hAnsi="Arial"/>
          <w:sz w:val="12"/>
          <w:szCs w:val="12"/>
          <w:color w:val="auto"/>
        </w:rPr>
        <w:t>Upon becoming a public company, and particularly after we are no longer an “emerging growth company,” significant resources and management oversight will be required. As a result, management’s attention may be diverted from other business concerns, which could harm our business, financial condition, and results of operations.</w:t>
      </w:r>
    </w:p>
    <w:p>
      <w:pPr>
        <w:spacing w:after="0" w:line="83"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i w:val="1"/>
          <w:iCs w:val="1"/>
          <w:color w:val="auto"/>
        </w:rPr>
        <w:t>Our debt-service obligations may adversely affect our financial condition and results of operations.</w:t>
      </w:r>
    </w:p>
    <w:p>
      <w:pPr>
        <w:spacing w:after="0" w:line="128"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We have a significant amount of debt arrangements, as described further in the section titled “Description of Material Indebtedness.” Our ability to make payments of the principal of, to pay interest on or to refinance our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68</w:t>
      </w:r>
    </w:p>
    <w:p>
      <w:pPr>
        <w:sectPr>
          <w:pgSz w:w="11900" w:h="16840" w:orient="portrait"/>
          <w:cols w:equalWidth="0" w:num="1">
            <w:col w:w="9020"/>
          </w:cols>
          <w:pgMar w:left="1440" w:top="560" w:right="1440" w:bottom="1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ectPr>
          <w:pgSz w:w="11900" w:h="16840" w:orient="portrait"/>
          <w:cols w:equalWidth="0" w:num="1">
            <w:col w:w="9020"/>
          </w:cols>
          <w:pgMar w:left="1440" w:top="560" w:right="1440" w:bottom="172" w:gutter="0" w:footer="0" w:header="0"/>
          <w:type w:val="continuous"/>
        </w:sectPr>
      </w:pPr>
    </w:p>
    <w:bookmarkStart w:id="52" w:name="page53"/>
    <w:bookmarkEnd w:id="52"/>
    <w:p>
      <w:pPr>
        <w:ind w:left="1520" w:right="2280" w:firstLine="230"/>
        <w:spacing w:after="0" w:line="31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In addition, our indebtedness, combined with our other financial obligations and contractual commitments, could have other important consequences. For example, it could:</w:t>
      </w:r>
    </w:p>
    <w:p>
      <w:pPr>
        <w:spacing w:after="0" w:line="62" w:lineRule="exact"/>
        <w:rPr>
          <w:sz w:val="20"/>
          <w:szCs w:val="20"/>
          <w:color w:val="auto"/>
        </w:rPr>
      </w:pPr>
    </w:p>
    <w:p>
      <w:pPr>
        <w:ind w:left="1980" w:right="1740" w:hanging="228"/>
        <w:spacing w:after="0" w:line="312" w:lineRule="auto"/>
        <w:tabs>
          <w:tab w:leader="none" w:pos="19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make us more vulnerable to adverse changes in general U.S. and worldwide economic, industry, and competitive conditions and adverse changes in government regulation;</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limit our flexibility in planning for, or reacting to, changes in our business and our industry;</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place us at a disadvantage compared to our competitors that have less debt;</w:t>
      </w:r>
    </w:p>
    <w:p>
      <w:pPr>
        <w:spacing w:after="0" w:line="129" w:lineRule="exact"/>
        <w:rPr>
          <w:rFonts w:ascii="Arial" w:cs="Arial" w:eastAsia="Arial" w:hAnsi="Arial"/>
          <w:sz w:val="12"/>
          <w:szCs w:val="12"/>
          <w:color w:val="auto"/>
        </w:rPr>
      </w:pPr>
    </w:p>
    <w:p>
      <w:pPr>
        <w:ind w:left="1980" w:right="1680" w:hanging="228"/>
        <w:spacing w:after="0" w:line="312" w:lineRule="auto"/>
        <w:tabs>
          <w:tab w:leader="none" w:pos="19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limit our ability to borrow additional amounts to fund acquisitions, for working capital, and for other general corporate purposes; and</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make an acquisition of our company less attractive or more difficult.</w:t>
      </w:r>
    </w:p>
    <w:p>
      <w:pPr>
        <w:spacing w:after="0" w:line="130" w:lineRule="exact"/>
        <w:rPr>
          <w:sz w:val="20"/>
          <w:szCs w:val="20"/>
          <w:color w:val="auto"/>
        </w:rPr>
      </w:pPr>
    </w:p>
    <w:p>
      <w:pPr>
        <w:ind w:left="1520" w:right="1720" w:firstLine="230"/>
        <w:spacing w:after="0" w:line="269" w:lineRule="auto"/>
        <w:rPr>
          <w:sz w:val="20"/>
          <w:szCs w:val="20"/>
          <w:color w:val="auto"/>
        </w:rPr>
      </w:pPr>
      <w:r>
        <w:rPr>
          <w:rFonts w:ascii="Arial" w:cs="Arial" w:eastAsia="Arial" w:hAnsi="Arial"/>
          <w:sz w:val="12"/>
          <w:szCs w:val="12"/>
          <w:color w:val="auto"/>
        </w:rPr>
        <w:t>Any of these factors could harm our business, results of operations, and financial condition. In addition, if we incur additional indebtedness, the risks related to our business and our ability to service or repay our indebtedness would increase. We are also required to comply with the restrictive covenants set forth in certain of our debt arrangements, including a requirement that we satisfy certain financial liquidity conditions, certain limitations on our ability to incur additional indebtedness, and other operating restrictions that could adversely impact our ability to engage in certain transactions and conduct our business. Our ability to comply with these covenants may be affected by events beyond our control. If we breach any of the covenants and do not obtain a waiver from the note holders or lenders, then, subject to applicable cure periods, any outstanding indebtedness may be declared immediately due and payable. For additional information regarding the Warehouse Credit Facility (as defined below), see the section titled “Description of Material Indebtedness—Warehouse Credit Facility.” In addition, changes by any rating agency to our credit rating may negatively impact the value and liquidity of our securities. Downgrades in our credit ratings could restrict our ability to obtain additional financing in the future and could affect the terms of any such financing. If we are unable to effectively manage our debt-service obligations, our business, financial condition, results of operations, and prospects could be adversely affected.</w:t>
      </w:r>
    </w:p>
    <w:p>
      <w:pPr>
        <w:spacing w:after="0" w:line="246" w:lineRule="exact"/>
        <w:rPr>
          <w:sz w:val="20"/>
          <w:szCs w:val="20"/>
          <w:color w:val="auto"/>
        </w:rPr>
      </w:pPr>
    </w:p>
    <w:p>
      <w:pPr>
        <w:ind w:left="1520" w:right="1680"/>
        <w:spacing w:after="0" w:line="319" w:lineRule="auto"/>
        <w:rPr>
          <w:sz w:val="20"/>
          <w:szCs w:val="20"/>
          <w:color w:val="auto"/>
        </w:rPr>
      </w:pPr>
      <w:r>
        <w:rPr>
          <w:rFonts w:ascii="Arial" w:cs="Arial" w:eastAsia="Arial" w:hAnsi="Arial"/>
          <w:sz w:val="12"/>
          <w:szCs w:val="12"/>
          <w:b w:val="1"/>
          <w:bCs w:val="1"/>
          <w:i w:val="1"/>
          <w:iCs w:val="1"/>
          <w:color w:val="auto"/>
        </w:rPr>
        <w:t>We may require additional capital to support the growth of our business, and this capital might not be available on acceptable terms, if at all.</w:t>
      </w:r>
    </w:p>
    <w:p>
      <w:pPr>
        <w:spacing w:after="0" w:line="52" w:lineRule="exact"/>
        <w:rPr>
          <w:sz w:val="20"/>
          <w:szCs w:val="20"/>
          <w:color w:val="auto"/>
        </w:rPr>
      </w:pPr>
    </w:p>
    <w:p>
      <w:pPr>
        <w:ind w:left="1520" w:right="1680" w:firstLine="230"/>
        <w:spacing w:after="0" w:line="268" w:lineRule="auto"/>
        <w:rPr>
          <w:sz w:val="20"/>
          <w:szCs w:val="20"/>
          <w:color w:val="auto"/>
        </w:rPr>
      </w:pPr>
      <w:r>
        <w:rPr>
          <w:rFonts w:ascii="Arial" w:cs="Arial" w:eastAsia="Arial" w:hAnsi="Arial"/>
          <w:sz w:val="12"/>
          <w:szCs w:val="12"/>
          <w:color w:val="auto"/>
        </w:rPr>
        <w:t>We have funded our operations since inception primarily through equity and debt financings as well as cash generated from operations.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results of operations, and financial condition. If we incur additional debt, the debt holders would have rights senior to holders of Class A common stock to make claims on our assets, and the terms of any debt could restrict our operations, including our ability to pay dividends on our Class A common stock. Furthermore, if we issue additional equity securities, including in connection with merger and acquisition transactions, stockholders will experience dilution. In addition, new equity securities could have rights senior to those of our Class A common stock. The trading prices for technology companies have been highly volatile, especially recently due to rising interest rates, inflation, and the uncertain macroeconomic environment, which may reduce our ability to access capital on favorable terms or at all. In addition, a recession, depression, or other sustained adverse market event could adversely affect the value of our Class A common stock as well as our business, financial condition, results of operations, and prospects.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Class A common stock and diluting their interests.</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Risks Related to the Offering and Ownership of our Class A Common Stock</w:t>
      </w:r>
    </w:p>
    <w:p>
      <w:pPr>
        <w:spacing w:after="0" w:line="132" w:lineRule="exact"/>
        <w:rPr>
          <w:sz w:val="20"/>
          <w:szCs w:val="20"/>
          <w:color w:val="auto"/>
        </w:rPr>
      </w:pPr>
    </w:p>
    <w:p>
      <w:pPr>
        <w:ind w:left="1520" w:right="1840"/>
        <w:spacing w:after="0" w:line="319" w:lineRule="auto"/>
        <w:rPr>
          <w:sz w:val="20"/>
          <w:szCs w:val="20"/>
          <w:color w:val="auto"/>
        </w:rPr>
      </w:pPr>
      <w:r>
        <w:rPr>
          <w:rFonts w:ascii="Arial" w:cs="Arial" w:eastAsia="Arial" w:hAnsi="Arial"/>
          <w:sz w:val="12"/>
          <w:szCs w:val="12"/>
          <w:b w:val="1"/>
          <w:bCs w:val="1"/>
          <w:i w:val="1"/>
          <w:iCs w:val="1"/>
          <w:color w:val="auto"/>
        </w:rPr>
        <w:t>The market price of our Class A common stock may be volatile, and you could lose all or part of your investment.</w:t>
      </w:r>
    </w:p>
    <w:p>
      <w:pPr>
        <w:spacing w:after="0" w:line="52"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We cannot predict the prices at which our Class A common stock will trade. The initial public offering price of our Class A common stock will be determined by negotiations between us and the underwriters and may not bear any relationship to the market price at which our Class A common stock will trade after this offering or to any other established criteria of the value of our business and prospects and the market price of our Class A common stock following this offering may fluctuate substantially and may be lower than the initial public offering price. The market price of our Class A common stock following this offering will depend on a number of factors, including those described in this “Risk Factors” section, many of which are beyond our control and may not be related to our operating performance. In addition, the limited public float of our Class A common stock following this offering will tend to increase the volatility of the trading price of our Class A common stock. These fluctuations could cause you to lose all or part of your investment in our Class A common stock, since you might not be able to sell your shares at or above the price you paid in this offering. Factors that could cause fluctuations in the market price of our Class A common stock include the following:</w:t>
      </w:r>
    </w:p>
    <w:p>
      <w:pPr>
        <w:spacing w:after="0" w:line="242" w:lineRule="exact"/>
        <w:rPr>
          <w:sz w:val="20"/>
          <w:szCs w:val="20"/>
          <w:color w:val="auto"/>
        </w:rPr>
      </w:pPr>
    </w:p>
    <w:p>
      <w:pPr>
        <w:ind w:left="1980" w:right="1680" w:hanging="228"/>
        <w:spacing w:after="0" w:line="312" w:lineRule="auto"/>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actual or anticipated fluctuations in our GBV, payment volume, revenue, gross margins, and other results of operations as well as in demand for business travel;</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actual or anticipated developments in the travel industry generally;</w:t>
      </w:r>
    </w:p>
    <w:p>
      <w:pPr>
        <w:spacing w:after="0" w:line="129" w:lineRule="exact"/>
        <w:rPr>
          <w:rFonts w:ascii="Arial" w:cs="Arial" w:eastAsia="Arial" w:hAnsi="Arial"/>
          <w:sz w:val="12"/>
          <w:szCs w:val="12"/>
          <w:color w:val="auto"/>
        </w:rPr>
      </w:pPr>
    </w:p>
    <w:p>
      <w:pPr>
        <w:ind w:left="1980" w:right="1860" w:hanging="228"/>
        <w:spacing w:after="0" w:line="312" w:lineRule="auto"/>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financial projections we may provide to the public, any changes in these projections, or our failure to meet these projections;</w:t>
      </w:r>
    </w:p>
    <w:p>
      <w:pPr>
        <w:spacing w:after="0" w:line="62" w:lineRule="exact"/>
        <w:rPr>
          <w:rFonts w:ascii="Arial" w:cs="Arial" w:eastAsia="Arial" w:hAnsi="Arial"/>
          <w:sz w:val="12"/>
          <w:szCs w:val="12"/>
          <w:color w:val="auto"/>
        </w:rPr>
      </w:pPr>
    </w:p>
    <w:p>
      <w:pPr>
        <w:ind w:left="1980" w:right="2120" w:hanging="228"/>
        <w:spacing w:after="0" w:line="312" w:lineRule="auto"/>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announcements by us or our competitors of new products or new or terminated significant contracts, commercial relationships or capital commitments;</w:t>
      </w:r>
    </w:p>
    <w:p>
      <w:pPr>
        <w:spacing w:after="0" w:line="62" w:lineRule="exact"/>
        <w:rPr>
          <w:rFonts w:ascii="Arial" w:cs="Arial" w:eastAsia="Arial" w:hAnsi="Arial"/>
          <w:sz w:val="12"/>
          <w:szCs w:val="12"/>
          <w:color w:val="auto"/>
        </w:rPr>
      </w:pPr>
    </w:p>
    <w:p>
      <w:pPr>
        <w:ind w:left="1980" w:right="2540" w:hanging="228"/>
        <w:spacing w:after="0" w:line="312" w:lineRule="auto"/>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industry or financial analyst or investor reaction to our press releases, other public announcements, and filings with the SEC;</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rumors and market speculation involving us or other companies in our industry;</w:t>
      </w:r>
    </w:p>
    <w:p>
      <w:pPr>
        <w:sectPr>
          <w:pgSz w:w="11900" w:h="16840" w:orient="portrait"/>
          <w:cols w:equalWidth="0" w:num="1">
            <w:col w:w="9020"/>
          </w:cols>
          <w:pgMar w:left="1440" w:top="952" w:right="1440" w:bottom="239" w:gutter="0" w:footer="0" w:header="0"/>
        </w:sectPr>
      </w:pPr>
    </w:p>
    <w:bookmarkStart w:id="53" w:name="page54"/>
    <w:bookmarkEnd w:id="53"/>
    <w:p>
      <w:pPr>
        <w:ind w:left="1980" w:hanging="228"/>
        <w:spacing w:after="0"/>
        <w:tabs>
          <w:tab w:leader="none" w:pos="19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price and volume fluctuations in the overall stock market from time to time;</w:t>
      </w:r>
    </w:p>
    <w:p>
      <w:pPr>
        <w:spacing w:after="0" w:line="34" w:lineRule="exact"/>
        <w:rPr>
          <w:rFonts w:ascii="Arial" w:cs="Arial" w:eastAsia="Arial" w:hAnsi="Arial"/>
          <w:sz w:val="12"/>
          <w:szCs w:val="12"/>
          <w:color w:val="auto"/>
        </w:rPr>
      </w:pPr>
    </w:p>
    <w:p>
      <w:pPr>
        <w:ind w:left="1980" w:right="1860" w:hanging="228"/>
        <w:spacing w:after="0" w:line="312" w:lineRule="auto"/>
        <w:tabs>
          <w:tab w:leader="none" w:pos="19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changes in operating performance and stock market valuations of other technology companies generally, or those in our industry in particular;</w:t>
      </w:r>
    </w:p>
    <w:p>
      <w:pPr>
        <w:spacing w:after="0" w:line="62" w:lineRule="exact"/>
        <w:rPr>
          <w:rFonts w:ascii="Arial" w:cs="Arial" w:eastAsia="Arial" w:hAnsi="Arial"/>
          <w:sz w:val="12"/>
          <w:szCs w:val="12"/>
          <w:color w:val="auto"/>
        </w:rPr>
      </w:pPr>
    </w:p>
    <w:p>
      <w:pPr>
        <w:ind w:left="1980" w:right="1880" w:hanging="228"/>
        <w:spacing w:after="0" w:line="312" w:lineRule="auto"/>
        <w:tabs>
          <w:tab w:leader="none" w:pos="19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expiration of market standoff or contractual lock-up agreements and sales of shares of our Class A common stock by us or our stockholders;</w:t>
      </w:r>
    </w:p>
    <w:p>
      <w:pPr>
        <w:spacing w:after="0" w:line="62" w:lineRule="exact"/>
        <w:rPr>
          <w:rFonts w:ascii="Arial" w:cs="Arial" w:eastAsia="Arial" w:hAnsi="Arial"/>
          <w:sz w:val="12"/>
          <w:szCs w:val="12"/>
          <w:color w:val="auto"/>
        </w:rPr>
      </w:pPr>
    </w:p>
    <w:p>
      <w:pPr>
        <w:ind w:left="1980" w:right="1740" w:hanging="228"/>
        <w:spacing w:after="0" w:line="289" w:lineRule="auto"/>
        <w:tabs>
          <w:tab w:leader="none" w:pos="19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failure of industry or financial analysts to maintain coverage of us, changes in financial estimates by any analysts who follow our company, or our failure to meet these estimates or the expectations of investors;</w:t>
      </w:r>
    </w:p>
    <w:p>
      <w:pPr>
        <w:spacing w:after="0" w:line="75" w:lineRule="exact"/>
        <w:rPr>
          <w:rFonts w:ascii="Arial" w:cs="Arial" w:eastAsia="Arial" w:hAnsi="Arial"/>
          <w:sz w:val="12"/>
          <w:szCs w:val="12"/>
          <w:color w:val="auto"/>
        </w:rPr>
      </w:pPr>
    </w:p>
    <w:p>
      <w:pPr>
        <w:ind w:left="1980" w:right="2180" w:hanging="228"/>
        <w:spacing w:after="0" w:line="312" w:lineRule="auto"/>
        <w:tabs>
          <w:tab w:leader="none" w:pos="19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actual or anticipated developments in our business or our competitors’ businesses or the competitive landscape generally;</w:t>
      </w:r>
    </w:p>
    <w:p>
      <w:pPr>
        <w:spacing w:after="0" w:line="62" w:lineRule="exact"/>
        <w:rPr>
          <w:rFonts w:ascii="Arial" w:cs="Arial" w:eastAsia="Arial" w:hAnsi="Arial"/>
          <w:sz w:val="12"/>
          <w:szCs w:val="12"/>
          <w:color w:val="auto"/>
        </w:rPr>
      </w:pPr>
    </w:p>
    <w:p>
      <w:pPr>
        <w:ind w:left="1980" w:right="1840" w:hanging="228"/>
        <w:spacing w:after="0" w:line="312" w:lineRule="auto"/>
        <w:tabs>
          <w:tab w:leader="none" w:pos="19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litigation involving us, our industry or both, or investigations by regulators into our operations or those of our competitors;</w:t>
      </w:r>
    </w:p>
    <w:p>
      <w:pPr>
        <w:spacing w:after="0" w:line="62" w:lineRule="exact"/>
        <w:rPr>
          <w:rFonts w:ascii="Arial" w:cs="Arial" w:eastAsia="Arial" w:hAnsi="Arial"/>
          <w:sz w:val="12"/>
          <w:szCs w:val="12"/>
          <w:color w:val="auto"/>
        </w:rPr>
      </w:pPr>
    </w:p>
    <w:p>
      <w:pPr>
        <w:ind w:left="1980" w:right="1920" w:hanging="228"/>
        <w:spacing w:after="0" w:line="312" w:lineRule="auto"/>
        <w:tabs>
          <w:tab w:leader="none" w:pos="19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developments or disputes concerning our intellectual property rights, or third-party proprietary rights;</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announced or completed acquisitions of businesses or technologies by us or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-1891665</wp:posOffset>
            </wp:positionV>
            <wp:extent cx="6732270" cy="9970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980" w:right="1900" w:hanging="228"/>
        <w:spacing w:after="0" w:line="312" w:lineRule="auto"/>
        <w:tabs>
          <w:tab w:leader="none" w:pos="19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new laws or regulations or new interpretations of existing laws or regulations applicable to our business;</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any major changes in our management or our board of directors;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effects of public health crises, pandemics, and epidemics;</w:t>
      </w:r>
    </w:p>
    <w:p>
      <w:pPr>
        <w:spacing w:after="0" w:line="129" w:lineRule="exact"/>
        <w:rPr>
          <w:rFonts w:ascii="Arial" w:cs="Arial" w:eastAsia="Arial" w:hAnsi="Arial"/>
          <w:sz w:val="12"/>
          <w:szCs w:val="12"/>
          <w:color w:val="auto"/>
        </w:rPr>
      </w:pPr>
    </w:p>
    <w:p>
      <w:pPr>
        <w:ind w:left="1980" w:right="1820" w:hanging="228"/>
        <w:spacing w:after="0" w:line="312" w:lineRule="auto"/>
        <w:tabs>
          <w:tab w:leader="none" w:pos="19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sales or expectations with respect to sales of shares of our Class A common stock by us or our security holders;</w:t>
      </w:r>
    </w:p>
    <w:p>
      <w:pPr>
        <w:spacing w:after="0" w:line="62" w:lineRule="exact"/>
        <w:rPr>
          <w:rFonts w:ascii="Arial" w:cs="Arial" w:eastAsia="Arial" w:hAnsi="Arial"/>
          <w:sz w:val="12"/>
          <w:szCs w:val="12"/>
          <w:color w:val="auto"/>
        </w:rPr>
      </w:pPr>
    </w:p>
    <w:p>
      <w:pPr>
        <w:jc w:val="both"/>
        <w:ind w:left="1980" w:right="2000" w:hanging="228"/>
        <w:spacing w:after="0" w:line="289" w:lineRule="auto"/>
        <w:tabs>
          <w:tab w:leader="none" w:pos="19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general macroeconomic conditions, including rising interest rates, inflation, foreign currency fluctuation, instability in the global banking system, risks of economic recession, and slow or negative growth of our markets;</w:t>
      </w:r>
    </w:p>
    <w:p>
      <w:pPr>
        <w:spacing w:after="0" w:line="75" w:lineRule="exact"/>
        <w:rPr>
          <w:rFonts w:ascii="Arial" w:cs="Arial" w:eastAsia="Arial" w:hAnsi="Arial"/>
          <w:sz w:val="12"/>
          <w:szCs w:val="12"/>
          <w:color w:val="auto"/>
        </w:rPr>
      </w:pPr>
    </w:p>
    <w:p>
      <w:pPr>
        <w:ind w:left="1980" w:hanging="228"/>
        <w:spacing w:after="0"/>
        <w:tabs>
          <w:tab w:leader="none" w:pos="19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political unrest or instability; and</w:t>
      </w:r>
    </w:p>
    <w:p>
      <w:pPr>
        <w:spacing w:after="0" w:line="129" w:lineRule="exact"/>
        <w:rPr>
          <w:rFonts w:ascii="Arial" w:cs="Arial" w:eastAsia="Arial" w:hAnsi="Arial"/>
          <w:sz w:val="12"/>
          <w:szCs w:val="12"/>
          <w:color w:val="auto"/>
        </w:rPr>
      </w:pPr>
    </w:p>
    <w:p>
      <w:pPr>
        <w:ind w:left="1980" w:right="1740" w:hanging="228"/>
        <w:spacing w:after="0" w:line="289" w:lineRule="auto"/>
        <w:tabs>
          <w:tab w:leader="none" w:pos="19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other events or factors, including those resulting from war, incidents of terrorism, or responses to these events, including the ongoing conflicts in Ukraine and the Middle East and tensions between China and Taiwan.</w:t>
      </w:r>
    </w:p>
    <w:p>
      <w:pPr>
        <w:spacing w:after="0" w:line="76" w:lineRule="exact"/>
        <w:rPr>
          <w:sz w:val="20"/>
          <w:szCs w:val="20"/>
          <w:color w:val="auto"/>
        </w:rPr>
      </w:pPr>
    </w:p>
    <w:p>
      <w:pPr>
        <w:ind w:left="1520" w:right="1760" w:firstLine="230"/>
        <w:spacing w:after="0" w:line="272" w:lineRule="auto"/>
        <w:rPr>
          <w:sz w:val="20"/>
          <w:szCs w:val="20"/>
          <w:color w:val="auto"/>
        </w:rPr>
      </w:pPr>
      <w:r>
        <w:rPr>
          <w:rFonts w:ascii="Arial" w:cs="Arial" w:eastAsia="Arial" w:hAnsi="Arial"/>
          <w:sz w:val="12"/>
          <w:szCs w:val="12"/>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adversely affect our business, financial condition, results of operations, and prospects.</w:t>
      </w:r>
    </w:p>
    <w:p>
      <w:pPr>
        <w:spacing w:after="0" w:line="87" w:lineRule="exact"/>
        <w:rPr>
          <w:sz w:val="20"/>
          <w:szCs w:val="20"/>
          <w:color w:val="auto"/>
        </w:rPr>
      </w:pPr>
    </w:p>
    <w:p>
      <w:pPr>
        <w:ind w:left="1520" w:right="1980"/>
        <w:spacing w:after="0" w:line="319" w:lineRule="auto"/>
        <w:rPr>
          <w:sz w:val="20"/>
          <w:szCs w:val="20"/>
          <w:color w:val="auto"/>
        </w:rPr>
      </w:pPr>
      <w:r>
        <w:rPr>
          <w:rFonts w:ascii="Arial" w:cs="Arial" w:eastAsia="Arial" w:hAnsi="Arial"/>
          <w:sz w:val="12"/>
          <w:szCs w:val="12"/>
          <w:b w:val="1"/>
          <w:bCs w:val="1"/>
          <w:i w:val="1"/>
          <w:iCs w:val="1"/>
          <w:color w:val="auto"/>
        </w:rPr>
        <w:t>No public market for our Class A common stock currently exists, and an active public trading market may not develop or be sustained following this offering.</w:t>
      </w:r>
    </w:p>
    <w:p>
      <w:pPr>
        <w:spacing w:after="0" w:line="52" w:lineRule="exact"/>
        <w:rPr>
          <w:sz w:val="20"/>
          <w:szCs w:val="20"/>
          <w:color w:val="auto"/>
        </w:rPr>
      </w:pPr>
    </w:p>
    <w:p>
      <w:pPr>
        <w:ind w:left="1520" w:right="1680" w:firstLine="230"/>
        <w:spacing w:after="0" w:line="272" w:lineRule="auto"/>
        <w:rPr>
          <w:sz w:val="20"/>
          <w:szCs w:val="20"/>
          <w:color w:val="auto"/>
        </w:rPr>
      </w:pPr>
      <w:r>
        <w:rPr>
          <w:rFonts w:ascii="Arial" w:cs="Arial" w:eastAsia="Arial" w:hAnsi="Arial"/>
          <w:sz w:val="12"/>
          <w:szCs w:val="12"/>
          <w:color w:val="auto"/>
        </w:rPr>
        <w:t>Prior to this offering, there has been no public market or active private market for our Class A common stock. We have applied to list our Class A common stock on Nasdaq. However, an active trading market may not develop following the completion of this offering or, if developed, may not be sustained. The lack of an active market may impair your ability to sell your shares at the time you wish to sell them or at a price that you consider reasonable. The lack of an active market may also reduce the market price of your shares of Class A common stock. An inactive market may also impair our ability to raise capital by selling shares and may impair our ability to acquire other companies or technologies by using our shares as consideration, and could negatively impact our business, financial condition, results of operations, and prospects.</w:t>
      </w:r>
    </w:p>
    <w:p>
      <w:pPr>
        <w:spacing w:after="0" w:line="244" w:lineRule="exact"/>
        <w:rPr>
          <w:sz w:val="20"/>
          <w:szCs w:val="20"/>
          <w:color w:val="auto"/>
        </w:rPr>
      </w:pPr>
    </w:p>
    <w:p>
      <w:pPr>
        <w:ind w:left="1520" w:right="1620"/>
        <w:spacing w:after="0" w:line="319" w:lineRule="auto"/>
        <w:rPr>
          <w:sz w:val="20"/>
          <w:szCs w:val="20"/>
          <w:color w:val="auto"/>
        </w:rPr>
      </w:pPr>
      <w:r>
        <w:rPr>
          <w:rFonts w:ascii="Arial" w:cs="Arial" w:eastAsia="Arial" w:hAnsi="Arial"/>
          <w:sz w:val="12"/>
          <w:szCs w:val="12"/>
          <w:b w:val="1"/>
          <w:bCs w:val="1"/>
          <w:i w:val="1"/>
          <w:iCs w:val="1"/>
          <w:color w:val="auto"/>
        </w:rPr>
        <w:t>Sales of substantial amounts of our Class A common stock in the public markets, or the perception that they might occur, could cause the market price of our Class A common stock to decline.</w:t>
      </w:r>
    </w:p>
    <w:p>
      <w:pPr>
        <w:spacing w:after="0" w:line="52" w:lineRule="exact"/>
        <w:rPr>
          <w:sz w:val="20"/>
          <w:szCs w:val="20"/>
          <w:color w:val="auto"/>
        </w:rPr>
      </w:pPr>
    </w:p>
    <w:p>
      <w:pPr>
        <w:ind w:left="1520" w:right="1580" w:firstLine="230"/>
        <w:spacing w:after="0" w:line="273" w:lineRule="auto"/>
        <w:rPr>
          <w:sz w:val="20"/>
          <w:szCs w:val="20"/>
          <w:color w:val="auto"/>
        </w:rPr>
      </w:pPr>
      <w:r>
        <w:rPr>
          <w:rFonts w:ascii="Arial" w:cs="Arial" w:eastAsia="Arial" w:hAnsi="Arial"/>
          <w:sz w:val="12"/>
          <w:szCs w:val="12"/>
          <w:color w:val="auto"/>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Based on the number of shares of our Class A common stock outstanding as of July 31, 2025, as adjusted based on the assumptions described in the section titled “Summary—The Offering,” we expect to have (i) 238,475,879 shares (if the underwriters exercise their option to purchase additional shares in full) of our Class A common stock and (ii) 15,304,696 shares of our Class B common stock outstanding after this offering.</w:t>
      </w:r>
    </w:p>
    <w:p>
      <w:pPr>
        <w:spacing w:after="0" w:line="241" w:lineRule="exact"/>
        <w:rPr>
          <w:sz w:val="20"/>
          <w:szCs w:val="20"/>
          <w:color w:val="auto"/>
        </w:rPr>
      </w:pPr>
    </w:p>
    <w:p>
      <w:pPr>
        <w:ind w:left="1520" w:right="1800" w:firstLine="230"/>
        <w:spacing w:after="0" w:line="312" w:lineRule="auto"/>
        <w:rPr>
          <w:sz w:val="20"/>
          <w:szCs w:val="20"/>
          <w:color w:val="auto"/>
        </w:rPr>
      </w:pPr>
      <w:r>
        <w:rPr>
          <w:rFonts w:ascii="Arial" w:cs="Arial" w:eastAsia="Arial" w:hAnsi="Arial"/>
          <w:sz w:val="12"/>
          <w:szCs w:val="12"/>
          <w:color w:val="auto"/>
        </w:rPr>
        <w:t>All of the shares of Class A common stock sold in this offering will be freely tradable without restrictions or further registration under the Securities Act, except for any shares held by our affiliates as</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680"/>
        <w:spacing w:after="0" w:line="312" w:lineRule="auto"/>
        <w:rPr>
          <w:sz w:val="20"/>
          <w:szCs w:val="20"/>
          <w:color w:val="auto"/>
        </w:rPr>
      </w:pPr>
      <w:r>
        <w:rPr>
          <w:rFonts w:ascii="Arial" w:cs="Arial" w:eastAsia="Arial" w:hAnsi="Arial"/>
          <w:sz w:val="12"/>
          <w:szCs w:val="12"/>
          <w:color w:val="auto"/>
        </w:rPr>
        <w:t>defined in Rule 144 under the Securities Act (including any shares that may be purchased by any of our affiliates in this offering). The remaining shares of our common stock are subject to the lock-up agreement</w:t>
      </w:r>
    </w:p>
    <w:p>
      <w:pPr>
        <w:sectPr>
          <w:pgSz w:w="11900" w:h="16840" w:orient="portrait"/>
          <w:cols w:equalWidth="0" w:num="1">
            <w:col w:w="9020"/>
          </w:cols>
          <w:pgMar w:left="1440" w:top="560" w:right="1440" w:bottom="66" w:gutter="0" w:footer="0" w:header="0"/>
        </w:sectPr>
      </w:pPr>
    </w:p>
    <w:bookmarkStart w:id="54" w:name="page55"/>
    <w:bookmarkEnd w:id="54"/>
    <w:p>
      <w:pPr>
        <w:ind w:left="1520"/>
        <w:spacing w:after="0"/>
        <w:rPr>
          <w:sz w:val="20"/>
          <w:szCs w:val="20"/>
          <w:color w:val="auto"/>
        </w:rPr>
      </w:pPr>
      <w:r>
        <w:rPr>
          <w:rFonts w:ascii="Arial" w:cs="Arial" w:eastAsia="Arial" w:hAnsi="Arial"/>
          <w:sz w:val="12"/>
          <w:szCs w:val="12"/>
          <w:color w:val="auto"/>
        </w:rPr>
        <w:t>or market stand-off agreements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7" w:lineRule="exact"/>
        <w:rPr>
          <w:sz w:val="20"/>
          <w:szCs w:val="20"/>
          <w:color w:val="auto"/>
        </w:rPr>
      </w:pPr>
    </w:p>
    <w:p>
      <w:pPr>
        <w:ind w:left="1520" w:right="1640" w:firstLine="230"/>
        <w:spacing w:after="0" w:line="267" w:lineRule="auto"/>
        <w:rPr>
          <w:sz w:val="20"/>
          <w:szCs w:val="20"/>
          <w:color w:val="auto"/>
        </w:rPr>
      </w:pPr>
      <w:r>
        <w:rPr>
          <w:rFonts w:ascii="Arial" w:cs="Arial" w:eastAsia="Arial" w:hAnsi="Arial"/>
          <w:sz w:val="12"/>
          <w:szCs w:val="12"/>
          <w:color w:val="auto"/>
        </w:rPr>
        <w:t>We, all of our directors and executive officers, the selling stockholders, and the other holders of substantially all of our common stock outstanding and securities exercisable for or convertible into our common stock, have entered into or will enter into agreements with the underwriters, under which we and such holders have agreed, or will agree, not to (i) offer, sell, contract to sell, pledge, grant any option, right or warrant to purchase, purchase any option or contract to sell, lend or otherwise transfer or dispose of any shares of our common stock or any options or warrants to purchase any shares of our common stock, or any securities convertible into, exchangeable for or that represent the right to receive shares of our common stock, which we collectively refer to as the Lock-Up Securities , (ii) engage in any hedging transactions or similar arrangement with respect to the Lock-Up Securities, (iii) make any demand for or exercise any right with respect to the registration of the Lock-Up Securities, or (iv) otherwise publicly announce any intention to engage in or cause any action, activity, transaction or arrangement described in clauses (i), (ii) or (iii), during the period ending on the earlier of (A) the opening of trading on the second trading day following our public release of earnings for the fiscal quarter and year ending January 31, 2026, and (B) the date that is 180 days after the date of this prospectus, or the Lock-Up Period, subject to certain customary exceptions and certain provisions that provide for the release of certain shares of our Class A common stock. In addition, Goldman Sachs &amp; Co. LLC and Citigroup Global Markets Inc., on behalf of the underwriters, may, in their sole discretion, release all or some portion of the shares subject to lock-up agreements prior to the expiration of the Lock-Up Period. In addition, our executive officers, directors and holders of a substantial majority of all of our capital stock and securities convertible into or exchangeable for our capital stock are subject to market standoff provisions under which they have agreed not to directly or indirectly sell, offer to sell, grant any option for the sale of, or otherwise dispose of our capital stock, subject to certain exceptions, for a period of 180 days after the date of this prospectus. See the sections titled “Shares Eligible for Future Sale” and “Underwriting” for more information. When the Lock-Up Period expires, we and our security holders subject to a lock-up agreement or market stand-off agreement will be able to sell our shares in the public market. See the sections titled “Shares Eligible for Future Sale” and “Underwriting” for more information. Sales of a substantial number of such shares upon expiration of the lock-up and market stand-off agreements, or the perception that such sales may occur, or early release of these agreements, could cause our market price to fall or make it more difficult for you to sell your Class A common stock at a time and price that you deem appropriate.</w:t>
      </w:r>
    </w:p>
    <w:p>
      <w:pPr>
        <w:spacing w:after="0" w:line="200" w:lineRule="exact"/>
        <w:rPr>
          <w:sz w:val="20"/>
          <w:szCs w:val="20"/>
          <w:color w:val="auto"/>
        </w:rPr>
      </w:pPr>
    </w:p>
    <w:p>
      <w:pPr>
        <w:spacing w:after="0" w:line="207" w:lineRule="exact"/>
        <w:rPr>
          <w:sz w:val="20"/>
          <w:szCs w:val="20"/>
          <w:color w:val="auto"/>
        </w:rPr>
      </w:pPr>
    </w:p>
    <w:p>
      <w:pPr>
        <w:ind w:left="1520" w:right="1640" w:firstLine="230"/>
        <w:spacing w:after="0" w:line="270" w:lineRule="auto"/>
        <w:rPr>
          <w:sz w:val="20"/>
          <w:szCs w:val="20"/>
          <w:color w:val="auto"/>
        </w:rPr>
      </w:pPr>
      <w:r>
        <w:rPr>
          <w:rFonts w:ascii="Arial" w:cs="Arial" w:eastAsia="Arial" w:hAnsi="Arial"/>
          <w:sz w:val="12"/>
          <w:szCs w:val="12"/>
          <w:color w:val="auto"/>
        </w:rPr>
        <w:t>In addition, as of July 31, 2025, we had options outstanding that, if fully exercised, would result in the issuance of 41,581,733 shares of Class A common stock, of which 8,611,649 shares will be exchangeable for an equal number of shares of Class B common stock , restricted stock units, or RSUs, outstanding to be settled in 7,771,766 shares of Class A common stock, of which 1,742,147 shares will be exchangeable for an equal number of shares of Class B common stock , and warrants outstanding that, if exercised, would result in the issuance of 1,743,032 shares of Class A common stock. We also granted options to purchase 339,246 shares of Class A common stock and 2,250,259 RSUs subsequent to July 31, 2025. All of the shares of Class A common stock issuable upon the exercise of stock options and settlement of RSUs, and the shares reserved for future issuance under our equity incentive plans, will be registered for public resale under the Securities Act. Accordingly, these shares will be able to be freely sold in the public market upon issuance subject to existing lock-up agreements or market standoff provisions and applicable vesting requirements.</w:t>
      </w:r>
    </w:p>
    <w:p>
      <w:pPr>
        <w:spacing w:after="0" w:line="244" w:lineRule="exact"/>
        <w:rPr>
          <w:sz w:val="20"/>
          <w:szCs w:val="20"/>
          <w:color w:val="auto"/>
        </w:rPr>
      </w:pPr>
    </w:p>
    <w:p>
      <w:pPr>
        <w:ind w:left="1520" w:right="1740" w:firstLine="230"/>
        <w:spacing w:after="0" w:line="275" w:lineRule="auto"/>
        <w:rPr>
          <w:sz w:val="20"/>
          <w:szCs w:val="20"/>
          <w:color w:val="auto"/>
        </w:rPr>
      </w:pPr>
      <w:r>
        <w:rPr>
          <w:rFonts w:ascii="Arial" w:cs="Arial" w:eastAsia="Arial" w:hAnsi="Arial"/>
          <w:sz w:val="12"/>
          <w:szCs w:val="12"/>
          <w:color w:val="auto"/>
        </w:rPr>
        <w:t>We anticipate net settling the IPO Vesting RSUs pursuant to the RSU Net Settlement. For RSUs that vest following the effectiveness of the registration statement of which this prospectus forms a part and prior to the expiration of the Lock-Up Period, we expect to satisfy the related tax withholding obligations through sell-to-cover transactions. However, we will continue to have discretion to net-settle rather than sell-to-cover shares underlying these RSUs in order to satisfy the associated tax withholding and remittance obligations. Both the lock-up agreements and the market standoff provisions permit sell-to-</w:t>
      </w: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80"/>
        <w:spacing w:after="0" w:line="281" w:lineRule="auto"/>
        <w:rPr>
          <w:sz w:val="20"/>
          <w:szCs w:val="20"/>
          <w:color w:val="auto"/>
        </w:rPr>
      </w:pPr>
      <w:r>
        <w:rPr>
          <w:rFonts w:ascii="Arial" w:cs="Arial" w:eastAsia="Arial" w:hAnsi="Arial"/>
          <w:sz w:val="12"/>
          <w:szCs w:val="12"/>
          <w:color w:val="auto"/>
        </w:rPr>
        <w:t>cover transactions in connection with the vesting or settlement of RSUs during the Lock-Up Period. As a result, up to approximately 0.2 million shares of our Class A common stock may be sold into the open market during the Lock-Up Period in connection with such sell-to-cover transactions, which number may fluctuate due to, among other things, the actual withholding rate applicable to such RSU settlements.</w:t>
      </w:r>
    </w:p>
    <w:p>
      <w:pPr>
        <w:spacing w:after="0" w:line="81" w:lineRule="exact"/>
        <w:rPr>
          <w:sz w:val="20"/>
          <w:szCs w:val="20"/>
          <w:color w:val="auto"/>
        </w:rPr>
      </w:pPr>
    </w:p>
    <w:p>
      <w:pPr>
        <w:ind w:left="1520" w:right="1620" w:firstLine="230"/>
        <w:spacing w:after="0" w:line="289" w:lineRule="auto"/>
        <w:rPr>
          <w:sz w:val="20"/>
          <w:szCs w:val="20"/>
          <w:color w:val="auto"/>
        </w:rPr>
      </w:pPr>
      <w:r>
        <w:rPr>
          <w:rFonts w:ascii="Arial" w:cs="Arial" w:eastAsia="Arial" w:hAnsi="Arial"/>
          <w:sz w:val="12"/>
          <w:szCs w:val="12"/>
          <w:color w:val="auto"/>
        </w:rPr>
        <w:t>Immediately following this offering, the holders of 156,483,658 shares of our capital stock have rights, subject to some conditions, to require us to file registration statements for the public resale of such capital stock or to include such shares in registration statements that we may file for us or other stockholders.</w:t>
      </w:r>
    </w:p>
    <w:p>
      <w:pPr>
        <w:spacing w:after="0" w:line="76" w:lineRule="exact"/>
        <w:rPr>
          <w:sz w:val="20"/>
          <w:szCs w:val="20"/>
          <w:color w:val="auto"/>
        </w:rPr>
      </w:pPr>
    </w:p>
    <w:p>
      <w:pPr>
        <w:ind w:left="1520" w:right="1760" w:firstLine="230"/>
        <w:spacing w:after="0" w:line="281" w:lineRule="auto"/>
        <w:rPr>
          <w:sz w:val="20"/>
          <w:szCs w:val="20"/>
          <w:color w:val="auto"/>
        </w:rPr>
      </w:pPr>
      <w:r>
        <w:rPr>
          <w:rFonts w:ascii="Arial" w:cs="Arial" w:eastAsia="Arial" w:hAnsi="Arial"/>
          <w:sz w:val="12"/>
          <w:szCs w:val="12"/>
          <w:color w:val="auto"/>
        </w:rPr>
        <w:t>We may also issue our shares of Class A common stock or securities convertible into shares of our Class A common stock from time to time in connection with a financing, acquisition, investments, or otherwise. If we are unable to effectively manage the risks relating to the price of our Class A common stock, our business, financial condition, results of operations, and prospects could be adversely affected.</w:t>
      </w:r>
    </w:p>
    <w:p>
      <w:pPr>
        <w:spacing w:after="0" w:line="83" w:lineRule="exact"/>
        <w:rPr>
          <w:sz w:val="20"/>
          <w:szCs w:val="20"/>
          <w:color w:val="auto"/>
        </w:rPr>
      </w:pPr>
    </w:p>
    <w:p>
      <w:pPr>
        <w:ind w:left="1520" w:right="1640"/>
        <w:spacing w:after="0" w:line="267" w:lineRule="auto"/>
        <w:rPr>
          <w:sz w:val="20"/>
          <w:szCs w:val="20"/>
          <w:color w:val="auto"/>
        </w:rPr>
      </w:pPr>
      <w:r>
        <w:rPr>
          <w:rFonts w:ascii="Arial" w:cs="Arial" w:eastAsia="Arial" w:hAnsi="Arial"/>
          <w:sz w:val="12"/>
          <w:szCs w:val="12"/>
          <w:b w:val="1"/>
          <w:bCs w:val="1"/>
          <w:i w:val="1"/>
          <w:iCs w:val="1"/>
          <w:color w:val="auto"/>
        </w:rPr>
        <w:t xml:space="preserve">The dual class structure of our common stock has the effect of concentrating voting power with </w:t>
      </w:r>
      <w:r>
        <w:rPr>
          <w:rFonts w:ascii="Arial" w:cs="Arial" w:eastAsia="Arial" w:hAnsi="Arial"/>
          <w:sz w:val="12"/>
          <w:szCs w:val="12"/>
          <w:b w:val="1"/>
          <w:bCs w:val="1"/>
          <w:i w:val="1"/>
          <w:iCs w:val="1"/>
          <w:color w:val="auto"/>
          <w:highlight w:val="white"/>
        </w:rPr>
        <w:t>Ariel Cohen and Ilan Twig,</w:t>
      </w:r>
      <w:r>
        <w:rPr>
          <w:sz w:val="1"/>
          <w:szCs w:val="1"/>
          <w:color w:val="auto"/>
        </w:rPr>
        <w:drawing>
          <wp:inline distT="0" distB="0" distL="0" distR="0">
            <wp:extent cx="6350" cy="5461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50" cy="54610"/>
                    </a:xfrm>
                    <a:prstGeom prst="rect">
                      <a:avLst/>
                    </a:prstGeom>
                    <a:noFill/>
                    <a:ln>
                      <a:noFill/>
                    </a:ln>
                  </pic:spPr>
                </pic:pic>
              </a:graphicData>
            </a:graphic>
          </wp:inline>
        </w:drawing>
        <w:drawing>
          <wp:inline distT="0" distB="0" distL="0" distR="0">
            <wp:extent cx="24130" cy="9144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130" cy="91440"/>
                    </a:xfrm>
                    <a:prstGeom prst="rect">
                      <a:avLst/>
                    </a:prstGeom>
                    <a:noFill/>
                    <a:ln>
                      <a:noFill/>
                    </a:ln>
                  </pic:spPr>
                </pic:pic>
              </a:graphicData>
            </a:graphic>
          </wp:inline>
        </w:drawing>
      </w:r>
      <w:r>
        <w:rPr>
          <w:rFonts w:ascii="Arial" w:cs="Arial" w:eastAsia="Arial" w:hAnsi="Arial"/>
          <w:sz w:val="12"/>
          <w:szCs w:val="12"/>
          <w:b w:val="1"/>
          <w:bCs w:val="1"/>
          <w:i w:val="1"/>
          <w:iCs w:val="1"/>
          <w:color w:val="auto"/>
        </w:rPr>
        <w:t>our co -founders, which will limit your ability to influence the outcome of important transactions, including a change in control.</w:t>
      </w:r>
    </w:p>
    <w:p>
      <w:pPr>
        <w:spacing w:after="0" w:line="81" w:lineRule="exact"/>
        <w:rPr>
          <w:sz w:val="20"/>
          <w:szCs w:val="20"/>
          <w:color w:val="auto"/>
        </w:rPr>
      </w:pPr>
    </w:p>
    <w:p>
      <w:pPr>
        <w:ind w:left="1520" w:right="1680" w:firstLine="230"/>
        <w:spacing w:after="0" w:line="268" w:lineRule="auto"/>
        <w:rPr>
          <w:sz w:val="20"/>
          <w:szCs w:val="20"/>
          <w:color w:val="auto"/>
        </w:rPr>
      </w:pPr>
      <w:r>
        <w:rPr>
          <w:rFonts w:ascii="Arial" w:cs="Arial" w:eastAsia="Arial" w:hAnsi="Arial"/>
          <w:sz w:val="12"/>
          <w:szCs w:val="12"/>
          <w:color w:val="auto"/>
        </w:rPr>
        <w:t>Our Class B common stock has 30 votes per share, and our Class A common stock, which is the stock we are offering by means of this prospectus, has one vote per share. Upon the completion of this offering, our co-founders will together hold all of the issued and outstanding shares of our Class B common stock. Accordingly, upon the completion of this offering, Ariel Cohen, our co-founder, Chief Executive Officer, and a member of our board of directors will hold, together with his affiliates, approximately 24% of the voting power of our outstanding capital stock; and Ilan Twig, our co-founder, Chief Technology Officer, and a member of our board of directors, will hold, together with his affiliates, approximately 43% of the voting power of our outstanding capital stock, which voting power may increase over time upon the exercise or settlement and exchange of equity awards held by our co-founders pursuant to their Equity Exchange Rights. Therefore, our co-founders, individually or together, will be able to significantly influence matters submitted to our stockholders for approval, including the election of directors, amendments of our organizational documents and any merger, consolidation, sale of all or substantially all of our assets or other major corporate transactions. Additionally, upon (i) the date that Mr. Twig is no longer providing services to us as an officer, employee, or director, or (ii) the date of the death or disability of Mr. Twig, a voting proxy will automatically be granted to Mr. Cohen over all of the shares of Class B common stock held by Mr. Twig and his related entities and permitted transferees, such that Mr. Cohen will have exclusive voting control over such shares, and such shares will remain as Class B common stock. Our co-founders, individually or together, may have interests that differ from yours and may vote in a way with which you disagree and which may be adverse to your interests. This concentrated control may have the effect of delaying, preventing, or deterring a change in control of our company, could deprive our stockholders of an opportunity to receive a premium for their capital stock as</w:t>
      </w:r>
    </w:p>
    <w:p>
      <w:pPr>
        <w:sectPr>
          <w:pgSz w:w="11900" w:h="16840" w:orient="portrait"/>
          <w:cols w:equalWidth="0" w:num="1">
            <w:col w:w="9020"/>
          </w:cols>
          <w:pgMar w:left="1440" w:top="560" w:right="1440" w:bottom="88" w:gutter="0" w:footer="0" w:header="0"/>
        </w:sectPr>
      </w:pPr>
    </w:p>
    <w:bookmarkStart w:id="55" w:name="page56"/>
    <w:bookmarkEnd w:id="55"/>
    <w:p>
      <w:pPr>
        <w:ind w:left="1520"/>
        <w:spacing w:after="0"/>
        <w:rPr>
          <w:sz w:val="20"/>
          <w:szCs w:val="20"/>
          <w:color w:val="auto"/>
        </w:rPr>
      </w:pPr>
      <w:r>
        <w:rPr>
          <w:rFonts w:ascii="Arial" w:cs="Arial" w:eastAsia="Arial" w:hAnsi="Arial"/>
          <w:sz w:val="12"/>
          <w:szCs w:val="12"/>
          <w:color w:val="auto"/>
        </w:rPr>
        <w:t>part of a sale of our company and might ultimately affect the market price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14"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Future transfers by the holders of Class B common stock will generally result in those shares</w:t>
      </w:r>
    </w:p>
    <w:p>
      <w:pPr>
        <w:spacing w:after="0" w:line="27" w:lineRule="exact"/>
        <w:rPr>
          <w:sz w:val="20"/>
          <w:szCs w:val="20"/>
          <w:color w:val="auto"/>
        </w:rPr>
      </w:pPr>
    </w:p>
    <w:p>
      <w:pPr>
        <w:ind w:left="1520" w:right="1720"/>
        <w:spacing w:after="0" w:line="268" w:lineRule="auto"/>
        <w:rPr>
          <w:sz w:val="20"/>
          <w:szCs w:val="20"/>
          <w:color w:val="auto"/>
        </w:rPr>
      </w:pPr>
      <w:r>
        <w:rPr>
          <w:rFonts w:ascii="Arial" w:cs="Arial" w:eastAsia="Arial" w:hAnsi="Arial"/>
          <w:sz w:val="12"/>
          <w:szCs w:val="12"/>
          <w:color w:val="auto"/>
        </w:rPr>
        <w:t>automatically converting into shares of Class A common stock, subject to limited exceptions, such as certain transfers effected for estate planning. In addition, each outstanding share of Class B common stock will convert automatically into a share of Class A common stock upon the earliest to occur following this offering: (i) the date fixed by our board of directors that is no less than 61 days and no more than 180 days following the first date following the completion of this offering on which the number of shares of our Class B common stock, and any shares of Class B common stock underlying equity securities, held by Mr. Cohen, and his permitted entities and permitted transferees, is less than 20% of the Class B common stock held by Mr. Cohen and his permitted entities as of immediately following the completion of this offering; (ii) the last trading day of the fiscal year following the tenth anniversary of this offering; (iii) the date fixed by our board of directors that is no less than 61 days and no more than 180 days following the date on which Mr. Cohen is no longer providing services as an officer or employee and Mr. Cohen is no longer a member of our board of directors as a result of his voluntary resignation or agreement not to stand for reelection; (iv) the date fixed by our board of directors that is no less than 61 days and no more</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40"/>
        <w:spacing w:after="0" w:line="276" w:lineRule="auto"/>
        <w:rPr>
          <w:sz w:val="20"/>
          <w:szCs w:val="20"/>
          <w:color w:val="auto"/>
        </w:rPr>
      </w:pPr>
      <w:r>
        <w:rPr>
          <w:rFonts w:ascii="Arial" w:cs="Arial" w:eastAsia="Arial" w:hAnsi="Arial"/>
          <w:sz w:val="12"/>
          <w:szCs w:val="12"/>
          <w:color w:val="auto"/>
        </w:rPr>
        <w:t>than 180 days following the date on which Mr. Cohen is terminated for cause (as defined in our amended and restated certificate of incorporation); and (v) twelve months after Mr. Cohen’s death or disability (as defined in our amended and restated certificate of incorporation). For information about our dual class structure, see the section titled “Description of Capital Stock.” If we are unable to effectively manage these risks, our business, financial condition, results of operations, and prospects could be adversely affected.</w:t>
      </w:r>
    </w:p>
    <w:p>
      <w:pPr>
        <w:spacing w:after="0" w:line="242" w:lineRule="exact"/>
        <w:rPr>
          <w:sz w:val="20"/>
          <w:szCs w:val="20"/>
          <w:color w:val="auto"/>
        </w:rPr>
      </w:pPr>
    </w:p>
    <w:p>
      <w:pPr>
        <w:ind w:left="1520" w:right="1960"/>
        <w:spacing w:after="0" w:line="319" w:lineRule="auto"/>
        <w:rPr>
          <w:sz w:val="20"/>
          <w:szCs w:val="20"/>
          <w:color w:val="auto"/>
        </w:rPr>
      </w:pPr>
      <w:r>
        <w:rPr>
          <w:rFonts w:ascii="Arial" w:cs="Arial" w:eastAsia="Arial" w:hAnsi="Arial"/>
          <w:sz w:val="12"/>
          <w:szCs w:val="12"/>
          <w:b w:val="1"/>
          <w:bCs w:val="1"/>
          <w:i w:val="1"/>
          <w:iCs w:val="1"/>
          <w:color w:val="auto"/>
        </w:rPr>
        <w:t>The dual class structure of our common stock may adversely affect the trading market for our Class A common stock.</w:t>
      </w:r>
    </w:p>
    <w:p>
      <w:pPr>
        <w:spacing w:after="0" w:line="52" w:lineRule="exact"/>
        <w:rPr>
          <w:sz w:val="20"/>
          <w:szCs w:val="20"/>
          <w:color w:val="auto"/>
        </w:rPr>
      </w:pPr>
    </w:p>
    <w:p>
      <w:pPr>
        <w:ind w:left="1520" w:right="1700" w:firstLine="230"/>
        <w:spacing w:after="0" w:line="269" w:lineRule="auto"/>
        <w:rPr>
          <w:sz w:val="20"/>
          <w:szCs w:val="20"/>
          <w:color w:val="auto"/>
        </w:rPr>
      </w:pPr>
      <w:r>
        <w:rPr>
          <w:rFonts w:ascii="Arial" w:cs="Arial" w:eastAsia="Arial" w:hAnsi="Arial"/>
          <w:sz w:val="12"/>
          <w:szCs w:val="12"/>
          <w:color w:val="auto"/>
        </w:rPr>
        <w:t>We cannot predict whether our dual class structure will result in a lower or more volatile market price of our Class A common stock, adverse publicity, or other adverse consequences. Certain stock index providers exclude companies with multi-class share structures from being added to certain of its indices. In addition, several stockholder advisory firms and large institutional investors oppose the use of multiple class structures. As a result, the dual class structure of our common stock may make us ineligible for inclusion in certain indices and may discourage such indices from selecting us for inclusion, notwithstanding our automatic termination provision, may cause stockholder advisory firms to publish negative commentary about our corporate governance practices or otherwise seek to cause us to change our capital structure, and may result in large institutional investors not purchasing shares of our Class A common stock. Given the sustained flow of investment funds into passive strategies that seek to track certain indices, any exclusion from certain stock indices could result in less demand for our Class A common stock. Any actions or publications by stockholder advisory firms or institutional investors critical of our corporate governance practices or capital structure could also adversely affect the value of our Class A common stock, and could adversely affect our business, financial condition, results of operations, and prospects.</w:t>
      </w:r>
    </w:p>
    <w:p>
      <w:pPr>
        <w:spacing w:after="0" w:line="248" w:lineRule="exact"/>
        <w:rPr>
          <w:sz w:val="20"/>
          <w:szCs w:val="20"/>
          <w:color w:val="auto"/>
        </w:rPr>
      </w:pPr>
    </w:p>
    <w:p>
      <w:pPr>
        <w:ind w:left="1520" w:right="1980"/>
        <w:spacing w:after="0" w:line="319" w:lineRule="auto"/>
        <w:rPr>
          <w:sz w:val="20"/>
          <w:szCs w:val="20"/>
          <w:color w:val="auto"/>
        </w:rPr>
      </w:pPr>
      <w:r>
        <w:rPr>
          <w:rFonts w:ascii="Arial" w:cs="Arial" w:eastAsia="Arial" w:hAnsi="Arial"/>
          <w:sz w:val="12"/>
          <w:szCs w:val="12"/>
          <w:b w:val="1"/>
          <w:bCs w:val="1"/>
          <w:i w:val="1"/>
          <w:iCs w:val="1"/>
          <w:color w:val="auto"/>
        </w:rPr>
        <w:t>Investors’ expectations of our performance relating to environmental, social, and governance factors may impose additional costs and expose us to new risks.</w:t>
      </w:r>
    </w:p>
    <w:p>
      <w:pPr>
        <w:spacing w:after="0" w:line="52" w:lineRule="exact"/>
        <w:rPr>
          <w:sz w:val="20"/>
          <w:szCs w:val="20"/>
          <w:color w:val="auto"/>
        </w:rPr>
      </w:pPr>
    </w:p>
    <w:p>
      <w:pPr>
        <w:ind w:left="1520" w:right="1680" w:firstLine="230"/>
        <w:spacing w:after="0" w:line="275" w:lineRule="auto"/>
        <w:rPr>
          <w:sz w:val="20"/>
          <w:szCs w:val="20"/>
          <w:color w:val="auto"/>
        </w:rPr>
      </w:pPr>
      <w:r>
        <w:rPr>
          <w:rFonts w:ascii="Arial" w:cs="Arial" w:eastAsia="Arial" w:hAnsi="Arial"/>
          <w:sz w:val="12"/>
          <w:szCs w:val="12"/>
          <w:color w:val="auto"/>
        </w:rPr>
        <w:t>There is an increasing focus from certain investors, employees, customers, and other stakeholders concerning corporate responsibility, specifically related to environmental, social, and governance, or ESG, matters. Some investors may use these non-financial performance factors to guide their investment strategies and, in some cases, may choose not to invest in us if they believe our policies and actions relating to corporate responsibility are inadequate. We may face reputational damage in the event that we do not meet the ESG standards set by various constituencies.</w:t>
      </w:r>
    </w:p>
    <w:p>
      <w:pPr>
        <w:spacing w:after="0" w:line="85" w:lineRule="exact"/>
        <w:rPr>
          <w:sz w:val="20"/>
          <w:szCs w:val="20"/>
          <w:color w:val="auto"/>
        </w:rPr>
      </w:pPr>
    </w:p>
    <w:p>
      <w:pPr>
        <w:ind w:left="1520" w:right="1680" w:firstLine="230"/>
        <w:spacing w:after="0" w:line="273" w:lineRule="auto"/>
        <w:rPr>
          <w:sz w:val="20"/>
          <w:szCs w:val="20"/>
          <w:color w:val="auto"/>
        </w:rPr>
      </w:pPr>
      <w:r>
        <w:rPr>
          <w:rFonts w:ascii="Arial" w:cs="Arial" w:eastAsia="Arial" w:hAnsi="Arial"/>
          <w:sz w:val="12"/>
          <w:szCs w:val="12"/>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ESG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business, financial condition, results of operations, and prospects could be adversely affected.</w:t>
      </w:r>
    </w:p>
    <w:p>
      <w:pPr>
        <w:spacing w:after="0" w:line="90" w:lineRule="exact"/>
        <w:rPr>
          <w:sz w:val="20"/>
          <w:szCs w:val="20"/>
          <w:color w:val="auto"/>
        </w:rPr>
      </w:pPr>
    </w:p>
    <w:p>
      <w:pPr>
        <w:jc w:val="both"/>
        <w:ind w:left="1520" w:right="1820"/>
        <w:spacing w:after="0" w:line="292" w:lineRule="auto"/>
        <w:rPr>
          <w:sz w:val="20"/>
          <w:szCs w:val="20"/>
          <w:color w:val="auto"/>
        </w:rPr>
      </w:pPr>
      <w:r>
        <w:rPr>
          <w:rFonts w:ascii="Arial" w:cs="Arial" w:eastAsia="Arial" w:hAnsi="Arial"/>
          <w:sz w:val="12"/>
          <w:szCs w:val="12"/>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68" w:lineRule="exact"/>
        <w:rPr>
          <w:sz w:val="20"/>
          <w:szCs w:val="20"/>
          <w:color w:val="auto"/>
        </w:rPr>
      </w:pPr>
    </w:p>
    <w:p>
      <w:pPr>
        <w:ind w:left="1520" w:right="1740" w:firstLine="230"/>
        <w:spacing w:after="0" w:line="273" w:lineRule="auto"/>
        <w:rPr>
          <w:sz w:val="20"/>
          <w:szCs w:val="20"/>
          <w:color w:val="auto"/>
        </w:rPr>
      </w:pPr>
      <w:r>
        <w:rPr>
          <w:rFonts w:ascii="Arial" w:cs="Arial" w:eastAsia="Arial" w:hAnsi="Arial"/>
          <w:sz w:val="12"/>
          <w:szCs w:val="12"/>
          <w:color w:val="auto"/>
        </w:rPr>
        <w:t>The trading market for our Class A common stock will be influenced by the research and reports that industry or financial analysts publish about us or our business. We do not control these analysts or the content and opinions included in their reports. As a new public company, we may be slow to attract research coverage and the analysts who publish information about our Class A common stock will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680"/>
        <w:spacing w:after="0" w:line="272" w:lineRule="auto"/>
        <w:rPr>
          <w:sz w:val="20"/>
          <w:szCs w:val="20"/>
          <w:color w:val="auto"/>
        </w:rPr>
      </w:pPr>
      <w:r>
        <w:rPr>
          <w:rFonts w:ascii="Arial" w:cs="Arial" w:eastAsia="Arial" w:hAnsi="Arial"/>
          <w:sz w:val="12"/>
          <w:szCs w:val="12"/>
          <w:color w:val="auto"/>
        </w:rPr>
        <w:t>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results of operations fail to meet, or significantly exceed, our announced guidance or the expectations of analysts or public investors, analysts could downgrade our Class A common stock or publish unfavorable research about us. If one or more of these analysts cease coverage of our Class A common stock or fail to publish reports on us regularly, our visibility in the financial markets could decrease, which in turn could cause our stock price or trading volume to decline and could cause</w:t>
      </w:r>
    </w:p>
    <w:p>
      <w:pPr>
        <w:sectPr>
          <w:pgSz w:w="11900" w:h="16840" w:orient="portrait"/>
          <w:cols w:equalWidth="0" w:num="1">
            <w:col w:w="9020"/>
          </w:cols>
          <w:pgMar w:left="1440" w:top="560" w:right="1440" w:bottom="0" w:gutter="0" w:footer="0" w:header="0"/>
        </w:sectPr>
      </w:pPr>
    </w:p>
    <w:bookmarkStart w:id="56" w:name="page57"/>
    <w:bookmarkEnd w:id="56"/>
    <w:p>
      <w:pPr>
        <w:ind w:left="1520"/>
        <w:spacing w:after="0"/>
        <w:rPr>
          <w:sz w:val="20"/>
          <w:szCs w:val="20"/>
          <w:color w:val="auto"/>
        </w:rPr>
      </w:pPr>
      <w:r>
        <w:rPr>
          <w:rFonts w:ascii="Arial" w:cs="Arial" w:eastAsia="Arial" w:hAnsi="Arial"/>
          <w:sz w:val="12"/>
          <w:szCs w:val="12"/>
          <w:color w:val="auto"/>
        </w:rPr>
        <w:t>our business, financial condition, results of operations, and prospects to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-86995</wp:posOffset>
            </wp:positionV>
            <wp:extent cx="6732270" cy="99707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112" w:lineRule="exact"/>
        <w:rPr>
          <w:sz w:val="20"/>
          <w:szCs w:val="20"/>
          <w:color w:val="auto"/>
        </w:rPr>
      </w:pPr>
    </w:p>
    <w:p>
      <w:pPr>
        <w:ind w:left="1520"/>
        <w:spacing w:after="0"/>
        <w:rPr>
          <w:sz w:val="20"/>
          <w:szCs w:val="20"/>
          <w:color w:val="auto"/>
        </w:rPr>
      </w:pPr>
      <w:r>
        <w:rPr>
          <w:rFonts w:ascii="Arial" w:cs="Arial" w:eastAsia="Arial" w:hAnsi="Arial"/>
          <w:sz w:val="12"/>
          <w:szCs w:val="12"/>
          <w:b w:val="1"/>
          <w:bCs w:val="1"/>
          <w:i w:val="1"/>
          <w:iCs w:val="1"/>
          <w:color w:val="auto"/>
        </w:rPr>
        <w:t>We could be subject to securities class action litigation.</w:t>
      </w:r>
    </w:p>
    <w:p>
      <w:pPr>
        <w:spacing w:after="0" w:line="128" w:lineRule="exact"/>
        <w:rPr>
          <w:sz w:val="20"/>
          <w:szCs w:val="20"/>
          <w:color w:val="auto"/>
        </w:rPr>
      </w:pPr>
    </w:p>
    <w:p>
      <w:pPr>
        <w:ind w:left="1520" w:right="1720" w:firstLine="230"/>
        <w:spacing w:after="0" w:line="273" w:lineRule="auto"/>
        <w:rPr>
          <w:sz w:val="20"/>
          <w:szCs w:val="20"/>
          <w:color w:val="auto"/>
        </w:rPr>
      </w:pPr>
      <w:r>
        <w:rPr>
          <w:rFonts w:ascii="Arial" w:cs="Arial" w:eastAsia="Arial" w:hAnsi="Arial"/>
          <w:sz w:val="12"/>
          <w:szCs w:val="12"/>
          <w:color w:val="auto"/>
        </w:rPr>
        <w:t>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could adversely affect our business, financial condition, results of operations, and prospects.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90" w:lineRule="exact"/>
        <w:rPr>
          <w:sz w:val="20"/>
          <w:szCs w:val="20"/>
          <w:color w:val="auto"/>
        </w:rPr>
      </w:pPr>
    </w:p>
    <w:p>
      <w:pPr>
        <w:ind w:left="1520" w:right="1800"/>
        <w:spacing w:after="0" w:line="319" w:lineRule="auto"/>
        <w:rPr>
          <w:sz w:val="20"/>
          <w:szCs w:val="20"/>
          <w:color w:val="auto"/>
        </w:rPr>
      </w:pPr>
      <w:r>
        <w:rPr>
          <w:rFonts w:ascii="Arial" w:cs="Arial" w:eastAsia="Arial" w:hAnsi="Arial"/>
          <w:sz w:val="12"/>
          <w:szCs w:val="12"/>
          <w:b w:val="1"/>
          <w:bCs w:val="1"/>
          <w:i w:val="1"/>
          <w:iCs w:val="1"/>
          <w:color w:val="auto"/>
        </w:rPr>
        <w:t>We will have broad discretion in the use of the net proceeds to us from this offering and may not use them effectively.</w:t>
      </w:r>
    </w:p>
    <w:p>
      <w:pPr>
        <w:spacing w:after="0" w:line="52"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If we do not use the net proceeds that we receive in this offering effectively, our business, financial condition, results of operations, and prospects could be harmed, and the market price of our Class A common stock could decline, and our business, financial condition, results of operations, and prospects could be adversely affected. Pending their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These investments may not yield a favorable return to our investors.</w:t>
      </w:r>
    </w:p>
    <w:p>
      <w:pPr>
        <w:spacing w:after="0" w:line="91" w:lineRule="exact"/>
        <w:rPr>
          <w:sz w:val="20"/>
          <w:szCs w:val="20"/>
          <w:color w:val="auto"/>
        </w:rPr>
      </w:pPr>
    </w:p>
    <w:p>
      <w:pPr>
        <w:jc w:val="both"/>
        <w:ind w:left="1520" w:right="1620"/>
        <w:spacing w:after="0" w:line="292" w:lineRule="auto"/>
        <w:rPr>
          <w:sz w:val="20"/>
          <w:szCs w:val="20"/>
          <w:color w:val="auto"/>
        </w:rPr>
      </w:pPr>
      <w:r>
        <w:rPr>
          <w:rFonts w:ascii="Arial" w:cs="Arial" w:eastAsia="Arial" w:hAnsi="Arial"/>
          <w:sz w:val="12"/>
          <w:szCs w:val="12"/>
          <w:b w:val="1"/>
          <w:bCs w:val="1"/>
          <w:i w:val="1"/>
          <w:iCs w:val="1"/>
          <w:color w:val="auto"/>
        </w:rPr>
        <w:t>We do not intend to pay dividends for the foreseeable future and, as a result, your ability to achieve a return on your investment will depend on appreciation in the price of our Class A common stock, which may never occur.</w:t>
      </w:r>
    </w:p>
    <w:p>
      <w:pPr>
        <w:spacing w:after="0" w:line="68" w:lineRule="exact"/>
        <w:rPr>
          <w:sz w:val="20"/>
          <w:szCs w:val="20"/>
          <w:color w:val="auto"/>
        </w:rPr>
      </w:pPr>
    </w:p>
    <w:p>
      <w:pPr>
        <w:ind w:left="1520" w:right="1720" w:firstLine="230"/>
        <w:spacing w:after="0" w:line="273" w:lineRule="auto"/>
        <w:rPr>
          <w:sz w:val="20"/>
          <w:szCs w:val="20"/>
          <w:color w:val="auto"/>
        </w:rPr>
      </w:pPr>
      <w:r>
        <w:rPr>
          <w:rFonts w:ascii="Arial" w:cs="Arial" w:eastAsia="Arial" w:hAnsi="Arial"/>
          <w:sz w:val="12"/>
          <w:szCs w:val="12"/>
          <w:color w:val="auto"/>
        </w:rPr>
        <w:t>We have never declared or paid any cash dividends on our capital stock, and we do not intend to pay any cash dividends in the foreseeable future. In addition, the Warehouse Credit Facility and ABL Facility contain restrictions on our ability to pay cash dividends on our capital stock. For additional information regarding the Warehouse Credit Facility and ABL Facility, see the section titled “Description of Material Indebtedness.”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90" w:lineRule="exact"/>
        <w:rPr>
          <w:sz w:val="20"/>
          <w:szCs w:val="20"/>
          <w:color w:val="auto"/>
        </w:rPr>
      </w:pPr>
    </w:p>
    <w:p>
      <w:pPr>
        <w:jc w:val="both"/>
        <w:ind w:left="1520" w:right="1760"/>
        <w:spacing w:after="0" w:line="292" w:lineRule="auto"/>
        <w:rPr>
          <w:sz w:val="20"/>
          <w:szCs w:val="20"/>
          <w:color w:val="auto"/>
        </w:rPr>
      </w:pPr>
      <w:r>
        <w:rPr>
          <w:rFonts w:ascii="Arial" w:cs="Arial" w:eastAsia="Arial" w:hAnsi="Arial"/>
          <w:sz w:val="12"/>
          <w:szCs w:val="12"/>
          <w:b w:val="1"/>
          <w:bCs w:val="1"/>
          <w:i w:val="1"/>
          <w:iCs w:val="1"/>
          <w:color w:val="auto"/>
        </w:rPr>
        <w:t>Because the initial public offering price of our Class A common stock will be substantially higher than the pro forma net tangible book value per share of our outstanding common stock following this offering, new investors will experience immediate and substantial dilution.</w:t>
      </w:r>
    </w:p>
    <w:p>
      <w:pPr>
        <w:spacing w:after="0" w:line="68" w:lineRule="exact"/>
        <w:rPr>
          <w:sz w:val="20"/>
          <w:szCs w:val="20"/>
          <w:color w:val="auto"/>
        </w:rPr>
      </w:pPr>
    </w:p>
    <w:p>
      <w:pPr>
        <w:ind w:left="1520" w:right="1780" w:firstLine="230"/>
        <w:spacing w:after="0" w:line="281" w:lineRule="auto"/>
        <w:rPr>
          <w:sz w:val="20"/>
          <w:szCs w:val="20"/>
          <w:color w:val="auto"/>
        </w:rPr>
      </w:pPr>
      <w:r>
        <w:rPr>
          <w:rFonts w:ascii="Arial" w:cs="Arial" w:eastAsia="Arial" w:hAnsi="Arial"/>
          <w:sz w:val="12"/>
          <w:szCs w:val="12"/>
          <w:color w:val="auto"/>
        </w:rPr>
        <w:t>The initial public offering price is substantially higher than the pro forma net tangible book value per share of our common stock immediately following this offering based on the total value of our tangible assets less our total liabilities. Therefore, if you purchase shares of our Class A common stock in this offering, based on the midpoint of the offering price range set forth on the cover page of this prospectus,</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40"/>
        <w:spacing w:after="0" w:line="273" w:lineRule="auto"/>
        <w:rPr>
          <w:sz w:val="20"/>
          <w:szCs w:val="20"/>
          <w:color w:val="auto"/>
        </w:rPr>
      </w:pPr>
      <w:r>
        <w:rPr>
          <w:rFonts w:ascii="Arial" w:cs="Arial" w:eastAsia="Arial" w:hAnsi="Arial"/>
          <w:sz w:val="12"/>
          <w:szCs w:val="12"/>
          <w:color w:val="auto"/>
        </w:rPr>
        <w:t>and the issuance of 30,000,000 shares of Class A common stock in this offering, you will experience immediate dilution of $21.64 per share, the difference between the price per share you pay for our Class A common stock and its pro forma net tangible book value per share as of July 31, 2025. Furthermore, if the underwriters exercise their option to purchase additional shares, if outstanding stock options and warrants are exercised, if we issue awards to our employees under our equity incentive plans, or if we otherwise issue additional shares of our Class A common stock, you could experience further dilution. See the section titled “Dilution” for additional information.</w:t>
      </w:r>
    </w:p>
    <w:p>
      <w:pPr>
        <w:spacing w:after="0" w:line="90" w:lineRule="exact"/>
        <w:rPr>
          <w:sz w:val="20"/>
          <w:szCs w:val="20"/>
          <w:color w:val="auto"/>
        </w:rPr>
      </w:pPr>
    </w:p>
    <w:p>
      <w:pPr>
        <w:ind w:left="1520" w:right="1920"/>
        <w:spacing w:after="0" w:line="292" w:lineRule="auto"/>
        <w:rPr>
          <w:sz w:val="20"/>
          <w:szCs w:val="20"/>
          <w:color w:val="auto"/>
        </w:rPr>
      </w:pPr>
      <w:r>
        <w:rPr>
          <w:rFonts w:ascii="Arial" w:cs="Arial" w:eastAsia="Arial" w:hAnsi="Arial"/>
          <w:sz w:val="12"/>
          <w:szCs w:val="12"/>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w:t>
      </w:r>
    </w:p>
    <w:p>
      <w:pPr>
        <w:spacing w:after="0" w:line="68" w:lineRule="exact"/>
        <w:rPr>
          <w:sz w:val="20"/>
          <w:szCs w:val="20"/>
          <w:color w:val="auto"/>
        </w:rPr>
      </w:pPr>
    </w:p>
    <w:p>
      <w:pPr>
        <w:ind w:left="1520" w:right="1680" w:firstLine="230"/>
        <w:spacing w:after="0" w:line="273" w:lineRule="auto"/>
        <w:rPr>
          <w:sz w:val="20"/>
          <w:szCs w:val="20"/>
          <w:color w:val="auto"/>
        </w:rPr>
      </w:pPr>
      <w:r>
        <w:rPr>
          <w:rFonts w:ascii="Arial" w:cs="Arial" w:eastAsia="Arial" w:hAnsi="Arial"/>
          <w:sz w:val="12"/>
          <w:szCs w:val="12"/>
          <w:color w:val="auto"/>
        </w:rPr>
        <w:t>Provisions in our amended and restated certificate of incorporation and amended and restated bylaws may have the effect of delaying or preventing a merger, acquisition, or other change of control of the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amended and restated certificate of incorporation and amended and restated bylaws include provisions that:</w:t>
      </w:r>
    </w:p>
    <w:p>
      <w:pPr>
        <w:spacing w:after="0" w:line="241" w:lineRule="exact"/>
        <w:rPr>
          <w:sz w:val="20"/>
          <w:szCs w:val="20"/>
          <w:color w:val="auto"/>
        </w:rPr>
      </w:pPr>
    </w:p>
    <w:p>
      <w:pPr>
        <w:ind w:left="1980" w:right="2020" w:hanging="228"/>
        <w:spacing w:after="0" w:line="312" w:lineRule="auto"/>
        <w:tabs>
          <w:tab w:leader="none" w:pos="19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provide that our board of directors is classified into three classes of directors with staggered three-year terms;</w:t>
      </w:r>
    </w:p>
    <w:p>
      <w:pPr>
        <w:spacing w:after="0" w:line="62" w:lineRule="exact"/>
        <w:rPr>
          <w:rFonts w:ascii="Arial" w:cs="Arial" w:eastAsia="Arial" w:hAnsi="Arial"/>
          <w:sz w:val="12"/>
          <w:szCs w:val="12"/>
          <w:color w:val="auto"/>
        </w:rPr>
      </w:pPr>
    </w:p>
    <w:p>
      <w:pPr>
        <w:ind w:left="1980" w:right="1700" w:hanging="228"/>
        <w:spacing w:after="0" w:line="312" w:lineRule="auto"/>
        <w:tabs>
          <w:tab w:leader="none" w:pos="19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permit our board of directors to establish the number of directors and fill any vacancies and newly created directorships;</w:t>
      </w:r>
    </w:p>
    <w:p>
      <w:pPr>
        <w:spacing w:after="0" w:line="62" w:lineRule="exact"/>
        <w:rPr>
          <w:rFonts w:ascii="Arial" w:cs="Arial" w:eastAsia="Arial" w:hAnsi="Arial"/>
          <w:sz w:val="12"/>
          <w:szCs w:val="12"/>
          <w:color w:val="auto"/>
        </w:rPr>
      </w:pPr>
    </w:p>
    <w:p>
      <w:pPr>
        <w:ind w:left="1980" w:right="1720" w:hanging="228"/>
        <w:spacing w:after="0" w:line="312" w:lineRule="auto"/>
        <w:tabs>
          <w:tab w:leader="none" w:pos="19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require super-majority voting by our stockholders to amend some provisions in our amended and restated certificate of incorporation and amended and restated bylaws;</w:t>
      </w:r>
    </w:p>
    <w:p>
      <w:pPr>
        <w:spacing w:after="0" w:line="62" w:lineRule="exact"/>
        <w:rPr>
          <w:rFonts w:ascii="Arial" w:cs="Arial" w:eastAsia="Arial" w:hAnsi="Arial"/>
          <w:sz w:val="12"/>
          <w:szCs w:val="12"/>
          <w:color w:val="auto"/>
        </w:rPr>
      </w:pPr>
    </w:p>
    <w:p>
      <w:pPr>
        <w:ind w:left="1980" w:right="1860" w:hanging="228"/>
        <w:spacing w:after="0" w:line="312" w:lineRule="auto"/>
        <w:tabs>
          <w:tab w:leader="none" w:pos="19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authorize the issuance of “blank check” preferred stock that our board of directors could use to implement a stockholder rights plan;</w:t>
      </w:r>
    </w:p>
    <w:p>
      <w:pPr>
        <w:spacing w:after="0" w:line="62" w:lineRule="exact"/>
        <w:rPr>
          <w:rFonts w:ascii="Arial" w:cs="Arial" w:eastAsia="Arial" w:hAnsi="Arial"/>
          <w:sz w:val="12"/>
          <w:szCs w:val="12"/>
          <w:color w:val="auto"/>
        </w:rPr>
      </w:pPr>
    </w:p>
    <w:p>
      <w:pPr>
        <w:ind w:left="1980" w:right="2400" w:hanging="228"/>
        <w:spacing w:after="0" w:line="312" w:lineRule="auto"/>
        <w:tabs>
          <w:tab w:leader="none" w:pos="19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only a majority of our board of directors will be authorized to call a special meeting of stockholders;</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eliminate the ability of our stockholders to call special meetings of stockholders;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do not provide for cumulative voting;</w:t>
      </w:r>
    </w:p>
    <w:p>
      <w:pPr>
        <w:spacing w:after="0" w:line="129" w:lineRule="exact"/>
        <w:rPr>
          <w:rFonts w:ascii="Arial" w:cs="Arial" w:eastAsia="Arial" w:hAnsi="Arial"/>
          <w:sz w:val="12"/>
          <w:szCs w:val="12"/>
          <w:color w:val="auto"/>
        </w:rPr>
      </w:pPr>
    </w:p>
    <w:p>
      <w:pPr>
        <w:ind w:left="1980" w:right="1820" w:hanging="228"/>
        <w:spacing w:after="0" w:line="312" w:lineRule="auto"/>
        <w:tabs>
          <w:tab w:leader="none" w:pos="19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directors may only be removed “for cause” and only with the approval of at least 66 2/3% of the voting power of our then-outstanding capital stock;</w:t>
      </w:r>
    </w:p>
    <w:p>
      <w:pPr>
        <w:spacing w:after="0" w:line="62" w:lineRule="exact"/>
        <w:rPr>
          <w:rFonts w:ascii="Arial" w:cs="Arial" w:eastAsia="Arial" w:hAnsi="Arial"/>
          <w:sz w:val="12"/>
          <w:szCs w:val="12"/>
          <w:color w:val="auto"/>
        </w:rPr>
      </w:pPr>
    </w:p>
    <w:p>
      <w:pPr>
        <w:ind w:left="1980" w:right="1680" w:hanging="228"/>
        <w:spacing w:after="0" w:line="289" w:lineRule="auto"/>
        <w:tabs>
          <w:tab w:leader="none" w:pos="19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provide for a dual-class common stock structure in which holders of our Class B common stock may have the ability to significantly influence the outcome of matters requiring stockholder approval, including the election of directors and other significant corporate transactions, such as a</w:t>
      </w:r>
    </w:p>
    <w:p>
      <w:pPr>
        <w:sectPr>
          <w:pgSz w:w="11900" w:h="16840" w:orient="portrait"/>
          <w:cols w:equalWidth="0" w:num="1">
            <w:col w:w="9020"/>
          </w:cols>
          <w:pgMar w:left="1440" w:top="569" w:right="1440" w:bottom="70" w:gutter="0" w:footer="0" w:header="0"/>
        </w:sectPr>
      </w:pPr>
    </w:p>
    <w:bookmarkStart w:id="57" w:name="page58"/>
    <w:bookmarkEnd w:id="57"/>
    <w:p>
      <w:pPr>
        <w:ind w:left="1980" w:right="2060"/>
        <w:spacing w:after="0" w:line="193" w:lineRule="auto"/>
        <w:rPr>
          <w:sz w:val="20"/>
          <w:szCs w:val="20"/>
          <w:color w:val="auto"/>
        </w:rPr>
      </w:pPr>
      <w:r>
        <w:rPr>
          <w:rFonts w:ascii="Arial" w:cs="Arial" w:eastAsia="Arial" w:hAnsi="Arial"/>
          <w:sz w:val="12"/>
          <w:szCs w:val="12"/>
          <w:color w:val="auto"/>
        </w:rPr>
        <w:t>merger or other sale of our company or its assets, even if they own significantly less than a majority of the outstanding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-133985</wp:posOffset>
            </wp:positionV>
            <wp:extent cx="6732270" cy="99707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83" w:lineRule="exact"/>
        <w:rPr>
          <w:sz w:val="20"/>
          <w:szCs w:val="20"/>
          <w:color w:val="auto"/>
        </w:rPr>
      </w:pPr>
    </w:p>
    <w:p>
      <w:pPr>
        <w:ind w:left="1980" w:right="1780" w:hanging="228"/>
        <w:spacing w:after="0" w:line="312" w:lineRule="auto"/>
        <w:tabs>
          <w:tab w:leader="none" w:pos="19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prohibit stockholder action by written consent, which requires all stockholder actions to be taken at a meeting of our stockholders;</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our board of directors is expressly authorized to make, alter, or repeal our bylaws; and</w:t>
      </w:r>
    </w:p>
    <w:p>
      <w:pPr>
        <w:spacing w:after="0" w:line="129" w:lineRule="exact"/>
        <w:rPr>
          <w:rFonts w:ascii="Arial" w:cs="Arial" w:eastAsia="Arial" w:hAnsi="Arial"/>
          <w:sz w:val="12"/>
          <w:szCs w:val="12"/>
          <w:color w:val="auto"/>
        </w:rPr>
      </w:pPr>
    </w:p>
    <w:p>
      <w:pPr>
        <w:ind w:left="1980" w:right="1700" w:hanging="228"/>
        <w:spacing w:after="0" w:line="312" w:lineRule="auto"/>
        <w:tabs>
          <w:tab w:leader="none" w:pos="19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establish advance-notice requirements for nominations for election to our board of directors or for proposing matters that can be acted upon by stockholders at annual stockholder meetings.</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820" w:firstLine="230"/>
        <w:spacing w:after="0" w:line="281" w:lineRule="auto"/>
        <w:rPr>
          <w:sz w:val="20"/>
          <w:szCs w:val="20"/>
          <w:color w:val="auto"/>
        </w:rPr>
      </w:pPr>
      <w:r>
        <w:rPr>
          <w:rFonts w:ascii="Arial" w:cs="Arial" w:eastAsia="Arial" w:hAnsi="Arial"/>
          <w:sz w:val="12"/>
          <w:szCs w:val="12"/>
          <w:color w:val="auto"/>
        </w:rPr>
        <w:t>Moreover, Section 203 of the Delaware General Corporation Law, or the DGCL, may discourage, delay, or prevent a change in control of our company. Section 203 imposes certain restrictions on mergers, business combinations, and other transactions between us and holders of 15% or more of our common stock.</w:t>
      </w:r>
    </w:p>
    <w:p>
      <w:pPr>
        <w:spacing w:after="0" w:line="83" w:lineRule="exact"/>
        <w:rPr>
          <w:sz w:val="20"/>
          <w:szCs w:val="20"/>
          <w:color w:val="auto"/>
        </w:rPr>
      </w:pPr>
    </w:p>
    <w:p>
      <w:pPr>
        <w:jc w:val="both"/>
        <w:ind w:left="1520" w:right="1900"/>
        <w:spacing w:after="0" w:line="292" w:lineRule="auto"/>
        <w:rPr>
          <w:sz w:val="20"/>
          <w:szCs w:val="20"/>
          <w:color w:val="auto"/>
        </w:rPr>
      </w:pPr>
      <w:r>
        <w:rPr>
          <w:rFonts w:ascii="Arial" w:cs="Arial" w:eastAsia="Arial" w:hAnsi="Arial"/>
          <w:sz w:val="12"/>
          <w:szCs w:val="12"/>
          <w:b w:val="1"/>
          <w:bCs w:val="1"/>
          <w:i w:val="1"/>
          <w:iCs w:val="1"/>
          <w:color w:val="auto"/>
        </w:rPr>
        <w:t>Our amended and restated certificate of incorporation contains exclusive forum provisions for certain claims, which may limit our stockholders’ ability to obtain a favorable judicial forum for disputes with us or our directors, officers, or employees.</w:t>
      </w:r>
    </w:p>
    <w:p>
      <w:pPr>
        <w:spacing w:after="0" w:line="68" w:lineRule="exact"/>
        <w:rPr>
          <w:sz w:val="20"/>
          <w:szCs w:val="20"/>
          <w:color w:val="auto"/>
        </w:rPr>
      </w:pPr>
    </w:p>
    <w:p>
      <w:pPr>
        <w:ind w:left="1520" w:right="1920" w:firstLine="230"/>
        <w:spacing w:after="0" w:line="275" w:lineRule="auto"/>
        <w:rPr>
          <w:sz w:val="20"/>
          <w:szCs w:val="20"/>
          <w:color w:val="auto"/>
        </w:rPr>
      </w:pPr>
      <w:r>
        <w:rPr>
          <w:rFonts w:ascii="Arial" w:cs="Arial" w:eastAsia="Arial" w:hAnsi="Arial"/>
          <w:sz w:val="12"/>
          <w:szCs w:val="12"/>
          <w:color w:val="auto"/>
        </w:rPr>
        <w:t>Our amended and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w:t>
      </w:r>
    </w:p>
    <w:p>
      <w:pPr>
        <w:spacing w:after="0" w:line="85"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Moreover, Section 22 of the Securities Act creates concurrent jurisdiction for federal and state courts over all claims brought to enforce any duty or liability created by the Securities Act or the rules and regulations thereunder. Our amended and restated certificate of incorporation provides that the federal district courts of the United States will, to the fullest extent permitted by law, be the exclusive forum for resolving any complaint asserting a cause of action arising under the Securities Act, or the Federal Forum Provision. Our decision to adopt the Federal Forum Provision followed a decision by the Supreme Court of the State of Delaware holding that such provisions are facially valid under Delaware law. While there can be no assurance that federal or state courts will follow the holding of the Supreme Court of the State of Delaware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244" w:lineRule="exact"/>
        <w:rPr>
          <w:sz w:val="20"/>
          <w:szCs w:val="20"/>
          <w:color w:val="auto"/>
        </w:rPr>
      </w:pPr>
    </w:p>
    <w:p>
      <w:pPr>
        <w:ind w:left="1520" w:right="1780" w:firstLine="230"/>
        <w:spacing w:after="0" w:line="277" w:lineRule="auto"/>
        <w:rPr>
          <w:sz w:val="20"/>
          <w:szCs w:val="20"/>
          <w:color w:val="auto"/>
        </w:rPr>
      </w:pPr>
      <w:r>
        <w:rPr>
          <w:rFonts w:ascii="Arial" w:cs="Arial" w:eastAsia="Arial" w:hAnsi="Arial"/>
          <w:sz w:val="12"/>
          <w:szCs w:val="12"/>
          <w:color w:val="auto"/>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84" w:lineRule="exact"/>
        <w:rPr>
          <w:sz w:val="20"/>
          <w:szCs w:val="20"/>
          <w:color w:val="auto"/>
        </w:rPr>
      </w:pPr>
    </w:p>
    <w:p>
      <w:pPr>
        <w:ind w:left="1520" w:right="1800" w:firstLine="230"/>
        <w:spacing w:after="0" w:line="312" w:lineRule="auto"/>
        <w:rPr>
          <w:sz w:val="20"/>
          <w:szCs w:val="20"/>
          <w:color w:val="auto"/>
        </w:rPr>
      </w:pPr>
      <w:r>
        <w:rPr>
          <w:rFonts w:ascii="Arial" w:cs="Arial" w:eastAsia="Arial" w:hAnsi="Arial"/>
          <w:sz w:val="12"/>
          <w:szCs w:val="12"/>
          <w:color w:val="auto"/>
        </w:rPr>
        <w:t>Our stockholders will not be deemed to have waived our compliance with the federal securities laws and the regulations promulgated thereunder.</w:t>
      </w:r>
    </w:p>
    <w:p>
      <w:pPr>
        <w:spacing w:after="0" w:line="62"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amended and restated certificate of incorporation or amended and restated bylaws to be inapplicable or unenforceable in an action, we may incur additional costs associated with resolving such action in other jurisdictions, which could harm our business, financial condition, and results of operations.</w:t>
      </w:r>
    </w:p>
    <w:p>
      <w:pPr>
        <w:spacing w:after="0" w:line="85"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General Risk Factors</w:t>
      </w:r>
    </w:p>
    <w:p>
      <w:pPr>
        <w:spacing w:after="0" w:line="132" w:lineRule="exact"/>
        <w:rPr>
          <w:sz w:val="20"/>
          <w:szCs w:val="20"/>
          <w:color w:val="auto"/>
        </w:rPr>
      </w:pPr>
    </w:p>
    <w:p>
      <w:pPr>
        <w:ind w:left="1520" w:right="1840"/>
        <w:spacing w:after="0" w:line="319" w:lineRule="auto"/>
        <w:rPr>
          <w:sz w:val="20"/>
          <w:szCs w:val="20"/>
          <w:color w:val="auto"/>
        </w:rPr>
      </w:pPr>
      <w:r>
        <w:rPr>
          <w:rFonts w:ascii="Arial" w:cs="Arial" w:eastAsia="Arial" w:hAnsi="Arial"/>
          <w:sz w:val="12"/>
          <w:szCs w:val="12"/>
          <w:b w:val="1"/>
          <w:bCs w:val="1"/>
          <w:i w:val="1"/>
          <w:iCs w:val="1"/>
          <w:color w:val="auto"/>
        </w:rPr>
        <w:t>Unfavorable conditions in our industry or the global economy could limit our ability to grow our business and negatively affect our results of operations.</w:t>
      </w:r>
    </w:p>
    <w:p>
      <w:pPr>
        <w:spacing w:after="0" w:line="52" w:lineRule="exact"/>
        <w:rPr>
          <w:sz w:val="20"/>
          <w:szCs w:val="20"/>
          <w:color w:val="auto"/>
        </w:rPr>
      </w:pPr>
    </w:p>
    <w:p>
      <w:pPr>
        <w:ind w:left="1520" w:right="1860" w:firstLine="230"/>
        <w:spacing w:after="0" w:line="289" w:lineRule="auto"/>
        <w:rPr>
          <w:sz w:val="20"/>
          <w:szCs w:val="20"/>
          <w:color w:val="auto"/>
        </w:rPr>
      </w:pPr>
      <w:r>
        <w:rPr>
          <w:rFonts w:ascii="Arial" w:cs="Arial" w:eastAsia="Arial" w:hAnsi="Arial"/>
          <w:sz w:val="12"/>
          <w:szCs w:val="12"/>
          <w:color w:val="auto"/>
        </w:rPr>
        <w:t>Our results of operations may vary based on the impact of changes in our industry or the global economy on us or our customers and potential customers. Negative conditions in the general economy both in the United States and abroad, including conditions resulting from changes in gross domestic</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20"/>
        <w:spacing w:after="0" w:line="271" w:lineRule="auto"/>
        <w:rPr>
          <w:sz w:val="20"/>
          <w:szCs w:val="20"/>
          <w:color w:val="auto"/>
        </w:rPr>
      </w:pPr>
      <w:r>
        <w:rPr>
          <w:rFonts w:ascii="Arial" w:cs="Arial" w:eastAsia="Arial" w:hAnsi="Arial"/>
          <w:sz w:val="12"/>
          <w:szCs w:val="12"/>
          <w:color w:val="auto"/>
        </w:rPr>
        <w:t>product growth, financial and credit market fluctuations, global tariff uncertainty, labor shortages, supply chain disruptions, rising interest rates, inflation, international trade relations, weak economic conditions in certain regions, political turmoil, natural catastrophes, warfare, terrorist attacks on the United States, Europe, the Asia Pacific region, including Japan, or elsewhere, could cause a decrease in business investments by existing or potential customers, including spending on travel and information technology, and negatively affect the growth of our business. Competitors, many of whom are larger and have greater financial resources than we do, may respond to challenging market conditions by lowering prices in an attempt to attract our customers. In addition, the increased pace of consolidation in certain industries may result in reduced overall spending on our offering. We cannot predict the timing, strength, or duration of any economic slowdown, instability, or recovery, generally or within any particular industry.</w:t>
      </w:r>
    </w:p>
    <w:p>
      <w:pPr>
        <w:sectPr>
          <w:pgSz w:w="11900" w:h="16840" w:orient="portrait"/>
          <w:cols w:equalWidth="0" w:num="1">
            <w:col w:w="9020"/>
          </w:cols>
          <w:pgMar w:left="1440" w:top="560" w:right="1440" w:bottom="18" w:gutter="0" w:footer="0" w:header="0"/>
        </w:sectPr>
      </w:pPr>
    </w:p>
    <w:p>
      <w:pPr>
        <w:spacing w:after="0" w:line="90" w:lineRule="exact"/>
        <w:rPr>
          <w:sz w:val="20"/>
          <w:szCs w:val="20"/>
          <w:color w:val="auto"/>
        </w:rPr>
      </w:pPr>
    </w:p>
    <w:p>
      <w:pPr>
        <w:ind w:left="1520" w:right="1600"/>
        <w:spacing w:after="0" w:line="319" w:lineRule="auto"/>
        <w:rPr>
          <w:sz w:val="20"/>
          <w:szCs w:val="20"/>
          <w:color w:val="auto"/>
        </w:rPr>
      </w:pPr>
      <w:r>
        <w:rPr>
          <w:rFonts w:ascii="Arial" w:cs="Arial" w:eastAsia="Arial" w:hAnsi="Arial"/>
          <w:sz w:val="12"/>
          <w:szCs w:val="12"/>
          <w:b w:val="1"/>
          <w:bCs w:val="1"/>
          <w:i w:val="1"/>
          <w:iCs w:val="1"/>
          <w:color w:val="auto"/>
        </w:rPr>
        <w:t>We may be adversely affected by natural disasters, pandemics, cyberattacks and other catastrophic events, and by man-made problems such as terrorism, that could disrupt our business operations,</w:t>
      </w:r>
    </w:p>
    <w:p>
      <w:pPr>
        <w:sectPr>
          <w:pgSz w:w="11900" w:h="16840" w:orient="portrait"/>
          <w:cols w:equalWidth="0" w:num="1">
            <w:col w:w="9020"/>
          </w:cols>
          <w:pgMar w:left="1440" w:top="560" w:right="1440" w:bottom="18" w:gutter="0" w:footer="0" w:header="0"/>
          <w:type w:val="continuous"/>
        </w:sectPr>
      </w:pPr>
    </w:p>
    <w:bookmarkStart w:id="58" w:name="page59"/>
    <w:bookmarkEnd w:id="58"/>
    <w:p>
      <w:pPr>
        <w:ind w:left="1520" w:right="1920"/>
        <w:spacing w:after="0" w:line="221" w:lineRule="auto"/>
        <w:rPr>
          <w:sz w:val="20"/>
          <w:szCs w:val="20"/>
          <w:color w:val="auto"/>
        </w:rPr>
      </w:pPr>
      <w:r>
        <w:rPr>
          <w:rFonts w:ascii="Arial" w:cs="Arial" w:eastAsia="Arial" w:hAnsi="Arial"/>
          <w:sz w:val="12"/>
          <w:szCs w:val="12"/>
          <w:b w:val="1"/>
          <w:bCs w:val="1"/>
          <w:i w:val="1"/>
          <w:iCs w:val="1"/>
          <w:color w:val="auto"/>
        </w:rPr>
        <w:t>and our business continuity and disaster recovery plans may not adequately protect us from a serious disaster.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-155575</wp:posOffset>
            </wp:positionV>
            <wp:extent cx="6732270" cy="99707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78" w:lineRule="exact"/>
        <w:rPr>
          <w:sz w:val="20"/>
          <w:szCs w:val="20"/>
          <w:color w:val="auto"/>
        </w:rPr>
      </w:pPr>
    </w:p>
    <w:p>
      <w:pPr>
        <w:ind w:left="1520" w:right="1680" w:firstLine="230"/>
        <w:spacing w:after="0" w:line="268" w:lineRule="auto"/>
        <w:rPr>
          <w:sz w:val="20"/>
          <w:szCs w:val="20"/>
          <w:color w:val="auto"/>
        </w:rPr>
      </w:pPr>
      <w:r>
        <w:rPr>
          <w:rFonts w:ascii="Arial" w:cs="Arial" w:eastAsia="Arial" w:hAnsi="Arial"/>
          <w:sz w:val="12"/>
          <w:szCs w:val="12"/>
          <w:color w:val="auto"/>
        </w:rPr>
        <w:t>Natural disasters or other catastrophic events may cause damage or disruption to our operations, international commerce, and the global economy, and thus could negatively impact our business, financial condition, results of operations, and prospects. Our business operations are also subject to interruption by fire, power shortages, flooding, and other events beyond our control. In addition, our global operations expose us to risks associated with public health crises, such as pandemics and epidemics, which could harm our business and cause our results of operations to suffer. Further, acts of war, armed conflict, terrorism, and other geopolitical unrest, such as the ongoing conflicts in Ukraine and the Middle East and tensions between China and Taiwan, could cause disruptions in our business or the businesses of our customers, suppliers or the economy as a whole. In particular, we have operations and customers in Israel, and certain of our customers in other regions have substantial operations and customers in Israel. Our growth, business, and results of operations could be negatively impacted if the current conflicts in the Middle East, including the escalating conflict between Israel and Iran, continues, worsens or expands to other nations or regions, including if our customers are harmed and reduce their engagement with our platform. In the event of a natural disaster, including a major earthquake, blizzard, or hurricane, or a catastrophic event such as a fire, power loss, cyberattack, or telecommunications failure, we may be unable to continue our operations and may endure system interruptions, reputational harm, delays in development of our platform, lengthy interruptions in service, breaches of data security, and loss of critical data, all of which could negatively impact our business, financial condition, results of operations, and prospects. For example, our corporate headquarters is located in the San Francisco Bay Area in California, a state that frequently experiences earthquakes, wildfires, heatwaves, and droughts. Additionally, all the aforementioned risks will be further increased if we do not implement an effective disaster recovery plan or our suppliers’ or other partners’ disaster recovery plans prove to be inadequate.</w:t>
      </w:r>
    </w:p>
    <w:p>
      <w:pPr>
        <w:spacing w:after="0" w:line="95" w:lineRule="exact"/>
        <w:rPr>
          <w:sz w:val="20"/>
          <w:szCs w:val="20"/>
          <w:color w:val="auto"/>
        </w:rPr>
      </w:pPr>
    </w:p>
    <w:p>
      <w:pPr>
        <w:ind w:left="1520" w:right="1640"/>
        <w:spacing w:after="0" w:line="319" w:lineRule="auto"/>
        <w:rPr>
          <w:sz w:val="20"/>
          <w:szCs w:val="20"/>
          <w:color w:val="auto"/>
        </w:rPr>
      </w:pPr>
      <w:r>
        <w:rPr>
          <w:rFonts w:ascii="Arial" w:cs="Arial" w:eastAsia="Arial" w:hAnsi="Arial"/>
          <w:sz w:val="12"/>
          <w:szCs w:val="12"/>
          <w:b w:val="1"/>
          <w:bCs w:val="1"/>
          <w:i w:val="1"/>
          <w:iCs w:val="1"/>
          <w:color w:val="auto"/>
        </w:rPr>
        <w:t>If currency exchange rates fluctuate substantially in the future, the results of our operations, which are reported in U.S. dollars, could be adversely affected.</w:t>
      </w:r>
    </w:p>
    <w:p>
      <w:pPr>
        <w:spacing w:after="0" w:line="52"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As we continue to expand our international operations, we become more exposed to the effects of fluctuations in currency exchange rates. Although the majority of our sales contracts have historically been denominated in U.S. dollars, and therefore, most of our revenue has not been subject to foreign currency risk, we also book significant sales in Euros and Pounds, and any changes in the value of foreign currencies relative to the U.S. dollar could affect our revenue and results of operations due to transactional and translational remeasurement that is reflected in our earnings. In addition, we incur expenses for employee compensation and other operating expenses at our non-U.S. locations in the local currency. Fluctuations in the exchange rates between the U.S. dollar and other currencies could result in the dollar equivalent of such expenses being higher. These exposures may change over time as business practices evolve and economic conditions change, such as shifts driven by monetary policy changes and geopolitical events, and could have a negative impact on our results of operations, revenue and net income (loss) as expressed in U.S. dollars. Although we may in the future decide to undertake foreign</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2160"/>
        <w:spacing w:after="0" w:line="312" w:lineRule="auto"/>
        <w:rPr>
          <w:sz w:val="20"/>
          <w:szCs w:val="20"/>
          <w:color w:val="auto"/>
        </w:rPr>
      </w:pPr>
      <w:r>
        <w:rPr>
          <w:rFonts w:ascii="Arial" w:cs="Arial" w:eastAsia="Arial" w:hAnsi="Arial"/>
          <w:sz w:val="12"/>
          <w:szCs w:val="12"/>
          <w:color w:val="auto"/>
        </w:rPr>
        <w:t>exchange hedging transactions to cover a portion of our foreign currency exchange exposure, we currently do not hedge our exposure to foreign currency exchange risks.</w:t>
      </w:r>
    </w:p>
    <w:p>
      <w:pPr>
        <w:sectPr>
          <w:pgSz w:w="11900" w:h="16840" w:orient="portrait"/>
          <w:cols w:equalWidth="0" w:num="1">
            <w:col w:w="9020"/>
          </w:cols>
          <w:pgMar w:left="1440" w:top="562" w:right="1440" w:bottom="1440" w:gutter="0" w:footer="0" w:header="0"/>
        </w:sectPr>
      </w:pPr>
    </w:p>
    <w:bookmarkStart w:id="59" w:name="page60"/>
    <w:bookmarkEnd w:id="59"/>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2"/>
          <w:szCs w:val="12"/>
          <w:color w:val="auto"/>
        </w:rPr>
        <w:t>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30" w:lineRule="exact"/>
        <w:rPr>
          <w:sz w:val="20"/>
          <w:szCs w:val="20"/>
          <w:color w:val="auto"/>
        </w:rPr>
      </w:pPr>
    </w:p>
    <w:p>
      <w:pPr>
        <w:ind w:left="1520" w:right="1800" w:firstLine="230"/>
        <w:spacing w:after="0" w:line="273" w:lineRule="auto"/>
        <w:rPr>
          <w:sz w:val="20"/>
          <w:szCs w:val="20"/>
          <w:color w:val="auto"/>
        </w:rPr>
      </w:pPr>
      <w:r>
        <w:rPr>
          <w:rFonts w:ascii="Arial" w:cs="Arial" w:eastAsia="Arial" w:hAnsi="Arial"/>
          <w:sz w:val="12"/>
          <w:szCs w:val="12"/>
          <w:color w:val="auto"/>
        </w:rPr>
        <w:t xml:space="preserve">This prospectus contains forward-looking statements. All statements contained in this prospectus other than statements of historical fact, including statements regarding our future </w:t>
      </w:r>
      <w:r>
        <w:rPr>
          <w:rFonts w:ascii="Arial" w:cs="Arial" w:eastAsia="Arial" w:hAnsi="Arial"/>
          <w:sz w:val="12"/>
          <w:szCs w:val="12"/>
          <w:color w:val="auto"/>
          <w:highlight w:val="white"/>
        </w:rPr>
        <w:t>results of operations</w:t>
      </w:r>
      <w:r>
        <w:rPr>
          <w:rFonts w:ascii="Arial" w:cs="Arial" w:eastAsia="Arial" w:hAnsi="Arial"/>
          <w:sz w:val="12"/>
          <w:szCs w:val="12"/>
          <w:color w:val="auto"/>
        </w:rPr>
        <w:t xml:space="preserve"> and financial condition, our business strategy and plans, market growth, and our objectives for future operations, are forward-looking statements. The words “believe,” “may,” “will,” “potentially,” “estimate,” “continue,” “anticipate,” “intend,” “could,” “would,” “project,” “target,” “plan,” “expect,” “predict,” “should,” “toward,” the negative of these words, and other similar expressions are intended to identify forward-looking statements.</w:t>
      </w:r>
    </w:p>
    <w:p>
      <w:pPr>
        <w:spacing w:after="0" w:line="88" w:lineRule="exact"/>
        <w:rPr>
          <w:sz w:val="20"/>
          <w:szCs w:val="20"/>
          <w:color w:val="auto"/>
        </w:rPr>
      </w:pPr>
    </w:p>
    <w:p>
      <w:pPr>
        <w:ind w:left="1520" w:right="1860" w:firstLine="230"/>
        <w:spacing w:after="0" w:line="312" w:lineRule="auto"/>
        <w:rPr>
          <w:sz w:val="20"/>
          <w:szCs w:val="20"/>
          <w:color w:val="auto"/>
        </w:rPr>
      </w:pPr>
      <w:r>
        <w:rPr>
          <w:rFonts w:ascii="Arial" w:cs="Arial" w:eastAsia="Arial" w:hAnsi="Arial"/>
          <w:sz w:val="12"/>
          <w:szCs w:val="12"/>
          <w:color w:val="auto"/>
        </w:rPr>
        <w:t>Forward-looking statements contained in this prospectus include, but are not limited to, statements about:</w:t>
      </w:r>
    </w:p>
    <w:p>
      <w:pPr>
        <w:spacing w:after="0" w:line="62" w:lineRule="exact"/>
        <w:rPr>
          <w:sz w:val="20"/>
          <w:szCs w:val="20"/>
          <w:color w:val="auto"/>
        </w:rPr>
      </w:pPr>
    </w:p>
    <w:p>
      <w:pPr>
        <w:ind w:left="1980" w:right="1700" w:hanging="228"/>
        <w:spacing w:after="0" w:line="289" w:lineRule="auto"/>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our future financial performance, including our expectations regarding our GBV, payment volume, revenue, cost of revenue, gross profit or gross margin, cash flow, operating expenses, including changes in operating expenses, and our ability to achieve and maintain future profitability;</w:t>
      </w:r>
    </w:p>
    <w:p>
      <w:pPr>
        <w:spacing w:after="0" w:line="75" w:lineRule="exact"/>
        <w:rPr>
          <w:rFonts w:ascii="Arial" w:cs="Arial" w:eastAsia="Arial" w:hAnsi="Arial"/>
          <w:sz w:val="12"/>
          <w:szCs w:val="12"/>
          <w:color w:val="auto"/>
        </w:rPr>
      </w:pPr>
    </w:p>
    <w:p>
      <w:pPr>
        <w:ind w:left="1980" w:hanging="228"/>
        <w:spacing w:after="0"/>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our business plan and our ability to effectively manage our growth;</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our total market opportunity;</w:t>
      </w:r>
    </w:p>
    <w:p>
      <w:pPr>
        <w:spacing w:after="0" w:line="129" w:lineRule="exact"/>
        <w:rPr>
          <w:rFonts w:ascii="Arial" w:cs="Arial" w:eastAsia="Arial" w:hAnsi="Arial"/>
          <w:sz w:val="12"/>
          <w:szCs w:val="12"/>
          <w:color w:val="auto"/>
        </w:rPr>
      </w:pPr>
    </w:p>
    <w:p>
      <w:pPr>
        <w:ind w:left="1980" w:right="1800" w:hanging="228"/>
        <w:spacing w:after="0" w:line="312" w:lineRule="auto"/>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anticipated trends, growth rates, and challenges in our business and in the markets in which we operate;</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our expectations regarding overall demand for business travel and global travel trends;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our expectations regarding customers’ T&amp;E budgets and IT spending budgets;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market acceptance of our platform and our ability to increase adoption of our platform;</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beliefs and objectives for future operations;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our ability to attract new customers and retain and grow sales within our existing customers;</w:t>
      </w:r>
    </w:p>
    <w:p>
      <w:pPr>
        <w:spacing w:after="0" w:line="129" w:lineRule="exact"/>
        <w:rPr>
          <w:rFonts w:ascii="Arial" w:cs="Arial" w:eastAsia="Arial" w:hAnsi="Arial"/>
          <w:sz w:val="12"/>
          <w:szCs w:val="12"/>
          <w:color w:val="auto"/>
        </w:rPr>
      </w:pPr>
    </w:p>
    <w:p>
      <w:pPr>
        <w:ind w:left="1980" w:right="2100" w:hanging="228"/>
        <w:spacing w:after="0" w:line="312" w:lineRule="auto"/>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our ability to drive adoption and expansion of our additional offerings, including Payments, Expense Management, Meetings and Events, VIP, and Bleisure;</w:t>
      </w:r>
    </w:p>
    <w:p>
      <w:pPr>
        <w:spacing w:after="0" w:line="62" w:lineRule="exact"/>
        <w:rPr>
          <w:rFonts w:ascii="Arial" w:cs="Arial" w:eastAsia="Arial" w:hAnsi="Arial"/>
          <w:sz w:val="12"/>
          <w:szCs w:val="12"/>
          <w:color w:val="auto"/>
        </w:rPr>
      </w:pPr>
    </w:p>
    <w:p>
      <w:pPr>
        <w:ind w:left="1980" w:right="1620" w:hanging="228"/>
        <w:spacing w:after="0" w:line="289" w:lineRule="auto"/>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our ability to continue developing, improving, and implementing AI and ML into our platform and offerings, including Navan Cognition, our proprietary AI framework for our platform, and related AI features and functionalities;</w:t>
      </w:r>
    </w:p>
    <w:p>
      <w:pPr>
        <w:spacing w:after="0" w:line="75" w:lineRule="exact"/>
        <w:rPr>
          <w:rFonts w:ascii="Arial" w:cs="Arial" w:eastAsia="Arial" w:hAnsi="Arial"/>
          <w:sz w:val="12"/>
          <w:szCs w:val="12"/>
          <w:color w:val="auto"/>
        </w:rPr>
      </w:pPr>
    </w:p>
    <w:p>
      <w:pPr>
        <w:ind w:left="1980" w:hanging="228"/>
        <w:spacing w:after="0"/>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our ability to timely and effectively scale, enhance and adapt our platform;</w:t>
      </w:r>
    </w:p>
    <w:p>
      <w:pPr>
        <w:spacing w:after="0" w:line="129" w:lineRule="exact"/>
        <w:rPr>
          <w:rFonts w:ascii="Arial" w:cs="Arial" w:eastAsia="Arial" w:hAnsi="Arial"/>
          <w:sz w:val="12"/>
          <w:szCs w:val="12"/>
          <w:color w:val="auto"/>
        </w:rPr>
      </w:pPr>
    </w:p>
    <w:p>
      <w:pPr>
        <w:ind w:left="1980" w:right="1940" w:hanging="228"/>
        <w:spacing w:after="0" w:line="312" w:lineRule="auto"/>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our ability to develop and introduce new offerings and products and bring them to market in a timely manner;</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our ability to operate and expand internationally;</w:t>
      </w:r>
    </w:p>
    <w:p>
      <w:pPr>
        <w:spacing w:after="0" w:line="129" w:lineRule="exact"/>
        <w:rPr>
          <w:rFonts w:ascii="Arial" w:cs="Arial" w:eastAsia="Arial" w:hAnsi="Arial"/>
          <w:sz w:val="12"/>
          <w:szCs w:val="12"/>
          <w:color w:val="auto"/>
        </w:rPr>
      </w:pPr>
    </w:p>
    <w:p>
      <w:pPr>
        <w:ind w:left="1980" w:right="2180" w:hanging="228"/>
        <w:spacing w:after="0" w:line="289" w:lineRule="auto"/>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our expectations concerning relationships with third parties, including our expectations concerning relationships with suppliers and payment partners, and our ability to maintain commission rates and access to travel inventory;</w:t>
      </w:r>
    </w:p>
    <w:p>
      <w:pPr>
        <w:spacing w:after="0" w:line="75" w:lineRule="exact"/>
        <w:rPr>
          <w:rFonts w:ascii="Arial" w:cs="Arial" w:eastAsia="Arial" w:hAnsi="Arial"/>
          <w:sz w:val="12"/>
          <w:szCs w:val="12"/>
          <w:color w:val="auto"/>
        </w:rPr>
      </w:pPr>
    </w:p>
    <w:p>
      <w:pPr>
        <w:ind w:left="1980" w:right="2000" w:hanging="228"/>
        <w:spacing w:after="0" w:line="312" w:lineRule="auto"/>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future acquisitions or investments in complementary companies, products, services, or technologies and our ability to successfully integrate them into our business and operations;</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our ability to maintain, protect, and enhance our intellectual property;</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effects of increased competition in our markets and our ability to compete effectively;</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980" w:right="1920" w:hanging="228"/>
        <w:spacing w:after="0" w:line="312" w:lineRule="auto"/>
        <w:tabs>
          <w:tab w:leader="none" w:pos="19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our ability to stay in compliance with laws and regulations that currently apply or may become applicable to our business both in the United States and internationally;</w:t>
      </w:r>
    </w:p>
    <w:p>
      <w:pPr>
        <w:spacing w:after="0" w:line="62" w:lineRule="exact"/>
        <w:rPr>
          <w:rFonts w:ascii="Arial" w:cs="Arial" w:eastAsia="Arial" w:hAnsi="Arial"/>
          <w:sz w:val="12"/>
          <w:szCs w:val="12"/>
          <w:color w:val="auto"/>
        </w:rPr>
      </w:pPr>
    </w:p>
    <w:p>
      <w:pPr>
        <w:ind w:left="1980" w:right="1740" w:hanging="228"/>
        <w:spacing w:after="0" w:line="312" w:lineRule="auto"/>
        <w:tabs>
          <w:tab w:leader="none" w:pos="19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our ability to maintain high-quality, cost-effective customer support, including through automation and AI-enabled tools, while controlling customer support costs;</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economic and industry trends, projected growth, or trend analysis, including as it relates to AI;</w:t>
      </w:r>
    </w:p>
    <w:p>
      <w:pPr>
        <w:spacing w:after="0" w:line="129" w:lineRule="exact"/>
        <w:rPr>
          <w:rFonts w:ascii="Arial" w:cs="Arial" w:eastAsia="Arial" w:hAnsi="Arial"/>
          <w:sz w:val="12"/>
          <w:szCs w:val="12"/>
          <w:color w:val="auto"/>
        </w:rPr>
      </w:pPr>
    </w:p>
    <w:p>
      <w:pPr>
        <w:ind w:left="1980" w:right="1840" w:hanging="228"/>
        <w:spacing w:after="0" w:line="281" w:lineRule="auto"/>
        <w:tabs>
          <w:tab w:leader="none" w:pos="19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general macroeconomic conditions in the United States and globally, including the effects of tariffs, immigration policy, inflation, rising or volatile interest rates, foreign currency fluctuations, instability in the global banking system, climate-related events, and geopolitical conflicts or tensions such as those in the Ukraine, the Middle East, and between China and Taiwan;</w:t>
      </w:r>
    </w:p>
    <w:p>
      <w:pPr>
        <w:spacing w:after="0" w:line="80" w:lineRule="exact"/>
        <w:rPr>
          <w:rFonts w:ascii="Arial" w:cs="Arial" w:eastAsia="Arial" w:hAnsi="Arial"/>
          <w:sz w:val="12"/>
          <w:szCs w:val="12"/>
          <w:color w:val="auto"/>
        </w:rPr>
      </w:pPr>
    </w:p>
    <w:p>
      <w:pPr>
        <w:ind w:left="1980" w:right="1900" w:hanging="228"/>
        <w:spacing w:after="0" w:line="312" w:lineRule="auto"/>
        <w:tabs>
          <w:tab w:leader="none" w:pos="19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impact of remote and hybrid work models on our business, operations, and the markets in which we operate;</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our ability to operate and grow our business in light of macroeconomic uncertainty;</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increased expenses associated with being a public company; and</w:t>
      </w:r>
    </w:p>
    <w:p>
      <w:pPr>
        <w:sectPr>
          <w:pgSz w:w="11900" w:h="16840" w:orient="portrait"/>
          <w:cols w:equalWidth="0" w:num="1">
            <w:col w:w="9020"/>
          </w:cols>
          <w:pgMar w:left="1440" w:top="1440" w:right="1440" w:bottom="172" w:gutter="0" w:footer="0" w:header="0"/>
        </w:sectPr>
      </w:pPr>
    </w:p>
    <w:bookmarkStart w:id="60" w:name="page61"/>
    <w:bookmarkEnd w:id="60"/>
    <w:p>
      <w:pPr>
        <w:ind w:left="1980" w:right="1700" w:hanging="228"/>
        <w:spacing w:after="0" w:line="262" w:lineRule="auto"/>
        <w:tabs>
          <w:tab w:leader="none" w:pos="19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other statements regarding our future operations, financial condition, and prospects and business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-184785</wp:posOffset>
            </wp:positionV>
            <wp:extent cx="6732270" cy="99707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71" w:lineRule="exact"/>
        <w:rPr>
          <w:sz w:val="20"/>
          <w:szCs w:val="20"/>
          <w:color w:val="auto"/>
        </w:rPr>
      </w:pPr>
    </w:p>
    <w:p>
      <w:pPr>
        <w:ind w:left="1520" w:right="1740" w:firstLine="230"/>
        <w:spacing w:after="0" w:line="272" w:lineRule="auto"/>
        <w:rPr>
          <w:sz w:val="20"/>
          <w:szCs w:val="20"/>
          <w:color w:val="auto"/>
        </w:rPr>
      </w:pPr>
      <w:r>
        <w:rPr>
          <w:rFonts w:ascii="Arial" w:cs="Arial" w:eastAsia="Arial" w:hAnsi="Arial"/>
          <w:sz w:val="12"/>
          <w:szCs w:val="12"/>
          <w:color w:val="auto"/>
        </w:rPr>
        <w:t>These forward-looking statements are subject to a number of risks, uncertainties, and assumptions, including those described in the section titled “Risk Factors” and elsewhere in this prospectus.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85" w:lineRule="exact"/>
        <w:rPr>
          <w:sz w:val="20"/>
          <w:szCs w:val="20"/>
          <w:color w:val="auto"/>
        </w:rPr>
      </w:pPr>
    </w:p>
    <w:p>
      <w:pPr>
        <w:ind w:left="1520" w:right="1760" w:firstLine="230"/>
        <w:spacing w:after="0" w:line="277" w:lineRule="auto"/>
        <w:rPr>
          <w:sz w:val="20"/>
          <w:szCs w:val="20"/>
          <w:color w:val="auto"/>
        </w:rPr>
      </w:pPr>
      <w:r>
        <w:rPr>
          <w:rFonts w:ascii="Arial" w:cs="Arial" w:eastAsia="Arial" w:hAnsi="Arial"/>
          <w:sz w:val="12"/>
          <w:szCs w:val="12"/>
          <w:color w:val="auto"/>
        </w:rPr>
        <w:t>You should not rely upon forward-looking statements as predictions of future events. The events and circumstances reflected in the forward-looking statements may not be achieved or occur. We undertake no obligation to update any of these forward-looking statements for any reason after the date of this prospectus or to conform these statements to actual results or to changes in our expectations, except as required by law.</w:t>
      </w:r>
    </w:p>
    <w:p>
      <w:pPr>
        <w:spacing w:after="0" w:line="84"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color w:val="auto"/>
          <w:highlight w:val="white"/>
        </w:rPr>
        <w:t>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Although we believe such information to be reliable and we are responsible for all of the disclosure contained in this prospectus,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88" w:lineRule="exact"/>
        <w:rPr>
          <w:sz w:val="20"/>
          <w:szCs w:val="20"/>
          <w:color w:val="auto"/>
        </w:rPr>
      </w:pPr>
    </w:p>
    <w:p>
      <w:pPr>
        <w:ind w:left="1520" w:right="1860" w:firstLine="230"/>
        <w:spacing w:after="0" w:line="281" w:lineRule="auto"/>
        <w:rPr>
          <w:sz w:val="20"/>
          <w:szCs w:val="20"/>
          <w:color w:val="auto"/>
        </w:rPr>
      </w:pPr>
      <w:r>
        <w:rPr>
          <w:rFonts w:ascii="Arial" w:cs="Arial" w:eastAsia="Arial" w:hAnsi="Arial"/>
          <w:sz w:val="12"/>
          <w:szCs w:val="12"/>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INDUSTRY AND MARKET DATA</w:t>
      </w:r>
    </w:p>
    <w:p>
      <w:pPr>
        <w:spacing w:after="0" w:line="130" w:lineRule="exact"/>
        <w:rPr>
          <w:sz w:val="20"/>
          <w:szCs w:val="20"/>
          <w:color w:val="auto"/>
        </w:rPr>
      </w:pPr>
    </w:p>
    <w:p>
      <w:pPr>
        <w:ind w:left="1520" w:right="1700" w:firstLine="230"/>
        <w:spacing w:after="0" w:line="268" w:lineRule="auto"/>
        <w:rPr>
          <w:sz w:val="20"/>
          <w:szCs w:val="20"/>
          <w:color w:val="auto"/>
        </w:rPr>
      </w:pPr>
      <w:r>
        <w:rPr>
          <w:rFonts w:ascii="Arial" w:cs="Arial" w:eastAsia="Arial" w:hAnsi="Arial"/>
          <w:sz w:val="12"/>
          <w:szCs w:val="12"/>
          <w:color w:val="auto"/>
        </w:rPr>
        <w:t>Within this prospectus, we reference information, statistics, estimates, and forecasts regarding our industry, including the market size and growth of the markets in which we participate. We have obtained this information, and these statistics, estimates, and forecasts from publicly available information and various independent third-party sources, including independent industry publications, reports by market research firms and other independent sources, such as Euromonitor International Limited and the Global Business Travel Association. Some data and other information contained in this prospectus are also based on management’s estimates and calculations, which are derived from our review and interpretation of internal surveys and data and independent third-party sources. Data regarding the industries in which we compete and our market position and market share within these industries are subject to significant business, economic, and competitive uncertainties beyond our control, but we believe they generally indicate size, position, and market share within this industry. While we believe such information is reliable, we have not independently verified any third-party information. While we believe our internal company research and estimates are reliable, such research and estimates have not been verified by any independent source. In addition, assumptions and estimates of our and our industries’ future performance are necessarily subject to a high degree of uncertainty and risk due to a variety of factors, including those described in the sections titled “Risk Factors” and “Special Note Regarding Forward-Looking Statements.” These and other factors could cause our future performance to differ materially from our assumptions and estimates. As a result, you should be aware that market, ranking and other similar industry data included in this prospectus, and estimates and beliefs based on that data, may not be reliable. Accordingly, you are cautioned not to place undue reliance on such market and industry data or any other such estimates.</w:t>
      </w:r>
    </w:p>
    <w:p>
      <w:pPr>
        <w:spacing w:after="0" w:line="95"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The sources of certain statistics, estimates, and forecasts contained in this prospectus are:</w:t>
      </w:r>
    </w:p>
    <w:p>
      <w:pPr>
        <w:spacing w:after="0" w:line="130" w:lineRule="exact"/>
        <w:rPr>
          <w:sz w:val="20"/>
          <w:szCs w:val="20"/>
          <w:color w:val="auto"/>
        </w:rPr>
      </w:pPr>
    </w:p>
    <w:p>
      <w:pPr>
        <w:ind w:left="1980" w:right="1780" w:hanging="219"/>
        <w:spacing w:after="0" w:line="312" w:lineRule="auto"/>
        <w:tabs>
          <w:tab w:leader="none" w:pos="1960" w:val="left"/>
        </w:tabs>
        <w:rPr>
          <w:sz w:val="20"/>
          <w:szCs w:val="20"/>
          <w:color w:val="auto"/>
        </w:rPr>
      </w:pPr>
      <w:r>
        <w:rPr>
          <w:rFonts w:ascii="Arial" w:cs="Arial" w:eastAsia="Arial" w:hAnsi="Arial"/>
          <w:sz w:val="12"/>
          <w:szCs w:val="12"/>
          <w:color w:val="auto"/>
        </w:rPr>
        <w:t>•</w:t>
        <w:tab/>
        <w:t xml:space="preserve">Euromonitor International Limited, </w:t>
      </w:r>
      <w:r>
        <w:rPr>
          <w:rFonts w:ascii="Arial" w:cs="Arial" w:eastAsia="Arial" w:hAnsi="Arial"/>
          <w:sz w:val="12"/>
          <w:szCs w:val="12"/>
          <w:i w:val="1"/>
          <w:iCs w:val="1"/>
          <w:color w:val="auto"/>
        </w:rPr>
        <w:t>Global Business Travel Industry Assessment Report</w:t>
      </w:r>
      <w:r>
        <w:rPr>
          <w:rFonts w:ascii="Arial" w:cs="Arial" w:eastAsia="Arial" w:hAnsi="Arial"/>
          <w:sz w:val="12"/>
          <w:szCs w:val="12"/>
          <w:color w:val="auto"/>
        </w:rPr>
        <w:t xml:space="preserve"> , June 2025, commissioned by us.</w:t>
      </w:r>
    </w:p>
    <w:p>
      <w:pPr>
        <w:spacing w:after="0" w:line="62" w:lineRule="exact"/>
        <w:rPr>
          <w:sz w:val="20"/>
          <w:szCs w:val="20"/>
          <w:color w:val="auto"/>
        </w:rPr>
      </w:pPr>
    </w:p>
    <w:p>
      <w:pPr>
        <w:ind w:left="1980" w:hanging="228"/>
        <w:spacing w:after="0"/>
        <w:tabs>
          <w:tab w:leader="none" w:pos="19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 xml:space="preserve">Euromonitor International Limited, </w:t>
      </w:r>
      <w:r>
        <w:rPr>
          <w:rFonts w:ascii="Arial" w:cs="Arial" w:eastAsia="Arial" w:hAnsi="Arial"/>
          <w:sz w:val="12"/>
          <w:szCs w:val="12"/>
          <w:i w:val="1"/>
          <w:iCs w:val="1"/>
          <w:color w:val="auto"/>
        </w:rPr>
        <w:t>Embedded Finance Powered Transformation Across Travel –</w:t>
      </w:r>
    </w:p>
    <w:p>
      <w:pPr>
        <w:spacing w:after="0" w:line="27" w:lineRule="exact"/>
        <w:rPr>
          <w:sz w:val="20"/>
          <w:szCs w:val="20"/>
          <w:color w:val="auto"/>
        </w:rPr>
      </w:pPr>
    </w:p>
    <w:p>
      <w:pPr>
        <w:ind w:left="1980"/>
        <w:spacing w:after="0"/>
        <w:tabs>
          <w:tab w:leader="none" w:pos="5240" w:val="left"/>
        </w:tabs>
        <w:rPr>
          <w:sz w:val="20"/>
          <w:szCs w:val="20"/>
          <w:color w:val="auto"/>
        </w:rPr>
      </w:pPr>
      <w:r>
        <w:rPr>
          <w:rFonts w:ascii="Arial" w:cs="Arial" w:eastAsia="Arial" w:hAnsi="Arial"/>
          <w:sz w:val="12"/>
          <w:szCs w:val="12"/>
          <w:i w:val="1"/>
          <w:iCs w:val="1"/>
          <w:color w:val="auto"/>
        </w:rPr>
        <w:t>Intermediaries, Lodging, Shopping, and Food and Dining</w:t>
      </w:r>
      <w:r>
        <w:rPr>
          <w:sz w:val="20"/>
          <w:szCs w:val="20"/>
          <w:color w:val="auto"/>
        </w:rPr>
        <w:tab/>
      </w:r>
      <w:r>
        <w:rPr>
          <w:rFonts w:ascii="Arial" w:cs="Arial" w:eastAsia="Arial" w:hAnsi="Arial"/>
          <w:sz w:val="12"/>
          <w:szCs w:val="12"/>
          <w:color w:val="auto"/>
        </w:rPr>
        <w:t>, May 2024.</w:t>
      </w:r>
    </w:p>
    <w:p>
      <w:pPr>
        <w:spacing w:after="0" w:line="118" w:lineRule="exact"/>
        <w:rPr>
          <w:sz w:val="20"/>
          <w:szCs w:val="20"/>
          <w:color w:val="auto"/>
        </w:rPr>
      </w:pPr>
    </w:p>
    <w:p>
      <w:pPr>
        <w:ind w:left="1980" w:right="1880" w:hanging="228"/>
        <w:spacing w:after="0" w:line="312" w:lineRule="auto"/>
        <w:tabs>
          <w:tab w:leader="none" w:pos="19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 xml:space="preserve">Global Business Travel Association, </w:t>
      </w:r>
      <w:r>
        <w:rPr>
          <w:rFonts w:ascii="Arial" w:cs="Arial" w:eastAsia="Arial" w:hAnsi="Arial"/>
          <w:sz w:val="12"/>
          <w:szCs w:val="12"/>
          <w:i w:val="1"/>
          <w:iCs w:val="1"/>
          <w:color w:val="auto"/>
        </w:rPr>
        <w:t>2024 Business Travel Index Outlook: Annual Report and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Forecast </w:t>
      </w:r>
      <w:r>
        <w:rPr>
          <w:rFonts w:ascii="Arial" w:cs="Arial" w:eastAsia="Arial" w:hAnsi="Arial"/>
          <w:sz w:val="12"/>
          <w:szCs w:val="12"/>
          <w:color w:val="auto"/>
        </w:rPr>
        <w:t>, July 2024.</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 xml:space="preserve">World Travel &amp; Tourism Council, </w:t>
      </w:r>
      <w:r>
        <w:rPr>
          <w:rFonts w:ascii="Arial" w:cs="Arial" w:eastAsia="Arial" w:hAnsi="Arial"/>
          <w:sz w:val="12"/>
          <w:szCs w:val="12"/>
          <w:i w:val="1"/>
          <w:iCs w:val="1"/>
          <w:color w:val="auto"/>
        </w:rPr>
        <w:t>Economic Impact Report</w:t>
      </w:r>
      <w:r>
        <w:rPr>
          <w:rFonts w:ascii="Arial" w:cs="Arial" w:eastAsia="Arial" w:hAnsi="Arial"/>
          <w:sz w:val="12"/>
          <w:szCs w:val="12"/>
          <w:color w:val="auto"/>
        </w:rPr>
        <w:t xml:space="preserve"> , 2024.</w:t>
      </w:r>
    </w:p>
    <w:p>
      <w:pPr>
        <w:sectPr>
          <w:pgSz w:w="11900" w:h="16840" w:orient="portrait"/>
          <w:cols w:equalWidth="0" w:num="1">
            <w:col w:w="9020"/>
          </w:cols>
          <w:pgMar w:left="1440" w:top="560" w:right="1440"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USE OF PROCEEDS</w:t>
      </w:r>
    </w:p>
    <w:p>
      <w:pPr>
        <w:spacing w:after="0" w:line="130" w:lineRule="exact"/>
        <w:rPr>
          <w:sz w:val="20"/>
          <w:szCs w:val="20"/>
          <w:color w:val="auto"/>
        </w:rPr>
      </w:pPr>
    </w:p>
    <w:p>
      <w:pPr>
        <w:ind w:left="1520" w:right="1820" w:firstLine="230"/>
        <w:spacing w:after="0" w:line="275" w:lineRule="auto"/>
        <w:rPr>
          <w:sz w:val="20"/>
          <w:szCs w:val="20"/>
          <w:color w:val="auto"/>
        </w:rPr>
      </w:pPr>
      <w:r>
        <w:rPr>
          <w:rFonts w:ascii="Arial" w:cs="Arial" w:eastAsia="Arial" w:hAnsi="Arial"/>
          <w:sz w:val="12"/>
          <w:szCs w:val="12"/>
          <w:color w:val="auto"/>
        </w:rPr>
        <w:t>We estimate that the net proceeds from our sale of shares of our Class A common stock in this offering at the assumed initial public offering price of $25.00 per share, which is the midpoint of the offering price range set forth on the cover page of this prospectus, and after deducting underwriting discounts and commissions and estimated offering expenses, will be approximately $699.6 million, or $830.3 million if the underwriters’ option to purchase additional shares is exercised in full. We will not receive any proceeds from sales of shares of Class A common stock by the selling stockholders.</w:t>
      </w:r>
    </w:p>
    <w:p>
      <w:pPr>
        <w:spacing w:after="0" w:line="85" w:lineRule="exact"/>
        <w:rPr>
          <w:sz w:val="20"/>
          <w:szCs w:val="20"/>
          <w:color w:val="auto"/>
        </w:rPr>
      </w:pPr>
    </w:p>
    <w:p>
      <w:pPr>
        <w:ind w:left="1520" w:right="1700" w:firstLine="230"/>
        <w:spacing w:after="0" w:line="269" w:lineRule="auto"/>
        <w:rPr>
          <w:sz w:val="20"/>
          <w:szCs w:val="20"/>
          <w:color w:val="auto"/>
        </w:rPr>
      </w:pPr>
      <w:r>
        <w:rPr>
          <w:rFonts w:ascii="Arial" w:cs="Arial" w:eastAsia="Arial" w:hAnsi="Arial"/>
          <w:sz w:val="12"/>
          <w:szCs w:val="12"/>
          <w:color w:val="auto"/>
        </w:rPr>
        <w:t>The principal purposes of this offering are to create a public market for our Class A common stock, increase our visibility in the marketplace, obtain additional capital, increase our capitalization and financial flexibility and facilitate an orderly distribution of shares for the selling stockholders. We intend to use approximately $133.8 million of the net proceeds from this offering to repay outstanding term loans, including accrued and unpaid interest and estimated lenders’ legal fees, under and terminate our credit agreement with VCP Capital Markets, LLC, referred to as the Vista Facility. The Vista Facility currently bears interest at a variable interest rate based on the 3-month SOFR rate (with a 1.00% SOFR floor) plus</w:t>
      </w:r>
    </w:p>
    <w:p>
      <w:pPr>
        <w:ind w:left="1520" w:right="1760" w:firstLine="2"/>
        <w:spacing w:after="0" w:line="271" w:lineRule="auto"/>
        <w:tabs>
          <w:tab w:leader="none" w:pos="17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if we have elected to pay the interest in cash, 6.50% per annum in cash or (B) if we have elected to pay interest partially in cash and partially paid in kind, 6.50% per annum (of which 5.00% shall be paid in cash and 1.50% paid in kind) and matures on February 24, 2030. Proceeds from the Vista Facility were used to repay then-outstanding indebtedness. As of July 31, 2025, the outstanding principal amount under the Vista Facility was $130.0 million . For a further description of the Vista Facility, see the section titled “Description of Material Indebtedness.”</w:t>
      </w:r>
    </w:p>
    <w:p>
      <w:pPr>
        <w:spacing w:after="0" w:line="87" w:lineRule="exact"/>
        <w:rPr>
          <w:sz w:val="20"/>
          <w:szCs w:val="20"/>
          <w:color w:val="auto"/>
        </w:rPr>
      </w:pPr>
    </w:p>
    <w:p>
      <w:pPr>
        <w:ind w:left="1520" w:right="1820" w:firstLine="230"/>
        <w:spacing w:after="0" w:line="277" w:lineRule="auto"/>
        <w:rPr>
          <w:sz w:val="20"/>
          <w:szCs w:val="20"/>
          <w:color w:val="auto"/>
        </w:rPr>
      </w:pPr>
      <w:r>
        <w:rPr>
          <w:rFonts w:ascii="Arial" w:cs="Arial" w:eastAsia="Arial" w:hAnsi="Arial"/>
          <w:sz w:val="12"/>
          <w:szCs w:val="12"/>
          <w:color w:val="auto"/>
        </w:rPr>
        <w:t>We also intend to use $17.4 million of the net proceeds from this offering to pay the anticipated tax withholding and remittance obligations related to the RSU Net Settlement, assuming (i) the fair market value of our Class A common stock at the time of settlement will be equal to the assumed initial public offering price per share of $25.00, the midpoint of the price range set forth on the cover page of this prospectus, and (ii) an assumed 44% tax withholding rate.</w:t>
      </w:r>
    </w:p>
    <w:p>
      <w:pPr>
        <w:spacing w:after="0" w:line="84" w:lineRule="exact"/>
        <w:rPr>
          <w:sz w:val="20"/>
          <w:szCs w:val="20"/>
          <w:color w:val="auto"/>
        </w:rPr>
      </w:pPr>
    </w:p>
    <w:p>
      <w:pPr>
        <w:ind w:left="1520" w:right="1720" w:firstLine="230"/>
        <w:spacing w:after="0" w:line="275" w:lineRule="auto"/>
        <w:rPr>
          <w:sz w:val="20"/>
          <w:szCs w:val="20"/>
          <w:color w:val="auto"/>
        </w:rPr>
      </w:pPr>
      <w:r>
        <w:rPr>
          <w:rFonts w:ascii="Arial" w:cs="Arial" w:eastAsia="Arial" w:hAnsi="Arial"/>
          <w:sz w:val="12"/>
          <w:szCs w:val="12"/>
          <w:color w:val="auto"/>
        </w:rPr>
        <w:t>We currently intend to use the remaining net proceeds we receive from this offering for working capital and other general corporate purposes, which may include product and platform development, general and administrative matters, and capital expenditures. We may also use a portion of the remaining net proceeds for the acquisition of, or investment in, technologies, solutions, or businesses that complement our business. However, we do not have agreements or commitments for any material acquisitions or investments outside the ordinary course of business at this time.</w:t>
      </w:r>
    </w:p>
    <w:p>
      <w:pPr>
        <w:spacing w:after="0" w:line="85" w:lineRule="exact"/>
        <w:rPr>
          <w:sz w:val="20"/>
          <w:szCs w:val="20"/>
          <w:color w:val="auto"/>
        </w:rPr>
      </w:pPr>
    </w:p>
    <w:p>
      <w:pPr>
        <w:ind w:left="1520" w:right="1580" w:firstLine="230"/>
        <w:spacing w:after="0" w:line="277" w:lineRule="auto"/>
        <w:rPr>
          <w:sz w:val="20"/>
          <w:szCs w:val="20"/>
          <w:color w:val="auto"/>
        </w:rPr>
      </w:pPr>
      <w:r>
        <w:rPr>
          <w:rFonts w:ascii="Arial" w:cs="Arial" w:eastAsia="Arial" w:hAnsi="Arial"/>
          <w:sz w:val="12"/>
          <w:szCs w:val="12"/>
          <w:color w:val="auto"/>
        </w:rPr>
        <w:t xml:space="preserve">We will have broad discretion over the uses of the remaining net proceeds of this offering. </w:t>
      </w:r>
      <w:r>
        <w:rPr>
          <w:rFonts w:ascii="Arial" w:cs="Arial" w:eastAsia="Arial" w:hAnsi="Arial"/>
          <w:sz w:val="12"/>
          <w:szCs w:val="12"/>
          <w:color w:val="auto"/>
          <w:highlight w:val="white"/>
        </w:rPr>
        <w:t>We cannot</w:t>
      </w:r>
      <w:r>
        <w:rPr>
          <w:rFonts w:ascii="Arial" w:cs="Arial" w:eastAsia="Arial" w:hAnsi="Arial"/>
          <w:sz w:val="12"/>
          <w:szCs w:val="12"/>
          <w:color w:val="auto"/>
        </w:rPr>
        <w:t xml:space="preserve"> </w:t>
      </w:r>
      <w:r>
        <w:rPr>
          <w:rFonts w:ascii="Arial" w:cs="Arial" w:eastAsia="Arial" w:hAnsi="Arial"/>
          <w:sz w:val="12"/>
          <w:szCs w:val="12"/>
          <w:color w:val="auto"/>
          <w:highlight w:val="white"/>
        </w:rPr>
        <w:t xml:space="preserve">specify with certainty all of the particular uses for the remaining net proceeds to us from this offering. W </w:t>
      </w:r>
      <w:r>
        <w:rPr>
          <w:rFonts w:ascii="Arial" w:cs="Arial" w:eastAsia="Arial" w:hAnsi="Arial"/>
          <w:sz w:val="12"/>
          <w:szCs w:val="12"/>
          <w:color w:val="auto"/>
        </w:rPr>
        <w:t>e</w:t>
      </w:r>
      <w:r>
        <w:rPr>
          <w:rFonts w:ascii="Arial" w:cs="Arial" w:eastAsia="Arial" w:hAnsi="Arial"/>
          <w:sz w:val="12"/>
          <w:szCs w:val="12"/>
          <w:color w:val="auto"/>
          <w:highlight w:val="white"/>
        </w:rPr>
        <w:t xml:space="preserve"> </w:t>
      </w:r>
      <w:r>
        <w:rPr>
          <w:rFonts w:ascii="Arial" w:cs="Arial" w:eastAsia="Arial" w:hAnsi="Arial"/>
          <w:sz w:val="12"/>
          <w:szCs w:val="12"/>
          <w:color w:val="auto"/>
        </w:rPr>
        <w:t>intend to invest the net proceeds from this offering in short-term, investment-grade interest-bearing securities, such as money market funds, certificates of deposit, commercial paper, and guaranteed obligations of the U.S. government.</w:t>
      </w:r>
    </w:p>
    <w:p>
      <w:pPr>
        <w:spacing w:after="0" w:line="84" w:lineRule="exact"/>
        <w:rPr>
          <w:sz w:val="20"/>
          <w:szCs w:val="20"/>
          <w:color w:val="auto"/>
        </w:rPr>
      </w:pPr>
    </w:p>
    <w:p>
      <w:pPr>
        <w:ind w:left="1520" w:right="1600" w:firstLine="230"/>
        <w:spacing w:after="0" w:line="272" w:lineRule="auto"/>
        <w:rPr>
          <w:sz w:val="20"/>
          <w:szCs w:val="20"/>
          <w:color w:val="auto"/>
        </w:rPr>
      </w:pPr>
      <w:r>
        <w:rPr>
          <w:rFonts w:ascii="Arial" w:cs="Arial" w:eastAsia="Arial" w:hAnsi="Arial"/>
          <w:sz w:val="12"/>
          <w:szCs w:val="12"/>
          <w:color w:val="auto"/>
        </w:rPr>
        <w:t>A $1.00 increase (decrease) in the assumed initial public offering price of $25.00 per share, which is the midpoint of the offering price range set forth on the cover page of this prospectus, would increase (decrease) the net proceeds to us from this offering by approximately $28.3 million, assuming the number of shares of our Class A common stock offered by us remains the same and after deducting underwriting discounts and commissions. Similarly, each increase (decrease) of 1.0 million shares in the number of shares of our Class A common stock offered would increase (decrease) the net proceeds from this offering by approximately $23.6 million, assuming that the assumed initial public offering price of $25.00 per share, which is the midpoint of the offering price range set forth on the cover page of this prospectus, remains the same, and after deducting the underwriting discounts and commissions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DIVIDEND POLICY</w:t>
      </w:r>
    </w:p>
    <w:p>
      <w:pPr>
        <w:spacing w:after="0" w:line="130" w:lineRule="exact"/>
        <w:rPr>
          <w:sz w:val="20"/>
          <w:szCs w:val="20"/>
          <w:color w:val="auto"/>
        </w:rPr>
      </w:pPr>
    </w:p>
    <w:p>
      <w:pPr>
        <w:ind w:left="1520" w:right="1660" w:firstLine="230"/>
        <w:spacing w:after="0" w:line="271" w:lineRule="auto"/>
        <w:rPr>
          <w:sz w:val="20"/>
          <w:szCs w:val="20"/>
          <w:color w:val="auto"/>
        </w:rPr>
      </w:pPr>
      <w:r>
        <w:rPr>
          <w:rFonts w:ascii="Arial" w:cs="Arial" w:eastAsia="Arial" w:hAnsi="Arial"/>
          <w:sz w:val="12"/>
          <w:szCs w:val="12"/>
          <w:color w:val="auto"/>
        </w:rPr>
        <w:t xml:space="preserve">We currently intend to retain all available funds and any future earnings for use in the operation of our business and do not anticipate paying any dividends on our capital stock in the foreseeable future. Additionally, our ability to pay dividends or make distributions is limited by certain restrictions in connection with the Warehouse Credit Facility, the Vista Facility, and ABL Facility. For additional information regarding the Warehouse Credit Facility, the Vista Facility, and ABL Facility, see the section titled “Description of Material Indebtedness.” Additionally, our ability to pay dividends may be further restricted by agreements we may enter into in the future. Any future determination to declare dividends will be made at the discretion of our board of directors and will depend on our financial condition, </w:t>
      </w:r>
      <w:r>
        <w:rPr>
          <w:rFonts w:ascii="Arial" w:cs="Arial" w:eastAsia="Arial" w:hAnsi="Arial"/>
          <w:sz w:val="12"/>
          <w:szCs w:val="12"/>
          <w:color w:val="auto"/>
          <w:highlight w:val="white"/>
        </w:rPr>
        <w:t>results</w:t>
      </w:r>
      <w:r>
        <w:rPr>
          <w:rFonts w:ascii="Arial" w:cs="Arial" w:eastAsia="Arial" w:hAnsi="Arial"/>
          <w:sz w:val="12"/>
          <w:szCs w:val="12"/>
          <w:color w:val="auto"/>
        </w:rPr>
        <w:t xml:space="preserve"> </w:t>
      </w:r>
      <w:r>
        <w:rPr>
          <w:rFonts w:ascii="Arial" w:cs="Arial" w:eastAsia="Arial" w:hAnsi="Arial"/>
          <w:sz w:val="12"/>
          <w:szCs w:val="12"/>
          <w:color w:val="auto"/>
          <w:highlight w:val="white"/>
        </w:rPr>
        <w:t xml:space="preserve">of operations </w:t>
      </w:r>
      <w:r>
        <w:rPr>
          <w:rFonts w:ascii="Arial" w:cs="Arial" w:eastAsia="Arial" w:hAnsi="Arial"/>
          <w:sz w:val="12"/>
          <w:szCs w:val="12"/>
          <w:color w:val="auto"/>
        </w:rPr>
        <w:t>, contractual restrictions, capital requirements, general business conditions, and other</w:t>
      </w:r>
      <w:r>
        <w:rPr>
          <w:rFonts w:ascii="Arial" w:cs="Arial" w:eastAsia="Arial" w:hAnsi="Arial"/>
          <w:sz w:val="12"/>
          <w:szCs w:val="12"/>
          <w:color w:val="auto"/>
          <w:highlight w:val="white"/>
        </w:rPr>
        <w:t xml:space="preserve"> </w:t>
      </w:r>
      <w:r>
        <w:rPr>
          <w:rFonts w:ascii="Arial" w:cs="Arial" w:eastAsia="Arial" w:hAnsi="Arial"/>
          <w:sz w:val="12"/>
          <w:szCs w:val="12"/>
          <w:color w:val="auto"/>
        </w:rPr>
        <w:t>factors that our board of directors may deem relevant.</w:t>
      </w:r>
    </w:p>
    <w:p>
      <w:pPr>
        <w:sectPr>
          <w:pgSz w:w="11900" w:h="16840" w:orient="portrait"/>
          <w:cols w:equalWidth="0" w:num="1">
            <w:col w:w="9020"/>
          </w:cols>
          <w:pgMar w:left="1440" w:top="770" w:right="1440"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CAPITALIZATION</w:t>
      </w:r>
    </w:p>
    <w:p>
      <w:pPr>
        <w:spacing w:after="0" w:line="130" w:lineRule="exact"/>
        <w:rPr>
          <w:sz w:val="20"/>
          <w:szCs w:val="20"/>
          <w:color w:val="auto"/>
        </w:rPr>
      </w:pPr>
    </w:p>
    <w:p>
      <w:pPr>
        <w:ind w:left="1520" w:right="2100" w:firstLine="230"/>
        <w:spacing w:after="0" w:line="312" w:lineRule="auto"/>
        <w:rPr>
          <w:sz w:val="20"/>
          <w:szCs w:val="20"/>
          <w:color w:val="auto"/>
        </w:rPr>
      </w:pPr>
      <w:r>
        <w:rPr>
          <w:rFonts w:ascii="Arial" w:cs="Arial" w:eastAsia="Arial" w:hAnsi="Arial"/>
          <w:sz w:val="12"/>
          <w:szCs w:val="12"/>
          <w:color w:val="auto"/>
        </w:rPr>
        <w:t>The following table sets forth our cash, cash equivalents, and restricted cash (current) and our capitalization as of July 31, 2025, on:</w:t>
      </w:r>
    </w:p>
    <w:p>
      <w:pPr>
        <w:spacing w:after="0" w:line="62" w:lineRule="exact"/>
        <w:rPr>
          <w:sz w:val="20"/>
          <w:szCs w:val="20"/>
          <w:color w:val="auto"/>
        </w:rPr>
      </w:pPr>
    </w:p>
    <w:p>
      <w:pPr>
        <w:ind w:left="1980" w:hanging="228"/>
        <w:spacing w:after="0"/>
        <w:tabs>
          <w:tab w:leader="none" w:pos="19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an actual basis;</w:t>
      </w:r>
    </w:p>
    <w:p>
      <w:pPr>
        <w:spacing w:after="0" w:line="129" w:lineRule="exact"/>
        <w:rPr>
          <w:rFonts w:ascii="Arial" w:cs="Arial" w:eastAsia="Arial" w:hAnsi="Arial"/>
          <w:sz w:val="12"/>
          <w:szCs w:val="12"/>
          <w:color w:val="auto"/>
        </w:rPr>
      </w:pPr>
    </w:p>
    <w:p>
      <w:pPr>
        <w:ind w:left="1980" w:right="1860" w:hanging="228"/>
        <w:spacing w:after="0" w:line="276" w:lineRule="auto"/>
        <w:tabs>
          <w:tab w:leader="none" w:pos="19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a pro forma basis, which reflects (A) the pro forma adjustments described in footnote (1) to the Summary Consolidated Balance Sheet table in the section titled “Summary Consolidated</w:t>
      </w:r>
    </w:p>
    <w:p>
      <w:pPr>
        <w:ind w:left="1980" w:right="1780"/>
        <w:spacing w:after="0" w:line="279" w:lineRule="auto"/>
        <w:rPr>
          <w:sz w:val="20"/>
          <w:szCs w:val="20"/>
          <w:color w:val="auto"/>
        </w:rPr>
      </w:pPr>
      <w:r>
        <w:rPr>
          <w:rFonts w:ascii="Arial" w:cs="Arial" w:eastAsia="Arial" w:hAnsi="Arial"/>
          <w:sz w:val="12"/>
          <w:szCs w:val="12"/>
          <w:color w:val="auto"/>
        </w:rPr>
        <w:t>Financial and Other Data” and (B) the exchange of 15,304,696 shares of our Class A common stock into an equal number of shares of our Class B common stock immediately prior to the completion of this offering in the Class B Stock Exchange; and</w:t>
      </w:r>
    </w:p>
    <w:p>
      <w:pPr>
        <w:spacing w:after="0" w:line="81" w:lineRule="exact"/>
        <w:rPr>
          <w:sz w:val="20"/>
          <w:szCs w:val="20"/>
          <w:color w:val="auto"/>
        </w:rPr>
      </w:pPr>
    </w:p>
    <w:p>
      <w:pPr>
        <w:ind w:left="1980" w:hanging="228"/>
        <w:spacing w:after="0"/>
        <w:tabs>
          <w:tab w:leader="none" w:pos="19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 pro forma as adjusted basis, which reflects (A) the pro forma adjustments described above and</w:t>
      </w:r>
    </w:p>
    <w:p>
      <w:pPr>
        <w:spacing w:after="0" w:line="26" w:lineRule="exact"/>
        <w:rPr>
          <w:rFonts w:ascii="Arial" w:cs="Arial" w:eastAsia="Arial" w:hAnsi="Arial"/>
          <w:sz w:val="12"/>
          <w:szCs w:val="12"/>
          <w:color w:val="auto"/>
        </w:rPr>
      </w:pPr>
    </w:p>
    <w:p>
      <w:pPr>
        <w:ind w:left="1980" w:right="1960"/>
        <w:spacing w:after="0" w:line="292" w:lineRule="auto"/>
        <w:rPr>
          <w:rFonts w:ascii="Arial" w:cs="Arial" w:eastAsia="Arial" w:hAnsi="Arial"/>
          <w:sz w:val="12"/>
          <w:szCs w:val="12"/>
          <w:color w:val="auto"/>
        </w:rPr>
      </w:pPr>
      <w:r>
        <w:rPr>
          <w:rFonts w:ascii="Arial" w:cs="Arial" w:eastAsia="Arial" w:hAnsi="Arial"/>
          <w:sz w:val="12"/>
          <w:szCs w:val="12"/>
          <w:color w:val="auto"/>
        </w:rPr>
        <w:t>(B) the further pro forma adjustments described in footnote (2) to the Summary Consolidated Balance Sheet table in the section titled “Summary Consolidated Financial and Other Data.”</w:t>
      </w:r>
    </w:p>
    <w:p>
      <w:pPr>
        <w:spacing w:after="0" w:line="74" w:lineRule="exact"/>
        <w:rPr>
          <w:sz w:val="20"/>
          <w:szCs w:val="20"/>
          <w:color w:val="auto"/>
        </w:rPr>
      </w:pPr>
    </w:p>
    <w:p>
      <w:pPr>
        <w:ind w:left="1520" w:right="1680" w:firstLine="230"/>
        <w:spacing w:after="0" w:line="277" w:lineRule="auto"/>
        <w:rPr>
          <w:sz w:val="20"/>
          <w:szCs w:val="20"/>
          <w:color w:val="auto"/>
        </w:rPr>
      </w:pPr>
      <w:r>
        <w:rPr>
          <w:rFonts w:ascii="Arial" w:cs="Arial" w:eastAsia="Arial" w:hAnsi="Arial"/>
          <w:sz w:val="12"/>
          <w:szCs w:val="12"/>
          <w:color w:val="auto"/>
        </w:rPr>
        <w:t>The information below is illustrative only and our capitalization following this offering will be adjusted based on the actual initial public offering price and other terms of the offering determined at pricing. You should read this table together with our consolidated financial statements and the accompanying notes, and the section titled “Management’s Discussion and Analysis of Financial Condition and Results of Operations,” that are included elsewhere in this prospectus.</w:t>
      </w:r>
    </w:p>
    <w:p>
      <w:pPr>
        <w:sectPr>
          <w:pgSz w:w="11900" w:h="16840" w:orient="portrait"/>
          <w:cols w:equalWidth="0" w:num="1">
            <w:col w:w="9020"/>
          </w:cols>
          <w:pgMar w:left="1440" w:top="1440" w:right="1440" w:bottom="4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85</w:t>
      </w:r>
    </w:p>
    <w:p>
      <w:pPr>
        <w:sectPr>
          <w:pgSz w:w="11900" w:h="16840" w:orient="portrait"/>
          <w:cols w:equalWidth="0" w:num="1">
            <w:col w:w="9020"/>
          </w:cols>
          <w:pgMar w:left="1440" w:top="1440" w:right="1440" w:bottom="492" w:gutter="0" w:footer="0" w:header="0"/>
          <w:type w:val="continuous"/>
        </w:sectPr>
      </w:pPr>
    </w:p>
    <w:bookmarkStart w:id="63" w:name="page64"/>
    <w:bookmarkEnd w:id="63"/>
    <w:p>
      <w:pPr>
        <w:ind w:left="1520"/>
        <w:spacing w:after="0"/>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3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gridSpan w:val="5"/>
          </w:tcPr>
          <w:p>
            <w:pPr>
              <w:ind w:left="20"/>
              <w:spacing w:after="0"/>
              <w:rPr>
                <w:sz w:val="20"/>
                <w:szCs w:val="20"/>
                <w:color w:val="auto"/>
              </w:rPr>
            </w:pPr>
            <w:r>
              <w:rPr>
                <w:rFonts w:ascii="Arial" w:cs="Arial" w:eastAsia="Arial" w:hAnsi="Arial"/>
                <w:sz w:val="11"/>
                <w:szCs w:val="11"/>
                <w:b w:val="1"/>
                <w:bCs w:val="1"/>
                <w:color w:val="auto"/>
                <w:w w:val="97"/>
              </w:rPr>
              <w:t>As of July 31, 202</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165"/>
              <w:spacing w:after="0"/>
              <w:rPr>
                <w:sz w:val="20"/>
                <w:szCs w:val="20"/>
                <w:color w:val="auto"/>
              </w:rPr>
            </w:pPr>
            <w:r>
              <w:rPr>
                <w:rFonts w:ascii="Arial" w:cs="Arial" w:eastAsia="Arial" w:hAnsi="Arial"/>
                <w:sz w:val="11"/>
                <w:szCs w:val="11"/>
                <w:b w:val="1"/>
                <w:bCs w:val="1"/>
                <w:color w:val="auto"/>
              </w:rPr>
              <w:t>Actual</w:t>
            </w:r>
          </w:p>
        </w:tc>
        <w:tc>
          <w:tcPr>
            <w:tcW w:w="200" w:type="dxa"/>
            <w:vAlign w:val="bottom"/>
            <w:gridSpan w:val="3"/>
          </w:tcPr>
          <w:p>
            <w:pPr>
              <w:ind w:left="20"/>
              <w:spacing w:after="0"/>
              <w:rPr>
                <w:sz w:val="20"/>
                <w:szCs w:val="20"/>
                <w:color w:val="auto"/>
              </w:rPr>
            </w:pPr>
            <w:r>
              <w:rPr>
                <w:rFonts w:ascii="Arial" w:cs="Arial" w:eastAsia="Arial" w:hAnsi="Arial"/>
                <w:sz w:val="11"/>
                <w:szCs w:val="11"/>
                <w:b w:val="1"/>
                <w:bCs w:val="1"/>
                <w:color w:val="auto"/>
              </w:rPr>
              <w:t>5</w:t>
            </w: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Pro Forma</w:t>
            </w:r>
          </w:p>
        </w:tc>
        <w:tc>
          <w:tcPr>
            <w:tcW w:w="840" w:type="dxa"/>
            <w:vAlign w:val="bottom"/>
            <w:gridSpan w:val="2"/>
          </w:tcPr>
          <w:p>
            <w:pPr>
              <w:jc w:val="right"/>
              <w:ind w:right="23"/>
              <w:spacing w:after="0"/>
              <w:rPr>
                <w:sz w:val="20"/>
                <w:szCs w:val="20"/>
                <w:color w:val="auto"/>
              </w:rPr>
            </w:pPr>
            <w:r>
              <w:rPr>
                <w:rFonts w:ascii="Arial" w:cs="Arial" w:eastAsia="Arial" w:hAnsi="Arial"/>
                <w:sz w:val="11"/>
                <w:szCs w:val="11"/>
                <w:b w:val="1"/>
                <w:bCs w:val="1"/>
                <w:color w:val="auto"/>
              </w:rPr>
              <w:t>Pro Forma as</w:t>
            </w:r>
          </w:p>
        </w:tc>
        <w:tc>
          <w:tcPr>
            <w:tcW w:w="0" w:type="dxa"/>
            <w:vAlign w:val="bottom"/>
          </w:tcPr>
          <w:p>
            <w:pPr>
              <w:spacing w:after="0"/>
              <w:rPr>
                <w:sz w:val="1"/>
                <w:szCs w:val="1"/>
                <w:color w:val="auto"/>
              </w:rPr>
            </w:pPr>
          </w:p>
        </w:tc>
      </w:tr>
      <w:tr>
        <w:trPr>
          <w:trHeight w:val="153"/>
        </w:trPr>
        <w:tc>
          <w:tcPr>
            <w:tcW w:w="3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9"/>
              </w:rPr>
              <w:t>Adjusted</w:t>
            </w:r>
            <w:r>
              <w:rPr>
                <w:rFonts w:ascii="Arial" w:cs="Arial" w:eastAsia="Arial" w:hAnsi="Arial"/>
                <w:sz w:val="6"/>
                <w:szCs w:val="6"/>
                <w:b w:val="1"/>
                <w:bCs w:val="1"/>
                <w:color w:val="auto"/>
                <w:w w:val="99"/>
              </w:rPr>
              <w:t>(1)</w:t>
            </w:r>
          </w:p>
        </w:tc>
        <w:tc>
          <w:tcPr>
            <w:tcW w:w="0" w:type="dxa"/>
            <w:vAlign w:val="bottom"/>
          </w:tcPr>
          <w:p>
            <w:pPr>
              <w:spacing w:after="0"/>
              <w:rPr>
                <w:sz w:val="1"/>
                <w:szCs w:val="1"/>
                <w:color w:val="auto"/>
              </w:rPr>
            </w:pPr>
          </w:p>
        </w:tc>
      </w:tr>
      <w:tr>
        <w:trPr>
          <w:trHeight w:val="95"/>
        </w:trPr>
        <w:tc>
          <w:tcPr>
            <w:tcW w:w="3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80" w:type="dxa"/>
            <w:vAlign w:val="bottom"/>
            <w:gridSpan w:val="8"/>
          </w:tcPr>
          <w:p>
            <w:pPr>
              <w:ind w:left="20"/>
              <w:spacing w:after="0" w:line="95" w:lineRule="exact"/>
              <w:rPr>
                <w:sz w:val="20"/>
                <w:szCs w:val="20"/>
                <w:color w:val="auto"/>
              </w:rPr>
            </w:pPr>
            <w:r>
              <w:rPr>
                <w:rFonts w:ascii="Arial" w:cs="Arial" w:eastAsia="Arial" w:hAnsi="Arial"/>
                <w:sz w:val="11"/>
                <w:szCs w:val="11"/>
                <w:b w:val="1"/>
                <w:bCs w:val="1"/>
                <w:color w:val="auto"/>
                <w:w w:val="99"/>
              </w:rPr>
              <w:t>(in thousands, except share and per share data</w:t>
            </w:r>
          </w:p>
        </w:tc>
        <w:tc>
          <w:tcPr>
            <w:tcW w:w="0" w:type="dxa"/>
            <w:vAlign w:val="bottom"/>
          </w:tcPr>
          <w:p>
            <w:pPr>
              <w:spacing w:after="0"/>
              <w:rPr>
                <w:sz w:val="1"/>
                <w:szCs w:val="1"/>
                <w:color w:val="auto"/>
              </w:rPr>
            </w:pPr>
          </w:p>
        </w:tc>
      </w:tr>
      <w:tr>
        <w:trPr>
          <w:trHeight w:val="68"/>
        </w:trPr>
        <w:tc>
          <w:tcPr>
            <w:tcW w:w="3400" w:type="dxa"/>
            <w:vAlign w:val="bottom"/>
            <w:vMerge w:val="restart"/>
          </w:tcPr>
          <w:p>
            <w:pPr>
              <w:ind w:left="40"/>
              <w:spacing w:after="0"/>
              <w:rPr>
                <w:sz w:val="20"/>
                <w:szCs w:val="20"/>
                <w:color w:val="auto"/>
              </w:rPr>
            </w:pPr>
            <w:r>
              <w:rPr>
                <w:rFonts w:ascii="Arial" w:cs="Arial" w:eastAsia="Arial" w:hAnsi="Arial"/>
                <w:sz w:val="11"/>
                <w:szCs w:val="11"/>
                <w:color w:val="auto"/>
              </w:rPr>
              <w:t xml:space="preserve">Cash and cash equivalent </w:t>
            </w:r>
            <w:r>
              <w:rPr>
                <w:rFonts w:ascii="Times New Roman" w:cs="Times New Roman" w:eastAsia="Times New Roman" w:hAnsi="Times New Roman"/>
                <w:sz w:val="11"/>
                <w:szCs w:val="11"/>
                <w:color w:val="B4B4B4"/>
              </w:rPr>
              <w:t>....................................................................</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ind w:left="20"/>
              <w:spacing w:after="0" w:line="68" w:lineRule="exact"/>
              <w:rPr>
                <w:sz w:val="20"/>
                <w:szCs w:val="20"/>
                <w:color w:val="auto"/>
              </w:rPr>
            </w:pPr>
            <w:r>
              <w:rPr>
                <w:rFonts w:ascii="Arial" w:cs="Arial" w:eastAsia="Arial" w:hAnsi="Arial"/>
                <w:sz w:val="7"/>
                <w:szCs w:val="7"/>
                <w:b w:val="1"/>
                <w:bCs w:val="1"/>
                <w:color w:val="auto"/>
              </w:rPr>
              <w:t>)</w:t>
            </w:r>
          </w:p>
        </w:tc>
        <w:tc>
          <w:tcPr>
            <w:tcW w:w="200" w:type="dxa"/>
            <w:vAlign w:val="bottom"/>
            <w:gridSpan w:val="3"/>
            <w:vMerge w:val="restart"/>
          </w:tcPr>
          <w:p>
            <w:pPr>
              <w:jc w:val="right"/>
              <w:ind w:right="40"/>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3"/>
              <w:spacing w:after="0"/>
              <w:rPr>
                <w:sz w:val="20"/>
                <w:szCs w:val="20"/>
                <w:color w:val="auto"/>
              </w:rPr>
            </w:pPr>
            <w:r>
              <w:rPr>
                <w:rFonts w:ascii="Arial" w:cs="Arial" w:eastAsia="Arial" w:hAnsi="Arial"/>
                <w:sz w:val="11"/>
                <w:szCs w:val="11"/>
                <w:color w:val="auto"/>
              </w:rPr>
              <w:t>223,265</w:t>
            </w:r>
          </w:p>
        </w:tc>
        <w:tc>
          <w:tcPr>
            <w:tcW w:w="40" w:type="dxa"/>
            <w:vAlign w:val="bottom"/>
          </w:tcPr>
          <w:p>
            <w:pPr>
              <w:spacing w:after="0"/>
              <w:rPr>
                <w:sz w:val="5"/>
                <w:szCs w:val="5"/>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783,209</w:t>
            </w:r>
          </w:p>
        </w:tc>
        <w:tc>
          <w:tcPr>
            <w:tcW w:w="0" w:type="dxa"/>
            <w:vAlign w:val="bottom"/>
          </w:tcPr>
          <w:p>
            <w:pPr>
              <w:spacing w:after="0"/>
              <w:rPr>
                <w:sz w:val="1"/>
                <w:szCs w:val="1"/>
                <w:color w:val="auto"/>
              </w:rPr>
            </w:pPr>
          </w:p>
        </w:tc>
      </w:tr>
      <w:tr>
        <w:trPr>
          <w:trHeight w:val="114"/>
        </w:trPr>
        <w:tc>
          <w:tcPr>
            <w:tcW w:w="340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Arial" w:cs="Arial" w:eastAsia="Arial" w:hAnsi="Arial"/>
                <w:sz w:val="11"/>
                <w:szCs w:val="11"/>
                <w:color w:val="auto"/>
              </w:rPr>
              <w:t>223,229</w:t>
            </w:r>
          </w:p>
        </w:tc>
        <w:tc>
          <w:tcPr>
            <w:tcW w:w="200" w:type="dxa"/>
            <w:vAlign w:val="bottom"/>
            <w:gridSpan w:val="3"/>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3400" w:type="dxa"/>
            <w:vAlign w:val="bottom"/>
          </w:tcPr>
          <w:p>
            <w:pPr>
              <w:ind w:left="40"/>
              <w:spacing w:after="0" w:line="77" w:lineRule="exact"/>
              <w:rPr>
                <w:sz w:val="20"/>
                <w:szCs w:val="20"/>
                <w:color w:val="auto"/>
              </w:rPr>
            </w:pPr>
            <w:r>
              <w:rPr>
                <w:rFonts w:ascii="Arial" w:cs="Arial" w:eastAsia="Arial" w:hAnsi="Arial"/>
                <w:sz w:val="8"/>
                <w:szCs w:val="8"/>
                <w:color w:val="auto"/>
              </w:rPr>
              <w:t>s</w:t>
            </w:r>
          </w:p>
        </w:tc>
        <w:tc>
          <w:tcPr>
            <w:tcW w:w="100" w:type="dxa"/>
            <w:vAlign w:val="bottom"/>
          </w:tcPr>
          <w:p>
            <w:pPr>
              <w:spacing w:after="0"/>
              <w:rPr>
                <w:sz w:val="6"/>
                <w:szCs w:val="6"/>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87,218</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87,218</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87,218</w:t>
            </w:r>
          </w:p>
        </w:tc>
        <w:tc>
          <w:tcPr>
            <w:tcW w:w="0" w:type="dxa"/>
            <w:vAlign w:val="bottom"/>
          </w:tcPr>
          <w:p>
            <w:pPr>
              <w:spacing w:after="0"/>
              <w:rPr>
                <w:sz w:val="1"/>
                <w:szCs w:val="1"/>
                <w:color w:val="auto"/>
              </w:rPr>
            </w:pPr>
          </w:p>
        </w:tc>
      </w:tr>
      <w:tr>
        <w:trPr>
          <w:trHeight w:val="105"/>
        </w:trPr>
        <w:tc>
          <w:tcPr>
            <w:tcW w:w="3400" w:type="dxa"/>
            <w:vAlign w:val="bottom"/>
          </w:tcPr>
          <w:p>
            <w:pPr>
              <w:ind w:left="40"/>
              <w:spacing w:after="0" w:line="105" w:lineRule="exact"/>
              <w:rPr>
                <w:sz w:val="20"/>
                <w:szCs w:val="20"/>
                <w:color w:val="auto"/>
              </w:rPr>
            </w:pPr>
            <w:r>
              <w:rPr>
                <w:rFonts w:ascii="Arial" w:cs="Arial" w:eastAsia="Arial" w:hAnsi="Arial"/>
                <w:sz w:val="11"/>
                <w:szCs w:val="11"/>
                <w:color w:val="auto"/>
              </w:rPr>
              <w:t xml:space="preserve">Restricted cash, curren </w:t>
            </w:r>
            <w:r>
              <w:rPr>
                <w:rFonts w:ascii="Times New Roman" w:cs="Times New Roman" w:eastAsia="Times New Roman" w:hAnsi="Times New Roman"/>
                <w:sz w:val="11"/>
                <w:szCs w:val="11"/>
                <w:color w:val="B4B4B4"/>
              </w:rPr>
              <w:t>.........................................................................</w:t>
            </w: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3400" w:type="dxa"/>
            <w:vAlign w:val="bottom"/>
          </w:tcPr>
          <w:p>
            <w:pPr>
              <w:ind w:left="40"/>
              <w:spacing w:after="0" w:line="58" w:lineRule="exact"/>
              <w:rPr>
                <w:sz w:val="20"/>
                <w:szCs w:val="20"/>
                <w:color w:val="auto"/>
              </w:rPr>
            </w:pPr>
            <w:r>
              <w:rPr>
                <w:rFonts w:ascii="Arial" w:cs="Arial" w:eastAsia="Arial" w:hAnsi="Arial"/>
                <w:sz w:val="6"/>
                <w:szCs w:val="6"/>
                <w:color w:val="auto"/>
              </w:rPr>
              <w:t>t</w:t>
            </w: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3400" w:type="dxa"/>
            <w:vAlign w:val="bottom"/>
          </w:tcPr>
          <w:p>
            <w:pPr>
              <w:ind w:left="40"/>
              <w:spacing w:after="0" w:line="105" w:lineRule="exact"/>
              <w:rPr>
                <w:sz w:val="20"/>
                <w:szCs w:val="20"/>
                <w:color w:val="auto"/>
              </w:rPr>
            </w:pPr>
            <w:r>
              <w:rPr>
                <w:rFonts w:ascii="Arial" w:cs="Arial" w:eastAsia="Arial" w:hAnsi="Arial"/>
                <w:sz w:val="11"/>
                <w:szCs w:val="11"/>
                <w:color w:val="auto"/>
              </w:rPr>
              <w:t xml:space="preserve">Debt, current and long ter  </w:t>
            </w:r>
            <w:r>
              <w:rPr>
                <w:rFonts w:ascii="Times New Roman" w:cs="Times New Roman" w:eastAsia="Times New Roman" w:hAnsi="Times New Roman"/>
                <w:sz w:val="11"/>
                <w:szCs w:val="11"/>
                <w:color w:val="B4B4B4"/>
              </w:rPr>
              <w:t>...................................................................</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3400" w:type="dxa"/>
            <w:vAlign w:val="bottom"/>
          </w:tcPr>
          <w:p>
            <w:pPr>
              <w:ind w:left="40"/>
              <w:spacing w:after="0" w:line="77" w:lineRule="exact"/>
              <w:rPr>
                <w:sz w:val="20"/>
                <w:szCs w:val="20"/>
                <w:color w:val="auto"/>
              </w:rPr>
            </w:pPr>
            <w:r>
              <w:rPr>
                <w:rFonts w:ascii="Arial" w:cs="Arial" w:eastAsia="Arial" w:hAnsi="Arial"/>
                <w:sz w:val="8"/>
                <w:szCs w:val="8"/>
                <w:color w:val="auto"/>
              </w:rPr>
              <w:t>m</w:t>
            </w:r>
          </w:p>
        </w:tc>
        <w:tc>
          <w:tcPr>
            <w:tcW w:w="100" w:type="dxa"/>
            <w:vAlign w:val="bottom"/>
          </w:tcPr>
          <w:p>
            <w:pPr>
              <w:spacing w:after="0"/>
              <w:rPr>
                <w:sz w:val="6"/>
                <w:szCs w:val="6"/>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34,500</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34,500</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34,500</w:t>
            </w:r>
          </w:p>
        </w:tc>
        <w:tc>
          <w:tcPr>
            <w:tcW w:w="0" w:type="dxa"/>
            <w:vAlign w:val="bottom"/>
          </w:tcPr>
          <w:p>
            <w:pPr>
              <w:spacing w:after="0"/>
              <w:rPr>
                <w:sz w:val="1"/>
                <w:szCs w:val="1"/>
                <w:color w:val="auto"/>
              </w:rPr>
            </w:pPr>
          </w:p>
        </w:tc>
      </w:tr>
      <w:tr>
        <w:trPr>
          <w:trHeight w:val="156"/>
        </w:trPr>
        <w:tc>
          <w:tcPr>
            <w:tcW w:w="3400" w:type="dxa"/>
            <w:vAlign w:val="bottom"/>
          </w:tcPr>
          <w:p>
            <w:pPr>
              <w:jc w:val="right"/>
              <w:spacing w:after="0"/>
              <w:rPr>
                <w:sz w:val="20"/>
                <w:szCs w:val="20"/>
                <w:color w:val="auto"/>
              </w:rPr>
            </w:pPr>
            <w:r>
              <w:rPr>
                <w:rFonts w:ascii="Arial" w:cs="Arial" w:eastAsia="Arial" w:hAnsi="Arial"/>
                <w:sz w:val="11"/>
                <w:szCs w:val="11"/>
                <w:color w:val="auto"/>
              </w:rPr>
              <w:t xml:space="preserve">ABL Facility </w:t>
            </w:r>
            <w:r>
              <w:rPr>
                <w:rFonts w:ascii="Times New Roman" w:cs="Times New Roman" w:eastAsia="Times New Roman" w:hAnsi="Times New Roman"/>
                <w:sz w:val="11"/>
                <w:szCs w:val="11"/>
                <w:color w:val="B4B4B4"/>
              </w:rPr>
              <w:t>.........................................................................................</w:t>
            </w: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Vista Facility</w:t>
            </w:r>
            <w:r>
              <w:rPr>
                <w:rFonts w:ascii="Arial" w:cs="Arial" w:eastAsia="Arial" w:hAnsi="Arial"/>
                <w:sz w:val="15"/>
                <w:szCs w:val="15"/>
                <w:color w:val="auto"/>
                <w:vertAlign w:val="superscript"/>
              </w:rPr>
              <w:t>(2)</w:t>
            </w:r>
            <w:r>
              <w:rPr>
                <w:rFonts w:ascii="Times New Roman" w:cs="Times New Roman" w:eastAsia="Times New Roman" w:hAnsi="Times New Roman"/>
                <w:sz w:val="11"/>
                <w:szCs w:val="11"/>
                <w:color w:val="B4B4B4"/>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117,100</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117,100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4"/>
        </w:trPr>
        <w:tc>
          <w:tcPr>
            <w:tcW w:w="3400" w:type="dxa"/>
            <w:vAlign w:val="bottom"/>
          </w:tcPr>
          <w:p>
            <w:pPr>
              <w:jc w:val="right"/>
              <w:spacing w:after="0" w:line="125" w:lineRule="exact"/>
              <w:rPr>
                <w:sz w:val="20"/>
                <w:szCs w:val="20"/>
                <w:color w:val="auto"/>
              </w:rPr>
            </w:pPr>
            <w:r>
              <w:rPr>
                <w:rFonts w:ascii="Arial" w:cs="Arial" w:eastAsia="Arial" w:hAnsi="Arial"/>
                <w:sz w:val="11"/>
                <w:szCs w:val="11"/>
                <w:color w:val="auto"/>
              </w:rPr>
              <w:t xml:space="preserve">Warehouse Credit Facilit  </w:t>
            </w:r>
            <w:r>
              <w:rPr>
                <w:rFonts w:ascii="Times New Roman" w:cs="Times New Roman" w:eastAsia="Times New Roman" w:hAnsi="Times New Roman"/>
                <w:sz w:val="11"/>
                <w:szCs w:val="11"/>
                <w:color w:val="B4B4B4"/>
              </w:rPr>
              <w:t>................................................................</w:t>
            </w:r>
          </w:p>
        </w:tc>
        <w:tc>
          <w:tcPr>
            <w:tcW w:w="10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148,174</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ind w:right="3"/>
              <w:spacing w:after="0" w:line="125" w:lineRule="exact"/>
              <w:rPr>
                <w:sz w:val="20"/>
                <w:szCs w:val="20"/>
                <w:color w:val="auto"/>
              </w:rPr>
            </w:pPr>
            <w:r>
              <w:rPr>
                <w:rFonts w:ascii="Arial" w:cs="Arial" w:eastAsia="Arial" w:hAnsi="Arial"/>
                <w:sz w:val="11"/>
                <w:szCs w:val="11"/>
                <w:color w:val="auto"/>
              </w:rPr>
              <w:t>148,174</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3"/>
              <w:spacing w:after="0" w:line="125" w:lineRule="exact"/>
              <w:rPr>
                <w:sz w:val="20"/>
                <w:szCs w:val="20"/>
                <w:color w:val="auto"/>
              </w:rPr>
            </w:pPr>
            <w:r>
              <w:rPr>
                <w:rFonts w:ascii="Arial" w:cs="Arial" w:eastAsia="Arial" w:hAnsi="Arial"/>
                <w:sz w:val="11"/>
                <w:szCs w:val="11"/>
                <w:color w:val="auto"/>
              </w:rPr>
              <w:t>148,174</w:t>
            </w:r>
          </w:p>
        </w:tc>
        <w:tc>
          <w:tcPr>
            <w:tcW w:w="0" w:type="dxa"/>
            <w:vAlign w:val="bottom"/>
          </w:tcPr>
          <w:p>
            <w:pPr>
              <w:spacing w:after="0"/>
              <w:rPr>
                <w:sz w:val="1"/>
                <w:szCs w:val="1"/>
                <w:color w:val="auto"/>
              </w:rPr>
            </w:pPr>
          </w:p>
        </w:tc>
      </w:tr>
      <w:tr>
        <w:trPr>
          <w:trHeight w:val="77"/>
        </w:trPr>
        <w:tc>
          <w:tcPr>
            <w:tcW w:w="3400" w:type="dxa"/>
            <w:vAlign w:val="bottom"/>
          </w:tcPr>
          <w:p>
            <w:pPr>
              <w:ind w:left="180"/>
              <w:spacing w:after="0" w:line="77" w:lineRule="exact"/>
              <w:rPr>
                <w:sz w:val="20"/>
                <w:szCs w:val="20"/>
                <w:color w:val="auto"/>
              </w:rPr>
            </w:pPr>
            <w:r>
              <w:rPr>
                <w:rFonts w:ascii="Arial" w:cs="Arial" w:eastAsia="Arial" w:hAnsi="Arial"/>
                <w:sz w:val="8"/>
                <w:szCs w:val="8"/>
                <w:color w:val="auto"/>
              </w:rPr>
              <w:t>y</w:t>
            </w:r>
          </w:p>
        </w:tc>
        <w:tc>
          <w:tcPr>
            <w:tcW w:w="100" w:type="dxa"/>
            <w:vAlign w:val="bottom"/>
          </w:tcPr>
          <w:p>
            <w:pPr>
              <w:spacing w:after="0"/>
              <w:rPr>
                <w:sz w:val="6"/>
                <w:szCs w:val="6"/>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195,163</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6"/>
                <w:szCs w:val="6"/>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3400" w:type="dxa"/>
            <w:vAlign w:val="bottom"/>
          </w:tcPr>
          <w:p>
            <w:pPr>
              <w:jc w:val="right"/>
              <w:spacing w:after="0"/>
              <w:rPr>
                <w:sz w:val="20"/>
                <w:szCs w:val="20"/>
                <w:color w:val="auto"/>
              </w:rPr>
            </w:pPr>
            <w:r>
              <w:rPr>
                <w:rFonts w:ascii="Arial" w:cs="Arial" w:eastAsia="Arial" w:hAnsi="Arial"/>
                <w:sz w:val="11"/>
                <w:szCs w:val="11"/>
                <w:color w:val="auto"/>
              </w:rPr>
              <w:t xml:space="preserve">Convertible notes, net </w:t>
            </w:r>
            <w:r>
              <w:rPr>
                <w:rFonts w:ascii="Times New Roman" w:cs="Times New Roman" w:eastAsia="Times New Roman" w:hAnsi="Times New Roman"/>
                <w:sz w:val="11"/>
                <w:szCs w:val="11"/>
                <w:color w:val="B4B4B4"/>
              </w:rPr>
              <w:t>.......................................................................</w:t>
            </w: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400" w:type="dxa"/>
            <w:vAlign w:val="bottom"/>
          </w:tcPr>
          <w:p>
            <w:pPr>
              <w:jc w:val="right"/>
              <w:spacing w:after="0"/>
              <w:rPr>
                <w:sz w:val="20"/>
                <w:szCs w:val="20"/>
                <w:color w:val="auto"/>
              </w:rPr>
            </w:pPr>
            <w:r>
              <w:rPr>
                <w:rFonts w:ascii="Arial" w:cs="Arial" w:eastAsia="Arial" w:hAnsi="Arial"/>
                <w:sz w:val="11"/>
                <w:szCs w:val="11"/>
                <w:color w:val="auto"/>
              </w:rPr>
              <w:t xml:space="preserve">Simple agreements for future equity (SAFEs </w:t>
            </w:r>
            <w:r>
              <w:rPr>
                <w:rFonts w:ascii="Times New Roman" w:cs="Times New Roman" w:eastAsia="Times New Roman" w:hAnsi="Times New Roman"/>
                <w:sz w:val="11"/>
                <w:szCs w:val="11"/>
                <w:color w:val="B4B4B4"/>
              </w:rPr>
              <w:t>...............................</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163,000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77"/>
        </w:trPr>
        <w:tc>
          <w:tcPr>
            <w:tcW w:w="3400" w:type="dxa"/>
            <w:vAlign w:val="bottom"/>
          </w:tcPr>
          <w:p>
            <w:pPr>
              <w:ind w:left="180"/>
              <w:spacing w:after="0" w:line="77"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6"/>
                <w:szCs w:val="6"/>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657,937</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11"/>
                <w:szCs w:val="11"/>
                <w:color w:val="auto"/>
              </w:rPr>
              <w:t>299,774</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182,674</w:t>
            </w:r>
          </w:p>
        </w:tc>
        <w:tc>
          <w:tcPr>
            <w:tcW w:w="0" w:type="dxa"/>
            <w:vAlign w:val="bottom"/>
          </w:tcPr>
          <w:p>
            <w:pPr>
              <w:spacing w:after="0"/>
              <w:rPr>
                <w:sz w:val="1"/>
                <w:szCs w:val="1"/>
                <w:color w:val="auto"/>
              </w:rPr>
            </w:pPr>
          </w:p>
        </w:tc>
      </w:tr>
      <w:tr>
        <w:trPr>
          <w:trHeight w:val="163"/>
        </w:trPr>
        <w:tc>
          <w:tcPr>
            <w:tcW w:w="3400" w:type="dxa"/>
            <w:vAlign w:val="bottom"/>
          </w:tcPr>
          <w:p>
            <w:pPr>
              <w:jc w:val="right"/>
              <w:spacing w:after="0" w:line="163" w:lineRule="exact"/>
              <w:rPr>
                <w:sz w:val="20"/>
                <w:szCs w:val="20"/>
                <w:color w:val="auto"/>
              </w:rPr>
            </w:pPr>
            <w:r>
              <w:rPr>
                <w:rFonts w:ascii="Arial" w:cs="Arial" w:eastAsia="Arial" w:hAnsi="Arial"/>
                <w:sz w:val="11"/>
                <w:szCs w:val="11"/>
                <w:color w:val="auto"/>
              </w:rPr>
              <w:t>Total debt</w:t>
            </w:r>
            <w:r>
              <w:rPr>
                <w:rFonts w:ascii="Arial" w:cs="Arial" w:eastAsia="Arial" w:hAnsi="Arial"/>
                <w:sz w:val="15"/>
                <w:szCs w:val="15"/>
                <w:color w:val="auto"/>
                <w:vertAlign w:val="superscript"/>
              </w:rPr>
              <w:t>(3)</w:t>
            </w:r>
            <w:r>
              <w:rPr>
                <w:rFonts w:ascii="Arial" w:cs="Arial" w:eastAsia="Arial" w:hAnsi="Arial"/>
                <w:sz w:val="11"/>
                <w:szCs w:val="11"/>
                <w:color w:val="auto"/>
              </w:rPr>
              <w:t xml:space="preserve"> </w:t>
            </w:r>
            <w:r>
              <w:rPr>
                <w:rFonts w:ascii="Times New Roman" w:cs="Times New Roman" w:eastAsia="Times New Roman" w:hAnsi="Times New Roman"/>
                <w:sz w:val="11"/>
                <w:szCs w:val="11"/>
                <w:color w:val="B4B4B4"/>
              </w:rPr>
              <w:t>....................................................................................</w:t>
            </w: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400" w:type="dxa"/>
            <w:vAlign w:val="bottom"/>
          </w:tcPr>
          <w:p>
            <w:pPr>
              <w:ind w:left="40"/>
              <w:spacing w:after="0" w:line="125" w:lineRule="exact"/>
              <w:rPr>
                <w:sz w:val="20"/>
                <w:szCs w:val="20"/>
                <w:color w:val="auto"/>
              </w:rPr>
            </w:pPr>
            <w:r>
              <w:rPr>
                <w:rFonts w:ascii="Arial" w:cs="Arial" w:eastAsia="Arial" w:hAnsi="Arial"/>
                <w:sz w:val="11"/>
                <w:szCs w:val="11"/>
                <w:color w:val="auto"/>
              </w:rPr>
              <w:t xml:space="preserve">Embedded derivative liabilit </w:t>
            </w:r>
            <w:r>
              <w:rPr>
                <w:rFonts w:ascii="Times New Roman" w:cs="Times New Roman" w:eastAsia="Times New Roman" w:hAnsi="Times New Roman"/>
                <w:sz w:val="11"/>
                <w:szCs w:val="11"/>
                <w:color w:val="B4B4B4"/>
              </w:rPr>
              <w:t>.................................................................</w:t>
            </w:r>
          </w:p>
        </w:tc>
        <w:tc>
          <w:tcPr>
            <w:tcW w:w="10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38,500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720" w:type="dxa"/>
            <w:vAlign w:val="bottom"/>
          </w:tcPr>
          <w:p>
            <w:pPr>
              <w:jc w:val="right"/>
              <w:ind w:right="3"/>
              <w:spacing w:after="0" w:line="12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77"/>
        </w:trPr>
        <w:tc>
          <w:tcPr>
            <w:tcW w:w="3400" w:type="dxa"/>
            <w:vAlign w:val="bottom"/>
          </w:tcPr>
          <w:p>
            <w:pPr>
              <w:ind w:left="40"/>
              <w:spacing w:after="0" w:line="77" w:lineRule="exact"/>
              <w:rPr>
                <w:sz w:val="20"/>
                <w:szCs w:val="20"/>
                <w:color w:val="auto"/>
              </w:rPr>
            </w:pPr>
            <w:r>
              <w:rPr>
                <w:rFonts w:ascii="Arial" w:cs="Arial" w:eastAsia="Arial" w:hAnsi="Arial"/>
                <w:sz w:val="8"/>
                <w:szCs w:val="8"/>
                <w:color w:val="auto"/>
              </w:rPr>
              <w:t>y</w:t>
            </w:r>
          </w:p>
        </w:tc>
        <w:tc>
          <w:tcPr>
            <w:tcW w:w="100" w:type="dxa"/>
            <w:vAlign w:val="bottom"/>
          </w:tcPr>
          <w:p>
            <w:pPr>
              <w:spacing w:after="0"/>
              <w:rPr>
                <w:sz w:val="6"/>
                <w:szCs w:val="6"/>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31,200</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6"/>
                <w:szCs w:val="6"/>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3400" w:type="dxa"/>
            <w:vAlign w:val="bottom"/>
          </w:tcPr>
          <w:p>
            <w:pPr>
              <w:ind w:left="40"/>
              <w:spacing w:after="0" w:line="105" w:lineRule="exact"/>
              <w:rPr>
                <w:sz w:val="20"/>
                <w:szCs w:val="20"/>
                <w:color w:val="auto"/>
              </w:rPr>
            </w:pPr>
            <w:r>
              <w:rPr>
                <w:rFonts w:ascii="Arial" w:cs="Arial" w:eastAsia="Arial" w:hAnsi="Arial"/>
                <w:sz w:val="11"/>
                <w:szCs w:val="11"/>
                <w:color w:val="auto"/>
              </w:rPr>
              <w:t xml:space="preserve">Common stock warrant liabilit  </w:t>
            </w:r>
            <w:r>
              <w:rPr>
                <w:rFonts w:ascii="Times New Roman" w:cs="Times New Roman" w:eastAsia="Times New Roman" w:hAnsi="Times New Roman"/>
                <w:sz w:val="11"/>
                <w:szCs w:val="11"/>
                <w:color w:val="B4B4B4"/>
              </w:rPr>
              <w:t>.............................................................</w:t>
            </w: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3400" w:type="dxa"/>
            <w:vAlign w:val="bottom"/>
          </w:tcPr>
          <w:p>
            <w:pPr>
              <w:ind w:left="40"/>
              <w:spacing w:after="0" w:line="77" w:lineRule="exact"/>
              <w:rPr>
                <w:sz w:val="20"/>
                <w:szCs w:val="20"/>
                <w:color w:val="auto"/>
              </w:rPr>
            </w:pPr>
            <w:r>
              <w:rPr>
                <w:rFonts w:ascii="Arial" w:cs="Arial" w:eastAsia="Arial" w:hAnsi="Arial"/>
                <w:sz w:val="8"/>
                <w:szCs w:val="8"/>
                <w:color w:val="auto"/>
              </w:rPr>
              <w:t>y</w:t>
            </w:r>
          </w:p>
        </w:tc>
        <w:tc>
          <w:tcPr>
            <w:tcW w:w="100" w:type="dxa"/>
            <w:vAlign w:val="bottom"/>
          </w:tcPr>
          <w:p>
            <w:pPr>
              <w:spacing w:after="0"/>
              <w:rPr>
                <w:sz w:val="6"/>
                <w:szCs w:val="6"/>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433</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6"/>
                <w:szCs w:val="6"/>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3400" w:type="dxa"/>
            <w:vAlign w:val="bottom"/>
          </w:tcPr>
          <w:p>
            <w:pPr>
              <w:ind w:left="40"/>
              <w:spacing w:after="0" w:line="105" w:lineRule="exact"/>
              <w:rPr>
                <w:sz w:val="20"/>
                <w:szCs w:val="20"/>
                <w:color w:val="auto"/>
              </w:rPr>
            </w:pPr>
            <w:r>
              <w:rPr>
                <w:rFonts w:ascii="Arial" w:cs="Arial" w:eastAsia="Arial" w:hAnsi="Arial"/>
                <w:sz w:val="11"/>
                <w:szCs w:val="11"/>
                <w:color w:val="auto"/>
              </w:rPr>
              <w:t xml:space="preserve">Redeemable convertible preferred stock warrant liabilit </w:t>
            </w:r>
            <w:r>
              <w:rPr>
                <w:rFonts w:ascii="Times New Roman" w:cs="Times New Roman" w:eastAsia="Times New Roman" w:hAnsi="Times New Roman"/>
                <w:sz w:val="11"/>
                <w:szCs w:val="11"/>
                <w:color w:val="B4B4B4"/>
              </w:rPr>
              <w:t>.................</w:t>
            </w: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3400" w:type="dxa"/>
            <w:vAlign w:val="bottom"/>
          </w:tcPr>
          <w:p>
            <w:pPr>
              <w:ind w:left="40"/>
              <w:spacing w:after="0" w:line="58" w:lineRule="exact"/>
              <w:rPr>
                <w:sz w:val="20"/>
                <w:szCs w:val="20"/>
                <w:color w:val="auto"/>
              </w:rPr>
            </w:pPr>
            <w:r>
              <w:rPr>
                <w:rFonts w:ascii="Arial" w:cs="Arial" w:eastAsia="Arial" w:hAnsi="Arial"/>
                <w:sz w:val="6"/>
                <w:szCs w:val="6"/>
                <w:color w:val="auto"/>
              </w:rPr>
              <w:t>y</w:t>
            </w: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3400" w:type="dxa"/>
            <w:vAlign w:val="bottom"/>
          </w:tcPr>
          <w:p>
            <w:pPr>
              <w:ind w:left="40"/>
              <w:spacing w:after="0" w:line="115" w:lineRule="exact"/>
              <w:rPr>
                <w:sz w:val="20"/>
                <w:szCs w:val="20"/>
                <w:color w:val="auto"/>
              </w:rPr>
            </w:pPr>
            <w:r>
              <w:rPr>
                <w:rFonts w:ascii="Arial" w:cs="Arial" w:eastAsia="Arial" w:hAnsi="Arial"/>
                <w:sz w:val="11"/>
                <w:szCs w:val="11"/>
                <w:color w:val="auto"/>
              </w:rPr>
              <w:t>Redeemable convertible preferred stock; $0.00000625 par value</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400" w:type="dxa"/>
            <w:vAlign w:val="bottom"/>
          </w:tcPr>
          <w:p>
            <w:pPr>
              <w:jc w:val="right"/>
              <w:spacing w:after="0"/>
              <w:rPr>
                <w:sz w:val="20"/>
                <w:szCs w:val="20"/>
                <w:color w:val="auto"/>
              </w:rPr>
            </w:pPr>
            <w:r>
              <w:rPr>
                <w:rFonts w:ascii="Arial" w:cs="Arial" w:eastAsia="Arial" w:hAnsi="Arial"/>
                <w:sz w:val="11"/>
                <w:szCs w:val="11"/>
                <w:color w:val="auto"/>
              </w:rPr>
              <w:t>per share; 157,027,585 shares authorized, 146,360,207 shares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400" w:type="dxa"/>
            <w:vAlign w:val="bottom"/>
          </w:tcPr>
          <w:p>
            <w:pPr>
              <w:ind w:left="140"/>
              <w:spacing w:after="0"/>
              <w:rPr>
                <w:sz w:val="20"/>
                <w:szCs w:val="20"/>
                <w:color w:val="auto"/>
              </w:rPr>
            </w:pPr>
            <w:r>
              <w:rPr>
                <w:rFonts w:ascii="Arial" w:cs="Arial" w:eastAsia="Arial" w:hAnsi="Arial"/>
                <w:sz w:val="11"/>
                <w:szCs w:val="11"/>
                <w:color w:val="auto"/>
              </w:rPr>
              <w:t>issued and outstanding, actual; no shares authorized, issued,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400" w:type="dxa"/>
            <w:vAlign w:val="bottom"/>
          </w:tcPr>
          <w:p>
            <w:pPr>
              <w:jc w:val="right"/>
              <w:spacing w:after="0" w:line="115" w:lineRule="exact"/>
              <w:rPr>
                <w:sz w:val="20"/>
                <w:szCs w:val="20"/>
                <w:color w:val="auto"/>
              </w:rPr>
            </w:pPr>
            <w:r>
              <w:rPr>
                <w:rFonts w:ascii="Arial" w:cs="Arial" w:eastAsia="Arial" w:hAnsi="Arial"/>
                <w:sz w:val="11"/>
                <w:szCs w:val="11"/>
                <w:color w:val="auto"/>
              </w:rPr>
              <w:t xml:space="preserve">and outstanding, pro forma and pro forma as adjuste  </w:t>
            </w:r>
            <w:r>
              <w:rPr>
                <w:rFonts w:ascii="Times New Roman" w:cs="Times New Roman" w:eastAsia="Times New Roman" w:hAnsi="Times New Roman"/>
                <w:sz w:val="11"/>
                <w:szCs w:val="11"/>
                <w:color w:val="B4B4B4"/>
              </w:rPr>
              <w:t>................</w:t>
            </w:r>
          </w:p>
        </w:tc>
        <w:tc>
          <w:tcPr>
            <w:tcW w:w="10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Arial" w:cs="Arial" w:eastAsia="Arial" w:hAnsi="Arial"/>
                <w:sz w:val="11"/>
                <w:szCs w:val="11"/>
                <w:color w:val="auto"/>
              </w:rPr>
              <w:t>1,301,121</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jc w:val="right"/>
              <w:ind w:right="80"/>
              <w:spacing w:after="0" w:line="11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tcPr>
          <w:p>
            <w:pPr>
              <w:jc w:val="right"/>
              <w:ind w:right="3"/>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3400" w:type="dxa"/>
            <w:vAlign w:val="bottom"/>
          </w:tcPr>
          <w:p>
            <w:pPr>
              <w:ind w:left="140"/>
              <w:spacing w:after="0"/>
              <w:rPr>
                <w:sz w:val="20"/>
                <w:szCs w:val="20"/>
                <w:color w:val="auto"/>
              </w:rPr>
            </w:pPr>
            <w:r>
              <w:rPr>
                <w:rFonts w:ascii="Arial" w:cs="Arial" w:eastAsia="Arial" w:hAnsi="Arial"/>
                <w:sz w:val="11"/>
                <w:szCs w:val="11"/>
                <w:color w:val="auto"/>
              </w:rPr>
              <w:t>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40" w:orient="portrait"/>
          <w:cols w:equalWidth="0" w:num="1">
            <w:col w:w="9020"/>
          </w:cols>
          <w:pgMar w:left="1440" w:top="942" w:right="1440" w:bottom="97" w:gutter="0" w:footer="0" w:header="0"/>
        </w:sectPr>
      </w:pPr>
    </w:p>
    <w:p>
      <w:pPr>
        <w:ind w:left="1560"/>
        <w:spacing w:after="0"/>
        <w:rPr>
          <w:sz w:val="20"/>
          <w:szCs w:val="20"/>
          <w:color w:val="auto"/>
        </w:rPr>
      </w:pPr>
      <w:r>
        <w:rPr>
          <w:rFonts w:ascii="Arial" w:cs="Arial" w:eastAsia="Arial" w:hAnsi="Arial"/>
          <w:sz w:val="3"/>
          <w:szCs w:val="3"/>
          <w:color w:val="auto"/>
        </w:rPr>
        <w:t xml:space="preserve">Stockholders’ (deficit) equity </w:t>
      </w:r>
      <w:r>
        <w:rPr>
          <w:rFonts w:ascii="Times New Roman" w:cs="Times New Roman" w:eastAsia="Times New Roman" w:hAnsi="Times New Roman"/>
          <w:sz w:val="3"/>
          <w:szCs w:val="3"/>
          <w:color w:val="B4B4B4"/>
        </w:rPr>
        <w:t>................................................................</w:t>
      </w:r>
    </w:p>
    <w:p>
      <w:pPr>
        <w:sectPr>
          <w:pgSz w:w="11900" w:h="16840" w:orient="portrait"/>
          <w:cols w:equalWidth="0" w:num="1">
            <w:col w:w="9020"/>
          </w:cols>
          <w:pgMar w:left="1440" w:top="942" w:right="1440" w:bottom="97" w:gutter="0" w:footer="0" w:header="0"/>
          <w:type w:val="continuous"/>
        </w:sectPr>
      </w:pPr>
    </w:p>
    <w:tbl>
      <w:tblPr>
        <w:tblLayout w:type="fixed"/>
        <w:tblInd w:w="1520" w:type="dxa"/>
        <w:tblCellMar>
          <w:top w:w="0" w:type="dxa"/>
          <w:left w:w="0" w:type="dxa"/>
          <w:bottom w:w="0" w:type="dxa"/>
          <w:right w:w="0" w:type="dxa"/>
        </w:tblCellMar>
      </w:tblPr>
      <w:tr>
        <w:trPr>
          <w:trHeight w:val="190"/>
        </w:trPr>
        <w:tc>
          <w:tcPr>
            <w:tcW w:w="3720" w:type="dxa"/>
            <w:vAlign w:val="bottom"/>
            <w:gridSpan w:val="2"/>
          </w:tcPr>
          <w:p>
            <w:pPr>
              <w:ind w:left="40"/>
              <w:spacing w:after="0" w:line="190"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1"/>
                <w:szCs w:val="11"/>
                <w:color w:val="auto"/>
              </w:rPr>
              <w:t xml:space="preserve">  Preferred stock; $0.00000625 par value per share; no share</w:t>
            </w: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64"/>
        </w:trPr>
        <w:tc>
          <w:tcPr>
            <w:tcW w:w="260" w:type="dxa"/>
            <w:vAlign w:val="bottom"/>
          </w:tcPr>
          <w:p>
            <w:pPr>
              <w:ind w:left="180"/>
              <w:spacing w:after="0"/>
              <w:rPr>
                <w:sz w:val="20"/>
                <w:szCs w:val="20"/>
                <w:color w:val="auto"/>
              </w:rPr>
            </w:pPr>
            <w:r>
              <w:rPr>
                <w:rFonts w:ascii="Arial" w:cs="Arial" w:eastAsia="Arial" w:hAnsi="Arial"/>
                <w:sz w:val="11"/>
                <w:szCs w:val="11"/>
                <w:color w:val="auto"/>
              </w:rPr>
              <w:t>s</w:t>
            </w:r>
          </w:p>
        </w:tc>
        <w:tc>
          <w:tcPr>
            <w:tcW w:w="3460" w:type="dxa"/>
            <w:vAlign w:val="bottom"/>
          </w:tcPr>
          <w:p>
            <w:pPr>
              <w:ind w:left="40"/>
              <w:spacing w:after="0"/>
              <w:rPr>
                <w:sz w:val="20"/>
                <w:szCs w:val="20"/>
                <w:color w:val="auto"/>
              </w:rPr>
            </w:pPr>
            <w:r>
              <w:rPr>
                <w:rFonts w:ascii="Arial" w:cs="Arial" w:eastAsia="Arial" w:hAnsi="Arial"/>
                <w:sz w:val="11"/>
                <w:szCs w:val="11"/>
                <w:color w:val="auto"/>
              </w:rPr>
              <w:t>authorized, issued, and outstanding, actual; 20,000,000</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3"/>
        </w:trPr>
        <w:tc>
          <w:tcPr>
            <w:tcW w:w="260" w:type="dxa"/>
            <w:vAlign w:val="bottom"/>
          </w:tcPr>
          <w:p>
            <w:pPr>
              <w:spacing w:after="0"/>
              <w:rPr>
                <w:sz w:val="12"/>
                <w:szCs w:val="12"/>
                <w:color w:val="auto"/>
              </w:rPr>
            </w:pPr>
          </w:p>
        </w:tc>
        <w:tc>
          <w:tcPr>
            <w:tcW w:w="3460" w:type="dxa"/>
            <w:vAlign w:val="bottom"/>
          </w:tcPr>
          <w:p>
            <w:pPr>
              <w:ind w:left="40"/>
              <w:spacing w:after="0"/>
              <w:rPr>
                <w:sz w:val="20"/>
                <w:szCs w:val="20"/>
                <w:color w:val="auto"/>
              </w:rPr>
            </w:pPr>
            <w:r>
              <w:rPr>
                <w:rFonts w:ascii="Arial" w:cs="Arial" w:eastAsia="Arial" w:hAnsi="Arial"/>
                <w:sz w:val="11"/>
                <w:szCs w:val="11"/>
                <w:color w:val="auto"/>
              </w:rPr>
              <w:t>shares authorized, no shares issued and outstanding, pro</w:t>
            </w: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14"/>
        </w:trPr>
        <w:tc>
          <w:tcPr>
            <w:tcW w:w="260" w:type="dxa"/>
            <w:vAlign w:val="bottom"/>
          </w:tcPr>
          <w:p>
            <w:pPr>
              <w:spacing w:after="0"/>
              <w:rPr>
                <w:sz w:val="9"/>
                <w:szCs w:val="9"/>
                <w:color w:val="auto"/>
              </w:rPr>
            </w:pPr>
          </w:p>
        </w:tc>
        <w:tc>
          <w:tcPr>
            <w:tcW w:w="3460" w:type="dxa"/>
            <w:vAlign w:val="bottom"/>
          </w:tcPr>
          <w:p>
            <w:pPr>
              <w:ind w:left="40"/>
              <w:spacing w:after="0" w:line="115" w:lineRule="exact"/>
              <w:rPr>
                <w:sz w:val="20"/>
                <w:szCs w:val="20"/>
                <w:color w:val="auto"/>
              </w:rPr>
            </w:pPr>
            <w:r>
              <w:rPr>
                <w:rFonts w:ascii="Arial" w:cs="Arial" w:eastAsia="Arial" w:hAnsi="Arial"/>
                <w:sz w:val="11"/>
                <w:szCs w:val="11"/>
                <w:color w:val="auto"/>
              </w:rPr>
              <w:t xml:space="preserve">forma and pro forma as adjuste  </w:t>
            </w:r>
            <w:r>
              <w:rPr>
                <w:rFonts w:ascii="Times New Roman" w:cs="Times New Roman" w:eastAsia="Times New Roman" w:hAnsi="Times New Roman"/>
                <w:sz w:val="11"/>
                <w:szCs w:val="11"/>
                <w:color w:val="B4B4B4"/>
              </w:rPr>
              <w:t>................................................</w:t>
            </w:r>
          </w:p>
        </w:tc>
        <w:tc>
          <w:tcPr>
            <w:tcW w:w="840" w:type="dxa"/>
            <w:vAlign w:val="bottom"/>
          </w:tcPr>
          <w:p>
            <w:pPr>
              <w:jc w:val="right"/>
              <w:ind w:right="323"/>
              <w:spacing w:after="0" w:line="114" w:lineRule="exact"/>
              <w:rPr>
                <w:sz w:val="20"/>
                <w:szCs w:val="20"/>
                <w:color w:val="auto"/>
              </w:rPr>
            </w:pPr>
            <w:r>
              <w:rPr>
                <w:rFonts w:ascii="Arial" w:cs="Arial" w:eastAsia="Arial" w:hAnsi="Arial"/>
                <w:sz w:val="11"/>
                <w:szCs w:val="11"/>
                <w:color w:val="auto"/>
              </w:rPr>
              <w:t>—</w:t>
            </w:r>
          </w:p>
        </w:tc>
        <w:tc>
          <w:tcPr>
            <w:tcW w:w="880" w:type="dxa"/>
            <w:vAlign w:val="bottom"/>
          </w:tcPr>
          <w:p>
            <w:pPr>
              <w:ind w:left="380"/>
              <w:spacing w:after="0" w:line="114" w:lineRule="exact"/>
              <w:rPr>
                <w:sz w:val="20"/>
                <w:szCs w:val="20"/>
                <w:color w:val="auto"/>
              </w:rPr>
            </w:pPr>
            <w:r>
              <w:rPr>
                <w:rFonts w:ascii="Arial" w:cs="Arial" w:eastAsia="Arial" w:hAnsi="Arial"/>
                <w:sz w:val="11"/>
                <w:szCs w:val="11"/>
                <w:color w:val="auto"/>
              </w:rPr>
              <w:t>—</w:t>
            </w:r>
          </w:p>
        </w:tc>
        <w:tc>
          <w:tcPr>
            <w:tcW w:w="540" w:type="dxa"/>
            <w:vAlign w:val="bottom"/>
          </w:tcPr>
          <w:p>
            <w:pPr>
              <w:ind w:left="380"/>
              <w:spacing w:after="0" w:line="114" w:lineRule="exact"/>
              <w:rPr>
                <w:sz w:val="20"/>
                <w:szCs w:val="20"/>
                <w:color w:val="auto"/>
              </w:rPr>
            </w:pPr>
            <w:r>
              <w:rPr>
                <w:rFonts w:ascii="Arial" w:cs="Arial" w:eastAsia="Arial" w:hAnsi="Arial"/>
                <w:sz w:val="11"/>
                <w:szCs w:val="11"/>
                <w:color w:val="auto"/>
              </w:rPr>
              <w:t>—</w:t>
            </w:r>
          </w:p>
        </w:tc>
      </w:tr>
      <w:tr>
        <w:trPr>
          <w:trHeight w:val="77"/>
        </w:trPr>
        <w:tc>
          <w:tcPr>
            <w:tcW w:w="260" w:type="dxa"/>
            <w:vAlign w:val="bottom"/>
          </w:tcPr>
          <w:p>
            <w:pPr>
              <w:spacing w:after="0"/>
              <w:rPr>
                <w:sz w:val="6"/>
                <w:szCs w:val="6"/>
                <w:color w:val="auto"/>
              </w:rPr>
            </w:pPr>
          </w:p>
        </w:tc>
        <w:tc>
          <w:tcPr>
            <w:tcW w:w="3460" w:type="dxa"/>
            <w:vAlign w:val="bottom"/>
          </w:tcPr>
          <w:p>
            <w:pPr>
              <w:ind w:left="40"/>
              <w:spacing w:after="0" w:line="77" w:lineRule="exact"/>
              <w:rPr>
                <w:sz w:val="20"/>
                <w:szCs w:val="20"/>
                <w:color w:val="auto"/>
              </w:rPr>
            </w:pPr>
            <w:r>
              <w:rPr>
                <w:rFonts w:ascii="Arial" w:cs="Arial" w:eastAsia="Arial" w:hAnsi="Arial"/>
                <w:sz w:val="8"/>
                <w:szCs w:val="8"/>
                <w:color w:val="auto"/>
              </w:rPr>
              <w:t>d</w:t>
            </w:r>
          </w:p>
        </w:tc>
        <w:tc>
          <w:tcPr>
            <w:tcW w:w="840" w:type="dxa"/>
            <w:vAlign w:val="bottom"/>
          </w:tcPr>
          <w:p>
            <w:pPr>
              <w:spacing w:after="0"/>
              <w:rPr>
                <w:sz w:val="6"/>
                <w:szCs w:val="6"/>
                <w:color w:val="auto"/>
              </w:rPr>
            </w:pPr>
          </w:p>
        </w:tc>
        <w:tc>
          <w:tcPr>
            <w:tcW w:w="880" w:type="dxa"/>
            <w:vAlign w:val="bottom"/>
          </w:tcPr>
          <w:p>
            <w:pPr>
              <w:spacing w:after="0"/>
              <w:rPr>
                <w:sz w:val="6"/>
                <w:szCs w:val="6"/>
                <w:color w:val="auto"/>
              </w:rPr>
            </w:pPr>
          </w:p>
        </w:tc>
        <w:tc>
          <w:tcPr>
            <w:tcW w:w="540" w:type="dxa"/>
            <w:vAlign w:val="bottom"/>
          </w:tcPr>
          <w:p>
            <w:pPr>
              <w:spacing w:after="0"/>
              <w:rPr>
                <w:sz w:val="6"/>
                <w:szCs w:val="6"/>
                <w:color w:val="auto"/>
              </w:rPr>
            </w:pPr>
          </w:p>
        </w:tc>
      </w:tr>
      <w:tr>
        <w:trPr>
          <w:trHeight w:val="116"/>
        </w:trPr>
        <w:tc>
          <w:tcPr>
            <w:tcW w:w="3720" w:type="dxa"/>
            <w:vAlign w:val="bottom"/>
            <w:gridSpan w:val="2"/>
          </w:tcPr>
          <w:p>
            <w:pPr>
              <w:ind w:left="180"/>
              <w:spacing w:after="0" w:line="116" w:lineRule="exact"/>
              <w:rPr>
                <w:sz w:val="20"/>
                <w:szCs w:val="20"/>
                <w:color w:val="auto"/>
              </w:rPr>
            </w:pPr>
            <w:r>
              <w:rPr>
                <w:rFonts w:ascii="Arial" w:cs="Arial" w:eastAsia="Arial" w:hAnsi="Arial"/>
                <w:sz w:val="11"/>
                <w:szCs w:val="11"/>
                <w:color w:val="auto"/>
              </w:rPr>
              <w:t>Common stock; $0.00000625 par value per</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4"/>
        </w:trPr>
        <w:tc>
          <w:tcPr>
            <w:tcW w:w="260" w:type="dxa"/>
            <w:vAlign w:val="bottom"/>
          </w:tcPr>
          <w:p>
            <w:pPr>
              <w:spacing w:after="0"/>
              <w:rPr>
                <w:sz w:val="12"/>
                <w:szCs w:val="12"/>
                <w:color w:val="auto"/>
              </w:rPr>
            </w:pPr>
          </w:p>
        </w:tc>
        <w:tc>
          <w:tcPr>
            <w:tcW w:w="3460" w:type="dxa"/>
            <w:vAlign w:val="bottom"/>
          </w:tcPr>
          <w:p>
            <w:pPr>
              <w:ind w:left="40"/>
              <w:spacing w:after="0"/>
              <w:rPr>
                <w:sz w:val="20"/>
                <w:szCs w:val="20"/>
                <w:color w:val="auto"/>
              </w:rPr>
            </w:pPr>
            <w:r>
              <w:rPr>
                <w:rFonts w:ascii="Arial" w:cs="Arial" w:eastAsia="Arial" w:hAnsi="Arial"/>
                <w:sz w:val="11"/>
                <w:szCs w:val="11"/>
                <w:color w:val="auto"/>
              </w:rPr>
              <w:t>share; 253,919,000 shares authorized, 46,331,272 shares</w:t>
            </w: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4"/>
        </w:trPr>
        <w:tc>
          <w:tcPr>
            <w:tcW w:w="260" w:type="dxa"/>
            <w:vAlign w:val="bottom"/>
          </w:tcPr>
          <w:p>
            <w:pPr>
              <w:spacing w:after="0"/>
              <w:rPr>
                <w:sz w:val="11"/>
                <w:szCs w:val="11"/>
                <w:color w:val="auto"/>
              </w:rPr>
            </w:pPr>
          </w:p>
        </w:tc>
        <w:tc>
          <w:tcPr>
            <w:tcW w:w="3460" w:type="dxa"/>
            <w:vAlign w:val="bottom"/>
          </w:tcPr>
          <w:p>
            <w:pPr>
              <w:ind w:left="40"/>
              <w:spacing w:after="0"/>
              <w:rPr>
                <w:sz w:val="20"/>
                <w:szCs w:val="20"/>
                <w:color w:val="auto"/>
              </w:rPr>
            </w:pPr>
            <w:r>
              <w:rPr>
                <w:rFonts w:ascii="Arial" w:cs="Arial" w:eastAsia="Arial" w:hAnsi="Arial"/>
                <w:sz w:val="11"/>
                <w:szCs w:val="11"/>
                <w:color w:val="auto"/>
              </w:rPr>
              <w:t>issued and outstanding, actual; no shares authorized,</w:t>
            </w: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43"/>
        </w:trPr>
        <w:tc>
          <w:tcPr>
            <w:tcW w:w="260" w:type="dxa"/>
            <w:vAlign w:val="bottom"/>
          </w:tcPr>
          <w:p>
            <w:pPr>
              <w:spacing w:after="0"/>
              <w:rPr>
                <w:sz w:val="12"/>
                <w:szCs w:val="12"/>
                <w:color w:val="auto"/>
              </w:rPr>
            </w:pPr>
          </w:p>
        </w:tc>
        <w:tc>
          <w:tcPr>
            <w:tcW w:w="3460" w:type="dxa"/>
            <w:vAlign w:val="bottom"/>
          </w:tcPr>
          <w:p>
            <w:pPr>
              <w:ind w:left="40"/>
              <w:spacing w:after="0"/>
              <w:rPr>
                <w:sz w:val="20"/>
                <w:szCs w:val="20"/>
                <w:color w:val="auto"/>
              </w:rPr>
            </w:pPr>
            <w:r>
              <w:rPr>
                <w:rFonts w:ascii="Arial" w:cs="Arial" w:eastAsia="Arial" w:hAnsi="Arial"/>
                <w:sz w:val="11"/>
                <w:szCs w:val="11"/>
                <w:color w:val="auto"/>
              </w:rPr>
              <w:t>issued and outstanding, pro forma and pro forma as</w:t>
            </w: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50"/>
        </w:trPr>
        <w:tc>
          <w:tcPr>
            <w:tcW w:w="260" w:type="dxa"/>
            <w:vAlign w:val="bottom"/>
          </w:tcPr>
          <w:p>
            <w:pPr>
              <w:spacing w:after="0"/>
              <w:rPr>
                <w:sz w:val="13"/>
                <w:szCs w:val="13"/>
                <w:color w:val="auto"/>
              </w:rPr>
            </w:pPr>
          </w:p>
        </w:tc>
        <w:tc>
          <w:tcPr>
            <w:tcW w:w="3460" w:type="dxa"/>
            <w:vAlign w:val="bottom"/>
          </w:tcPr>
          <w:p>
            <w:pPr>
              <w:ind w:left="40"/>
              <w:spacing w:after="0"/>
              <w:rPr>
                <w:sz w:val="20"/>
                <w:szCs w:val="20"/>
                <w:color w:val="auto"/>
              </w:rPr>
            </w:pPr>
            <w:r>
              <w:rPr>
                <w:rFonts w:ascii="Arial" w:cs="Arial" w:eastAsia="Arial" w:hAnsi="Arial"/>
                <w:sz w:val="11"/>
                <w:szCs w:val="11"/>
                <w:color w:val="auto"/>
              </w:rPr>
              <w:t xml:space="preserve">adjusted </w:t>
            </w:r>
            <w:r>
              <w:rPr>
                <w:rFonts w:ascii="Times New Roman" w:cs="Times New Roman" w:eastAsia="Times New Roman" w:hAnsi="Times New Roman"/>
                <w:sz w:val="11"/>
                <w:szCs w:val="11"/>
                <w:color w:val="B4B4B4"/>
              </w:rPr>
              <w:t>...........................................................................................</w:t>
            </w:r>
          </w:p>
        </w:tc>
        <w:tc>
          <w:tcPr>
            <w:tcW w:w="840" w:type="dxa"/>
            <w:vAlign w:val="bottom"/>
          </w:tcPr>
          <w:p>
            <w:pPr>
              <w:jc w:val="right"/>
              <w:ind w:right="323"/>
              <w:spacing w:after="0"/>
              <w:rPr>
                <w:sz w:val="20"/>
                <w:szCs w:val="20"/>
                <w:color w:val="auto"/>
              </w:rPr>
            </w:pPr>
            <w:r>
              <w:rPr>
                <w:rFonts w:ascii="Arial" w:cs="Arial" w:eastAsia="Arial" w:hAnsi="Arial"/>
                <w:sz w:val="11"/>
                <w:szCs w:val="11"/>
                <w:color w:val="auto"/>
              </w:rPr>
              <w:t>1</w:t>
            </w:r>
          </w:p>
        </w:tc>
        <w:tc>
          <w:tcPr>
            <w:tcW w:w="880" w:type="dxa"/>
            <w:vAlign w:val="bottom"/>
          </w:tcPr>
          <w:p>
            <w:pPr>
              <w:ind w:left="380"/>
              <w:spacing w:after="0"/>
              <w:rPr>
                <w:sz w:val="20"/>
                <w:szCs w:val="20"/>
                <w:color w:val="auto"/>
              </w:rPr>
            </w:pPr>
            <w:r>
              <w:rPr>
                <w:rFonts w:ascii="Arial" w:cs="Arial" w:eastAsia="Arial" w:hAnsi="Arial"/>
                <w:sz w:val="11"/>
                <w:szCs w:val="11"/>
                <w:color w:val="auto"/>
              </w:rPr>
              <w:t>—</w:t>
            </w: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r>
    </w:tbl>
    <w:p>
      <w:pPr>
        <w:spacing w:after="0" w:line="30" w:lineRule="exact"/>
        <w:rPr>
          <w:sz w:val="20"/>
          <w:szCs w:val="20"/>
          <w:color w:val="auto"/>
        </w:rPr>
      </w:pPr>
    </w:p>
    <w:p>
      <w:pPr>
        <w:ind w:left="1700"/>
        <w:spacing w:after="0"/>
        <w:rPr>
          <w:sz w:val="20"/>
          <w:szCs w:val="20"/>
          <w:color w:val="auto"/>
        </w:rPr>
      </w:pPr>
      <w:r>
        <w:rPr>
          <w:rFonts w:ascii="Arial" w:cs="Arial" w:eastAsia="Arial" w:hAnsi="Arial"/>
          <w:sz w:val="11"/>
          <w:szCs w:val="11"/>
          <w:color w:val="auto"/>
        </w:rPr>
        <w:t>Class A common stock; $0.00000625 par value per share; n</w:t>
      </w:r>
    </w:p>
    <w:p>
      <w:pPr>
        <w:spacing w:after="0" w:line="47" w:lineRule="exact"/>
        <w:rPr>
          <w:sz w:val="20"/>
          <w:szCs w:val="20"/>
          <w:color w:val="auto"/>
        </w:rPr>
      </w:pPr>
    </w:p>
    <w:p>
      <w:pPr>
        <w:ind w:left="1820" w:right="4140" w:hanging="116"/>
        <w:spacing w:after="0" w:line="209" w:lineRule="auto"/>
        <w:tabs>
          <w:tab w:leader="none" w:pos="1820" w:val="left"/>
        </w:tabs>
        <w:numPr>
          <w:ilvl w:val="0"/>
          <w:numId w:val="62"/>
        </w:numPr>
        <w:rPr>
          <w:rFonts w:ascii="Arial" w:cs="Arial" w:eastAsia="Arial" w:hAnsi="Arial"/>
          <w:sz w:val="23"/>
          <w:szCs w:val="23"/>
          <w:color w:val="auto"/>
          <w:vertAlign w:val="superscript"/>
        </w:rPr>
      </w:pPr>
      <w:r>
        <w:rPr>
          <w:rFonts w:ascii="Arial" w:cs="Arial" w:eastAsia="Arial" w:hAnsi="Arial"/>
          <w:sz w:val="11"/>
          <w:szCs w:val="11"/>
          <w:color w:val="auto"/>
        </w:rPr>
        <w:t>shares authorized, issued, and outstanding, actual; 2,000,000,000 shares authorized, 200,961,542 shares issued and outstanding, pro forma; 2,000,000,000 shares authorized, 232,937,219 shares issued and outstanding, pro</w:t>
      </w:r>
    </w:p>
    <w:p>
      <w:pPr>
        <w:spacing w:after="0" w:line="1" w:lineRule="exact"/>
        <w:rPr>
          <w:sz w:val="20"/>
          <w:szCs w:val="20"/>
          <w:color w:val="auto"/>
        </w:rPr>
      </w:pPr>
    </w:p>
    <w:p>
      <w:pPr>
        <w:ind w:left="1820"/>
        <w:spacing w:after="0"/>
        <w:tabs>
          <w:tab w:leader="none" w:pos="5560" w:val="left"/>
          <w:tab w:leader="none" w:pos="6480" w:val="left"/>
          <w:tab w:leader="none" w:pos="7360" w:val="left"/>
        </w:tabs>
        <w:rPr>
          <w:sz w:val="20"/>
          <w:szCs w:val="20"/>
          <w:color w:val="auto"/>
        </w:rPr>
      </w:pPr>
      <w:r>
        <w:rPr>
          <w:rFonts w:ascii="Arial" w:cs="Arial" w:eastAsia="Arial" w:hAnsi="Arial"/>
          <w:sz w:val="11"/>
          <w:szCs w:val="11"/>
          <w:color w:val="auto"/>
        </w:rPr>
        <w:t xml:space="preserve">forma as adjusted </w:t>
      </w:r>
      <w:r>
        <w:rPr>
          <w:rFonts w:ascii="Times New Roman" w:cs="Times New Roman" w:eastAsia="Times New Roman" w:hAnsi="Times New Roman"/>
          <w:sz w:val="11"/>
          <w:szCs w:val="11"/>
          <w:color w:val="B4B4B4"/>
        </w:rPr>
        <w:t>..........................................................................</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2</w:t>
      </w:r>
      <w:r>
        <w:rPr>
          <w:sz w:val="20"/>
          <w:szCs w:val="20"/>
          <w:color w:val="auto"/>
        </w:rPr>
        <w:tab/>
      </w:r>
      <w:r>
        <w:rPr>
          <w:rFonts w:ascii="Arial" w:cs="Arial" w:eastAsia="Arial" w:hAnsi="Arial"/>
          <w:sz w:val="10"/>
          <w:szCs w:val="10"/>
          <w:color w:val="auto"/>
        </w:rPr>
        <w:t>2</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1"/>
          <w:szCs w:val="11"/>
          <w:color w:val="auto"/>
        </w:rPr>
        <w:t>Class B common stock; $0.00000625 par value per share; n</w:t>
      </w:r>
    </w:p>
    <w:p>
      <w:pPr>
        <w:ind w:left="1820" w:hanging="116"/>
        <w:spacing w:after="0" w:line="181" w:lineRule="auto"/>
        <w:tabs>
          <w:tab w:leader="none" w:pos="1820" w:val="left"/>
        </w:tabs>
        <w:numPr>
          <w:ilvl w:val="0"/>
          <w:numId w:val="63"/>
        </w:numPr>
        <w:rPr>
          <w:rFonts w:ascii="Arial" w:cs="Arial" w:eastAsia="Arial" w:hAnsi="Arial"/>
          <w:sz w:val="22"/>
          <w:szCs w:val="22"/>
          <w:color w:val="auto"/>
          <w:vertAlign w:val="superscript"/>
        </w:rPr>
      </w:pPr>
      <w:r>
        <w:rPr>
          <w:rFonts w:ascii="Arial" w:cs="Arial" w:eastAsia="Arial" w:hAnsi="Arial"/>
          <w:sz w:val="11"/>
          <w:szCs w:val="11"/>
          <w:color w:val="auto"/>
        </w:rPr>
        <w:t>shares authorized, issued, and outstanding,</w:t>
      </w:r>
    </w:p>
    <w:p>
      <w:pPr>
        <w:ind w:left="1820"/>
        <w:spacing w:after="0"/>
        <w:rPr>
          <w:rFonts w:ascii="Arial" w:cs="Arial" w:eastAsia="Arial" w:hAnsi="Arial"/>
          <w:sz w:val="22"/>
          <w:szCs w:val="22"/>
          <w:color w:val="auto"/>
          <w:vertAlign w:val="superscript"/>
        </w:rPr>
      </w:pPr>
      <w:r>
        <w:rPr>
          <w:rFonts w:ascii="Arial" w:cs="Arial" w:eastAsia="Arial" w:hAnsi="Arial"/>
          <w:sz w:val="11"/>
          <w:szCs w:val="11"/>
          <w:color w:val="auto"/>
        </w:rPr>
        <w:t>actual; 50,000,000 shares authorized, 15,304,696 shares</w:t>
      </w:r>
    </w:p>
    <w:p>
      <w:pPr>
        <w:spacing w:after="0" w:line="13" w:lineRule="exact"/>
        <w:rPr>
          <w:sz w:val="20"/>
          <w:szCs w:val="20"/>
          <w:color w:val="auto"/>
        </w:rPr>
      </w:pPr>
    </w:p>
    <w:p>
      <w:pPr>
        <w:ind w:left="1820"/>
        <w:spacing w:after="0"/>
        <w:rPr>
          <w:sz w:val="20"/>
          <w:szCs w:val="20"/>
          <w:color w:val="auto"/>
        </w:rPr>
      </w:pPr>
      <w:r>
        <w:rPr>
          <w:rFonts w:ascii="Arial" w:cs="Arial" w:eastAsia="Arial" w:hAnsi="Arial"/>
          <w:sz w:val="11"/>
          <w:szCs w:val="11"/>
          <w:color w:val="auto"/>
        </w:rPr>
        <w:t>issued and outstanding, pro forma; 50,000,000 shares</w:t>
      </w:r>
    </w:p>
    <w:p>
      <w:pPr>
        <w:spacing w:after="0" w:line="11" w:lineRule="exact"/>
        <w:rPr>
          <w:sz w:val="20"/>
          <w:szCs w:val="20"/>
          <w:color w:val="auto"/>
        </w:rPr>
      </w:pPr>
    </w:p>
    <w:p>
      <w:pPr>
        <w:ind w:left="1820"/>
        <w:spacing w:after="0"/>
        <w:rPr>
          <w:sz w:val="20"/>
          <w:szCs w:val="20"/>
          <w:color w:val="auto"/>
        </w:rPr>
      </w:pPr>
      <w:r>
        <w:rPr>
          <w:rFonts w:ascii="Arial" w:cs="Arial" w:eastAsia="Arial" w:hAnsi="Arial"/>
          <w:sz w:val="11"/>
          <w:szCs w:val="11"/>
          <w:color w:val="auto"/>
        </w:rPr>
        <w:t>authorized, 15,304,696 shares issued and outstanding, pro</w:t>
      </w:r>
    </w:p>
    <w:p>
      <w:pPr>
        <w:spacing w:after="0" w:line="13" w:lineRule="exact"/>
        <w:rPr>
          <w:sz w:val="20"/>
          <w:szCs w:val="20"/>
          <w:color w:val="auto"/>
        </w:rPr>
      </w:pPr>
    </w:p>
    <w:tbl>
      <w:tblPr>
        <w:tblLayout w:type="fixed"/>
        <w:tblInd w:w="1520" w:type="dxa"/>
        <w:tblCellMar>
          <w:top w:w="0" w:type="dxa"/>
          <w:left w:w="0" w:type="dxa"/>
          <w:bottom w:w="0" w:type="dxa"/>
          <w:right w:w="0" w:type="dxa"/>
        </w:tblCellMar>
      </w:tblPr>
      <w:tr>
        <w:trPr>
          <w:trHeight w:val="157"/>
        </w:trPr>
        <w:tc>
          <w:tcPr>
            <w:tcW w:w="3400" w:type="dxa"/>
            <w:vAlign w:val="bottom"/>
            <w:gridSpan w:val="3"/>
          </w:tcPr>
          <w:p>
            <w:pPr>
              <w:jc w:val="right"/>
              <w:spacing w:after="0"/>
              <w:rPr>
                <w:sz w:val="20"/>
                <w:szCs w:val="20"/>
                <w:color w:val="auto"/>
              </w:rPr>
            </w:pPr>
            <w:r>
              <w:rPr>
                <w:rFonts w:ascii="Arial" w:cs="Arial" w:eastAsia="Arial" w:hAnsi="Arial"/>
                <w:sz w:val="11"/>
                <w:szCs w:val="11"/>
                <w:color w:val="auto"/>
              </w:rPr>
              <w:t xml:space="preserve">forma as adjusted </w:t>
            </w:r>
            <w:r>
              <w:rPr>
                <w:rFonts w:ascii="Times New Roman" w:cs="Times New Roman" w:eastAsia="Times New Roman" w:hAnsi="Times New Roman"/>
                <w:sz w:val="11"/>
                <w:szCs w:val="11"/>
                <w:color w:val="B4B4B4"/>
              </w:rPr>
              <w:t>..........................................................................</w:t>
            </w:r>
          </w:p>
        </w:tc>
        <w:tc>
          <w:tcPr>
            <w:tcW w:w="16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9"/>
        </w:trPr>
        <w:tc>
          <w:tcPr>
            <w:tcW w:w="3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 xml:space="preserve">Additional paid-in capital </w:t>
            </w:r>
            <w:r>
              <w:rPr>
                <w:rFonts w:ascii="Times New Roman" w:cs="Times New Roman" w:eastAsia="Times New Roman" w:hAnsi="Times New Roman"/>
                <w:sz w:val="11"/>
                <w:szCs w:val="11"/>
                <w:color w:val="B4B4B4"/>
              </w:rPr>
              <w:t>...................................................................</w:t>
            </w: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522,555</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2,436,115</w:t>
            </w:r>
          </w:p>
        </w:tc>
        <w:tc>
          <w:tcPr>
            <w:tcW w:w="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3,149,474</w:t>
            </w:r>
          </w:p>
        </w:tc>
        <w:tc>
          <w:tcPr>
            <w:tcW w:w="0" w:type="dxa"/>
            <w:vAlign w:val="bottom"/>
          </w:tcPr>
          <w:p>
            <w:pPr>
              <w:spacing w:after="0"/>
              <w:rPr>
                <w:sz w:val="1"/>
                <w:szCs w:val="1"/>
                <w:color w:val="auto"/>
              </w:rPr>
            </w:pPr>
          </w:p>
        </w:tc>
      </w:tr>
      <w:tr>
        <w:trPr>
          <w:trHeight w:val="124"/>
        </w:trPr>
        <w:tc>
          <w:tcPr>
            <w:tcW w:w="3400" w:type="dxa"/>
            <w:vAlign w:val="bottom"/>
            <w:gridSpan w:val="3"/>
          </w:tcPr>
          <w:p>
            <w:pPr>
              <w:jc w:val="right"/>
              <w:spacing w:after="0" w:line="125" w:lineRule="exact"/>
              <w:rPr>
                <w:sz w:val="20"/>
                <w:szCs w:val="20"/>
                <w:color w:val="auto"/>
              </w:rPr>
            </w:pPr>
            <w:r>
              <w:rPr>
                <w:rFonts w:ascii="Arial" w:cs="Arial" w:eastAsia="Arial" w:hAnsi="Arial"/>
                <w:sz w:val="11"/>
                <w:szCs w:val="11"/>
                <w:color w:val="auto"/>
              </w:rPr>
              <w:t xml:space="preserve">Accumulated other comprehensive los  </w:t>
            </w:r>
            <w:r>
              <w:rPr>
                <w:rFonts w:ascii="Times New Roman" w:cs="Times New Roman" w:eastAsia="Times New Roman" w:hAnsi="Times New Roman"/>
                <w:sz w:val="11"/>
                <w:szCs w:val="11"/>
                <w:color w:val="B4B4B4"/>
              </w:rPr>
              <w:t>........................................</w:t>
            </w:r>
          </w:p>
        </w:tc>
        <w:tc>
          <w:tcPr>
            <w:tcW w:w="1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(14,014)</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rPr>
              <w:t>(14,014)</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(14,014)</w:t>
            </w:r>
          </w:p>
        </w:tc>
        <w:tc>
          <w:tcPr>
            <w:tcW w:w="0" w:type="dxa"/>
            <w:vAlign w:val="bottom"/>
          </w:tcPr>
          <w:p>
            <w:pPr>
              <w:spacing w:after="0"/>
              <w:rPr>
                <w:sz w:val="1"/>
                <w:szCs w:val="1"/>
                <w:color w:val="auto"/>
              </w:rPr>
            </w:pPr>
          </w:p>
        </w:tc>
      </w:tr>
      <w:tr>
        <w:trPr>
          <w:trHeight w:val="77"/>
        </w:trPr>
        <w:tc>
          <w:tcPr>
            <w:tcW w:w="780" w:type="dxa"/>
            <w:vAlign w:val="bottom"/>
          </w:tcPr>
          <w:p>
            <w:pPr>
              <w:ind w:left="180"/>
              <w:spacing w:after="0" w:line="77" w:lineRule="exact"/>
              <w:rPr>
                <w:sz w:val="20"/>
                <w:szCs w:val="20"/>
                <w:color w:val="auto"/>
              </w:rPr>
            </w:pPr>
            <w:r>
              <w:rPr>
                <w:rFonts w:ascii="Arial" w:cs="Arial" w:eastAsia="Arial" w:hAnsi="Arial"/>
                <w:sz w:val="8"/>
                <w:szCs w:val="8"/>
                <w:color w:val="auto"/>
              </w:rPr>
              <w:t>s</w:t>
            </w:r>
          </w:p>
        </w:tc>
        <w:tc>
          <w:tcPr>
            <w:tcW w:w="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(1,716,993)</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(1,918,466)</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(1,938,281)</w:t>
            </w:r>
          </w:p>
        </w:tc>
        <w:tc>
          <w:tcPr>
            <w:tcW w:w="0" w:type="dxa"/>
            <w:vAlign w:val="bottom"/>
          </w:tcPr>
          <w:p>
            <w:pPr>
              <w:spacing w:after="0"/>
              <w:rPr>
                <w:sz w:val="1"/>
                <w:szCs w:val="1"/>
                <w:color w:val="auto"/>
              </w:rPr>
            </w:pPr>
          </w:p>
        </w:tc>
      </w:tr>
      <w:tr>
        <w:trPr>
          <w:trHeight w:val="105"/>
        </w:trPr>
        <w:tc>
          <w:tcPr>
            <w:tcW w:w="3400" w:type="dxa"/>
            <w:vAlign w:val="bottom"/>
            <w:gridSpan w:val="3"/>
          </w:tcPr>
          <w:p>
            <w:pPr>
              <w:jc w:val="right"/>
              <w:spacing w:after="0" w:line="105" w:lineRule="exact"/>
              <w:rPr>
                <w:sz w:val="20"/>
                <w:szCs w:val="20"/>
                <w:color w:val="auto"/>
              </w:rPr>
            </w:pPr>
            <w:r>
              <w:rPr>
                <w:rFonts w:ascii="Arial" w:cs="Arial" w:eastAsia="Arial" w:hAnsi="Arial"/>
                <w:sz w:val="11"/>
                <w:szCs w:val="11"/>
                <w:color w:val="auto"/>
              </w:rPr>
              <w:t xml:space="preserve">Accumulated defici </w:t>
            </w:r>
            <w:r>
              <w:rPr>
                <w:rFonts w:ascii="Times New Roman" w:cs="Times New Roman" w:eastAsia="Times New Roman" w:hAnsi="Times New Roman"/>
                <w:sz w:val="11"/>
                <w:szCs w:val="11"/>
                <w:color w:val="B4B4B4"/>
              </w:rPr>
              <w:t>............................................................................</w:t>
            </w:r>
          </w:p>
        </w:tc>
        <w:tc>
          <w:tcPr>
            <w:tcW w:w="1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780" w:type="dxa"/>
            <w:vAlign w:val="bottom"/>
          </w:tcPr>
          <w:p>
            <w:pPr>
              <w:ind w:left="180"/>
              <w:spacing w:after="0" w:line="58" w:lineRule="exact"/>
              <w:rPr>
                <w:sz w:val="20"/>
                <w:szCs w:val="20"/>
                <w:color w:val="auto"/>
              </w:rPr>
            </w:pPr>
            <w:r>
              <w:rPr>
                <w:rFonts w:ascii="Arial" w:cs="Arial" w:eastAsia="Arial" w:hAnsi="Arial"/>
                <w:sz w:val="6"/>
                <w:szCs w:val="6"/>
                <w:color w:val="auto"/>
              </w:rPr>
              <w:t>t</w:t>
            </w:r>
          </w:p>
        </w:tc>
        <w:tc>
          <w:tcPr>
            <w:tcW w:w="6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3400" w:type="dxa"/>
            <w:vAlign w:val="bottom"/>
            <w:gridSpan w:val="3"/>
          </w:tcPr>
          <w:p>
            <w:pPr>
              <w:jc w:val="right"/>
              <w:spacing w:after="0" w:line="105" w:lineRule="exact"/>
              <w:rPr>
                <w:sz w:val="20"/>
                <w:szCs w:val="20"/>
                <w:color w:val="auto"/>
              </w:rPr>
            </w:pPr>
            <w:r>
              <w:rPr>
                <w:rFonts w:ascii="Arial" w:cs="Arial" w:eastAsia="Arial" w:hAnsi="Arial"/>
                <w:sz w:val="11"/>
                <w:szCs w:val="11"/>
                <w:color w:val="auto"/>
              </w:rPr>
              <w:t xml:space="preserve">Total stockholders’ (deficit) equit </w:t>
            </w:r>
            <w:r>
              <w:rPr>
                <w:rFonts w:ascii="Times New Roman" w:cs="Times New Roman" w:eastAsia="Times New Roman" w:hAnsi="Times New Roman"/>
                <w:sz w:val="11"/>
                <w:szCs w:val="11"/>
                <w:color w:val="B4B4B4"/>
              </w:rPr>
              <w:t>..............................................</w:t>
            </w:r>
          </w:p>
        </w:tc>
        <w:tc>
          <w:tcPr>
            <w:tcW w:w="1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(1,208,451)</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jc w:val="right"/>
              <w:ind w:right="3"/>
              <w:spacing w:after="0" w:line="105" w:lineRule="exact"/>
              <w:rPr>
                <w:sz w:val="20"/>
                <w:szCs w:val="20"/>
                <w:color w:val="auto"/>
              </w:rPr>
            </w:pPr>
            <w:r>
              <w:rPr>
                <w:rFonts w:ascii="Arial" w:cs="Arial" w:eastAsia="Arial" w:hAnsi="Arial"/>
                <w:sz w:val="11"/>
                <w:szCs w:val="11"/>
                <w:color w:val="auto"/>
              </w:rPr>
              <w:t>503,637</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ind w:right="3"/>
              <w:spacing w:after="0" w:line="105" w:lineRule="exact"/>
              <w:rPr>
                <w:sz w:val="20"/>
                <w:szCs w:val="20"/>
                <w:color w:val="auto"/>
              </w:rPr>
            </w:pPr>
            <w:r>
              <w:rPr>
                <w:rFonts w:ascii="Arial" w:cs="Arial" w:eastAsia="Arial" w:hAnsi="Arial"/>
                <w:sz w:val="11"/>
                <w:szCs w:val="11"/>
                <w:color w:val="auto"/>
              </w:rPr>
              <w:t>1,197,181</w:t>
            </w:r>
          </w:p>
        </w:tc>
        <w:tc>
          <w:tcPr>
            <w:tcW w:w="0" w:type="dxa"/>
            <w:vAlign w:val="bottom"/>
          </w:tcPr>
          <w:p>
            <w:pPr>
              <w:spacing w:after="0"/>
              <w:rPr>
                <w:sz w:val="1"/>
                <w:szCs w:val="1"/>
                <w:color w:val="auto"/>
              </w:rPr>
            </w:pPr>
          </w:p>
        </w:tc>
      </w:tr>
      <w:tr>
        <w:trPr>
          <w:trHeight w:val="57"/>
        </w:trPr>
        <w:tc>
          <w:tcPr>
            <w:tcW w:w="780" w:type="dxa"/>
            <w:vAlign w:val="bottom"/>
          </w:tcPr>
          <w:p>
            <w:pPr>
              <w:ind w:left="340"/>
              <w:spacing w:after="0" w:line="58" w:lineRule="exact"/>
              <w:rPr>
                <w:sz w:val="20"/>
                <w:szCs w:val="20"/>
                <w:color w:val="auto"/>
              </w:rPr>
            </w:pPr>
            <w:r>
              <w:rPr>
                <w:rFonts w:ascii="Arial" w:cs="Arial" w:eastAsia="Arial" w:hAnsi="Arial"/>
                <w:sz w:val="6"/>
                <w:szCs w:val="6"/>
                <w:color w:val="auto"/>
              </w:rPr>
              <w:t>y</w:t>
            </w:r>
          </w:p>
        </w:tc>
        <w:tc>
          <w:tcPr>
            <w:tcW w:w="6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3400" w:type="dxa"/>
            <w:vAlign w:val="bottom"/>
            <w:gridSpan w:val="3"/>
          </w:tcPr>
          <w:p>
            <w:pPr>
              <w:jc w:val="right"/>
              <w:spacing w:after="0"/>
              <w:rPr>
                <w:sz w:val="20"/>
                <w:szCs w:val="20"/>
                <w:color w:val="auto"/>
              </w:rPr>
            </w:pPr>
            <w:r>
              <w:rPr>
                <w:rFonts w:ascii="Arial" w:cs="Arial" w:eastAsia="Arial" w:hAnsi="Arial"/>
                <w:sz w:val="11"/>
                <w:szCs w:val="11"/>
                <w:color w:val="auto"/>
              </w:rPr>
              <w:t xml:space="preserve">Total capitalization </w:t>
            </w:r>
            <w:r>
              <w:rPr>
                <w:rFonts w:ascii="Times New Roman" w:cs="Times New Roman" w:eastAsia="Times New Roman" w:hAnsi="Times New Roman"/>
                <w:sz w:val="11"/>
                <w:szCs w:val="11"/>
                <w:color w:val="B4B4B4"/>
              </w:rPr>
              <w:t>..................................................................</w:t>
            </w:r>
          </w:p>
        </w:tc>
        <w:tc>
          <w:tcPr>
            <w:tcW w:w="1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820,740</w:t>
            </w:r>
          </w:p>
        </w:tc>
        <w:tc>
          <w:tcPr>
            <w:tcW w:w="2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803,411</w:t>
            </w:r>
          </w:p>
        </w:tc>
        <w:tc>
          <w:tcPr>
            <w:tcW w:w="2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1,379,855</w:t>
            </w:r>
          </w:p>
        </w:tc>
        <w:tc>
          <w:tcPr>
            <w:tcW w:w="0" w:type="dxa"/>
            <w:vAlign w:val="bottom"/>
          </w:tcPr>
          <w:p>
            <w:pPr>
              <w:spacing w:after="0"/>
              <w:rPr>
                <w:sz w:val="1"/>
                <w:szCs w:val="1"/>
                <w:color w:val="auto"/>
              </w:rPr>
            </w:pPr>
          </w:p>
        </w:tc>
      </w:tr>
      <w:tr>
        <w:trPr>
          <w:trHeight w:val="144"/>
        </w:trPr>
        <w:tc>
          <w:tcPr>
            <w:tcW w:w="3400" w:type="dxa"/>
            <w:vAlign w:val="bottom"/>
            <w:gridSpan w:val="3"/>
          </w:tcPr>
          <w:p>
            <w:pPr>
              <w:spacing w:after="0"/>
              <w:rPr>
                <w:sz w:val="20"/>
                <w:szCs w:val="20"/>
                <w:color w:val="auto"/>
              </w:rPr>
            </w:pPr>
            <w:r>
              <w:rPr>
                <w:rFonts w:ascii="Arial" w:cs="Arial" w:eastAsia="Arial" w:hAnsi="Arial"/>
                <w:sz w:val="11"/>
                <w:szCs w:val="11"/>
                <w:color w:val="auto"/>
              </w:rPr>
              <w:t>_______________</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780" w:type="dxa"/>
            <w:vAlign w:val="bottom"/>
          </w:tcPr>
          <w:p>
            <w:pPr>
              <w:spacing w:after="0" w:line="114" w:lineRule="exact"/>
              <w:rPr>
                <w:sz w:val="20"/>
                <w:szCs w:val="20"/>
                <w:color w:val="auto"/>
              </w:rPr>
            </w:pPr>
            <w:r>
              <w:rPr>
                <w:rFonts w:ascii="Arial" w:cs="Arial" w:eastAsia="Arial" w:hAnsi="Arial"/>
                <w:sz w:val="11"/>
                <w:szCs w:val="11"/>
                <w:color w:val="auto"/>
              </w:rPr>
              <w:t>(1)  Each $1.0</w:t>
            </w:r>
          </w:p>
        </w:tc>
        <w:tc>
          <w:tcPr>
            <w:tcW w:w="60" w:type="dxa"/>
            <w:vAlign w:val="bottom"/>
            <w:vMerge w:val="restart"/>
          </w:tcPr>
          <w:p>
            <w:pPr>
              <w:ind w:left="20"/>
              <w:spacing w:after="0"/>
              <w:rPr>
                <w:sz w:val="20"/>
                <w:szCs w:val="20"/>
                <w:color w:val="auto"/>
              </w:rPr>
            </w:pPr>
            <w:r>
              <w:rPr>
                <w:rFonts w:ascii="Arial" w:cs="Arial" w:eastAsia="Arial" w:hAnsi="Arial"/>
                <w:sz w:val="10"/>
                <w:szCs w:val="10"/>
                <w:color w:val="auto"/>
                <w:w w:val="70"/>
              </w:rPr>
              <w:t>f</w:t>
            </w:r>
          </w:p>
        </w:tc>
        <w:tc>
          <w:tcPr>
            <w:tcW w:w="5140" w:type="dxa"/>
            <w:vAlign w:val="bottom"/>
            <w:gridSpan w:val="9"/>
          </w:tcPr>
          <w:p>
            <w:pPr>
              <w:jc w:val="right"/>
              <w:ind w:right="263"/>
              <w:spacing w:after="0" w:line="114" w:lineRule="exact"/>
              <w:rPr>
                <w:sz w:val="20"/>
                <w:szCs w:val="20"/>
                <w:color w:val="auto"/>
              </w:rPr>
            </w:pPr>
            <w:r>
              <w:rPr>
                <w:rFonts w:ascii="Arial" w:cs="Arial" w:eastAsia="Arial" w:hAnsi="Arial"/>
                <w:sz w:val="11"/>
                <w:szCs w:val="11"/>
                <w:color w:val="auto"/>
              </w:rPr>
              <w:t>increase (decrease) in the assumed initial public offering price o $25.00 per share, which is the</w:t>
            </w:r>
          </w:p>
        </w:tc>
        <w:tc>
          <w:tcPr>
            <w:tcW w:w="0" w:type="dxa"/>
            <w:vAlign w:val="bottom"/>
          </w:tcPr>
          <w:p>
            <w:pPr>
              <w:spacing w:after="0"/>
              <w:rPr>
                <w:sz w:val="1"/>
                <w:szCs w:val="1"/>
                <w:color w:val="auto"/>
              </w:rPr>
            </w:pPr>
          </w:p>
        </w:tc>
      </w:tr>
      <w:tr>
        <w:trPr>
          <w:trHeight w:val="30"/>
        </w:trPr>
        <w:tc>
          <w:tcPr>
            <w:tcW w:w="780" w:type="dxa"/>
            <w:vAlign w:val="bottom"/>
          </w:tcPr>
          <w:p>
            <w:pPr>
              <w:ind w:left="240"/>
              <w:spacing w:after="0" w:line="31" w:lineRule="exact"/>
              <w:rPr>
                <w:sz w:val="20"/>
                <w:szCs w:val="20"/>
                <w:color w:val="auto"/>
              </w:rPr>
            </w:pPr>
            <w:r>
              <w:rPr>
                <w:rFonts w:ascii="Arial" w:cs="Arial" w:eastAsia="Arial" w:hAnsi="Arial"/>
                <w:sz w:val="3"/>
                <w:szCs w:val="3"/>
                <w:color w:val="auto"/>
              </w:rPr>
              <w:t>0</w:t>
            </w:r>
          </w:p>
        </w:tc>
        <w:tc>
          <w:tcPr>
            <w:tcW w:w="60" w:type="dxa"/>
            <w:vAlign w:val="bottom"/>
            <w:vMerge w:val="continue"/>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60" w:right="1600"/>
        <w:spacing w:after="0"/>
        <w:rPr>
          <w:sz w:val="20"/>
          <w:szCs w:val="20"/>
          <w:color w:val="auto"/>
        </w:rPr>
      </w:pPr>
      <w:r>
        <w:rPr>
          <w:rFonts w:ascii="Arial" w:cs="Arial" w:eastAsia="Arial" w:hAnsi="Arial"/>
          <w:sz w:val="11"/>
          <w:szCs w:val="11"/>
          <w:color w:val="auto"/>
        </w:rPr>
        <w:t>midpoint of the offering price range set forth on the cover page of this prospectus, would increase (decrease) ou r</w:t>
      </w:r>
    </w:p>
    <w:p>
      <w:pPr>
        <w:spacing w:after="0" w:line="7" w:lineRule="exact"/>
        <w:rPr>
          <w:sz w:val="20"/>
          <w:szCs w:val="20"/>
          <w:color w:val="auto"/>
        </w:rPr>
      </w:pPr>
    </w:p>
    <w:p>
      <w:pPr>
        <w:ind w:left="1760" w:right="1760"/>
        <w:spacing w:after="0"/>
        <w:rPr>
          <w:sz w:val="20"/>
          <w:szCs w:val="20"/>
          <w:color w:val="auto"/>
        </w:rPr>
      </w:pPr>
      <w:r>
        <w:rPr>
          <w:rFonts w:ascii="Arial" w:cs="Arial" w:eastAsia="Arial" w:hAnsi="Arial"/>
          <w:sz w:val="11"/>
          <w:szCs w:val="11"/>
          <w:color w:val="auto"/>
        </w:rPr>
        <w:t>pro forma as adjusted cash and cash equivalents, additional paid-in capital, total stockholders’ (deficit) equity ,</w:t>
      </w:r>
    </w:p>
    <w:p>
      <w:pPr>
        <w:spacing w:after="0" w:line="17" w:lineRule="exact"/>
        <w:rPr>
          <w:sz w:val="20"/>
          <w:szCs w:val="20"/>
          <w:color w:val="auto"/>
        </w:rPr>
      </w:pPr>
    </w:p>
    <w:p>
      <w:pPr>
        <w:ind w:left="3340" w:right="1800" w:hanging="1597"/>
        <w:spacing w:after="0"/>
        <w:rPr>
          <w:sz w:val="20"/>
          <w:szCs w:val="20"/>
          <w:color w:val="auto"/>
        </w:rPr>
      </w:pPr>
      <w:r>
        <w:rPr>
          <w:rFonts w:ascii="Arial" w:cs="Arial" w:eastAsia="Arial" w:hAnsi="Arial"/>
          <w:sz w:val="11"/>
          <w:szCs w:val="11"/>
          <w:color w:val="auto"/>
        </w:rPr>
        <w:t>and total capitalization by $28.3 million, assuming that the number of shares offered by us, as set forth on th e</w:t>
      </w: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ind w:left="1760" w:right="2260"/>
        <w:spacing w:after="0"/>
        <w:rPr>
          <w:sz w:val="20"/>
          <w:szCs w:val="20"/>
          <w:color w:val="auto"/>
        </w:rPr>
      </w:pPr>
      <w:r>
        <w:rPr>
          <w:rFonts w:ascii="Arial" w:cs="Arial" w:eastAsia="Arial" w:hAnsi="Arial"/>
          <w:sz w:val="11"/>
          <w:szCs w:val="11"/>
          <w:color w:val="auto"/>
        </w:rPr>
        <w:t>cover page of this prospectus, remains the same and after deducting the underwriting discounts an d</w:t>
      </w:r>
    </w:p>
    <w:p>
      <w:pPr>
        <w:spacing w:after="0" w:line="17" w:lineRule="exact"/>
        <w:rPr>
          <w:sz w:val="20"/>
          <w:szCs w:val="20"/>
          <w:color w:val="auto"/>
        </w:rPr>
      </w:pPr>
    </w:p>
    <w:p>
      <w:pPr>
        <w:ind w:left="1760" w:right="1900"/>
        <w:spacing w:after="0"/>
        <w:rPr>
          <w:sz w:val="20"/>
          <w:szCs w:val="20"/>
          <w:color w:val="auto"/>
        </w:rPr>
      </w:pPr>
      <w:r>
        <w:rPr>
          <w:rFonts w:ascii="Arial" w:cs="Arial" w:eastAsia="Arial" w:hAnsi="Arial"/>
          <w:sz w:val="11"/>
          <w:szCs w:val="11"/>
          <w:color w:val="auto"/>
        </w:rPr>
        <w:t>commissions, and without giving effect to corresponding increases or decreases in accumulated deficit fro m</w:t>
      </w:r>
    </w:p>
    <w:p>
      <w:pPr>
        <w:spacing w:after="0" w:line="7" w:lineRule="exact"/>
        <w:rPr>
          <w:sz w:val="20"/>
          <w:szCs w:val="20"/>
          <w:color w:val="auto"/>
        </w:rPr>
      </w:pPr>
    </w:p>
    <w:p>
      <w:pPr>
        <w:ind w:left="1760" w:right="2060"/>
        <w:spacing w:after="0"/>
        <w:rPr>
          <w:sz w:val="20"/>
          <w:szCs w:val="20"/>
          <w:color w:val="auto"/>
        </w:rPr>
      </w:pPr>
      <w:r>
        <w:rPr>
          <w:rFonts w:ascii="Arial" w:cs="Arial" w:eastAsia="Arial" w:hAnsi="Arial"/>
          <w:sz w:val="11"/>
          <w:szCs w:val="11"/>
          <w:color w:val="auto"/>
        </w:rPr>
        <w:t>changes in the fair value of the Note Conversion Shares, the SAFE Conversion Shares, the redeemabl e</w:t>
      </w:r>
    </w:p>
    <w:p>
      <w:pPr>
        <w:ind w:left="1760"/>
        <w:spacing w:after="0" w:line="229" w:lineRule="auto"/>
        <w:rPr>
          <w:sz w:val="20"/>
          <w:szCs w:val="20"/>
          <w:color w:val="auto"/>
        </w:rPr>
      </w:pPr>
      <w:r>
        <w:rPr>
          <w:rFonts w:ascii="Arial" w:cs="Arial" w:eastAsia="Arial" w:hAnsi="Arial"/>
          <w:sz w:val="11"/>
          <w:szCs w:val="11"/>
          <w:color w:val="auto"/>
        </w:rPr>
        <w:t>convertible preferred warrants, and the SAFE Warrants as well as corresponding increases or decreases in tota</w:t>
      </w:r>
    </w:p>
    <w:p>
      <w:pPr>
        <w:ind w:left="1760" w:right="1920"/>
        <w:spacing w:after="0" w:line="181" w:lineRule="auto"/>
        <w:rPr>
          <w:sz w:val="20"/>
          <w:szCs w:val="20"/>
          <w:color w:val="auto"/>
        </w:rPr>
      </w:pPr>
      <w:r>
        <w:rPr>
          <w:rFonts w:ascii="Arial" w:cs="Arial" w:eastAsia="Arial" w:hAnsi="Arial"/>
          <w:sz w:val="20"/>
          <w:szCs w:val="20"/>
          <w:color w:val="auto"/>
          <w:vertAlign w:val="superscript"/>
        </w:rPr>
        <w:t>l</w:t>
      </w:r>
      <w:r>
        <w:rPr>
          <w:rFonts w:ascii="Arial" w:cs="Arial" w:eastAsia="Arial" w:hAnsi="Arial"/>
          <w:sz w:val="11"/>
          <w:szCs w:val="11"/>
          <w:color w:val="auto"/>
        </w:rPr>
        <w:t>stockholders’ (deficit) equity from changes to Class A common stock and additional paid-in capital from th e</w:t>
      </w:r>
    </w:p>
    <w:p>
      <w:pPr>
        <w:ind w:left="1760" w:right="1600"/>
        <w:spacing w:after="0"/>
        <w:rPr>
          <w:sz w:val="20"/>
          <w:szCs w:val="20"/>
          <w:color w:val="auto"/>
        </w:rPr>
      </w:pPr>
      <w:r>
        <w:rPr>
          <w:rFonts w:ascii="Arial" w:cs="Arial" w:eastAsia="Arial" w:hAnsi="Arial"/>
          <w:sz w:val="11"/>
          <w:szCs w:val="11"/>
          <w:color w:val="auto"/>
        </w:rPr>
        <w:t>Warrant Exercises. Similarly, each increase (decrease) of 1.0 million shares in the number of shares of our Clas s</w:t>
      </w:r>
    </w:p>
    <w:p>
      <w:pPr>
        <w:spacing w:after="0" w:line="7" w:lineRule="exact"/>
        <w:rPr>
          <w:sz w:val="20"/>
          <w:szCs w:val="20"/>
          <w:color w:val="auto"/>
        </w:rPr>
      </w:pPr>
    </w:p>
    <w:p>
      <w:pPr>
        <w:ind w:left="1760" w:right="1840"/>
        <w:spacing w:after="0"/>
        <w:rPr>
          <w:sz w:val="20"/>
          <w:szCs w:val="20"/>
          <w:color w:val="auto"/>
        </w:rPr>
      </w:pPr>
      <w:r>
        <w:rPr>
          <w:rFonts w:ascii="Arial" w:cs="Arial" w:eastAsia="Arial" w:hAnsi="Arial"/>
          <w:sz w:val="11"/>
          <w:szCs w:val="11"/>
          <w:color w:val="auto"/>
        </w:rPr>
        <w:t>A common stock offered by us would increase (decrease) the amount of our pro forma as adjusted cash an d</w:t>
      </w:r>
    </w:p>
    <w:p>
      <w:pPr>
        <w:spacing w:after="0" w:line="7" w:lineRule="exact"/>
        <w:rPr>
          <w:sz w:val="20"/>
          <w:szCs w:val="20"/>
          <w:color w:val="auto"/>
        </w:rPr>
      </w:pPr>
    </w:p>
    <w:p>
      <w:pPr>
        <w:ind w:left="1760" w:right="2100"/>
        <w:spacing w:after="0"/>
        <w:rPr>
          <w:sz w:val="20"/>
          <w:szCs w:val="20"/>
          <w:color w:val="auto"/>
        </w:rPr>
      </w:pPr>
      <w:r>
        <w:rPr>
          <w:rFonts w:ascii="Arial" w:cs="Arial" w:eastAsia="Arial" w:hAnsi="Arial"/>
          <w:sz w:val="11"/>
          <w:szCs w:val="11"/>
          <w:color w:val="auto"/>
        </w:rPr>
        <w:t>cash equivalents, additional paid-in capital, total stockholders’ (deficit) equity, and total capitalization b y</w:t>
      </w:r>
    </w:p>
    <w:p>
      <w:pPr>
        <w:spacing w:after="0" w:line="17" w:lineRule="exact"/>
        <w:rPr>
          <w:sz w:val="20"/>
          <w:szCs w:val="20"/>
          <w:color w:val="auto"/>
        </w:rPr>
      </w:pPr>
    </w:p>
    <w:p>
      <w:pPr>
        <w:jc w:val="center"/>
        <w:ind w:right="-99"/>
        <w:spacing w:after="0"/>
        <w:rPr>
          <w:sz w:val="20"/>
          <w:szCs w:val="20"/>
          <w:color w:val="auto"/>
        </w:rPr>
      </w:pPr>
      <w:r>
        <w:rPr>
          <w:rFonts w:ascii="Arial" w:cs="Arial" w:eastAsia="Arial" w:hAnsi="Arial"/>
          <w:sz w:val="11"/>
          <w:szCs w:val="11"/>
          <w:color w:val="auto"/>
        </w:rPr>
        <w:t>$23.6 million, assuming that the assumed initial public offering price remains the same, and after deducting the</w:t>
      </w:r>
    </w:p>
    <w:p>
      <w:pPr>
        <w:spacing w:after="0" w:line="7" w:lineRule="exact"/>
        <w:rPr>
          <w:sz w:val="20"/>
          <w:szCs w:val="20"/>
          <w:color w:val="auto"/>
        </w:rPr>
      </w:pPr>
    </w:p>
    <w:p>
      <w:pPr>
        <w:ind w:left="1760" w:right="1640"/>
        <w:spacing w:after="0"/>
        <w:rPr>
          <w:sz w:val="20"/>
          <w:szCs w:val="20"/>
          <w:color w:val="auto"/>
        </w:rPr>
      </w:pPr>
      <w:r>
        <w:rPr>
          <w:rFonts w:ascii="Arial" w:cs="Arial" w:eastAsia="Arial" w:hAnsi="Arial"/>
          <w:sz w:val="11"/>
          <w:szCs w:val="11"/>
          <w:color w:val="auto"/>
        </w:rPr>
        <w:t>underwriting discounts and commissions. If the underwriters’ option to purchase additional shares is exercised i n</w:t>
      </w:r>
    </w:p>
    <w:p>
      <w:pPr>
        <w:ind w:left="1760"/>
        <w:spacing w:after="0" w:line="229" w:lineRule="auto"/>
        <w:rPr>
          <w:sz w:val="20"/>
          <w:szCs w:val="20"/>
          <w:color w:val="auto"/>
        </w:rPr>
      </w:pPr>
      <w:r>
        <w:rPr>
          <w:rFonts w:ascii="Arial" w:cs="Arial" w:eastAsia="Arial" w:hAnsi="Arial"/>
          <w:sz w:val="11"/>
          <w:szCs w:val="11"/>
          <w:color w:val="auto"/>
        </w:rPr>
        <w:t>full, the pro forma as adjusted amount of each of cash and cash equivalents, additional paid-in capital, tota</w:t>
      </w:r>
    </w:p>
    <w:p>
      <w:pPr>
        <w:ind w:left="1760" w:right="1920"/>
        <w:spacing w:after="0" w:line="180" w:lineRule="auto"/>
        <w:rPr>
          <w:sz w:val="20"/>
          <w:szCs w:val="20"/>
          <w:color w:val="auto"/>
        </w:rPr>
      </w:pPr>
      <w:r>
        <w:rPr>
          <w:rFonts w:ascii="Arial" w:cs="Arial" w:eastAsia="Arial" w:hAnsi="Arial"/>
          <w:sz w:val="19"/>
          <w:szCs w:val="19"/>
          <w:color w:val="auto"/>
          <w:vertAlign w:val="superscript"/>
        </w:rPr>
        <w:t>l</w:t>
      </w:r>
      <w:r>
        <w:rPr>
          <w:rFonts w:ascii="Arial" w:cs="Arial" w:eastAsia="Arial" w:hAnsi="Arial"/>
          <w:sz w:val="10"/>
          <w:szCs w:val="10"/>
          <w:color w:val="auto"/>
        </w:rPr>
        <w:t>stockholders’ (deficit) equity, and total capitalization would increase b $130.6 million, and after deducting y</w:t>
      </w:r>
    </w:p>
    <w:p>
      <w:pPr>
        <w:ind w:left="1760" w:right="1600"/>
        <w:spacing w:after="0" w:line="234" w:lineRule="auto"/>
        <w:rPr>
          <w:sz w:val="20"/>
          <w:szCs w:val="20"/>
          <w:color w:val="auto"/>
        </w:rPr>
      </w:pPr>
      <w:r>
        <w:rPr>
          <w:rFonts w:ascii="Arial" w:cs="Arial" w:eastAsia="Arial" w:hAnsi="Arial"/>
          <w:sz w:val="11"/>
          <w:szCs w:val="11"/>
          <w:color w:val="auto"/>
        </w:rPr>
        <w:t>underwriting discounts and commissions, and we would have 238,475,879 shares of our Class A common stock and 15,304,696 shares of our Class B common stock issued and outstanding Pro forma adjustments in the</w:t>
      </w:r>
    </w:p>
    <w:p>
      <w:pPr>
        <w:spacing w:after="0" w:line="1" w:lineRule="exact"/>
        <w:rPr>
          <w:sz w:val="20"/>
          <w:szCs w:val="20"/>
          <w:color w:val="auto"/>
        </w:rPr>
      </w:pPr>
    </w:p>
    <w:p>
      <w:pPr>
        <w:ind w:left="1760" w:right="1840"/>
        <w:spacing w:after="0" w:line="181" w:lineRule="auto"/>
        <w:rPr>
          <w:sz w:val="20"/>
          <w:szCs w:val="20"/>
          <w:color w:val="auto"/>
        </w:rPr>
      </w:pPr>
      <w:r>
        <w:rPr>
          <w:rFonts w:ascii="Arial" w:cs="Arial" w:eastAsia="Arial" w:hAnsi="Arial"/>
          <w:sz w:val="11"/>
          <w:szCs w:val="11"/>
          <w:color w:val="auto"/>
        </w:rPr>
        <w:t>footnotes above</w:t>
      </w:r>
      <w:r>
        <w:rPr>
          <w:rFonts w:ascii="Arial" w:cs="Arial" w:eastAsia="Arial" w:hAnsi="Arial"/>
          <w:sz w:val="20"/>
          <w:szCs w:val="20"/>
          <w:color w:val="auto"/>
          <w:vertAlign w:val="superscript"/>
        </w:rPr>
        <w:t>.</w:t>
      </w:r>
      <w:r>
        <w:rPr>
          <w:rFonts w:ascii="Arial" w:cs="Arial" w:eastAsia="Arial" w:hAnsi="Arial"/>
          <w:sz w:val="11"/>
          <w:szCs w:val="11"/>
          <w:color w:val="auto"/>
        </w:rPr>
        <w:t xml:space="preserve"> and the related information in the balance sheet data are illustrative only and may differ fro m</w:t>
      </w:r>
    </w:p>
    <w:p>
      <w:pPr>
        <w:ind w:left="1760" w:right="1940"/>
        <w:spacing w:after="0"/>
        <w:rPr>
          <w:sz w:val="20"/>
          <w:szCs w:val="20"/>
          <w:color w:val="auto"/>
        </w:rPr>
      </w:pPr>
      <w:r>
        <w:rPr>
          <w:rFonts w:ascii="Arial" w:cs="Arial" w:eastAsia="Arial" w:hAnsi="Arial"/>
          <w:sz w:val="11"/>
          <w:szCs w:val="11"/>
          <w:color w:val="auto"/>
        </w:rPr>
        <w:t>actual amounts based on, among other things, the actual initial public offering price and other terms of thi s</w:t>
      </w:r>
    </w:p>
    <w:p>
      <w:pPr>
        <w:spacing w:after="0" w:line="7" w:lineRule="exact"/>
        <w:rPr>
          <w:sz w:val="20"/>
          <w:szCs w:val="20"/>
          <w:color w:val="auto"/>
        </w:rPr>
      </w:pPr>
    </w:p>
    <w:p>
      <w:pPr>
        <w:ind w:left="1760" w:right="1700"/>
        <w:spacing w:after="0"/>
        <w:rPr>
          <w:sz w:val="20"/>
          <w:szCs w:val="20"/>
          <w:color w:val="auto"/>
        </w:rPr>
      </w:pPr>
      <w:r>
        <w:rPr>
          <w:rFonts w:ascii="Arial" w:cs="Arial" w:eastAsia="Arial" w:hAnsi="Arial"/>
          <w:sz w:val="11"/>
          <w:szCs w:val="11"/>
          <w:color w:val="auto"/>
        </w:rPr>
        <w:t>offering determined at pricing, the actual tax withholding rates, the actual amount of RSUs settled in connectio n</w:t>
      </w:r>
    </w:p>
    <w:p>
      <w:pPr>
        <w:spacing w:after="0" w:line="7" w:lineRule="exact"/>
        <w:rPr>
          <w:sz w:val="20"/>
          <w:szCs w:val="20"/>
          <w:color w:val="auto"/>
        </w:rPr>
      </w:pPr>
    </w:p>
    <w:p>
      <w:pPr>
        <w:ind w:left="1820" w:right="1680" w:hanging="76"/>
        <w:spacing w:after="0"/>
        <w:rPr>
          <w:sz w:val="20"/>
          <w:szCs w:val="20"/>
          <w:color w:val="auto"/>
        </w:rPr>
      </w:pPr>
      <w:r>
        <w:rPr>
          <w:rFonts w:ascii="Arial" w:cs="Arial" w:eastAsia="Arial" w:hAnsi="Arial"/>
          <w:sz w:val="11"/>
          <w:szCs w:val="11"/>
          <w:color w:val="auto"/>
        </w:rPr>
        <w:t>with this offering, and the actual number of shares of Class A common stock issued in the Note Conversion, th e</w:t>
      </w:r>
    </w:p>
    <w:p>
      <w:pPr>
        <w:ind w:left="1760"/>
        <w:spacing w:after="0" w:line="195" w:lineRule="auto"/>
        <w:rPr>
          <w:sz w:val="20"/>
          <w:szCs w:val="20"/>
          <w:color w:val="auto"/>
        </w:rPr>
      </w:pPr>
      <w:r>
        <w:rPr>
          <w:rFonts w:ascii="Arial" w:cs="Arial" w:eastAsia="Arial" w:hAnsi="Arial"/>
          <w:sz w:val="10"/>
          <w:szCs w:val="10"/>
          <w:color w:val="auto"/>
        </w:rPr>
        <w:t>SAFE Conversion, and the Warrant Exercises</w:t>
      </w:r>
    </w:p>
    <w:p>
      <w:pPr>
        <w:ind w:left="1760"/>
        <w:spacing w:after="0"/>
        <w:rPr>
          <w:sz w:val="20"/>
          <w:szCs w:val="20"/>
          <w:color w:val="auto"/>
        </w:rPr>
      </w:pPr>
      <w:r>
        <w:rPr>
          <w:rFonts w:ascii="Arial" w:cs="Arial" w:eastAsia="Arial" w:hAnsi="Arial"/>
          <w:sz w:val="11"/>
          <w:szCs w:val="11"/>
          <w:color w:val="auto"/>
        </w:rPr>
        <w:t>.</w:t>
      </w:r>
    </w:p>
    <w:p>
      <w:pPr>
        <w:spacing w:after="0" w:line="36"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(2)  The Vista Facility consists of $130.0 million of principal amount and $0.9 million of PIK interest, net of</w:t>
      </w:r>
    </w:p>
    <w:p>
      <w:pPr>
        <w:ind w:left="1760"/>
        <w:spacing w:after="0" w:line="196" w:lineRule="auto"/>
        <w:rPr>
          <w:sz w:val="20"/>
          <w:szCs w:val="20"/>
          <w:color w:val="auto"/>
        </w:rPr>
      </w:pPr>
      <w:r>
        <w:rPr>
          <w:rFonts w:ascii="Arial" w:cs="Arial" w:eastAsia="Arial" w:hAnsi="Arial"/>
          <w:sz w:val="11"/>
          <w:szCs w:val="11"/>
          <w:color w:val="auto"/>
        </w:rPr>
        <w:t>unamortized debt discount and issuance costs of  13.8 million.</w:t>
      </w:r>
    </w:p>
    <w:p>
      <w:pPr>
        <w:ind w:left="1760"/>
        <w:spacing w:after="0"/>
        <w:rPr>
          <w:sz w:val="20"/>
          <w:szCs w:val="20"/>
          <w:color w:val="auto"/>
        </w:rPr>
      </w:pPr>
      <w:r>
        <w:rPr>
          <w:rFonts w:ascii="Arial" w:cs="Arial" w:eastAsia="Arial" w:hAnsi="Arial"/>
          <w:sz w:val="11"/>
          <w:szCs w:val="11"/>
          <w:color w:val="auto"/>
        </w:rPr>
        <w:t>$</w:t>
      </w:r>
    </w:p>
    <w:p>
      <w:pPr>
        <w:spacing w:after="0" w:line="36" w:lineRule="exact"/>
        <w:rPr>
          <w:sz w:val="20"/>
          <w:szCs w:val="20"/>
          <w:color w:val="auto"/>
        </w:rPr>
      </w:pPr>
    </w:p>
    <w:p>
      <w:pPr>
        <w:ind w:left="1760" w:right="1980" w:hanging="238"/>
        <w:spacing w:after="0" w:line="242" w:lineRule="auto"/>
        <w:tabs>
          <w:tab w:leader="none" w:pos="1760" w:val="left"/>
        </w:tabs>
        <w:numPr>
          <w:ilvl w:val="0"/>
          <w:numId w:val="64"/>
        </w:numPr>
        <w:rPr>
          <w:rFonts w:ascii="Arial" w:cs="Arial" w:eastAsia="Arial" w:hAnsi="Arial"/>
          <w:sz w:val="11"/>
          <w:szCs w:val="11"/>
          <w:color w:val="auto"/>
        </w:rPr>
      </w:pPr>
      <w:r>
        <w:rPr>
          <w:rFonts w:ascii="Arial" w:cs="Arial" w:eastAsia="Arial" w:hAnsi="Arial"/>
          <w:sz w:val="11"/>
          <w:szCs w:val="11"/>
          <w:color w:val="auto"/>
        </w:rPr>
        <w:t xml:space="preserve">Excludes amounts of “Other debt” as described in Note 7, “Debt” to our condensed consolidated financia </w:t>
      </w:r>
      <w:r>
        <w:rPr>
          <w:rFonts w:ascii="Arial" w:cs="Arial" w:eastAsia="Arial" w:hAnsi="Arial"/>
          <w:sz w:val="22"/>
          <w:szCs w:val="22"/>
          <w:color w:val="auto"/>
          <w:vertAlign w:val="superscript"/>
        </w:rPr>
        <w:t>l</w:t>
      </w:r>
      <w:r>
        <w:rPr>
          <w:rFonts w:ascii="Arial" w:cs="Arial" w:eastAsia="Arial" w:hAnsi="Arial"/>
          <w:sz w:val="11"/>
          <w:szCs w:val="11"/>
          <w:color w:val="auto"/>
        </w:rPr>
        <w:t>statements.</w:t>
      </w:r>
    </w:p>
    <w:p>
      <w:pPr>
        <w:spacing w:after="0" w:line="47" w:lineRule="exact"/>
        <w:rPr>
          <w:sz w:val="20"/>
          <w:szCs w:val="20"/>
          <w:color w:val="auto"/>
        </w:rPr>
      </w:pPr>
    </w:p>
    <w:p>
      <w:pPr>
        <w:ind w:left="1520" w:right="1840" w:firstLine="230"/>
        <w:spacing w:after="0" w:line="277" w:lineRule="auto"/>
        <w:rPr>
          <w:sz w:val="20"/>
          <w:szCs w:val="20"/>
          <w:color w:val="auto"/>
        </w:rPr>
      </w:pPr>
      <w:r>
        <w:rPr>
          <w:rFonts w:ascii="Arial" w:cs="Arial" w:eastAsia="Arial" w:hAnsi="Arial"/>
          <w:sz w:val="12"/>
          <w:szCs w:val="12"/>
          <w:color w:val="auto"/>
        </w:rPr>
        <w:t>The number of shares of our Class A common stock and Class B common stock that will be outstanding after this offering, pro forma and pro forma as adjusted, in the table above, is based on 200,961,542 shares of our Class A common stock outstanding and 15,304,696 shares of our Class B common stock outstanding (after giving effect to the Capital Stock Conversion, the Class B Stock Exchange, the Note Conversion, the SAFE Conversion, the Warrant Exercises, and the RSU Net</w:t>
      </w:r>
    </w:p>
    <w:p>
      <w:pPr>
        <w:sectPr>
          <w:pgSz w:w="11900" w:h="16840" w:orient="portrait"/>
          <w:cols w:equalWidth="0" w:num="1">
            <w:col w:w="9020"/>
          </w:cols>
          <w:pgMar w:left="1440" w:top="942" w:right="1440" w:bottom="97" w:gutter="0" w:footer="0" w:header="0"/>
          <w:type w:val="continuous"/>
        </w:sectPr>
      </w:pPr>
    </w:p>
    <w:bookmarkStart w:id="64" w:name="page65"/>
    <w:bookmarkEnd w:id="64"/>
    <w:p>
      <w:pPr>
        <w:ind w:left="1520" w:right="1780"/>
        <w:spacing w:after="0" w:line="192" w:lineRule="auto"/>
        <w:rPr>
          <w:sz w:val="20"/>
          <w:szCs w:val="20"/>
          <w:color w:val="auto"/>
        </w:rPr>
      </w:pPr>
      <w:r>
        <w:rPr>
          <w:rFonts w:ascii="Arial" w:cs="Arial" w:eastAsia="Arial" w:hAnsi="Arial"/>
          <w:sz w:val="11"/>
          <w:szCs w:val="11"/>
          <w:color w:val="auto"/>
        </w:rPr>
        <w:t>Settlement, and before giving effect to the Option Cash Exercise), as of July 31, 2025, except otherwise stated, and excludes: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-121920</wp:posOffset>
            </wp:positionV>
            <wp:extent cx="6732270" cy="99707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84" w:lineRule="exact"/>
        <w:rPr>
          <w:sz w:val="20"/>
          <w:szCs w:val="20"/>
          <w:color w:val="auto"/>
        </w:rPr>
      </w:pPr>
    </w:p>
    <w:p>
      <w:pPr>
        <w:ind w:left="1980" w:right="1640" w:hanging="228"/>
        <w:spacing w:after="0" w:line="281" w:lineRule="auto"/>
        <w:tabs>
          <w:tab w:leader="none" w:pos="19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41,581,733 shares of our Class A common stock issuable upon the exercise of stock options outstanding as of July 31, 2025 under our 2015 Plan, with a weighted-average exercise price of $13.32 per share, of which 8,611,649 shares will be exchangeable for an equal number of shares of Class B common stock at the election of our co-founders upon exercise;</w:t>
      </w:r>
    </w:p>
    <w:p>
      <w:pPr>
        <w:spacing w:after="0" w:line="80" w:lineRule="exact"/>
        <w:rPr>
          <w:rFonts w:ascii="Arial" w:cs="Arial" w:eastAsia="Arial" w:hAnsi="Arial"/>
          <w:sz w:val="12"/>
          <w:szCs w:val="12"/>
          <w:color w:val="auto"/>
        </w:rPr>
      </w:pPr>
    </w:p>
    <w:p>
      <w:pPr>
        <w:ind w:left="1980" w:hanging="228"/>
        <w:spacing w:after="0"/>
        <w:tabs>
          <w:tab w:leader="none" w:pos="19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339,246 shares of our Class A common stock issuable upon the exercise of stock options granted</w:t>
      </w:r>
    </w:p>
    <w:p>
      <w:pPr>
        <w:spacing w:after="0" w:line="27" w:lineRule="exact"/>
        <w:rPr>
          <w:sz w:val="20"/>
          <w:szCs w:val="20"/>
          <w:color w:val="auto"/>
        </w:rPr>
      </w:pPr>
    </w:p>
    <w:p>
      <w:pPr>
        <w:ind w:left="1980" w:right="1780"/>
        <w:spacing w:after="0" w:line="292" w:lineRule="auto"/>
        <w:rPr>
          <w:sz w:val="20"/>
          <w:szCs w:val="20"/>
          <w:color w:val="auto"/>
        </w:rPr>
      </w:pPr>
      <w:r>
        <w:rPr>
          <w:rFonts w:ascii="Arial" w:cs="Arial" w:eastAsia="Arial" w:hAnsi="Arial"/>
          <w:sz w:val="12"/>
          <w:szCs w:val="12"/>
          <w:color w:val="auto"/>
        </w:rPr>
        <w:t>after July 31, 2025 under our 2015 Plan with a weighted-average exercise price of $25.35 per share;</w:t>
      </w:r>
    </w:p>
    <w:p>
      <w:pPr>
        <w:spacing w:after="0" w:line="74" w:lineRule="exact"/>
        <w:rPr>
          <w:sz w:val="20"/>
          <w:szCs w:val="20"/>
          <w:color w:val="auto"/>
        </w:rPr>
      </w:pPr>
    </w:p>
    <w:p>
      <w:pPr>
        <w:ind w:left="1980" w:hanging="228"/>
        <w:spacing w:after="0"/>
        <w:tabs>
          <w:tab w:leader="none" w:pos="19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7,942,200 shares of Class A common stock issuable upon the vesting and settlement of RSUs</w:t>
      </w:r>
    </w:p>
    <w:p>
      <w:pPr>
        <w:spacing w:after="0" w:line="27" w:lineRule="exact"/>
        <w:rPr>
          <w:sz w:val="20"/>
          <w:szCs w:val="20"/>
          <w:color w:val="auto"/>
        </w:rPr>
      </w:pPr>
    </w:p>
    <w:p>
      <w:pPr>
        <w:ind w:left="1980" w:right="1680"/>
        <w:spacing w:after="0" w:line="271" w:lineRule="auto"/>
        <w:rPr>
          <w:sz w:val="20"/>
          <w:szCs w:val="20"/>
          <w:color w:val="auto"/>
        </w:rPr>
      </w:pPr>
      <w:r>
        <w:rPr>
          <w:rFonts w:ascii="Arial" w:cs="Arial" w:eastAsia="Arial" w:hAnsi="Arial"/>
          <w:sz w:val="12"/>
          <w:szCs w:val="12"/>
          <w:color w:val="auto"/>
        </w:rPr>
        <w:t xml:space="preserve">outstanding as of the date of this prospectus subject to time-based service and/or performance-based conditions, for which (i) the service-based condition was not satisfied as of such date and (ii) the performance-based condition, if applicable, will be satisfied upon the effectiveness of the registration statement of which this prospectus forms a part, </w:t>
      </w:r>
      <w:r>
        <w:rPr>
          <w:rFonts w:ascii="Arial" w:cs="Arial" w:eastAsia="Arial" w:hAnsi="Arial"/>
          <w:sz w:val="12"/>
          <w:szCs w:val="12"/>
          <w:color w:val="auto"/>
          <w:highlight w:val="white"/>
        </w:rPr>
        <w:t>of which</w:t>
      </w:r>
      <w:r>
        <w:rPr>
          <w:rFonts w:ascii="Arial" w:cs="Arial" w:eastAsia="Arial" w:hAnsi="Arial"/>
          <w:sz w:val="12"/>
          <w:szCs w:val="12"/>
          <w:color w:val="auto"/>
        </w:rPr>
        <w:t xml:space="preserve"> 1,742,147 shares will be exchangeable for an equal number of shares of Class B common stock at the election of our co-founders upon settlement;</w:t>
      </w:r>
    </w:p>
    <w:p>
      <w:pPr>
        <w:spacing w:after="0" w:line="87" w:lineRule="exact"/>
        <w:rPr>
          <w:sz w:val="20"/>
          <w:szCs w:val="20"/>
          <w:color w:val="auto"/>
        </w:rPr>
      </w:pPr>
    </w:p>
    <w:p>
      <w:pPr>
        <w:ind w:left="1980" w:hanging="228"/>
        <w:spacing w:after="0"/>
        <w:tabs>
          <w:tab w:leader="none" w:pos="19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40,160 shares of our Class A common stock issuable upon the exercise of warrants outstanding</w:t>
      </w:r>
    </w:p>
    <w:p>
      <w:pPr>
        <w:spacing w:after="0" w:line="27" w:lineRule="exact"/>
        <w:rPr>
          <w:sz w:val="20"/>
          <w:szCs w:val="20"/>
          <w:color w:val="auto"/>
        </w:rPr>
      </w:pPr>
    </w:p>
    <w:p>
      <w:pPr>
        <w:ind w:left="1980"/>
        <w:spacing w:after="0"/>
        <w:tabs>
          <w:tab w:leader="none" w:pos="4500" w:val="left"/>
        </w:tabs>
        <w:rPr>
          <w:sz w:val="20"/>
          <w:szCs w:val="20"/>
          <w:color w:val="auto"/>
        </w:rPr>
      </w:pPr>
      <w:r>
        <w:rPr>
          <w:rFonts w:ascii="Arial" w:cs="Arial" w:eastAsia="Arial" w:hAnsi="Arial"/>
          <w:sz w:val="12"/>
          <w:szCs w:val="12"/>
          <w:color w:val="auto"/>
        </w:rPr>
        <w:t>as of July 31, 2025, with an exercise price of</w:t>
        <w:tab/>
        <w:t>$1.87 per share;</w:t>
      </w:r>
    </w:p>
    <w:p>
      <w:pPr>
        <w:spacing w:after="0" w:line="118" w:lineRule="exact"/>
        <w:rPr>
          <w:sz w:val="20"/>
          <w:szCs w:val="20"/>
          <w:color w:val="auto"/>
        </w:rPr>
      </w:pPr>
    </w:p>
    <w:p>
      <w:pPr>
        <w:jc w:val="both"/>
        <w:ind w:left="1980" w:right="1700" w:hanging="228"/>
        <w:spacing w:after="0" w:line="281" w:lineRule="auto"/>
        <w:tabs>
          <w:tab w:leader="none" w:pos="1980" w:val="left"/>
        </w:tabs>
        <w:numPr>
          <w:ilvl w:val="0"/>
          <w:numId w:val="68"/>
        </w:numPr>
        <w:rPr>
          <w:rFonts w:ascii="Arial" w:cs="Arial" w:eastAsia="Arial" w:hAnsi="Arial"/>
          <w:sz w:val="12"/>
          <w:szCs w:val="12"/>
          <w:color w:val="auto"/>
        </w:rPr>
      </w:pPr>
      <w:r>
        <w:rPr>
          <w:rFonts w:ascii="Arial" w:cs="Arial" w:eastAsia="Arial" w:hAnsi="Arial"/>
          <w:sz w:val="12"/>
          <w:szCs w:val="12"/>
          <w:color w:val="auto"/>
        </w:rPr>
        <w:t>a number of shares of Class A common stock issuable upon the exercise of a stock option to be granted to an executive officer immediately following pricing of this offering, which will be subject to a time-based service vesting condition, with an exercise price equal to the initial public offering price per share set forth on the cover page of this prospectus, with such number of shares having</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980" w:right="1920"/>
        <w:spacing w:after="0" w:line="312" w:lineRule="auto"/>
        <w:rPr>
          <w:sz w:val="20"/>
          <w:szCs w:val="20"/>
          <w:color w:val="auto"/>
        </w:rPr>
      </w:pPr>
      <w:r>
        <w:rPr>
          <w:rFonts w:ascii="Arial" w:cs="Arial" w:eastAsia="Arial" w:hAnsi="Arial"/>
          <w:sz w:val="12"/>
          <w:szCs w:val="12"/>
          <w:color w:val="auto"/>
        </w:rPr>
        <w:t>a grant date value of $9.325 million and to be calculated based on the Black-Scholes option-pricing model;</w:t>
      </w:r>
    </w:p>
    <w:p>
      <w:pPr>
        <w:spacing w:after="0" w:line="62" w:lineRule="exact"/>
        <w:rPr>
          <w:sz w:val="20"/>
          <w:szCs w:val="20"/>
          <w:color w:val="auto"/>
        </w:rPr>
      </w:pPr>
    </w:p>
    <w:p>
      <w:pPr>
        <w:ind w:left="1980" w:hanging="228"/>
        <w:spacing w:after="0"/>
        <w:tabs>
          <w:tab w:leader="none" w:pos="1980" w:val="left"/>
        </w:tabs>
        <w:numPr>
          <w:ilvl w:val="0"/>
          <w:numId w:val="69"/>
        </w:numPr>
        <w:rPr>
          <w:rFonts w:ascii="Arial" w:cs="Arial" w:eastAsia="Arial" w:hAnsi="Arial"/>
          <w:sz w:val="12"/>
          <w:szCs w:val="12"/>
          <w:color w:val="auto"/>
        </w:rPr>
      </w:pPr>
      <w:r>
        <w:rPr>
          <w:rFonts w:ascii="Arial" w:cs="Arial" w:eastAsia="Arial" w:hAnsi="Arial"/>
          <w:sz w:val="12"/>
          <w:szCs w:val="12"/>
          <w:color w:val="auto"/>
        </w:rPr>
        <w:t>up to 82,887,502 shares of our Class A common stock reserved for future issuance under our</w:t>
      </w:r>
    </w:p>
    <w:p>
      <w:pPr>
        <w:spacing w:after="0" w:line="27" w:lineRule="exact"/>
        <w:rPr>
          <w:sz w:val="20"/>
          <w:szCs w:val="20"/>
          <w:color w:val="auto"/>
        </w:rPr>
      </w:pPr>
    </w:p>
    <w:p>
      <w:pPr>
        <w:ind w:left="1980" w:right="1620"/>
        <w:spacing w:after="0" w:line="271" w:lineRule="auto"/>
        <w:rPr>
          <w:sz w:val="20"/>
          <w:szCs w:val="20"/>
          <w:color w:val="auto"/>
        </w:rPr>
      </w:pPr>
      <w:r>
        <w:rPr>
          <w:rFonts w:ascii="Arial" w:cs="Arial" w:eastAsia="Arial" w:hAnsi="Arial"/>
          <w:sz w:val="12"/>
          <w:szCs w:val="12"/>
          <w:color w:val="auto"/>
        </w:rPr>
        <w:t>2025 Equity Incentive Plan, or the 2025 Plan, which will become effective upon the effectiveness of the registration statement of which this prospectus forms a part, consisting of 35,000,000 new shares and up to 47,887,502 shares underlying outstanding awards granted under our 2015 Plan that, after the date the 2025 Plan becomes effective, either are not issued (due to the awards expiring or being settled in cash), are forfeited or repurchased due to failure to vest, or are withheld to satisfy the exercise, strike, or purchase price or tax withholding obligations ; and</w:t>
      </w:r>
    </w:p>
    <w:p>
      <w:pPr>
        <w:spacing w:after="0" w:line="87" w:lineRule="exact"/>
        <w:rPr>
          <w:sz w:val="20"/>
          <w:szCs w:val="20"/>
          <w:color w:val="auto"/>
        </w:rPr>
      </w:pPr>
    </w:p>
    <w:p>
      <w:pPr>
        <w:ind w:left="1980" w:right="1900" w:hanging="228"/>
        <w:spacing w:after="0" w:line="289" w:lineRule="auto"/>
        <w:tabs>
          <w:tab w:leader="none" w:pos="1980" w:val="left"/>
        </w:tabs>
        <w:numPr>
          <w:ilvl w:val="0"/>
          <w:numId w:val="70"/>
        </w:numPr>
        <w:rPr>
          <w:rFonts w:ascii="Arial" w:cs="Arial" w:eastAsia="Arial" w:hAnsi="Arial"/>
          <w:sz w:val="12"/>
          <w:szCs w:val="12"/>
          <w:color w:val="auto"/>
        </w:rPr>
      </w:pPr>
      <w:r>
        <w:rPr>
          <w:rFonts w:ascii="Arial" w:cs="Arial" w:eastAsia="Arial" w:hAnsi="Arial"/>
          <w:sz w:val="12"/>
          <w:szCs w:val="12"/>
          <w:color w:val="auto"/>
        </w:rPr>
        <w:t>5,000,000 shares of our Class A common stock reserved for future issuance under our 2025 Employee Stock Purchase Plan, or our 2025 ESPP, which will become effective in connection with this offering.</w:t>
      </w:r>
    </w:p>
    <w:p>
      <w:pPr>
        <w:spacing w:after="0" w:line="76" w:lineRule="exact"/>
        <w:rPr>
          <w:sz w:val="20"/>
          <w:szCs w:val="20"/>
          <w:color w:val="auto"/>
        </w:rPr>
      </w:pPr>
    </w:p>
    <w:p>
      <w:pPr>
        <w:jc w:val="both"/>
        <w:ind w:left="1520" w:right="2040" w:firstLine="230"/>
        <w:spacing w:after="0" w:line="289" w:lineRule="auto"/>
        <w:rPr>
          <w:sz w:val="20"/>
          <w:szCs w:val="20"/>
          <w:color w:val="auto"/>
        </w:rPr>
      </w:pPr>
      <w:r>
        <w:rPr>
          <w:rFonts w:ascii="Arial" w:cs="Arial" w:eastAsia="Arial" w:hAnsi="Arial"/>
          <w:sz w:val="12"/>
          <w:szCs w:val="12"/>
          <w:color w:val="auto"/>
        </w:rPr>
        <w:t>Our 2025 Plan and 2025 ESPP provide for annual automatic increases in the number of shares reserved thereunder. See the section titled “Executive Compensation—Equity Plans”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88</w:t>
      </w:r>
    </w:p>
    <w:p>
      <w:pPr>
        <w:sectPr>
          <w:pgSz w:w="11900" w:h="16840" w:orient="portrait"/>
          <w:cols w:equalWidth="0" w:num="1">
            <w:col w:w="9020"/>
          </w:cols>
          <w:pgMar w:left="1440" w:top="560" w:right="1440" w:bottom="2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ectPr>
          <w:pgSz w:w="11900" w:h="16840" w:orient="portrait"/>
          <w:cols w:equalWidth="0" w:num="1">
            <w:col w:w="9020"/>
          </w:cols>
          <w:pgMar w:left="1440" w:top="560" w:right="1440" w:bottom="296" w:gutter="0" w:footer="0" w:header="0"/>
          <w:type w:val="continuous"/>
        </w:sectPr>
      </w:pPr>
    </w:p>
    <w:bookmarkStart w:id="65" w:name="page66"/>
    <w:bookmarkEnd w:id="65"/>
    <w:p>
      <w:pPr>
        <w:jc w:val="center"/>
        <w:ind w:right="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DILUTION</w:t>
      </w:r>
    </w:p>
    <w:p>
      <w:pPr>
        <w:spacing w:after="0" w:line="130" w:lineRule="exact"/>
        <w:rPr>
          <w:sz w:val="20"/>
          <w:szCs w:val="20"/>
          <w:color w:val="auto"/>
        </w:rPr>
      </w:pPr>
    </w:p>
    <w:p>
      <w:pPr>
        <w:ind w:left="1520" w:right="1720" w:firstLine="230"/>
        <w:spacing w:after="0" w:line="281" w:lineRule="auto"/>
        <w:rPr>
          <w:sz w:val="20"/>
          <w:szCs w:val="20"/>
          <w:color w:val="auto"/>
        </w:rPr>
      </w:pPr>
      <w:r>
        <w:rPr>
          <w:rFonts w:ascii="Arial" w:cs="Arial" w:eastAsia="Arial" w:hAnsi="Arial"/>
          <w:sz w:val="12"/>
          <w:szCs w:val="12"/>
          <w:color w:val="auto"/>
        </w:rPr>
        <w:t>If you invest in our Class A common stock in this offering, your ownership interest will be immediately diluted to the extent of the difference between the initial public offering price per share of our Class A common stock and the pro forma as adjusted net tangible book value per share of our Class A common stock immediately after this offering.</w:t>
      </w:r>
    </w:p>
    <w:p>
      <w:pPr>
        <w:spacing w:after="0" w:line="81"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Net tangible book value (deficit) per share is determined by dividing our total tangible assets less our</w:t>
      </w:r>
    </w:p>
    <w:p>
      <w:pPr>
        <w:spacing w:after="0" w:line="27"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total liabilities by the number of shares of our Class A common stock outstanding (not including any</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shares of our redeemable convertible preferred stock). Our historical net tangible book deficit as of July</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31, 2025, was $1,575.0 million, or $33.99 per share. As of July 31, 2025, our pro forma net tangible book</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value was $137.1 million, or $0.63 per share of our common stock. Our pro forma net tangible book value</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per share represents the amount of our total tangible assets reduced by the amount of our total liabilities</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and divided by the total number of shares of our common stock outstanding as of July 31, 2025, after</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giving effect to (i) the pro forma adjustments described in footnote (1) to the Summary Consolidated</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Balance Sheet table in the section titled “Summary Consolidated Financial and Other Data” and (ii) the</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exchange of 15,304,696 shares of our Class A common stock into an equal number of shares of our</w:t>
      </w:r>
    </w:p>
    <w:p>
      <w:pPr>
        <w:spacing w:after="0" w:line="15" w:lineRule="exact"/>
        <w:rPr>
          <w:sz w:val="20"/>
          <w:szCs w:val="20"/>
          <w:color w:val="auto"/>
        </w:rPr>
      </w:pPr>
    </w:p>
    <w:p>
      <w:pPr>
        <w:ind w:left="1520"/>
        <w:spacing w:after="0"/>
        <w:tabs>
          <w:tab w:leader="none" w:pos="7420" w:val="left"/>
        </w:tabs>
        <w:rPr>
          <w:sz w:val="20"/>
          <w:szCs w:val="20"/>
          <w:color w:val="auto"/>
        </w:rPr>
      </w:pPr>
      <w:r>
        <w:rPr>
          <w:rFonts w:ascii="Arial" w:cs="Arial" w:eastAsia="Arial" w:hAnsi="Arial"/>
          <w:sz w:val="12"/>
          <w:szCs w:val="12"/>
          <w:color w:val="auto"/>
        </w:rPr>
        <w:t>Class B common stock immediately prior to the completion of this offering in the Class B Stock Exchange</w:t>
        <w:tab/>
        <w:t>.</w:t>
      </w:r>
    </w:p>
    <w:p>
      <w:pPr>
        <w:spacing w:after="0" w:line="118" w:lineRule="exact"/>
        <w:rPr>
          <w:sz w:val="20"/>
          <w:szCs w:val="20"/>
          <w:color w:val="auto"/>
        </w:rPr>
      </w:pPr>
    </w:p>
    <w:p>
      <w:pPr>
        <w:ind w:left="1520" w:right="1640" w:firstLine="230"/>
        <w:spacing w:after="0" w:line="271" w:lineRule="auto"/>
        <w:rPr>
          <w:sz w:val="20"/>
          <w:szCs w:val="20"/>
          <w:color w:val="auto"/>
        </w:rPr>
      </w:pPr>
      <w:r>
        <w:rPr>
          <w:rFonts w:ascii="Arial" w:cs="Arial" w:eastAsia="Arial" w:hAnsi="Arial"/>
          <w:sz w:val="12"/>
          <w:szCs w:val="12"/>
          <w:color w:val="auto"/>
        </w:rPr>
        <w:t>After giving effect to (A) the sale of 30,000,000 shares of our Class A common stock in this offering at an assumed initial public offering price of $25.00 per share, which is the midpoint of the offering price range set forth on the cover page of this prospectus, and after deducting underwriting discounts and commissions and estimated offering expenses, and (B) the other pro forma adjustments described in footnote (2) to the Summary Consolidated Balance Sheet table in the section titled “Summary Consolidated Financial and Other Data,” our pro forma as adjusted net tangible book value as of July 31, 2025, would have been $834.0 million, or $3.36 per share. This represents an immediate increase in pro forma net tangible book value of $2.73 per share to our existing stockholders and an immediate dilution in pro forma as adjusted net tangible book value of $21.64 per share to investors purchasing shares of our Class A common stock in this offering at the assumed initial public offering price.</w:t>
      </w:r>
    </w:p>
    <w:p>
      <w:pPr>
        <w:spacing w:after="0" w:line="88" w:lineRule="exact"/>
        <w:rPr>
          <w:sz w:val="20"/>
          <w:szCs w:val="20"/>
          <w:color w:val="auto"/>
        </w:rPr>
      </w:pPr>
    </w:p>
    <w:tbl>
      <w:tblPr>
        <w:tblLayout w:type="fixed"/>
        <w:tblInd w:w="1520" w:type="dxa"/>
        <w:tblCellMar>
          <w:top w:w="0" w:type="dxa"/>
          <w:left w:w="0" w:type="dxa"/>
          <w:bottom w:w="0" w:type="dxa"/>
          <w:right w:w="0" w:type="dxa"/>
        </w:tblCellMar>
      </w:tblPr>
      <w:tr>
        <w:trPr>
          <w:trHeight w:val="165"/>
        </w:trPr>
        <w:tc>
          <w:tcPr>
            <w:tcW w:w="4180" w:type="dxa"/>
            <w:vAlign w:val="bottom"/>
          </w:tcPr>
          <w:p>
            <w:pPr>
              <w:jc w:val="center"/>
              <w:ind w:left="39"/>
              <w:spacing w:after="0"/>
              <w:rPr>
                <w:sz w:val="20"/>
                <w:szCs w:val="20"/>
                <w:color w:val="auto"/>
              </w:rPr>
            </w:pPr>
            <w:r>
              <w:rPr>
                <w:rFonts w:ascii="Arial" w:cs="Arial" w:eastAsia="Arial" w:hAnsi="Arial"/>
                <w:sz w:val="12"/>
                <w:szCs w:val="12"/>
                <w:color w:val="auto"/>
              </w:rPr>
              <w:t>The following table illustrates this dilution on a per share basis to new</w:t>
            </w:r>
          </w:p>
        </w:tc>
        <w:tc>
          <w:tcPr>
            <w:tcW w:w="1240" w:type="dxa"/>
            <w:vAlign w:val="bottom"/>
            <w:gridSpan w:val="5"/>
          </w:tcPr>
          <w:p>
            <w:pPr>
              <w:jc w:val="right"/>
              <w:ind w:right="638"/>
              <w:spacing w:after="0"/>
              <w:rPr>
                <w:sz w:val="20"/>
                <w:szCs w:val="20"/>
                <w:color w:val="auto"/>
              </w:rPr>
            </w:pPr>
            <w:r>
              <w:rPr>
                <w:rFonts w:ascii="Arial" w:cs="Arial" w:eastAsia="Arial" w:hAnsi="Arial"/>
                <w:sz w:val="12"/>
                <w:szCs w:val="12"/>
                <w:color w:val="auto"/>
                <w:w w:val="95"/>
              </w:rPr>
              <w:t>investors :</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xml:space="preserve">Assumed initial public offering price per share </w:t>
            </w:r>
            <w:r>
              <w:rPr>
                <w:rFonts w:ascii="Times New Roman" w:cs="Times New Roman" w:eastAsia="Times New Roman" w:hAnsi="Times New Roman"/>
                <w:sz w:val="12"/>
                <w:szCs w:val="12"/>
                <w:color w:val="B4B4B4"/>
              </w:rPr>
              <w:t>...................................................</w:t>
            </w:r>
          </w:p>
        </w:tc>
        <w:tc>
          <w:tcPr>
            <w:tcW w:w="26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25.00</w:t>
            </w:r>
          </w:p>
        </w:tc>
        <w:tc>
          <w:tcPr>
            <w:tcW w:w="0" w:type="dxa"/>
            <w:vAlign w:val="bottom"/>
          </w:tcPr>
          <w:p>
            <w:pPr>
              <w:spacing w:after="0"/>
              <w:rPr>
                <w:sz w:val="1"/>
                <w:szCs w:val="1"/>
                <w:color w:val="auto"/>
              </w:rPr>
            </w:pPr>
          </w:p>
        </w:tc>
      </w:tr>
      <w:tr>
        <w:trPr>
          <w:trHeight w:val="173"/>
        </w:trPr>
        <w:tc>
          <w:tcPr>
            <w:tcW w:w="4180" w:type="dxa"/>
            <w:vAlign w:val="bottom"/>
          </w:tcPr>
          <w:p>
            <w:pPr>
              <w:ind w:left="40"/>
              <w:spacing w:after="0"/>
              <w:rPr>
                <w:sz w:val="20"/>
                <w:szCs w:val="20"/>
                <w:color w:val="auto"/>
              </w:rPr>
            </w:pPr>
            <w:r>
              <w:rPr>
                <w:rFonts w:ascii="Arial" w:cs="Arial" w:eastAsia="Arial" w:hAnsi="Arial"/>
                <w:sz w:val="12"/>
                <w:szCs w:val="12"/>
                <w:color w:val="auto"/>
              </w:rPr>
              <w:t xml:space="preserve">Historical net tangible book deficit per share as of July 31, 2025  </w:t>
            </w:r>
            <w:r>
              <w:rPr>
                <w:rFonts w:ascii="Times New Roman" w:cs="Times New Roman" w:eastAsia="Times New Roman" w:hAnsi="Times New Roman"/>
                <w:sz w:val="12"/>
                <w:szCs w:val="12"/>
                <w:color w:val="B4B4B4"/>
              </w:rPr>
              <w:t>...................</w:t>
            </w:r>
          </w:p>
        </w:tc>
        <w:tc>
          <w:tcPr>
            <w:tcW w:w="340" w:type="dxa"/>
            <w:vAlign w:val="bottom"/>
            <w:gridSpan w:val="2"/>
          </w:tcPr>
          <w:p>
            <w:pPr>
              <w:jc w:val="right"/>
              <w:ind w:right="98"/>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(33.99)</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180" w:type="dxa"/>
            <w:vAlign w:val="bottom"/>
            <w:shd w:val="clear" w:color="auto" w:fill="CCEEFF"/>
          </w:tcPr>
          <w:p>
            <w:pPr>
              <w:jc w:val="center"/>
              <w:ind w:left="39"/>
              <w:spacing w:after="0" w:line="133" w:lineRule="exact"/>
              <w:rPr>
                <w:sz w:val="20"/>
                <w:szCs w:val="20"/>
                <w:color w:val="auto"/>
              </w:rPr>
            </w:pPr>
            <w:r>
              <w:rPr>
                <w:rFonts w:ascii="Arial" w:cs="Arial" w:eastAsia="Arial" w:hAnsi="Arial"/>
                <w:sz w:val="12"/>
                <w:szCs w:val="12"/>
                <w:color w:val="auto"/>
              </w:rPr>
              <w:t>Increase per share attributable to the pro forma adjustments described</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34.62</w:t>
            </w: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 xml:space="preserve">above </w:t>
            </w:r>
            <w:r>
              <w:rPr>
                <w:rFonts w:ascii="Times New Roman" w:cs="Times New Roman" w:eastAsia="Times New Roman" w:hAnsi="Times New Roman"/>
                <w:sz w:val="12"/>
                <w:szCs w:val="12"/>
                <w:color w:val="B4B4B4"/>
              </w:rPr>
              <w:t>...............................................................................................................</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180" w:type="dxa"/>
            <w:vAlign w:val="bottom"/>
          </w:tcPr>
          <w:p>
            <w:pPr>
              <w:jc w:val="center"/>
              <w:spacing w:after="0" w:line="125" w:lineRule="exact"/>
              <w:rPr>
                <w:sz w:val="20"/>
                <w:szCs w:val="20"/>
                <w:color w:val="auto"/>
              </w:rPr>
            </w:pPr>
            <w:r>
              <w:rPr>
                <w:rFonts w:ascii="Arial" w:cs="Arial" w:eastAsia="Arial" w:hAnsi="Arial"/>
                <w:sz w:val="12"/>
                <w:szCs w:val="12"/>
                <w:color w:val="auto"/>
              </w:rPr>
              <w:t>Pro forma net tangible book value per share as of July 31, 2025 before</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0.63</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180" w:type="dxa"/>
            <w:vAlign w:val="bottom"/>
          </w:tcPr>
          <w:p>
            <w:pPr>
              <w:ind w:left="300"/>
              <w:spacing w:after="0"/>
              <w:rPr>
                <w:sz w:val="20"/>
                <w:szCs w:val="20"/>
                <w:color w:val="auto"/>
              </w:rPr>
            </w:pPr>
            <w:r>
              <w:rPr>
                <w:rFonts w:ascii="Arial" w:cs="Arial" w:eastAsia="Arial" w:hAnsi="Arial"/>
                <w:sz w:val="12"/>
                <w:szCs w:val="12"/>
                <w:color w:val="auto"/>
              </w:rPr>
              <w:t xml:space="preserve">giving effect to this offering </w:t>
            </w:r>
            <w:r>
              <w:rPr>
                <w:rFonts w:ascii="Times New Roman" w:cs="Times New Roman" w:eastAsia="Times New Roman" w:hAnsi="Times New Roman"/>
                <w:sz w:val="12"/>
                <w:szCs w:val="12"/>
                <w:color w:val="B4B4B4"/>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4180" w:type="dxa"/>
            <w:vAlign w:val="bottom"/>
            <w:shd w:val="clear" w:color="auto" w:fill="CCEEFF"/>
          </w:tcPr>
          <w:p>
            <w:pPr>
              <w:ind w:left="180"/>
              <w:spacing w:after="0" w:line="124" w:lineRule="exact"/>
              <w:rPr>
                <w:sz w:val="20"/>
                <w:szCs w:val="20"/>
                <w:color w:val="auto"/>
              </w:rPr>
            </w:pPr>
            <w:r>
              <w:rPr>
                <w:rFonts w:ascii="Arial" w:cs="Arial" w:eastAsia="Arial" w:hAnsi="Arial"/>
                <w:sz w:val="9"/>
                <w:szCs w:val="9"/>
                <w:color w:val="auto"/>
              </w:rPr>
              <w:t>Increase in pro forma net tangible book value per share attributable to</w:t>
            </w:r>
            <w:r>
              <w:rPr>
                <w:rFonts w:ascii="Times New Roman" w:cs="Times New Roman" w:eastAsia="Times New Roman" w:hAnsi="Times New Roman"/>
                <w:sz w:val="14"/>
                <w:szCs w:val="14"/>
                <w:color w:val="B4B4B4"/>
                <w:vertAlign w:val="subscript"/>
              </w:rPr>
              <w:t>..........</w:t>
            </w:r>
          </w:p>
        </w:tc>
        <w:tc>
          <w:tcPr>
            <w:tcW w:w="80" w:type="dxa"/>
            <w:vAlign w:val="bottom"/>
            <w:vMerge w:val="restart"/>
            <w:shd w:val="clear" w:color="auto" w:fill="CCEEFF"/>
          </w:tcPr>
          <w:p>
            <w:pPr>
              <w:spacing w:after="0"/>
              <w:rPr>
                <w:sz w:val="10"/>
                <w:szCs w:val="10"/>
                <w:color w:val="auto"/>
              </w:rPr>
            </w:pPr>
          </w:p>
        </w:tc>
        <w:tc>
          <w:tcPr>
            <w:tcW w:w="260" w:type="dxa"/>
            <w:vAlign w:val="bottom"/>
            <w:vMerge w:val="restart"/>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2.73</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new investors purchasing Class A common stock in this offering</w:t>
            </w: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58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4180" w:type="dxa"/>
            <w:vAlign w:val="bottom"/>
          </w:tcPr>
          <w:p>
            <w:pPr>
              <w:ind w:left="180"/>
              <w:spacing w:after="0" w:line="105" w:lineRule="exact"/>
              <w:rPr>
                <w:sz w:val="20"/>
                <w:szCs w:val="20"/>
                <w:color w:val="auto"/>
              </w:rPr>
            </w:pPr>
            <w:r>
              <w:rPr>
                <w:rFonts w:ascii="Arial" w:cs="Arial" w:eastAsia="Arial" w:hAnsi="Arial"/>
                <w:sz w:val="12"/>
                <w:szCs w:val="12"/>
                <w:color w:val="auto"/>
              </w:rPr>
              <w:t>Pro forma as adjusted net tangible book value per share immediately</w:t>
            </w:r>
          </w:p>
        </w:tc>
        <w:tc>
          <w:tcPr>
            <w:tcW w:w="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vMerge w:val="restart"/>
          </w:tcPr>
          <w:p>
            <w:pPr>
              <w:spacing w:after="0"/>
              <w:rPr>
                <w:sz w:val="9"/>
                <w:szCs w:val="9"/>
                <w:color w:val="auto"/>
              </w:rPr>
            </w:pPr>
          </w:p>
        </w:tc>
        <w:tc>
          <w:tcPr>
            <w:tcW w:w="320" w:type="dxa"/>
            <w:vAlign w:val="bottom"/>
            <w:gridSpan w:val="2"/>
            <w:vMerge w:val="restart"/>
          </w:tcPr>
          <w:p>
            <w:pPr>
              <w:jc w:val="right"/>
              <w:ind w:right="118"/>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ind w:right="18"/>
              <w:spacing w:after="0"/>
              <w:rPr>
                <w:sz w:val="20"/>
                <w:szCs w:val="20"/>
                <w:color w:val="auto"/>
              </w:rPr>
            </w:pPr>
            <w:r>
              <w:rPr>
                <w:rFonts w:ascii="Arial" w:cs="Arial" w:eastAsia="Arial" w:hAnsi="Arial"/>
                <w:sz w:val="12"/>
                <w:szCs w:val="12"/>
                <w:color w:val="auto"/>
              </w:rPr>
              <w:t>3.36</w:t>
            </w:r>
          </w:p>
        </w:tc>
        <w:tc>
          <w:tcPr>
            <w:tcW w:w="0" w:type="dxa"/>
            <w:vAlign w:val="bottom"/>
          </w:tcPr>
          <w:p>
            <w:pPr>
              <w:spacing w:after="0"/>
              <w:rPr>
                <w:sz w:val="1"/>
                <w:szCs w:val="1"/>
                <w:color w:val="auto"/>
              </w:rPr>
            </w:pPr>
          </w:p>
        </w:tc>
      </w:tr>
      <w:tr>
        <w:trPr>
          <w:trHeight w:val="165"/>
        </w:trPr>
        <w:tc>
          <w:tcPr>
            <w:tcW w:w="4180" w:type="dxa"/>
            <w:vAlign w:val="bottom"/>
          </w:tcPr>
          <w:p>
            <w:pPr>
              <w:ind w:left="300"/>
              <w:spacing w:after="0"/>
              <w:rPr>
                <w:sz w:val="20"/>
                <w:szCs w:val="20"/>
                <w:color w:val="auto"/>
              </w:rPr>
            </w:pPr>
            <w:r>
              <w:rPr>
                <w:rFonts w:ascii="Arial" w:cs="Arial" w:eastAsia="Arial" w:hAnsi="Arial"/>
                <w:sz w:val="12"/>
                <w:szCs w:val="12"/>
                <w:color w:val="auto"/>
              </w:rPr>
              <w:t xml:space="preserve">after this offering </w:t>
            </w:r>
            <w:r>
              <w:rPr>
                <w:rFonts w:ascii="Times New Roman" w:cs="Times New Roman" w:eastAsia="Times New Roman" w:hAnsi="Times New Roman"/>
                <w:sz w:val="12"/>
                <w:szCs w:val="12"/>
                <w:color w:val="B4B4B4"/>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4180" w:type="dxa"/>
            <w:vAlign w:val="bottom"/>
            <w:shd w:val="clear" w:color="auto" w:fill="CCEEFF"/>
          </w:tcPr>
          <w:p>
            <w:pPr>
              <w:ind w:left="40"/>
              <w:spacing w:after="0" w:line="105" w:lineRule="exact"/>
              <w:rPr>
                <w:sz w:val="20"/>
                <w:szCs w:val="20"/>
                <w:color w:val="auto"/>
              </w:rPr>
            </w:pPr>
            <w:r>
              <w:rPr>
                <w:rFonts w:ascii="Arial" w:cs="Arial" w:eastAsia="Arial" w:hAnsi="Arial"/>
                <w:sz w:val="12"/>
                <w:szCs w:val="12"/>
                <w:color w:val="auto"/>
              </w:rPr>
              <w:t>Dilution in pro forma as adjusted net tangible book value per share to new</w:t>
            </w: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spacing w:after="0"/>
              <w:rPr>
                <w:sz w:val="9"/>
                <w:szCs w:val="9"/>
                <w:color w:val="auto"/>
              </w:rPr>
            </w:pPr>
          </w:p>
        </w:tc>
        <w:tc>
          <w:tcPr>
            <w:tcW w:w="280" w:type="dxa"/>
            <w:vAlign w:val="bottom"/>
            <w:vMerge w:val="restart"/>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21.64</w:t>
            </w:r>
          </w:p>
        </w:tc>
        <w:tc>
          <w:tcPr>
            <w:tcW w:w="0" w:type="dxa"/>
            <w:vAlign w:val="bottom"/>
          </w:tcPr>
          <w:p>
            <w:pPr>
              <w:spacing w:after="0"/>
              <w:rPr>
                <w:sz w:val="1"/>
                <w:szCs w:val="1"/>
                <w:color w:val="auto"/>
              </w:rPr>
            </w:pPr>
          </w:p>
        </w:tc>
      </w:tr>
      <w:tr>
        <w:trPr>
          <w:trHeight w:val="191"/>
        </w:trPr>
        <w:tc>
          <w:tcPr>
            <w:tcW w:w="4180" w:type="dxa"/>
            <w:vAlign w:val="bottom"/>
            <w:tcBorders>
              <w:bottom w:val="single" w:sz="8" w:color="CCEEFF"/>
            </w:tcBorders>
            <w:shd w:val="clear" w:color="auto" w:fill="CCEEFF"/>
          </w:tcPr>
          <w:p>
            <w:pPr>
              <w:jc w:val="center"/>
              <w:ind w:left="59"/>
              <w:spacing w:after="0"/>
              <w:rPr>
                <w:sz w:val="20"/>
                <w:szCs w:val="20"/>
                <w:color w:val="auto"/>
              </w:rPr>
            </w:pPr>
            <w:r>
              <w:rPr>
                <w:rFonts w:ascii="Arial" w:cs="Arial" w:eastAsia="Arial" w:hAnsi="Arial"/>
                <w:sz w:val="12"/>
                <w:szCs w:val="12"/>
                <w:color w:val="auto"/>
              </w:rPr>
              <w:t xml:space="preserve">investors in this offering </w:t>
            </w:r>
            <w:r>
              <w:rPr>
                <w:rFonts w:ascii="Times New Roman" w:cs="Times New Roman" w:eastAsia="Times New Roman" w:hAnsi="Times New Roman"/>
                <w:sz w:val="12"/>
                <w:szCs w:val="12"/>
                <w:color w:val="B4B4B4"/>
              </w:rPr>
              <w:t>......................................................................................</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520" w:right="1620" w:firstLine="230"/>
        <w:spacing w:after="0" w:line="272" w:lineRule="auto"/>
        <w:rPr>
          <w:sz w:val="20"/>
          <w:szCs w:val="20"/>
          <w:color w:val="auto"/>
        </w:rPr>
      </w:pPr>
      <w:r>
        <w:rPr>
          <w:rFonts w:ascii="Arial" w:cs="Arial" w:eastAsia="Arial" w:hAnsi="Arial"/>
          <w:sz w:val="12"/>
          <w:szCs w:val="12"/>
          <w:color w:val="auto"/>
        </w:rPr>
        <w:t>The dilution information discussed above is illustrative only and will change based on the actual initial offering price and other terms of this offering determined at pricing and the actual tax withholding rates, as well as the actual amount of RSUs settled in connection with this offering. A $1.00 increase or decrease in the assumed initial public offering price of $25.00 per share, which is the midpoint of the offering price range set forth on the cover page of this prospectus, would increase or decrease our pro forma as adjusted net tangible book value per share after this offering by $0.11 per share and would increase or decrease the dilution per share to new investors in this offering by $0.89 per share, assuming the number of shares of Class A common stock offered by us, as set forth on the cover page of this prospectus, remains the same and after deducting the underwriting discounts and commissions. Similarly,</w:t>
      </w: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640"/>
        <w:spacing w:after="0" w:line="275" w:lineRule="auto"/>
        <w:rPr>
          <w:sz w:val="20"/>
          <w:szCs w:val="20"/>
          <w:color w:val="auto"/>
        </w:rPr>
      </w:pPr>
      <w:r>
        <w:rPr>
          <w:rFonts w:ascii="Arial" w:cs="Arial" w:eastAsia="Arial" w:hAnsi="Arial"/>
          <w:sz w:val="12"/>
          <w:szCs w:val="12"/>
          <w:color w:val="auto"/>
        </w:rPr>
        <w:t>each increase or decrease of 1.0 million shares in the number of shares of Class A common stock offered would increase or decrease the pro forma as adjusted net tangible book value per share after this offering by $0.08 per share or $0.09 per share, respectively, and would decrease or increase the dilution to new investors by $0.08 per share or $0.09 per share, respectively, assuming the assumed initial public offering price, which is the midpoint of the offering price range set forth on the cover page of this prospectus, remains the same and after deducting the underwriting discounts and commissions.</w:t>
      </w:r>
    </w:p>
    <w:p>
      <w:pPr>
        <w:spacing w:after="0" w:line="85" w:lineRule="exact"/>
        <w:rPr>
          <w:sz w:val="20"/>
          <w:szCs w:val="20"/>
          <w:color w:val="auto"/>
        </w:rPr>
      </w:pPr>
    </w:p>
    <w:p>
      <w:pPr>
        <w:ind w:left="1520" w:right="1720" w:firstLine="230"/>
        <w:spacing w:after="0" w:line="281" w:lineRule="auto"/>
        <w:rPr>
          <w:sz w:val="20"/>
          <w:szCs w:val="20"/>
          <w:color w:val="auto"/>
        </w:rPr>
      </w:pPr>
      <w:r>
        <w:rPr>
          <w:rFonts w:ascii="Arial" w:cs="Arial" w:eastAsia="Arial" w:hAnsi="Arial"/>
          <w:sz w:val="12"/>
          <w:szCs w:val="12"/>
          <w:color w:val="auto"/>
        </w:rPr>
        <w:t>If the underwriters exercise their option to purchase additional shares in full, the pro forma as adjusted net tangible book value per share of our Class A common stock after giving effect to this offering would be $3.80 per share, and the dilution in pro forma as adjusted net tangible book value per share to investors in this offering would be $21.20 per share.</w:t>
      </w:r>
    </w:p>
    <w:p>
      <w:pPr>
        <w:spacing w:after="0" w:line="81"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The following table summarizes, on a pro forma as adjusted basis as of July 31, 2025, after giving effect to the pro forma adjustments described above, the difference between existing stockholders and new investors in this offering with respect to the number of shares purchased from us, the total consideration paid to us, and the average price per share paid by our existing stockholders or to be paid by investors purchasing shares in this offering at the assumed initial public offering price of $25.00 per share, which is the midpoint of the offering price range set forth on the cover page of this prospectus, and our receipt of $699.6 million in estimated net proceeds from the offering, and after deducting underwriting discounts and commissions and estimated offering expenses, and the use of net proceeds from this offering, together with existing cash and cash equivalents, if necessary, to (A) satisfy the estimated tax withholding and remittance obligations as described above and (B) repay $133.8 million in outstanding loans, including accrued and unpaid interest and estimated lenders’ legal fees, under and terminate the Vista Facility:</w:t>
      </w:r>
    </w:p>
    <w:p>
      <w:pPr>
        <w:spacing w:after="0" w:line="283" w:lineRule="exact"/>
        <w:rPr>
          <w:sz w:val="20"/>
          <w:szCs w:val="20"/>
          <w:color w:val="auto"/>
        </w:rPr>
      </w:pPr>
    </w:p>
    <w:tbl>
      <w:tblPr>
        <w:tblLayout w:type="fixed"/>
        <w:tblInd w:w="1520" w:type="dxa"/>
        <w:tblCellMar>
          <w:top w:w="0" w:type="dxa"/>
          <w:left w:w="0" w:type="dxa"/>
          <w:bottom w:w="0" w:type="dxa"/>
          <w:right w:w="0" w:type="dxa"/>
        </w:tblCellMar>
      </w:tblPr>
      <w:tr>
        <w:trPr>
          <w:trHeight w:val="152"/>
        </w:trPr>
        <w:tc>
          <w:tcPr>
            <w:tcW w:w="1660" w:type="dxa"/>
            <w:vAlign w:val="bottom"/>
          </w:tcPr>
          <w:p>
            <w:pPr>
              <w:spacing w:after="0"/>
              <w:rPr>
                <w:sz w:val="13"/>
                <w:szCs w:val="13"/>
                <w:color w:val="auto"/>
              </w:rPr>
            </w:pPr>
          </w:p>
        </w:tc>
        <w:tc>
          <w:tcPr>
            <w:tcW w:w="15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1"/>
                <w:szCs w:val="11"/>
                <w:b w:val="1"/>
                <w:bCs w:val="1"/>
                <w:color w:val="auto"/>
              </w:rPr>
              <w:t>Shares Purchased</w:t>
            </w:r>
          </w:p>
        </w:tc>
        <w:tc>
          <w:tcPr>
            <w:tcW w:w="1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1"/>
                <w:szCs w:val="11"/>
                <w:b w:val="1"/>
                <w:bCs w:val="1"/>
                <w:color w:val="auto"/>
              </w:rPr>
              <w:t>Total Consideration</w:t>
            </w:r>
          </w:p>
        </w:tc>
        <w:tc>
          <w:tcPr>
            <w:tcW w:w="1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1060" w:type="dxa"/>
            <w:vAlign w:val="bottom"/>
            <w:gridSpan w:val="3"/>
            <w:vMerge w:val="restart"/>
          </w:tcPr>
          <w:p>
            <w:pPr>
              <w:ind w:left="220"/>
              <w:spacing w:after="0"/>
              <w:rPr>
                <w:sz w:val="20"/>
                <w:szCs w:val="20"/>
                <w:color w:val="auto"/>
              </w:rPr>
            </w:pPr>
            <w:r>
              <w:rPr>
                <w:rFonts w:ascii="Arial" w:cs="Arial" w:eastAsia="Arial" w:hAnsi="Arial"/>
                <w:sz w:val="11"/>
                <w:szCs w:val="11"/>
                <w:b w:val="1"/>
                <w:bCs w:val="1"/>
                <w:color w:val="auto"/>
              </w:rPr>
              <w:t>Number</w:t>
            </w:r>
          </w:p>
        </w:tc>
        <w:tc>
          <w:tcPr>
            <w:tcW w:w="500" w:type="dxa"/>
            <w:vAlign w:val="bottom"/>
            <w:vMerge w:val="restart"/>
          </w:tcPr>
          <w:p>
            <w:pPr>
              <w:jc w:val="right"/>
              <w:ind w:right="20"/>
              <w:spacing w:after="0"/>
              <w:rPr>
                <w:sz w:val="20"/>
                <w:szCs w:val="20"/>
                <w:color w:val="auto"/>
              </w:rPr>
            </w:pPr>
            <w:r>
              <w:rPr>
                <w:rFonts w:ascii="Arial" w:cs="Arial" w:eastAsia="Arial" w:hAnsi="Arial"/>
                <w:sz w:val="11"/>
                <w:szCs w:val="11"/>
                <w:b w:val="1"/>
                <w:bCs w:val="1"/>
                <w:color w:val="auto"/>
                <w:w w:val="99"/>
              </w:rPr>
              <w:t>Percent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right"/>
              <w:ind w:right="167"/>
              <w:spacing w:after="0" w:line="105" w:lineRule="exact"/>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9"/>
                <w:szCs w:val="9"/>
                <w:color w:val="auto"/>
              </w:rPr>
            </w:pPr>
          </w:p>
        </w:tc>
        <w:tc>
          <w:tcPr>
            <w:tcW w:w="700" w:type="dxa"/>
            <w:vAlign w:val="bottom"/>
            <w:vMerge w:val="restart"/>
          </w:tcPr>
          <w:p>
            <w:pPr>
              <w:jc w:val="right"/>
              <w:ind w:right="23"/>
              <w:spacing w:after="0"/>
              <w:rPr>
                <w:sz w:val="20"/>
                <w:szCs w:val="20"/>
                <w:color w:val="auto"/>
              </w:rPr>
            </w:pPr>
            <w:r>
              <w:rPr>
                <w:rFonts w:ascii="Arial" w:cs="Arial" w:eastAsia="Arial" w:hAnsi="Arial"/>
                <w:sz w:val="11"/>
                <w:szCs w:val="11"/>
                <w:b w:val="1"/>
                <w:bCs w:val="1"/>
                <w:color w:val="auto"/>
              </w:rPr>
              <w:t>Percent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2"/>
          </w:tcPr>
          <w:p>
            <w:pPr>
              <w:jc w:val="right"/>
              <w:ind w:right="20"/>
              <w:spacing w:after="0" w:line="105" w:lineRule="exact"/>
              <w:rPr>
                <w:sz w:val="20"/>
                <w:szCs w:val="20"/>
                <w:color w:val="auto"/>
              </w:rPr>
            </w:pPr>
            <w:r>
              <w:rPr>
                <w:rFonts w:ascii="Arial" w:cs="Arial" w:eastAsia="Arial" w:hAnsi="Arial"/>
                <w:sz w:val="11"/>
                <w:szCs w:val="11"/>
                <w:b w:val="1"/>
                <w:bCs w:val="1"/>
                <w:color w:val="auto"/>
              </w:rPr>
              <w:t>Average Price</w:t>
            </w: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ind w:left="20"/>
              <w:spacing w:after="0" w:line="105" w:lineRule="exact"/>
              <w:rPr>
                <w:sz w:val="20"/>
                <w:szCs w:val="20"/>
                <w:color w:val="auto"/>
              </w:rPr>
            </w:pPr>
            <w:r>
              <w:rPr>
                <w:rFonts w:ascii="Arial" w:cs="Arial" w:eastAsia="Arial" w:hAnsi="Arial"/>
                <w:sz w:val="11"/>
                <w:szCs w:val="11"/>
                <w:b w:val="1"/>
                <w:bCs w:val="1"/>
                <w:color w:val="auto"/>
              </w:rPr>
              <w:t>(in millions</w:t>
            </w:r>
          </w:p>
        </w:tc>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jc w:val="right"/>
              <w:ind w:right="120"/>
              <w:spacing w:after="0" w:line="105" w:lineRule="exact"/>
              <w:rPr>
                <w:sz w:val="20"/>
                <w:szCs w:val="20"/>
                <w:color w:val="auto"/>
              </w:rPr>
            </w:pPr>
            <w:r>
              <w:rPr>
                <w:rFonts w:ascii="Arial" w:cs="Arial" w:eastAsia="Arial" w:hAnsi="Arial"/>
                <w:sz w:val="11"/>
                <w:szCs w:val="11"/>
                <w:b w:val="1"/>
                <w:bCs w:val="1"/>
                <w:color w:val="auto"/>
                <w:w w:val="97"/>
              </w:rPr>
              <w:t>Per Share</w:t>
            </w:r>
          </w:p>
        </w:tc>
        <w:tc>
          <w:tcPr>
            <w:tcW w:w="0" w:type="dxa"/>
            <w:vAlign w:val="bottom"/>
          </w:tcPr>
          <w:p>
            <w:pPr>
              <w:spacing w:after="0"/>
              <w:rPr>
                <w:sz w:val="1"/>
                <w:szCs w:val="1"/>
                <w:color w:val="auto"/>
              </w:rPr>
            </w:pPr>
          </w:p>
        </w:tc>
      </w:tr>
      <w:tr>
        <w:trPr>
          <w:trHeight w:val="57"/>
        </w:trPr>
        <w:tc>
          <w:tcPr>
            <w:tcW w:w="1660" w:type="dxa"/>
            <w:vAlign w:val="bottom"/>
            <w:vMerge w:val="restart"/>
          </w:tcPr>
          <w:p>
            <w:pPr>
              <w:ind w:left="40"/>
              <w:spacing w:after="0"/>
              <w:rPr>
                <w:sz w:val="20"/>
                <w:szCs w:val="20"/>
                <w:color w:val="auto"/>
              </w:rPr>
            </w:pPr>
            <w:r>
              <w:rPr>
                <w:rFonts w:ascii="Arial" w:cs="Arial" w:eastAsia="Arial" w:hAnsi="Arial"/>
                <w:sz w:val="12"/>
                <w:szCs w:val="12"/>
                <w:color w:val="auto"/>
              </w:rPr>
              <w:t xml:space="preserve">Existing stockholders </w:t>
            </w:r>
            <w:r>
              <w:rPr>
                <w:rFonts w:ascii="Times New Roman" w:cs="Times New Roman" w:eastAsia="Times New Roman" w:hAnsi="Times New Roman"/>
                <w:sz w:val="12"/>
                <w:szCs w:val="12"/>
                <w:color w:val="B4B4B4"/>
              </w:rPr>
              <w:t>............</w:t>
            </w:r>
          </w:p>
        </w:tc>
        <w:tc>
          <w:tcPr>
            <w:tcW w:w="8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ind w:left="20"/>
              <w:spacing w:after="0" w:line="47" w:lineRule="exact"/>
              <w:rPr>
                <w:sz w:val="20"/>
                <w:szCs w:val="20"/>
                <w:color w:val="auto"/>
              </w:rPr>
            </w:pPr>
            <w:r>
              <w:rPr>
                <w:rFonts w:ascii="Arial" w:cs="Arial" w:eastAsia="Arial" w:hAnsi="Arial"/>
                <w:sz w:val="5"/>
                <w:szCs w:val="5"/>
                <w:b w:val="1"/>
                <w:bCs w:val="1"/>
                <w:color w:val="auto"/>
              </w:rPr>
              <w:t>)</w:t>
            </w:r>
          </w:p>
        </w:tc>
        <w:tc>
          <w:tcPr>
            <w:tcW w:w="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660" w:type="dxa"/>
            <w:vAlign w:val="bottom"/>
            <w:vMerge w:val="continue"/>
          </w:tcPr>
          <w:p>
            <w:pPr>
              <w:spacing w:after="0"/>
              <w:rPr>
                <w:sz w:val="14"/>
                <w:szCs w:val="14"/>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218,241,915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88</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c>
          <w:tcPr>
            <w:tcW w:w="140" w:type="dxa"/>
            <w:vAlign w:val="bottom"/>
            <w:gridSpan w:val="2"/>
            <w:vMerge w:val="continue"/>
          </w:tcPr>
          <w:p>
            <w:pPr>
              <w:spacing w:after="0"/>
              <w:rPr>
                <w:sz w:val="14"/>
                <w:szCs w:val="14"/>
                <w:color w:val="auto"/>
              </w:rPr>
            </w:pPr>
          </w:p>
        </w:tc>
        <w:tc>
          <w:tcPr>
            <w:tcW w:w="740" w:type="dxa"/>
            <w:vAlign w:val="bottom"/>
          </w:tcPr>
          <w:p>
            <w:pPr>
              <w:jc w:val="right"/>
              <w:ind w:right="27"/>
              <w:spacing w:after="0"/>
              <w:rPr>
                <w:sz w:val="20"/>
                <w:szCs w:val="20"/>
                <w:color w:val="auto"/>
              </w:rPr>
            </w:pPr>
            <w:r>
              <w:rPr>
                <w:rFonts w:ascii="Arial" w:cs="Arial" w:eastAsia="Arial" w:hAnsi="Arial"/>
                <w:sz w:val="12"/>
                <w:szCs w:val="12"/>
                <w:color w:val="auto"/>
              </w:rPr>
              <w:t>2,490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77</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11.41</w:t>
            </w:r>
          </w:p>
        </w:tc>
        <w:tc>
          <w:tcPr>
            <w:tcW w:w="0" w:type="dxa"/>
            <w:vAlign w:val="bottom"/>
          </w:tcPr>
          <w:p>
            <w:pPr>
              <w:spacing w:after="0"/>
              <w:rPr>
                <w:sz w:val="1"/>
                <w:szCs w:val="1"/>
                <w:color w:val="auto"/>
              </w:rPr>
            </w:pPr>
          </w:p>
        </w:tc>
      </w:tr>
      <w:tr>
        <w:trPr>
          <w:trHeight w:val="173"/>
        </w:trPr>
        <w:tc>
          <w:tcPr>
            <w:tcW w:w="1660" w:type="dxa"/>
            <w:vAlign w:val="bottom"/>
          </w:tcPr>
          <w:p>
            <w:pPr>
              <w:ind w:left="40"/>
              <w:spacing w:after="0"/>
              <w:rPr>
                <w:sz w:val="20"/>
                <w:szCs w:val="20"/>
                <w:color w:val="auto"/>
              </w:rPr>
            </w:pPr>
            <w:r>
              <w:rPr>
                <w:rFonts w:ascii="Arial" w:cs="Arial" w:eastAsia="Arial" w:hAnsi="Arial"/>
                <w:sz w:val="12"/>
                <w:szCs w:val="12"/>
                <w:color w:val="auto"/>
              </w:rPr>
              <w:t xml:space="preserve">New public investors </w:t>
            </w:r>
            <w:r>
              <w:rPr>
                <w:rFonts w:ascii="Times New Roman" w:cs="Times New Roman" w:eastAsia="Times New Roman" w:hAnsi="Times New Roman"/>
                <w:sz w:val="12"/>
                <w:szCs w:val="12"/>
                <w:color w:val="B4B4B4"/>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30,000,000</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12</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7"/>
              <w:spacing w:after="0"/>
              <w:rPr>
                <w:sz w:val="20"/>
                <w:szCs w:val="20"/>
                <w:color w:val="auto"/>
              </w:rPr>
            </w:pPr>
            <w:r>
              <w:rPr>
                <w:rFonts w:ascii="Arial" w:cs="Arial" w:eastAsia="Arial" w:hAnsi="Arial"/>
                <w:sz w:val="12"/>
                <w:szCs w:val="12"/>
                <w:color w:val="auto"/>
              </w:rPr>
              <w:t>750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23</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25.00</w:t>
            </w:r>
          </w:p>
        </w:tc>
        <w:tc>
          <w:tcPr>
            <w:tcW w:w="0" w:type="dxa"/>
            <w:vAlign w:val="bottom"/>
          </w:tcPr>
          <w:p>
            <w:pPr>
              <w:spacing w:after="0"/>
              <w:rPr>
                <w:sz w:val="1"/>
                <w:szCs w:val="1"/>
                <w:color w:val="auto"/>
              </w:rPr>
            </w:pPr>
          </w:p>
        </w:tc>
      </w:tr>
      <w:tr>
        <w:trPr>
          <w:trHeight w:val="27"/>
        </w:trPr>
        <w:tc>
          <w:tcPr>
            <w:tcW w:w="16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248,241,915</w:t>
            </w: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2"/>
                <w:szCs w:val="12"/>
                <w:color w:val="auto"/>
              </w:rPr>
              <w:t>3,240</w:t>
            </w:r>
          </w:p>
        </w:tc>
        <w:tc>
          <w:tcPr>
            <w:tcW w:w="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13.05</w:t>
            </w:r>
          </w:p>
        </w:tc>
        <w:tc>
          <w:tcPr>
            <w:tcW w:w="0" w:type="dxa"/>
            <w:vAlign w:val="bottom"/>
          </w:tcPr>
          <w:p>
            <w:pPr>
              <w:spacing w:after="0"/>
              <w:rPr>
                <w:sz w:val="1"/>
                <w:szCs w:val="1"/>
                <w:color w:val="auto"/>
              </w:rPr>
            </w:pPr>
          </w:p>
        </w:tc>
      </w:tr>
      <w:tr>
        <w:trPr>
          <w:trHeight w:val="268"/>
        </w:trPr>
        <w:tc>
          <w:tcPr>
            <w:tcW w:w="5980" w:type="dxa"/>
            <w:vAlign w:val="bottom"/>
            <w:gridSpan w:val="15"/>
          </w:tcPr>
          <w:p>
            <w:pPr>
              <w:jc w:val="right"/>
              <w:ind w:right="400"/>
              <w:spacing w:after="0"/>
              <w:rPr>
                <w:sz w:val="20"/>
                <w:szCs w:val="20"/>
                <w:color w:val="auto"/>
              </w:rPr>
            </w:pPr>
            <w:r>
              <w:rPr>
                <w:rFonts w:ascii="Arial" w:cs="Arial" w:eastAsia="Arial" w:hAnsi="Arial"/>
                <w:sz w:val="12"/>
                <w:szCs w:val="12"/>
                <w:color w:val="auto"/>
              </w:rPr>
              <w:t>Sales by the selling stockholders in this offering will cause the number of shares held by existing</w:t>
            </w:r>
          </w:p>
        </w:tc>
        <w:tc>
          <w:tcPr>
            <w:tcW w:w="0" w:type="dxa"/>
            <w:vAlign w:val="bottom"/>
          </w:tcPr>
          <w:p>
            <w:pPr>
              <w:spacing w:after="0"/>
              <w:rPr>
                <w:sz w:val="1"/>
                <w:szCs w:val="1"/>
                <w:color w:val="auto"/>
              </w:rPr>
            </w:pPr>
          </w:p>
        </w:tc>
      </w:tr>
      <w:tr>
        <w:trPr>
          <w:trHeight w:val="165"/>
        </w:trPr>
        <w:tc>
          <w:tcPr>
            <w:tcW w:w="2720" w:type="dxa"/>
            <w:vAlign w:val="bottom"/>
            <w:gridSpan w:val="4"/>
          </w:tcPr>
          <w:p>
            <w:pPr>
              <w:spacing w:after="0"/>
              <w:rPr>
                <w:sz w:val="20"/>
                <w:szCs w:val="20"/>
                <w:color w:val="auto"/>
              </w:rPr>
            </w:pPr>
            <w:r>
              <w:rPr>
                <w:rFonts w:ascii="Arial" w:cs="Arial" w:eastAsia="Arial" w:hAnsi="Arial"/>
                <w:sz w:val="12"/>
                <w:szCs w:val="12"/>
                <w:color w:val="auto"/>
              </w:rPr>
              <w:t>stockholders before this offering to be reduced to</w:t>
            </w:r>
          </w:p>
        </w:tc>
        <w:tc>
          <w:tcPr>
            <w:tcW w:w="3260" w:type="dxa"/>
            <w:vAlign w:val="bottom"/>
            <w:gridSpan w:val="11"/>
          </w:tcPr>
          <w:p>
            <w:pPr>
              <w:jc w:val="right"/>
              <w:ind w:right="300"/>
              <w:spacing w:after="0"/>
              <w:rPr>
                <w:sz w:val="20"/>
                <w:szCs w:val="20"/>
                <w:color w:val="auto"/>
              </w:rPr>
            </w:pPr>
            <w:r>
              <w:rPr>
                <w:rFonts w:ascii="Arial" w:cs="Arial" w:eastAsia="Arial" w:hAnsi="Arial"/>
                <w:sz w:val="12"/>
                <w:szCs w:val="12"/>
                <w:color w:val="auto"/>
              </w:rPr>
              <w:t>211,317,509 shares, or 85% of the total number of</w:t>
            </w:r>
          </w:p>
        </w:tc>
        <w:tc>
          <w:tcPr>
            <w:tcW w:w="0" w:type="dxa"/>
            <w:vAlign w:val="bottom"/>
          </w:tcPr>
          <w:p>
            <w:pPr>
              <w:spacing w:after="0"/>
              <w:rPr>
                <w:sz w:val="1"/>
                <w:szCs w:val="1"/>
                <w:color w:val="auto"/>
              </w:rPr>
            </w:pPr>
          </w:p>
        </w:tc>
      </w:tr>
    </w:tbl>
    <w:p>
      <w:pPr>
        <w:sectPr>
          <w:pgSz w:w="11900" w:h="16840" w:orient="portrait"/>
          <w:cols w:equalWidth="0" w:num="1">
            <w:col w:w="9020"/>
          </w:cols>
          <w:pgMar w:left="1440" w:top="828" w:right="1440" w:bottom="21" w:gutter="0" w:footer="0" w:header="0"/>
        </w:sectPr>
      </w:pPr>
    </w:p>
    <w:bookmarkStart w:id="66" w:name="page67"/>
    <w:bookmarkEnd w:id="66"/>
    <w:p>
      <w:pPr>
        <w:ind w:left="1520" w:right="1720"/>
        <w:spacing w:after="0" w:line="259" w:lineRule="auto"/>
        <w:rPr>
          <w:sz w:val="20"/>
          <w:szCs w:val="20"/>
          <w:color w:val="auto"/>
        </w:rPr>
      </w:pPr>
      <w:r>
        <w:rPr>
          <w:rFonts w:ascii="Arial" w:cs="Arial" w:eastAsia="Arial" w:hAnsi="Arial"/>
          <w:sz w:val="12"/>
          <w:szCs w:val="12"/>
          <w:color w:val="auto"/>
        </w:rPr>
        <w:t>shares of our Class A common stock and Class B common stock outstanding immediately after the completion of this offering, and will increase the number of shares held by new investors to 36,924,406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-182245</wp:posOffset>
            </wp:positionV>
            <wp:extent cx="6732270" cy="99707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980"/>
        <w:spacing w:after="0" w:line="292" w:lineRule="auto"/>
        <w:rPr>
          <w:sz w:val="20"/>
          <w:szCs w:val="20"/>
          <w:color w:val="auto"/>
        </w:rPr>
      </w:pPr>
      <w:r>
        <w:rPr>
          <w:rFonts w:ascii="Arial" w:cs="Arial" w:eastAsia="Arial" w:hAnsi="Arial"/>
          <w:sz w:val="12"/>
          <w:szCs w:val="12"/>
          <w:color w:val="auto"/>
        </w:rPr>
        <w:t>shares, or 15% of the total number of shares of our common stock outstanding immediately after the completion of this offering.</w:t>
      </w:r>
    </w:p>
    <w:p>
      <w:pPr>
        <w:spacing w:after="0" w:line="74" w:lineRule="exact"/>
        <w:rPr>
          <w:sz w:val="20"/>
          <w:szCs w:val="20"/>
          <w:color w:val="auto"/>
        </w:rPr>
      </w:pPr>
    </w:p>
    <w:p>
      <w:pPr>
        <w:ind w:left="1520" w:right="1660" w:firstLine="230"/>
        <w:spacing w:after="0" w:line="275" w:lineRule="auto"/>
        <w:rPr>
          <w:sz w:val="20"/>
          <w:szCs w:val="20"/>
          <w:color w:val="auto"/>
        </w:rPr>
      </w:pPr>
      <w:r>
        <w:rPr>
          <w:rFonts w:ascii="Arial" w:cs="Arial" w:eastAsia="Arial" w:hAnsi="Arial"/>
          <w:sz w:val="12"/>
          <w:szCs w:val="12"/>
          <w:color w:val="auto"/>
        </w:rPr>
        <w:t>A $1.00 increase (decrease) in the assumed initial public offering price of $25.00 per share, which is the midpoint of the offering price range set forth on the cover page of this prospectus, would increase (decrease) total consideration paid by new investors and total consideration paid by all stockholders by approximately $28.3 million, assuming that the number of shares offered by us and the selling stockholders, as set forth on the cover page of this prospectus remains the same and after deducting the underwriting discounts and commissions.</w:t>
      </w:r>
    </w:p>
    <w:p>
      <w:pPr>
        <w:spacing w:after="0" w:line="85"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Except as otherwise indicated, the above discussion and tables assume no exercise of the</w:t>
      </w:r>
    </w:p>
    <w:p>
      <w:pPr>
        <w:spacing w:after="0" w:line="27"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underwriters’ option to purchase additional shares. If the underwriters’ option to purchase additional</w:t>
      </w:r>
    </w:p>
    <w:p>
      <w:pPr>
        <w:spacing w:after="0" w:line="15" w:lineRule="exact"/>
        <w:rPr>
          <w:sz w:val="20"/>
          <w:szCs w:val="20"/>
          <w:color w:val="auto"/>
        </w:rPr>
      </w:pPr>
    </w:p>
    <w:p>
      <w:pPr>
        <w:ind w:left="1520"/>
        <w:spacing w:after="0"/>
        <w:tabs>
          <w:tab w:leader="none" w:pos="5080" w:val="left"/>
        </w:tabs>
        <w:rPr>
          <w:sz w:val="20"/>
          <w:szCs w:val="20"/>
          <w:color w:val="auto"/>
        </w:rPr>
      </w:pPr>
      <w:r>
        <w:rPr>
          <w:rFonts w:ascii="Arial" w:cs="Arial" w:eastAsia="Arial" w:hAnsi="Arial"/>
          <w:sz w:val="12"/>
          <w:szCs w:val="12"/>
          <w:color w:val="auto"/>
        </w:rPr>
        <w:t>shares is exercised in full, our existing stockholders would own</w:t>
        <w:tab/>
        <w:t>86% and our new investors would</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own 14% of the total number of shares of our Class A common stock outstanding upon completion of this</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offering.</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680" w:firstLine="230"/>
        <w:spacing w:after="0" w:line="289" w:lineRule="auto"/>
        <w:rPr>
          <w:sz w:val="20"/>
          <w:szCs w:val="20"/>
          <w:color w:val="auto"/>
        </w:rPr>
      </w:pPr>
      <w:r>
        <w:rPr>
          <w:rFonts w:ascii="Arial" w:cs="Arial" w:eastAsia="Arial" w:hAnsi="Arial"/>
          <w:sz w:val="12"/>
          <w:szCs w:val="12"/>
          <w:color w:val="auto"/>
        </w:rPr>
        <w:t>In addition, to the extent we issue any additional stock options or restricted stock units, any outstanding stock options or warrants are exercised, any restricted stock units vest and settle, or we issue any other securities or convertible debt in the future, investors will experience further dilution.</w:t>
      </w:r>
    </w:p>
    <w:p>
      <w:pPr>
        <w:spacing w:after="0" w:line="76" w:lineRule="exact"/>
        <w:rPr>
          <w:sz w:val="20"/>
          <w:szCs w:val="20"/>
          <w:color w:val="auto"/>
        </w:rPr>
      </w:pPr>
    </w:p>
    <w:p>
      <w:pPr>
        <w:ind w:left="1520" w:right="1740" w:firstLine="230"/>
        <w:spacing w:after="0" w:line="275" w:lineRule="auto"/>
        <w:rPr>
          <w:sz w:val="20"/>
          <w:szCs w:val="20"/>
          <w:color w:val="auto"/>
        </w:rPr>
      </w:pPr>
      <w:r>
        <w:rPr>
          <w:rFonts w:ascii="Arial" w:cs="Arial" w:eastAsia="Arial" w:hAnsi="Arial"/>
          <w:sz w:val="12"/>
          <w:szCs w:val="12"/>
          <w:color w:val="auto"/>
        </w:rPr>
        <w:t>The foregoing tables and calculations (other than the historical net tangible book value calculations) are based on 200,961,542 shares of our Class A common stock outstanding and 15,304,696 shares of our Class B common stock outstanding (after giving effect to the Capital Stock Conversion, the Class B Stock Exchange, the Note Conversion, the SAFE Conversion, the Warrant Exercises, and the RSU Net Settlement, and before giving effect to the Option Cash Exercise), as of July 31, 2025, except otherwise stated, and excludes :</w:t>
      </w:r>
    </w:p>
    <w:p>
      <w:pPr>
        <w:spacing w:after="0" w:line="85" w:lineRule="exact"/>
        <w:rPr>
          <w:sz w:val="20"/>
          <w:szCs w:val="20"/>
          <w:color w:val="auto"/>
        </w:rPr>
      </w:pPr>
    </w:p>
    <w:p>
      <w:pPr>
        <w:ind w:left="1980" w:right="1640" w:hanging="228"/>
        <w:spacing w:after="0" w:line="281" w:lineRule="auto"/>
        <w:tabs>
          <w:tab w:leader="none" w:pos="1980" w:val="left"/>
        </w:tabs>
        <w:numPr>
          <w:ilvl w:val="0"/>
          <w:numId w:val="71"/>
        </w:numPr>
        <w:rPr>
          <w:rFonts w:ascii="Arial" w:cs="Arial" w:eastAsia="Arial" w:hAnsi="Arial"/>
          <w:sz w:val="12"/>
          <w:szCs w:val="12"/>
          <w:color w:val="auto"/>
        </w:rPr>
      </w:pPr>
      <w:r>
        <w:rPr>
          <w:rFonts w:ascii="Arial" w:cs="Arial" w:eastAsia="Arial" w:hAnsi="Arial"/>
          <w:sz w:val="12"/>
          <w:szCs w:val="12"/>
          <w:color w:val="auto"/>
        </w:rPr>
        <w:t>41,581,733 shares of our Class A common stock issuable upon the exercise of stock options outstanding as of July 31, 2025 under our 2015 Plan, with a weighted-average exercise price of $13.32 per share, of which 8,611,649 shares will be exchangeable for an equal number of shares of Class B common stock at the election of our co-founders upon exercise;</w:t>
      </w:r>
    </w:p>
    <w:p>
      <w:pPr>
        <w:spacing w:after="0" w:line="80" w:lineRule="exact"/>
        <w:rPr>
          <w:rFonts w:ascii="Arial" w:cs="Arial" w:eastAsia="Arial" w:hAnsi="Arial"/>
          <w:sz w:val="12"/>
          <w:szCs w:val="12"/>
          <w:color w:val="auto"/>
        </w:rPr>
      </w:pPr>
    </w:p>
    <w:p>
      <w:pPr>
        <w:ind w:left="1980" w:hanging="228"/>
        <w:spacing w:after="0"/>
        <w:tabs>
          <w:tab w:leader="none" w:pos="1980" w:val="left"/>
        </w:tabs>
        <w:numPr>
          <w:ilvl w:val="0"/>
          <w:numId w:val="71"/>
        </w:numPr>
        <w:rPr>
          <w:rFonts w:ascii="Arial" w:cs="Arial" w:eastAsia="Arial" w:hAnsi="Arial"/>
          <w:sz w:val="12"/>
          <w:szCs w:val="12"/>
          <w:color w:val="auto"/>
        </w:rPr>
      </w:pPr>
      <w:r>
        <w:rPr>
          <w:rFonts w:ascii="Arial" w:cs="Arial" w:eastAsia="Arial" w:hAnsi="Arial"/>
          <w:sz w:val="12"/>
          <w:szCs w:val="12"/>
          <w:color w:val="auto"/>
        </w:rPr>
        <w:t>339,246 shares of our Class A common stock issuable upon the exercise of stock options granted</w:t>
      </w:r>
    </w:p>
    <w:p>
      <w:pPr>
        <w:spacing w:after="0" w:line="27" w:lineRule="exact"/>
        <w:rPr>
          <w:sz w:val="20"/>
          <w:szCs w:val="20"/>
          <w:color w:val="auto"/>
        </w:rPr>
      </w:pPr>
    </w:p>
    <w:p>
      <w:pPr>
        <w:ind w:left="1980" w:right="1780"/>
        <w:spacing w:after="0" w:line="292" w:lineRule="auto"/>
        <w:rPr>
          <w:sz w:val="20"/>
          <w:szCs w:val="20"/>
          <w:color w:val="auto"/>
        </w:rPr>
      </w:pPr>
      <w:r>
        <w:rPr>
          <w:rFonts w:ascii="Arial" w:cs="Arial" w:eastAsia="Arial" w:hAnsi="Arial"/>
          <w:sz w:val="12"/>
          <w:szCs w:val="12"/>
          <w:color w:val="auto"/>
        </w:rPr>
        <w:t>after July 31, 2025 under our 2015 Plan with a weighted-average exercise price of $25.35 per share;</w:t>
      </w:r>
    </w:p>
    <w:p>
      <w:pPr>
        <w:spacing w:after="0" w:line="74" w:lineRule="exact"/>
        <w:rPr>
          <w:sz w:val="20"/>
          <w:szCs w:val="20"/>
          <w:color w:val="auto"/>
        </w:rPr>
      </w:pPr>
    </w:p>
    <w:p>
      <w:pPr>
        <w:ind w:left="1980" w:hanging="228"/>
        <w:spacing w:after="0"/>
        <w:tabs>
          <w:tab w:leader="none" w:pos="19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7,942,200 shares of Class A common stock issuable upon the vesting and settlement of RSUs</w:t>
      </w:r>
    </w:p>
    <w:p>
      <w:pPr>
        <w:spacing w:after="0" w:line="27" w:lineRule="exact"/>
        <w:rPr>
          <w:sz w:val="20"/>
          <w:szCs w:val="20"/>
          <w:color w:val="auto"/>
        </w:rPr>
      </w:pPr>
    </w:p>
    <w:p>
      <w:pPr>
        <w:ind w:left="1980" w:right="1700"/>
        <w:spacing w:after="0" w:line="271" w:lineRule="auto"/>
        <w:rPr>
          <w:sz w:val="20"/>
          <w:szCs w:val="20"/>
          <w:color w:val="auto"/>
        </w:rPr>
      </w:pPr>
      <w:r>
        <w:rPr>
          <w:rFonts w:ascii="Arial" w:cs="Arial" w:eastAsia="Arial" w:hAnsi="Arial"/>
          <w:sz w:val="12"/>
          <w:szCs w:val="12"/>
          <w:color w:val="auto"/>
        </w:rPr>
        <w:t xml:space="preserve">outstanding as of the date of this prospectus subject to time-based service and/or performance-based conditions, for which (i) the service-based condition was not satisfied as of such date and (ii) the performance-based condition, if applicable, will be satisfied upon the effectiveness of the registration statement of which this prospectus forms a part, </w:t>
      </w:r>
      <w:r>
        <w:rPr>
          <w:rFonts w:ascii="Arial" w:cs="Arial" w:eastAsia="Arial" w:hAnsi="Arial"/>
          <w:sz w:val="12"/>
          <w:szCs w:val="12"/>
          <w:color w:val="auto"/>
          <w:highlight w:val="white"/>
        </w:rPr>
        <w:t>of which</w:t>
      </w:r>
      <w:r>
        <w:rPr>
          <w:rFonts w:ascii="Arial" w:cs="Arial" w:eastAsia="Arial" w:hAnsi="Arial"/>
          <w:sz w:val="12"/>
          <w:szCs w:val="12"/>
          <w:color w:val="auto"/>
        </w:rPr>
        <w:t xml:space="preserve"> 1,742,147 shares will be exchangeable for an equal number of shares of Class B common stock at the election of our co-founders upon settlement;</w:t>
      </w:r>
    </w:p>
    <w:p>
      <w:pPr>
        <w:spacing w:after="0" w:line="87" w:lineRule="exact"/>
        <w:rPr>
          <w:sz w:val="20"/>
          <w:szCs w:val="20"/>
          <w:color w:val="auto"/>
        </w:rPr>
      </w:pPr>
    </w:p>
    <w:p>
      <w:pPr>
        <w:ind w:left="1980" w:hanging="228"/>
        <w:spacing w:after="0"/>
        <w:tabs>
          <w:tab w:leader="none" w:pos="19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40,160 shares of our Class A common stock issuable upon the exercise of warrants outstanding</w:t>
      </w:r>
    </w:p>
    <w:p>
      <w:pPr>
        <w:spacing w:after="0" w:line="27" w:lineRule="exact"/>
        <w:rPr>
          <w:sz w:val="20"/>
          <w:szCs w:val="20"/>
          <w:color w:val="auto"/>
        </w:rPr>
      </w:pPr>
    </w:p>
    <w:p>
      <w:pPr>
        <w:ind w:left="1980"/>
        <w:spacing w:after="0"/>
        <w:tabs>
          <w:tab w:leader="none" w:pos="4500" w:val="left"/>
        </w:tabs>
        <w:rPr>
          <w:sz w:val="20"/>
          <w:szCs w:val="20"/>
          <w:color w:val="auto"/>
        </w:rPr>
      </w:pPr>
      <w:r>
        <w:rPr>
          <w:rFonts w:ascii="Arial" w:cs="Arial" w:eastAsia="Arial" w:hAnsi="Arial"/>
          <w:sz w:val="12"/>
          <w:szCs w:val="12"/>
          <w:color w:val="auto"/>
        </w:rPr>
        <w:t>as of July 31, 2025, with an exercise price of</w:t>
        <w:tab/>
        <w:t>$1.87 per share;</w:t>
      </w:r>
    </w:p>
    <w:p>
      <w:pPr>
        <w:spacing w:after="0" w:line="118" w:lineRule="exact"/>
        <w:rPr>
          <w:sz w:val="20"/>
          <w:szCs w:val="20"/>
          <w:color w:val="auto"/>
        </w:rPr>
      </w:pPr>
    </w:p>
    <w:p>
      <w:pPr>
        <w:ind w:left="1980" w:right="1700" w:hanging="228"/>
        <w:spacing w:after="0" w:line="276" w:lineRule="auto"/>
        <w:tabs>
          <w:tab w:leader="none" w:pos="19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a number of shares of Class A common stock issuable upon the exercise of a stock option to be granted to an executive officer immediately following pricing of this offering, which will be subject to a time-based service vesting condition, with an exercise price equal to the initial public offering price per share set forth on the cover page of this prospectus, with such number of shares having a grant date value of $9.325 million and to be calculated based on the Black-Scholes option-pricing model;</w:t>
      </w:r>
    </w:p>
    <w:p>
      <w:pPr>
        <w:spacing w:after="0" w:line="239" w:lineRule="exact"/>
        <w:rPr>
          <w:rFonts w:ascii="Arial" w:cs="Arial" w:eastAsia="Arial" w:hAnsi="Arial"/>
          <w:sz w:val="12"/>
          <w:szCs w:val="12"/>
          <w:color w:val="auto"/>
        </w:rPr>
      </w:pPr>
    </w:p>
    <w:p>
      <w:pPr>
        <w:ind w:left="1980" w:hanging="228"/>
        <w:spacing w:after="0"/>
        <w:tabs>
          <w:tab w:leader="none" w:pos="19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up to 82,887,502 shares of our Class A common stock reserved for future issuance under the</w:t>
      </w:r>
    </w:p>
    <w:p>
      <w:pPr>
        <w:spacing w:after="0" w:line="27" w:lineRule="exact"/>
        <w:rPr>
          <w:sz w:val="20"/>
          <w:szCs w:val="20"/>
          <w:color w:val="auto"/>
        </w:rPr>
      </w:pPr>
    </w:p>
    <w:p>
      <w:pPr>
        <w:ind w:left="1980" w:right="1740"/>
        <w:spacing w:after="0" w:line="271" w:lineRule="auto"/>
        <w:rPr>
          <w:sz w:val="20"/>
          <w:szCs w:val="20"/>
          <w:color w:val="auto"/>
        </w:rPr>
      </w:pPr>
      <w:r>
        <w:rPr>
          <w:rFonts w:ascii="Arial" w:cs="Arial" w:eastAsia="Arial" w:hAnsi="Arial"/>
          <w:sz w:val="12"/>
          <w:szCs w:val="12"/>
          <w:color w:val="auto"/>
        </w:rPr>
        <w:t>2025 Plan, which will become effective upon the effectiveness of the registration statement of which this prospectus forms a part, consisting of 35,000,000 new shares and up to 47,887,502 shares underlying outstanding awards granted under our 2015 Plan that, after the date the 2025 Plan becomes effective, either are not issued (due to the awards expiring or being settled in cash), are forfeited or repurchased due to failure to vest, or are withheld to satisfy the exercise, strike, or purchase price or tax withholding obligations ; and</w:t>
      </w:r>
    </w:p>
    <w:p>
      <w:pPr>
        <w:spacing w:after="0" w:line="87" w:lineRule="exact"/>
        <w:rPr>
          <w:sz w:val="20"/>
          <w:szCs w:val="20"/>
          <w:color w:val="auto"/>
        </w:rPr>
      </w:pPr>
    </w:p>
    <w:p>
      <w:pPr>
        <w:ind w:left="1980" w:right="1980" w:hanging="228"/>
        <w:spacing w:after="0" w:line="312" w:lineRule="auto"/>
        <w:tabs>
          <w:tab w:leader="none" w:pos="1980" w:val="left"/>
        </w:tabs>
        <w:numPr>
          <w:ilvl w:val="0"/>
          <w:numId w:val="75"/>
        </w:numPr>
        <w:rPr>
          <w:rFonts w:ascii="Arial" w:cs="Arial" w:eastAsia="Arial" w:hAnsi="Arial"/>
          <w:sz w:val="12"/>
          <w:szCs w:val="12"/>
          <w:color w:val="auto"/>
        </w:rPr>
      </w:pPr>
      <w:r>
        <w:rPr>
          <w:rFonts w:ascii="Arial" w:cs="Arial" w:eastAsia="Arial" w:hAnsi="Arial"/>
          <w:sz w:val="12"/>
          <w:szCs w:val="12"/>
          <w:color w:val="auto"/>
        </w:rPr>
        <w:t>5,000,000 shares of our Class A common stock reserved for future issuance under the 2025 ESPP which will become effective in connection with this offering.</w:t>
      </w:r>
    </w:p>
    <w:p>
      <w:pPr>
        <w:spacing w:after="0" w:line="62" w:lineRule="exact"/>
        <w:rPr>
          <w:sz w:val="20"/>
          <w:szCs w:val="20"/>
          <w:color w:val="auto"/>
        </w:rPr>
      </w:pPr>
    </w:p>
    <w:p>
      <w:pPr>
        <w:jc w:val="both"/>
        <w:ind w:left="1520" w:right="2040" w:firstLine="230"/>
        <w:spacing w:after="0" w:line="289" w:lineRule="auto"/>
        <w:rPr>
          <w:sz w:val="20"/>
          <w:szCs w:val="20"/>
          <w:color w:val="auto"/>
        </w:rPr>
      </w:pPr>
      <w:r>
        <w:rPr>
          <w:rFonts w:ascii="Arial" w:cs="Arial" w:eastAsia="Arial" w:hAnsi="Arial"/>
          <w:sz w:val="12"/>
          <w:szCs w:val="12"/>
          <w:color w:val="auto"/>
        </w:rPr>
        <w:t>Our 2025 Plan and 2025 ESPP provide for annual automatic increases in the number of shares reserved thereunder. See the section titled “Executive Compensation—Equity Plans” for additional information.</w:t>
      </w:r>
    </w:p>
    <w:p>
      <w:pPr>
        <w:spacing w:after="0" w:line="76" w:lineRule="exact"/>
        <w:rPr>
          <w:sz w:val="20"/>
          <w:szCs w:val="20"/>
          <w:color w:val="auto"/>
        </w:rPr>
      </w:pPr>
    </w:p>
    <w:p>
      <w:pPr>
        <w:ind w:left="1520" w:right="1780" w:firstLine="230"/>
        <w:spacing w:after="0" w:line="289" w:lineRule="auto"/>
        <w:rPr>
          <w:sz w:val="20"/>
          <w:szCs w:val="20"/>
          <w:color w:val="auto"/>
        </w:rPr>
      </w:pPr>
      <w:r>
        <w:rPr>
          <w:rFonts w:ascii="Arial" w:cs="Arial" w:eastAsia="Arial" w:hAnsi="Arial"/>
          <w:sz w:val="12"/>
          <w:szCs w:val="12"/>
          <w:color w:val="auto"/>
        </w:rPr>
        <w:t>To the extent any outstanding options are exercised, or any outstanding RSUs settle, or new stock options or RSUs are issued under our equity incentive plans, or we issue additional equity or convertible debt securities in the future, there will be further dilution to investors participating in this offering. If all</w:t>
      </w: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40"/>
        <w:spacing w:after="0" w:line="289" w:lineRule="auto"/>
        <w:rPr>
          <w:sz w:val="20"/>
          <w:szCs w:val="20"/>
          <w:color w:val="auto"/>
        </w:rPr>
      </w:pPr>
      <w:r>
        <w:rPr>
          <w:rFonts w:ascii="Arial" w:cs="Arial" w:eastAsia="Arial" w:hAnsi="Arial"/>
          <w:sz w:val="12"/>
          <w:szCs w:val="12"/>
          <w:color w:val="auto"/>
        </w:rPr>
        <w:t>outstanding options and RSUs under our 2015 Plan as of the date of this prospectus were exercised or settled, then our existing stockholders, including the holders of these securities would own approximately 90% and our new investors would own approximately 10% of the total number of shares of our Class A</w:t>
      </w:r>
    </w:p>
    <w:p>
      <w:pPr>
        <w:sectPr>
          <w:pgSz w:w="11900" w:h="16840" w:orient="portrait"/>
          <w:cols w:equalWidth="0" w:num="1">
            <w:col w:w="9020"/>
          </w:cols>
          <w:pgMar w:left="1440" w:top="560" w:right="1440" w:bottom="51" w:gutter="0" w:footer="0" w:header="0"/>
        </w:sectPr>
      </w:pPr>
    </w:p>
    <w:bookmarkStart w:id="67" w:name="page68"/>
    <w:bookmarkEnd w:id="67"/>
    <w:p>
      <w:pPr>
        <w:ind w:left="1520" w:right="1780"/>
        <w:spacing w:after="0" w:line="209" w:lineRule="auto"/>
        <w:rPr>
          <w:sz w:val="20"/>
          <w:szCs w:val="20"/>
          <w:color w:val="auto"/>
        </w:rPr>
      </w:pPr>
      <w:r>
        <w:rPr>
          <w:rFonts w:ascii="Arial" w:cs="Arial" w:eastAsia="Arial" w:hAnsi="Arial"/>
          <w:sz w:val="12"/>
          <w:szCs w:val="12"/>
          <w:color w:val="auto"/>
        </w:rPr>
        <w:t>common stock and Class B common stock outstanding on the completion of this offering. In addition, we may choose to raise additional capital because of market conditions or strategic considerations, even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-146050</wp:posOffset>
            </wp:positionV>
            <wp:extent cx="6732270" cy="99707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jc w:val="both"/>
        <w:ind w:left="1520" w:right="1920"/>
        <w:spacing w:after="0" w:line="279" w:lineRule="auto"/>
        <w:rPr>
          <w:sz w:val="20"/>
          <w:szCs w:val="20"/>
          <w:color w:val="auto"/>
        </w:rPr>
      </w:pPr>
      <w:r>
        <w:rPr>
          <w:rFonts w:ascii="Arial" w:cs="Arial" w:eastAsia="Arial" w:hAnsi="Arial"/>
          <w:sz w:val="12"/>
          <w:szCs w:val="12"/>
          <w:color w:val="auto"/>
        </w:rPr>
        <w:t>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ind w:right="180"/>
        <w:spacing w:after="0"/>
        <w:rPr>
          <w:sz w:val="20"/>
          <w:szCs w:val="20"/>
          <w:color w:val="auto"/>
        </w:rPr>
      </w:pPr>
      <w:r>
        <w:rPr>
          <w:rFonts w:ascii="Arial" w:cs="Arial" w:eastAsia="Arial" w:hAnsi="Arial"/>
          <w:sz w:val="12"/>
          <w:szCs w:val="12"/>
          <w:b w:val="1"/>
          <w:bCs w:val="1"/>
          <w:color w:val="auto"/>
        </w:rPr>
        <w:t>MANAGEMENT’S DISCUSSION AND ANALYSIS OF FINANCIAL CONDITION AND RESULTS OF</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OPERATIONS</w:t>
      </w:r>
    </w:p>
    <w:p>
      <w:pPr>
        <w:spacing w:after="0" w:line="120" w:lineRule="exact"/>
        <w:rPr>
          <w:sz w:val="20"/>
          <w:szCs w:val="20"/>
          <w:color w:val="auto"/>
        </w:rPr>
      </w:pPr>
    </w:p>
    <w:p>
      <w:pPr>
        <w:ind w:left="1520" w:right="1780" w:firstLine="230"/>
        <w:spacing w:after="0" w:line="271" w:lineRule="auto"/>
        <w:rPr>
          <w:sz w:val="20"/>
          <w:szCs w:val="20"/>
          <w:color w:val="auto"/>
        </w:rPr>
      </w:pPr>
      <w:r>
        <w:rPr>
          <w:rFonts w:ascii="Arial" w:cs="Arial" w:eastAsia="Arial" w:hAnsi="Arial"/>
          <w:sz w:val="12"/>
          <w:szCs w:val="12"/>
          <w:i w:val="1"/>
          <w:iCs w:val="1"/>
          <w:color w:val="auto"/>
        </w:rPr>
        <w:t>The following discussion and analysis of financial condition and results of operations should be read together with our consolidated financial statements and related notes, and other financial information, included elsewhere in this prospectus. In addition to our historical results of operations and financial position, this discussion contains forward-looking statements that involve risks and uncertainties. Our actual results could differ materially from those discussed in or implied by these forward-looking statements. Factors that could cause or contribute to such differences include, but are not limited to, those discussed in the section titled “Risk Factors.” Our historical results are not necessarily indicative of the results to be expected for any period in the future, and results for any interim period should not be construed as an inference of what our results would be for any full year or future period.</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Overview</w:t>
      </w:r>
    </w:p>
    <w:p>
      <w:pPr>
        <w:spacing w:after="0" w:line="130" w:lineRule="exact"/>
        <w:rPr>
          <w:sz w:val="20"/>
          <w:szCs w:val="20"/>
          <w:color w:val="auto"/>
        </w:rPr>
      </w:pPr>
    </w:p>
    <w:p>
      <w:pPr>
        <w:ind w:left="1520" w:right="1720" w:firstLine="230"/>
        <w:spacing w:after="0" w:line="277" w:lineRule="auto"/>
        <w:rPr>
          <w:sz w:val="20"/>
          <w:szCs w:val="20"/>
          <w:color w:val="auto"/>
        </w:rPr>
      </w:pPr>
      <w:r>
        <w:rPr>
          <w:rFonts w:ascii="Arial" w:cs="Arial" w:eastAsia="Arial" w:hAnsi="Arial"/>
          <w:sz w:val="12"/>
          <w:szCs w:val="12"/>
          <w:color w:val="auto"/>
        </w:rPr>
        <w:t xml:space="preserve">Navan is an end-to-end, AI-powered software platform built to simplify the global business T&amp;E experience, benefiting users, customers, and suppliers. </w:t>
      </w:r>
      <w:r>
        <w:rPr>
          <w:rFonts w:ascii="Arial" w:cs="Arial" w:eastAsia="Arial" w:hAnsi="Arial"/>
          <w:sz w:val="12"/>
          <w:szCs w:val="12"/>
          <w:color w:val="auto"/>
          <w:highlight w:val="white"/>
        </w:rPr>
        <w:t>From day one, we leveraged technology to</w:t>
      </w:r>
      <w:r>
        <w:rPr>
          <w:rFonts w:ascii="Arial" w:cs="Arial" w:eastAsia="Arial" w:hAnsi="Arial"/>
          <w:sz w:val="12"/>
          <w:szCs w:val="12"/>
          <w:color w:val="auto"/>
        </w:rPr>
        <w:t xml:space="preserve"> </w:t>
      </w:r>
      <w:r>
        <w:rPr>
          <w:rFonts w:ascii="Arial" w:cs="Arial" w:eastAsia="Arial" w:hAnsi="Arial"/>
          <w:sz w:val="12"/>
          <w:szCs w:val="12"/>
          <w:color w:val="auto"/>
          <w:highlight w:val="white"/>
        </w:rPr>
        <w:t>reimagine business travel. We built a comprehensive platform that serves as the foundation for further disruption. We deliver delightful, personalized experiences for users, efficiency and control for customers, and direct market access for suppliers — all powered by our proprietary AI framework, Navan Cognition.</w:t>
      </w:r>
    </w:p>
    <w:p>
      <w:pPr>
        <w:spacing w:after="0" w:line="84" w:lineRule="exact"/>
        <w:rPr>
          <w:sz w:val="20"/>
          <w:szCs w:val="20"/>
          <w:color w:val="auto"/>
        </w:rPr>
      </w:pPr>
    </w:p>
    <w:p>
      <w:pPr>
        <w:ind w:left="1520" w:right="1740" w:firstLine="230"/>
        <w:spacing w:after="0" w:line="270" w:lineRule="auto"/>
        <w:rPr>
          <w:sz w:val="20"/>
          <w:szCs w:val="20"/>
          <w:color w:val="auto"/>
        </w:rPr>
      </w:pPr>
      <w:r>
        <w:rPr>
          <w:rFonts w:ascii="Arial" w:cs="Arial" w:eastAsia="Arial" w:hAnsi="Arial"/>
          <w:sz w:val="12"/>
          <w:szCs w:val="12"/>
          <w:color w:val="auto"/>
        </w:rPr>
        <w:t>The Navan platform creates a powerful flywheel effect where the user, customer, and supplier benefits reinforce each other. Our enterprise-grade platform is characterized by its intuitive design, ease of use, and tangible time-saving features, which foster a user-centric experience that travelers genuinely appreciate. This is reflected in our overall CSAT score of 96%, our virtual agent CSAT score of 78%, which is on par with human agent performance, and NPS of 43, each for the six months ended July 31, 2025. When frequent travelers have a positive, efficient experience and earn rewards, they are more likely to use Navan. The increased adoption gives the customer greater visibility into spending, stronger policy control, and cost savings, making them more invested in the platform. This, in turn, attracts more suppliers who want access to our large and loyal user base. With more suppliers and inventory available, we can offer better options and competitive pricing, further enhancing the experience for frequent travelers. This virtuous cycle strengthens each flywheel, creating a robust and self-sustaining ecosystem.</w:t>
      </w:r>
    </w:p>
    <w:p>
      <w:pPr>
        <w:spacing w:after="0" w:line="91" w:lineRule="exact"/>
        <w:rPr>
          <w:sz w:val="20"/>
          <w:szCs w:val="20"/>
          <w:color w:val="auto"/>
        </w:rPr>
      </w:pPr>
    </w:p>
    <w:p>
      <w:pPr>
        <w:ind w:left="1520" w:right="1720" w:firstLine="230"/>
        <w:spacing w:after="0" w:line="273" w:lineRule="auto"/>
        <w:rPr>
          <w:sz w:val="20"/>
          <w:szCs w:val="20"/>
          <w:color w:val="auto"/>
        </w:rPr>
      </w:pPr>
      <w:r>
        <w:rPr>
          <w:rFonts w:ascii="Arial" w:cs="Arial" w:eastAsia="Arial" w:hAnsi="Arial"/>
          <w:sz w:val="12"/>
          <w:szCs w:val="12"/>
          <w:color w:val="auto"/>
        </w:rPr>
        <w:t>Our proprietary infrastructure, which we call Navan Cloud, enables us to provide global, real-time inventory for users and forms the foundation of our platform. We aggregate supply through direct supplier relationships, real-time API integrations, and a robust network of partnerships. From day one, Navan has leveraged artificial intelligence as a cornerstone of our platform. We built Navan Cognition, a new paradigm in AI-powered travel management. This proprietary framework enables us to create, train, deploy, and supervise specialized virtual agents that can handle many complex tasks previously requiring human intervention. We make every step of the pre-booking, in-travel, and post-trip process as delightful</w:t>
      </w:r>
    </w:p>
    <w:p>
      <w:pPr>
        <w:sectPr>
          <w:pgSz w:w="11900" w:h="16840" w:orient="portrait"/>
          <w:cols w:equalWidth="0" w:num="1">
            <w:col w:w="9020"/>
          </w:cols>
          <w:pgMar w:left="1440" w:top="560" w:right="1440" w:bottom="92" w:gutter="0" w:footer="0" w:header="0"/>
        </w:sectPr>
      </w:pPr>
    </w:p>
    <w:bookmarkStart w:id="68" w:name="page69"/>
    <w:bookmarkEnd w:id="68"/>
    <w:p>
      <w:pPr>
        <w:ind w:left="1520" w:right="1900"/>
        <w:spacing w:after="0" w:line="184" w:lineRule="auto"/>
        <w:rPr>
          <w:sz w:val="20"/>
          <w:szCs w:val="20"/>
          <w:color w:val="auto"/>
        </w:rPr>
      </w:pPr>
      <w:r>
        <w:rPr>
          <w:rFonts w:ascii="Arial" w:cs="Arial" w:eastAsia="Arial" w:hAnsi="Arial"/>
          <w:sz w:val="12"/>
          <w:szCs w:val="12"/>
          <w:color w:val="auto"/>
        </w:rPr>
        <w:t>and automated as possible. In fiscal 2025, 90% of bookings were made online or through mobile applications on the Navan platform. Our users on average are able to book a trip in seven minutes, 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-127635</wp:posOffset>
            </wp:positionV>
            <wp:extent cx="6732270" cy="99707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800"/>
        <w:spacing w:after="0" w:line="292" w:lineRule="auto"/>
        <w:rPr>
          <w:sz w:val="20"/>
          <w:szCs w:val="20"/>
          <w:color w:val="auto"/>
        </w:rPr>
      </w:pPr>
      <w:r>
        <w:rPr>
          <w:rFonts w:ascii="Arial" w:cs="Arial" w:eastAsia="Arial" w:hAnsi="Arial"/>
          <w:sz w:val="12"/>
          <w:szCs w:val="12"/>
          <w:color w:val="auto"/>
        </w:rPr>
        <w:t>faster than the industry average of 45 minutes, according to Booking.com. And, in the majority of cases, users can resolve trip changes with a virtual agent , which Navan was one of the first in its industry to offer.</w:t>
      </w:r>
    </w:p>
    <w:p>
      <w:pPr>
        <w:spacing w:after="0" w:line="227" w:lineRule="exact"/>
        <w:rPr>
          <w:sz w:val="20"/>
          <w:szCs w:val="20"/>
          <w:color w:val="auto"/>
        </w:rPr>
      </w:pPr>
    </w:p>
    <w:p>
      <w:pPr>
        <w:ind w:left="1520" w:right="1720" w:firstLine="230"/>
        <w:spacing w:after="0" w:line="272" w:lineRule="auto"/>
        <w:rPr>
          <w:sz w:val="20"/>
          <w:szCs w:val="20"/>
          <w:color w:val="auto"/>
        </w:rPr>
      </w:pPr>
      <w:r>
        <w:rPr>
          <w:rFonts w:ascii="Arial" w:cs="Arial" w:eastAsia="Arial" w:hAnsi="Arial"/>
          <w:sz w:val="12"/>
          <w:szCs w:val="12"/>
          <w:color w:val="auto"/>
        </w:rPr>
        <w:t>Our strategy is to land a customer with our Travel offering, delight our users and customers, broaden their engagement with Navan, and seek to manage all of their payments, expenses, VIP needs, meetings and events, and bleisure travel on our platform. As of January 31, 2025, 36% of our customers attached to three or more offerings. Because Navan unifies all aspects of travel in one system, it is used by employees across departments and seniority levels, driving deep organizational adoption. This integrated approach streamlines trip planning, digitizes in-trip expenses, and automates post-trip reconciliation, all while enhancing the overall customer experience. Our platform also provides actionable analytics and intelligence for managers to monitor and approve travel and entertainment spend in real-time.</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680" w:firstLine="230"/>
        <w:spacing w:after="0" w:line="270" w:lineRule="auto"/>
        <w:rPr>
          <w:sz w:val="20"/>
          <w:szCs w:val="20"/>
          <w:color w:val="auto"/>
        </w:rPr>
      </w:pPr>
      <w:r>
        <w:rPr>
          <w:rFonts w:ascii="Arial" w:cs="Arial" w:eastAsia="Arial" w:hAnsi="Arial"/>
          <w:sz w:val="12"/>
          <w:szCs w:val="12"/>
          <w:color w:val="auto"/>
        </w:rPr>
        <w:t>Our platform is easy-to-use, yet powerful enough to address customers of all sizes across any industry vertical. Our revenue grew 33% year-over-year from $402 million in fiscal 2024 to $537 million in fiscal 2025, and grew 30% period-over-period from $254 million for the six months ended July 31, 2024 to $329 million for the six months ended July 31, 2025. Our net loss decreased 45% year-over-year from $332 million in fiscal 2024 to $181 million in fiscal 2025, and increased 8% period-over-period from $93 million for the six months ended July 31, 2024 to $100 million for the six months ended July 31, 2025. Our gross booking volume grew 32% year-over-year from $5.0 billion in fiscal 2024 to $6.6 billion in fiscal 2025, and grew 34% period-over-period from $3.1 billion for the six months ended July 31, 2024 to $4.1 billion for the six months ended July 31, 2025. Our payment volume grew 35% year-over-year from $2.7 billion in fiscal 2024 to $3.7 billion in fiscal 2025, and grew 10% period-over-period from $1.8 billion for the six months ended July 31, 2024 to $2.0 billion for the six months ended July 31, 2025.</w:t>
      </w:r>
    </w:p>
    <w:p>
      <w:pPr>
        <w:spacing w:after="0" w:line="91" w:lineRule="exact"/>
        <w:rPr>
          <w:sz w:val="20"/>
          <w:szCs w:val="20"/>
          <w:color w:val="auto"/>
        </w:rPr>
      </w:pPr>
    </w:p>
    <w:p>
      <w:pPr>
        <w:ind w:left="1520" w:right="1680" w:firstLine="230"/>
        <w:spacing w:after="0" w:line="271" w:lineRule="auto"/>
        <w:rPr>
          <w:sz w:val="20"/>
          <w:szCs w:val="20"/>
          <w:color w:val="auto"/>
        </w:rPr>
      </w:pPr>
      <w:r>
        <w:rPr>
          <w:rFonts w:ascii="Arial" w:cs="Arial" w:eastAsia="Arial" w:hAnsi="Arial"/>
          <w:sz w:val="12"/>
          <w:szCs w:val="12"/>
          <w:color w:val="auto"/>
        </w:rPr>
        <w:t>Our proprietary AI framework, Navan Cognition, significantly enhances support capabilities and has improved our gross margins, while leveraging powerful technology capabilities across our platform, making Navan an increasingly formidable competitor. For example, our AI-powered virtual agent chatbot, Ava, handled approximately 50% of user interactions during the six months ended July 31, 2025 . Our gross margin improved from 60% in fiscal 2024 to 68% in fiscal 2025, and improved from 67% for the six months ended July 31, 2024 to 72% for the six months ended July 31, 2025. Our non-GAAP gross margin improved from 62% in fiscal 2024 to 69% in fiscal 2025, and improved from 68% for the six months ended July 31, 2024 to 73% for the six months ended July 31, 2025. See the section titled “—Non-GAAP Financial Measures” below for information regarding our use of non-GAAP gross margin and a reconciliation of gross margin to non-GAAP gross margin.</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Key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How Our Business Works</w:t>
      </w:r>
    </w:p>
    <w:p>
      <w:pPr>
        <w:spacing w:after="0" w:line="130" w:lineRule="exact"/>
        <w:rPr>
          <w:sz w:val="20"/>
          <w:szCs w:val="20"/>
          <w:color w:val="auto"/>
        </w:rPr>
      </w:pPr>
    </w:p>
    <w:p>
      <w:pPr>
        <w:ind w:left="1520" w:right="1800" w:firstLine="230"/>
        <w:spacing w:after="0" w:line="281" w:lineRule="auto"/>
        <w:rPr>
          <w:sz w:val="20"/>
          <w:szCs w:val="20"/>
          <w:color w:val="auto"/>
        </w:rPr>
      </w:pPr>
      <w:r>
        <w:rPr>
          <w:rFonts w:ascii="Arial" w:cs="Arial" w:eastAsia="Arial" w:hAnsi="Arial"/>
          <w:sz w:val="12"/>
          <w:szCs w:val="12"/>
          <w:color w:val="auto"/>
        </w:rPr>
        <w:t>Our revenue is driven by our ability to attract new customers and retain and expand existing customers by providing an end-to-end platform that facilitates the full spectrum of their travel, payments, and expense management needs, ultimately helping our customers succeed. We serve customers of all sizes, verticals, and regions, and our vast network of suppliers and payment partners helps us capture</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20"/>
        <w:spacing w:after="0" w:line="289" w:lineRule="auto"/>
        <w:rPr>
          <w:sz w:val="20"/>
          <w:szCs w:val="20"/>
          <w:color w:val="auto"/>
        </w:rPr>
      </w:pPr>
      <w:r>
        <w:rPr>
          <w:rFonts w:ascii="Arial" w:cs="Arial" w:eastAsia="Arial" w:hAnsi="Arial"/>
          <w:sz w:val="12"/>
          <w:szCs w:val="12"/>
          <w:color w:val="auto"/>
        </w:rPr>
        <w:t>this opportunity. The breadth of our offerings aligns the interests of our users, customers, suppliers, and payment partners. As of January 31, 2025, we had more than 10,000 active customers, millions of supply partners and lodging properties, and multiple payment partners.</w:t>
      </w:r>
    </w:p>
    <w:p>
      <w:pPr>
        <w:spacing w:after="0" w:line="76"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We generate revenue on a usage or subscription basis from the following:</w:t>
      </w:r>
    </w:p>
    <w:p>
      <w:pPr>
        <w:spacing w:after="0" w:line="130" w:lineRule="exact"/>
        <w:rPr>
          <w:sz w:val="20"/>
          <w:szCs w:val="20"/>
          <w:color w:val="auto"/>
        </w:rPr>
      </w:pPr>
    </w:p>
    <w:p>
      <w:pPr>
        <w:ind w:left="1980" w:right="1660" w:hanging="228"/>
        <w:spacing w:after="0" w:line="289" w:lineRule="auto"/>
        <w:tabs>
          <w:tab w:leader="none" w:pos="1980" w:val="left"/>
        </w:tabs>
        <w:numPr>
          <w:ilvl w:val="0"/>
          <w:numId w:val="76"/>
        </w:numPr>
        <w:rPr>
          <w:rFonts w:ascii="Arial" w:cs="Arial" w:eastAsia="Arial" w:hAnsi="Arial"/>
          <w:sz w:val="12"/>
          <w:szCs w:val="12"/>
          <w:color w:val="auto"/>
        </w:rPr>
      </w:pPr>
      <w:r>
        <w:rPr>
          <w:rFonts w:ascii="Arial" w:cs="Arial" w:eastAsia="Arial" w:hAnsi="Arial"/>
          <w:sz w:val="12"/>
          <w:szCs w:val="12"/>
          <w:i w:val="1"/>
          <w:iCs w:val="1"/>
          <w:color w:val="auto"/>
        </w:rPr>
        <w:t xml:space="preserve">Customers: </w:t>
      </w:r>
      <w:r>
        <w:rPr>
          <w:rFonts w:ascii="Arial" w:cs="Arial" w:eastAsia="Arial" w:hAnsi="Arial"/>
          <w:sz w:val="12"/>
          <w:szCs w:val="12"/>
          <w:color w:val="auto"/>
        </w:rPr>
        <w:t>Our customers include companies and organizations that contract with us to provide</w:t>
      </w:r>
      <w:r>
        <w:rPr>
          <w:rFonts w:ascii="Arial" w:cs="Arial" w:eastAsia="Arial" w:hAnsi="Arial"/>
          <w:sz w:val="12"/>
          <w:szCs w:val="12"/>
          <w:i w:val="1"/>
          <w:iCs w:val="1"/>
          <w:color w:val="auto"/>
        </w:rPr>
        <w:t xml:space="preserve"> </w:t>
      </w:r>
      <w:r>
        <w:rPr>
          <w:rFonts w:ascii="Arial" w:cs="Arial" w:eastAsia="Arial" w:hAnsi="Arial"/>
          <w:sz w:val="12"/>
          <w:szCs w:val="12"/>
          <w:color w:val="auto"/>
        </w:rPr>
        <w:t>their employees (our users) with access to our Travel Management offerings or Expense Management offering. We typically enter into annual or multi-year contracts whereby customers</w:t>
      </w:r>
    </w:p>
    <w:p>
      <w:pPr>
        <w:sectPr>
          <w:pgSz w:w="11900" w:h="16840" w:orient="portrait"/>
          <w:cols w:equalWidth="0" w:num="1">
            <w:col w:w="9020"/>
          </w:cols>
          <w:pgMar w:left="1440" w:top="560" w:right="1440" w:bottom="12" w:gutter="0" w:footer="0" w:header="0"/>
        </w:sectPr>
      </w:pPr>
    </w:p>
    <w:bookmarkStart w:id="69" w:name="page70"/>
    <w:bookmarkEnd w:id="69"/>
    <w:p>
      <w:pPr>
        <w:ind w:left="1980" w:right="1720"/>
        <w:spacing w:after="0" w:line="242" w:lineRule="auto"/>
        <w:rPr>
          <w:sz w:val="20"/>
          <w:szCs w:val="20"/>
          <w:color w:val="auto"/>
        </w:rPr>
      </w:pPr>
      <w:r>
        <w:rPr>
          <w:rFonts w:ascii="Arial" w:cs="Arial" w:eastAsia="Arial" w:hAnsi="Arial"/>
          <w:sz w:val="12"/>
          <w:szCs w:val="12"/>
          <w:color w:val="auto"/>
        </w:rPr>
        <w:t>pay a per-trip or per-transaction fee for access to our Travel offering or on-demand travel management offerings (our VIP, Meetings and Events, and Bleisure offerings) and pay an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-170180</wp:posOffset>
            </wp:positionV>
            <wp:extent cx="6732270" cy="99707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color w:val="auto"/>
        </w:rPr>
        <w:t>subscription fee for access to our Expense Management offering.</w:t>
      </w:r>
    </w:p>
    <w:p>
      <w:pPr>
        <w:spacing w:after="0" w:line="118" w:lineRule="exact"/>
        <w:rPr>
          <w:sz w:val="20"/>
          <w:szCs w:val="20"/>
          <w:color w:val="auto"/>
        </w:rPr>
      </w:pPr>
    </w:p>
    <w:p>
      <w:pPr>
        <w:ind w:left="1980" w:right="1700" w:hanging="228"/>
        <w:spacing w:after="0" w:line="289" w:lineRule="auto"/>
        <w:tabs>
          <w:tab w:leader="none" w:pos="1980" w:val="left"/>
        </w:tabs>
        <w:numPr>
          <w:ilvl w:val="0"/>
          <w:numId w:val="77"/>
        </w:numPr>
        <w:rPr>
          <w:rFonts w:ascii="Arial" w:cs="Arial" w:eastAsia="Arial" w:hAnsi="Arial"/>
          <w:sz w:val="12"/>
          <w:szCs w:val="12"/>
          <w:color w:val="auto"/>
        </w:rPr>
      </w:pPr>
      <w:r>
        <w:rPr>
          <w:rFonts w:ascii="Arial" w:cs="Arial" w:eastAsia="Arial" w:hAnsi="Arial"/>
          <w:sz w:val="12"/>
          <w:szCs w:val="12"/>
          <w:i w:val="1"/>
          <w:iCs w:val="1"/>
          <w:color w:val="auto"/>
        </w:rPr>
        <w:t xml:space="preserve">Suppliers: </w:t>
      </w:r>
      <w:r>
        <w:rPr>
          <w:rFonts w:ascii="Arial" w:cs="Arial" w:eastAsia="Arial" w:hAnsi="Arial"/>
          <w:sz w:val="12"/>
          <w:szCs w:val="12"/>
          <w:color w:val="auto"/>
        </w:rPr>
        <w:t>Our suppliers include airlines, hotels, rental car companies, rail carriers, and providers</w:t>
      </w:r>
      <w:r>
        <w:rPr>
          <w:rFonts w:ascii="Arial" w:cs="Arial" w:eastAsia="Arial" w:hAnsi="Arial"/>
          <w:sz w:val="12"/>
          <w:szCs w:val="12"/>
          <w:i w:val="1"/>
          <w:iCs w:val="1"/>
          <w:color w:val="auto"/>
        </w:rPr>
        <w:t xml:space="preserve"> </w:t>
      </w:r>
      <w:r>
        <w:rPr>
          <w:rFonts w:ascii="Arial" w:cs="Arial" w:eastAsia="Arial" w:hAnsi="Arial"/>
          <w:sz w:val="12"/>
          <w:szCs w:val="12"/>
          <w:color w:val="auto"/>
        </w:rPr>
        <w:t>of GDS. We earn revenue from our suppliers in the form of commissions based on the dollar volume of bookings made by users on our platform and a commission rate for each supplier.</w:t>
      </w:r>
    </w:p>
    <w:p>
      <w:pPr>
        <w:spacing w:after="0" w:line="75" w:lineRule="exact"/>
        <w:rPr>
          <w:rFonts w:ascii="Arial" w:cs="Arial" w:eastAsia="Arial" w:hAnsi="Arial"/>
          <w:sz w:val="12"/>
          <w:szCs w:val="12"/>
          <w:color w:val="auto"/>
        </w:rPr>
      </w:pPr>
    </w:p>
    <w:p>
      <w:pPr>
        <w:jc w:val="both"/>
        <w:ind w:left="1980" w:right="1820" w:hanging="228"/>
        <w:spacing w:after="0" w:line="289" w:lineRule="auto"/>
        <w:tabs>
          <w:tab w:leader="none" w:pos="1980" w:val="left"/>
        </w:tabs>
        <w:numPr>
          <w:ilvl w:val="0"/>
          <w:numId w:val="77"/>
        </w:numPr>
        <w:rPr>
          <w:rFonts w:ascii="Arial" w:cs="Arial" w:eastAsia="Arial" w:hAnsi="Arial"/>
          <w:sz w:val="12"/>
          <w:szCs w:val="12"/>
          <w:color w:val="auto"/>
        </w:rPr>
      </w:pPr>
      <w:r>
        <w:rPr>
          <w:rFonts w:ascii="Arial" w:cs="Arial" w:eastAsia="Arial" w:hAnsi="Arial"/>
          <w:sz w:val="12"/>
          <w:szCs w:val="12"/>
          <w:i w:val="1"/>
          <w:iCs w:val="1"/>
          <w:color w:val="auto"/>
        </w:rPr>
        <w:t xml:space="preserve">Payment partners: </w:t>
      </w:r>
      <w:r>
        <w:rPr>
          <w:rFonts w:ascii="Arial" w:cs="Arial" w:eastAsia="Arial" w:hAnsi="Arial"/>
          <w:sz w:val="12"/>
          <w:szCs w:val="12"/>
          <w:color w:val="auto"/>
        </w:rPr>
        <w:t>Our payment partners primarily include corporate card payment processors</w:t>
      </w:r>
      <w:r>
        <w:rPr>
          <w:rFonts w:ascii="Arial" w:cs="Arial" w:eastAsia="Arial" w:hAnsi="Arial"/>
          <w:sz w:val="12"/>
          <w:szCs w:val="12"/>
          <w:i w:val="1"/>
          <w:iCs w:val="1"/>
          <w:color w:val="auto"/>
        </w:rPr>
        <w:t xml:space="preserve"> </w:t>
      </w:r>
      <w:r>
        <w:rPr>
          <w:rFonts w:ascii="Arial" w:cs="Arial" w:eastAsia="Arial" w:hAnsi="Arial"/>
          <w:sz w:val="12"/>
          <w:szCs w:val="12"/>
          <w:color w:val="auto"/>
        </w:rPr>
        <w:t>and card issuing partners. We earn revenue from our payment partners from fees based on the dollar volume of spend on our corporate cards.</w:t>
      </w:r>
    </w:p>
    <w:p>
      <w:pPr>
        <w:spacing w:after="0" w:line="76" w:lineRule="exact"/>
        <w:rPr>
          <w:sz w:val="20"/>
          <w:szCs w:val="20"/>
          <w:color w:val="auto"/>
        </w:rPr>
      </w:pPr>
    </w:p>
    <w:p>
      <w:pPr>
        <w:ind w:left="1520" w:right="1780" w:firstLine="230"/>
        <w:spacing w:after="0" w:line="272" w:lineRule="auto"/>
        <w:rPr>
          <w:sz w:val="20"/>
          <w:szCs w:val="20"/>
          <w:color w:val="auto"/>
        </w:rPr>
      </w:pPr>
      <w:r>
        <w:rPr>
          <w:rFonts w:ascii="Arial" w:cs="Arial" w:eastAsia="Arial" w:hAnsi="Arial"/>
          <w:sz w:val="12"/>
          <w:szCs w:val="12"/>
          <w:color w:val="auto"/>
        </w:rPr>
        <w:t>There is a period of time between when we acquire new customers and when we begin to recognize ramped revenues from them. This period usually involves the time required to implement our platform technology, move travel budgets to our platform, and then launch initial bookings. After a customer implements our platform, we seek to increase spending by the customer, including through increased adoption of and engagement with our offerings, with the goal to have the majority of their travel budgets managed on our platform. The time required for new customers to ramp bookings on our platform and expand engagement with our offerings depends on the size, scope, and complexity of a customer’s overall travel spend.</w:t>
      </w:r>
    </w:p>
    <w:p>
      <w:pPr>
        <w:spacing w:after="0" w:line="88" w:lineRule="exact"/>
        <w:rPr>
          <w:sz w:val="20"/>
          <w:szCs w:val="20"/>
          <w:color w:val="auto"/>
        </w:rPr>
      </w:pPr>
    </w:p>
    <w:p>
      <w:pPr>
        <w:ind w:left="1520" w:right="1620" w:firstLine="230"/>
        <w:spacing w:after="0" w:line="270" w:lineRule="auto"/>
        <w:rPr>
          <w:sz w:val="20"/>
          <w:szCs w:val="20"/>
          <w:color w:val="auto"/>
        </w:rPr>
      </w:pPr>
      <w:r>
        <w:rPr>
          <w:rFonts w:ascii="Arial" w:cs="Arial" w:eastAsia="Arial" w:hAnsi="Arial"/>
          <w:sz w:val="12"/>
          <w:szCs w:val="12"/>
          <w:color w:val="auto"/>
        </w:rPr>
        <w:t>Our usage-based revenue is derived from GBV and payment volume, as further described below. We define GBV as the total amount paid for valid bookings on our platform, measured on a booked basis and inclusive of taxes and fees, and adjusted for cancellations and refunds. We generate GBV through hotel, flight, car, and rail bookings, along with usage of our VIP, Meetings and Events, and Bleisure offerings by our customers. We expand GBV by growing our customer base, managing more business travel spend on our platform, increasing our payment volume, and introducing new offerings to address different types of business travel. Our revenue growth depends on our ability to convert GBV into usage-based revenue. Usage-based revenue represented approximately 90% of our total revenue for fiscal 2025, fiscal 2024, and the six months ended July 31, 2025 and 2024 . Our usage yield was approximately 7% in each of fiscal 2025 and fiscal 2024 and for the six months ended July 31, 2025 and 2024. Usage yield for a fiscal period equals usage-based revenue divided by GBV for such period and represents our ability to convert GBV into usage-based revenue.</w:t>
      </w:r>
    </w:p>
    <w:p>
      <w:pPr>
        <w:spacing w:after="0" w:line="244" w:lineRule="exact"/>
        <w:rPr>
          <w:sz w:val="20"/>
          <w:szCs w:val="20"/>
          <w:color w:val="auto"/>
        </w:rPr>
      </w:pPr>
    </w:p>
    <w:p>
      <w:pPr>
        <w:ind w:left="1520" w:right="1700" w:firstLine="230"/>
        <w:spacing w:after="0" w:line="277" w:lineRule="auto"/>
        <w:rPr>
          <w:sz w:val="20"/>
          <w:szCs w:val="20"/>
          <w:color w:val="auto"/>
        </w:rPr>
      </w:pPr>
      <w:r>
        <w:rPr>
          <w:rFonts w:ascii="Arial" w:cs="Arial" w:eastAsia="Arial" w:hAnsi="Arial"/>
          <w:sz w:val="12"/>
          <w:szCs w:val="12"/>
          <w:color w:val="auto"/>
        </w:rPr>
        <w:t>We define payment volume as the aggregate dollar amount of spend through Navan issued cards, settled for a given period and net of any chargebacks, cancellations, or refunds. We grow our payment volume by increasing customer adoption and engagement with our Corporate Payments offering where we support and issue our own cards . We generated payment volume of $3.7 billion and $2.0 billion in fiscal 2025 and the six months ended July 31, 2025, respectively.</w:t>
      </w:r>
    </w:p>
    <w:p>
      <w:pPr>
        <w:spacing w:after="0" w:line="84" w:lineRule="exact"/>
        <w:rPr>
          <w:sz w:val="20"/>
          <w:szCs w:val="20"/>
          <w:color w:val="auto"/>
        </w:rPr>
      </w:pPr>
    </w:p>
    <w:p>
      <w:pPr>
        <w:ind w:left="1520" w:right="1660" w:firstLine="230"/>
        <w:spacing w:after="0" w:line="273" w:lineRule="auto"/>
        <w:rPr>
          <w:sz w:val="20"/>
          <w:szCs w:val="20"/>
          <w:color w:val="auto"/>
        </w:rPr>
      </w:pPr>
      <w:r>
        <w:rPr>
          <w:rFonts w:ascii="Arial" w:cs="Arial" w:eastAsia="Arial" w:hAnsi="Arial"/>
          <w:sz w:val="12"/>
          <w:szCs w:val="12"/>
          <w:color w:val="auto"/>
        </w:rPr>
        <w:t>We also generate subscription-based revenue from customers who use our travel and expense management offerings. The majority of our subscription-based revenue is from our expense management product, which includes customers using the Navan card, or their own cards through Navan Connect, in addition to our expense reconciliation offering. We typically enter into annual or multi-year subscription contracts for expense management, and we price contracts based on the number of users. Subscription revenue represented approximately 10% of our total revenue for each of fiscal 2025, fiscal 2024, and the six months ended July 31, 2025 and 2024.</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Our Business Model</w:t>
      </w:r>
    </w:p>
    <w:p>
      <w:pPr>
        <w:spacing w:after="0" w:line="130" w:lineRule="exact"/>
        <w:rPr>
          <w:sz w:val="20"/>
          <w:szCs w:val="20"/>
          <w:color w:val="auto"/>
        </w:rPr>
      </w:pPr>
    </w:p>
    <w:p>
      <w:pPr>
        <w:ind w:left="1520" w:right="2160" w:firstLine="230"/>
        <w:spacing w:after="0" w:line="312" w:lineRule="auto"/>
        <w:rPr>
          <w:sz w:val="20"/>
          <w:szCs w:val="20"/>
          <w:color w:val="auto"/>
        </w:rPr>
      </w:pPr>
      <w:r>
        <w:rPr>
          <w:rFonts w:ascii="Arial" w:cs="Arial" w:eastAsia="Arial" w:hAnsi="Arial"/>
          <w:sz w:val="12"/>
          <w:szCs w:val="12"/>
          <w:color w:val="auto"/>
        </w:rPr>
        <w:t>We grow our customers, GBV, payment volume, and revenue through a diverse go-to-market strategy.</w:t>
      </w:r>
    </w:p>
    <w:p>
      <w:pPr>
        <w:spacing w:after="0" w:line="62" w:lineRule="exact"/>
        <w:rPr>
          <w:sz w:val="20"/>
          <w:szCs w:val="20"/>
          <w:color w:val="auto"/>
        </w:rPr>
      </w:pPr>
    </w:p>
    <w:p>
      <w:pPr>
        <w:ind w:left="1520" w:right="1760" w:firstLine="230"/>
        <w:spacing w:after="0" w:line="275" w:lineRule="auto"/>
        <w:rPr>
          <w:sz w:val="20"/>
          <w:szCs w:val="20"/>
          <w:color w:val="auto"/>
        </w:rPr>
      </w:pPr>
      <w:r>
        <w:rPr>
          <w:rFonts w:ascii="Arial" w:cs="Arial" w:eastAsia="Arial" w:hAnsi="Arial"/>
          <w:sz w:val="12"/>
          <w:szCs w:val="12"/>
          <w:color w:val="auto"/>
        </w:rPr>
        <w:t>We employ a land-and-expand strategy. We generally land a customer in travel and seek to manage all of their business travel spend on our platform, including previously unmanaged spend. We expand usage of our platform by our customers by increasing their adoption of and engagement with additional offerings, including Corporate Payments, Expense Management, Meetings and Events, VIP, and Bleisure. The success of our land and expand strategy is demonstrated by our strong Net Revenue Retention Rate, or NRR, which was above 110% as of January 31, 2025 and 2024.</w:t>
      </w:r>
    </w:p>
    <w:p>
      <w:pPr>
        <w:spacing w:after="0" w:line="85" w:lineRule="exact"/>
        <w:rPr>
          <w:sz w:val="20"/>
          <w:szCs w:val="20"/>
          <w:color w:val="auto"/>
        </w:rPr>
      </w:pPr>
    </w:p>
    <w:p>
      <w:pPr>
        <w:ind w:left="1520" w:right="1740" w:firstLine="230"/>
        <w:spacing w:after="0" w:line="272" w:lineRule="auto"/>
        <w:rPr>
          <w:sz w:val="20"/>
          <w:szCs w:val="20"/>
          <w:color w:val="auto"/>
        </w:rPr>
      </w:pPr>
      <w:r>
        <w:rPr>
          <w:rFonts w:ascii="Arial" w:cs="Arial" w:eastAsia="Arial" w:hAnsi="Arial"/>
          <w:sz w:val="12"/>
          <w:szCs w:val="12"/>
          <w:color w:val="auto"/>
        </w:rPr>
        <w:t>We determine NRR on an annual basis to account for seasonality in our business. To calculate NRR as of a given fiscal year end, which fiscal year is referred to as the Current Period, we first identify a cohort of customers, referred to as the Customer Cohort, for the fiscal year prior to the Current Period, which fiscal year is referred to as the Base Period. To be included in the Customer Cohort, a customer must have been an active customer as of the beginning and the end of the Base Period. We then divide total annual revenue from the Customer Cohort in the Current Period, referred to as Current Period Revenue, by total annual revenue from the Customer Cohort in the Base Period, referred to as Base Period Revenue, to derive our annual NRR as of the end of the Current Period.</w:t>
      </w:r>
    </w:p>
    <w:p>
      <w:pPr>
        <w:spacing w:after="0" w:line="88" w:lineRule="exact"/>
        <w:rPr>
          <w:sz w:val="20"/>
          <w:szCs w:val="20"/>
          <w:color w:val="auto"/>
        </w:rPr>
      </w:pPr>
    </w:p>
    <w:p>
      <w:pPr>
        <w:ind w:left="1520" w:right="1680" w:firstLine="230"/>
        <w:spacing w:after="0" w:line="281" w:lineRule="auto"/>
        <w:rPr>
          <w:sz w:val="20"/>
          <w:szCs w:val="20"/>
          <w:color w:val="auto"/>
        </w:rPr>
      </w:pPr>
      <w:r>
        <w:rPr>
          <w:rFonts w:ascii="Arial" w:cs="Arial" w:eastAsia="Arial" w:hAnsi="Arial"/>
          <w:sz w:val="12"/>
          <w:szCs w:val="12"/>
          <w:color w:val="auto"/>
        </w:rPr>
        <w:t>Current Period Revenue (i) includes any expansion, contraction, or attrition from the Customer Cohort during the Current Year Period and (ii) excludes any revenue from new customers acquired during the Current Period. Any customer in the Customer Cohort that did not transact on our platform during the Current Period remains in the calculation and, as a result, does not contribute to Current Period Revenue.</w:t>
      </w:r>
    </w:p>
    <w:p>
      <w:pPr>
        <w:spacing w:after="0" w:line="81" w:lineRule="exact"/>
        <w:rPr>
          <w:sz w:val="20"/>
          <w:szCs w:val="20"/>
          <w:color w:val="auto"/>
        </w:rPr>
      </w:pPr>
    </w:p>
    <w:p>
      <w:pPr>
        <w:ind w:left="1520" w:right="1680" w:firstLine="230"/>
        <w:spacing w:after="0" w:line="277" w:lineRule="auto"/>
        <w:rPr>
          <w:sz w:val="20"/>
          <w:szCs w:val="20"/>
          <w:color w:val="auto"/>
        </w:rPr>
      </w:pPr>
      <w:r>
        <w:rPr>
          <w:rFonts w:ascii="Arial" w:cs="Arial" w:eastAsia="Arial" w:hAnsi="Arial"/>
          <w:sz w:val="12"/>
          <w:szCs w:val="12"/>
          <w:color w:val="auto"/>
        </w:rPr>
        <w:t>We have a dual-pronged go-to-market strategy that consists of direct sales-led growth, or SLG, and product-led growth, or PLG. We derive the vast majority of our revenue through direct sales of our offerings. We target customers who already have a travel and expense vendor or solution to manage their spend and customers who are traditionally unmanaged, meaning they were not using any travel and expense vendor or solution.</w:t>
      </w:r>
    </w:p>
    <w:p>
      <w:pPr>
        <w:spacing w:after="0" w:line="84" w:lineRule="exact"/>
        <w:rPr>
          <w:sz w:val="20"/>
          <w:szCs w:val="20"/>
          <w:color w:val="auto"/>
        </w:rPr>
      </w:pPr>
    </w:p>
    <w:p>
      <w:pPr>
        <w:ind w:left="1520" w:right="1680" w:firstLine="230"/>
        <w:spacing w:after="0" w:line="275" w:lineRule="auto"/>
        <w:rPr>
          <w:sz w:val="20"/>
          <w:szCs w:val="20"/>
          <w:color w:val="auto"/>
        </w:rPr>
      </w:pPr>
      <w:r>
        <w:rPr>
          <w:rFonts w:ascii="Arial" w:cs="Arial" w:eastAsia="Arial" w:hAnsi="Arial"/>
          <w:sz w:val="12"/>
          <w:szCs w:val="12"/>
          <w:color w:val="auto"/>
        </w:rPr>
        <w:t>Account executives, our direct sales team, are focused on new customer acquisitions where we seek to manage all business travel spend on our platform. Our customer success team assists our account executives with post-sale support and are focused on driving more value to our existing customers. This includes increased engagement with our platform as well as adoption of new offerings by our existing customers. Our customer success team manages our customers’ launch and ramping period and ensures they are getting the most out of our platform.</w:t>
      </w:r>
    </w:p>
    <w:p>
      <w:pPr>
        <w:spacing w:after="0" w:line="85" w:lineRule="exact"/>
        <w:rPr>
          <w:sz w:val="20"/>
          <w:szCs w:val="20"/>
          <w:color w:val="auto"/>
        </w:rPr>
      </w:pPr>
    </w:p>
    <w:p>
      <w:pPr>
        <w:ind w:left="1520" w:right="1740" w:firstLine="230"/>
        <w:spacing w:after="0" w:line="273" w:lineRule="auto"/>
        <w:rPr>
          <w:sz w:val="20"/>
          <w:szCs w:val="20"/>
          <w:color w:val="auto"/>
        </w:rPr>
      </w:pPr>
      <w:r>
        <w:rPr>
          <w:rFonts w:ascii="Arial" w:cs="Arial" w:eastAsia="Arial" w:hAnsi="Arial"/>
          <w:sz w:val="12"/>
          <w:szCs w:val="12"/>
          <w:color w:val="auto"/>
        </w:rPr>
        <w:t>Our user-friendly platform positions us well to increase our share of the unmanaged category. As a result, we have recently invested in our PLG strategy, whereby we market our platform and its benefits to customers who sign up through our website or application and begin managing their business travel spend with low-touch sales representative support. This segment of our go-to-market strategy is typically aimed at smaller companies who do not use a purpose-built system to manage their business travel spend. Our PLG acquisition strategies are designed to be a more efficient way to serve our smaller customers and access new addressable markets.</w:t>
      </w:r>
    </w:p>
    <w:p>
      <w:pPr>
        <w:sectPr>
          <w:pgSz w:w="11900" w:h="16840" w:orient="portrait"/>
          <w:cols w:equalWidth="0" w:num="1">
            <w:col w:w="9020"/>
          </w:cols>
          <w:pgMar w:left="1440" w:top="560" w:right="1440" w:bottom="53" w:gutter="0" w:footer="0" w:header="0"/>
        </w:sectPr>
      </w:pPr>
    </w:p>
    <w:bookmarkStart w:id="70" w:name="page71"/>
    <w:bookmarkEnd w:id="70"/>
    <w:p>
      <w:pPr>
        <w:ind w:left="15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Key Business Metrics</w:t>
      </w:r>
    </w:p>
    <w:p>
      <w:pPr>
        <w:spacing w:after="0" w:line="130" w:lineRule="exact"/>
        <w:rPr>
          <w:sz w:val="20"/>
          <w:szCs w:val="20"/>
          <w:color w:val="auto"/>
        </w:rPr>
      </w:pPr>
    </w:p>
    <w:p>
      <w:pPr>
        <w:ind w:left="1520" w:right="1720" w:firstLine="230"/>
        <w:spacing w:after="0" w:line="312" w:lineRule="auto"/>
        <w:rPr>
          <w:sz w:val="20"/>
          <w:szCs w:val="20"/>
          <w:color w:val="auto"/>
        </w:rPr>
      </w:pPr>
      <w:r>
        <w:rPr>
          <w:rFonts w:ascii="Arial" w:cs="Arial" w:eastAsia="Arial" w:hAnsi="Arial"/>
          <w:sz w:val="12"/>
          <w:szCs w:val="12"/>
          <w:color w:val="auto"/>
        </w:rPr>
        <w:t>We monitor and review a number of metrics, including the following key business metrics, to evaluate our business, measure our performance, identify trends affecting our business, formulate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680"/>
        <w:spacing w:after="0" w:line="312" w:lineRule="auto"/>
        <w:rPr>
          <w:sz w:val="20"/>
          <w:szCs w:val="20"/>
          <w:color w:val="auto"/>
        </w:rPr>
      </w:pPr>
      <w:r>
        <w:rPr>
          <w:rFonts w:ascii="Arial" w:cs="Arial" w:eastAsia="Arial" w:hAnsi="Arial"/>
          <w:sz w:val="12"/>
          <w:szCs w:val="12"/>
          <w:color w:val="auto"/>
        </w:rPr>
        <w:t>projections, and make strategic decisions. We believe that these key business metrics provide meaningful supplemental information in assessing our operating performance.</w:t>
      </w:r>
    </w:p>
    <w:p>
      <w:pPr>
        <w:spacing w:after="0" w:line="79"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3"/>
          </w:tcPr>
          <w:p>
            <w:pPr>
              <w:jc w:val="right"/>
              <w:ind w:right="41"/>
              <w:spacing w:after="0"/>
              <w:rPr>
                <w:sz w:val="20"/>
                <w:szCs w:val="20"/>
                <w:color w:val="auto"/>
              </w:rPr>
            </w:pPr>
            <w:r>
              <w:rPr>
                <w:rFonts w:ascii="Arial" w:cs="Arial" w:eastAsia="Arial" w:hAnsi="Arial"/>
                <w:sz w:val="11"/>
                <w:szCs w:val="11"/>
                <w:b w:val="1"/>
                <w:bCs w:val="1"/>
                <w:color w:val="auto"/>
                <w:w w:val="96"/>
              </w:rPr>
              <w:t>Year Ended January 31,</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4"/>
          </w:tcPr>
          <w:p>
            <w:pPr>
              <w:jc w:val="right"/>
              <w:ind w:right="21"/>
              <w:spacing w:after="0"/>
              <w:rPr>
                <w:sz w:val="20"/>
                <w:szCs w:val="20"/>
                <w:color w:val="auto"/>
              </w:rPr>
            </w:pPr>
            <w:r>
              <w:rPr>
                <w:rFonts w:ascii="Arial" w:cs="Arial" w:eastAsia="Arial" w:hAnsi="Arial"/>
                <w:sz w:val="11"/>
                <w:szCs w:val="11"/>
                <w:b w:val="1"/>
                <w:bCs w:val="1"/>
                <w:color w:val="auto"/>
                <w:w w:val="98"/>
              </w:rPr>
              <w:t>Six Months Ended July 31</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16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0" w:type="dxa"/>
            <w:vAlign w:val="bottom"/>
            <w:vMerge w:val="restart"/>
          </w:tcPr>
          <w:p>
            <w:pPr>
              <w:jc w:val="right"/>
              <w:ind w:right="104"/>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4"/>
                <w:szCs w:val="4"/>
                <w:color w:val="auto"/>
              </w:rPr>
            </w:pPr>
          </w:p>
        </w:tc>
        <w:tc>
          <w:tcPr>
            <w:tcW w:w="460" w:type="dxa"/>
            <w:vAlign w:val="bottom"/>
          </w:tcPr>
          <w:p>
            <w:pPr>
              <w:jc w:val="right"/>
              <w:ind w:right="309"/>
              <w:spacing w:after="0" w:line="47" w:lineRule="exact"/>
              <w:rPr>
                <w:sz w:val="20"/>
                <w:szCs w:val="20"/>
                <w:color w:val="auto"/>
              </w:rPr>
            </w:pPr>
            <w:r>
              <w:rPr>
                <w:rFonts w:ascii="Arial" w:cs="Arial" w:eastAsia="Arial" w:hAnsi="Arial"/>
                <w:sz w:val="5"/>
                <w:szCs w:val="5"/>
                <w:b w:val="1"/>
                <w:bCs w:val="1"/>
                <w:color w:val="auto"/>
              </w:rPr>
              <w:t>,</w:t>
            </w: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vMerge w:val="restart"/>
          </w:tcPr>
          <w:p>
            <w:pPr>
              <w:jc w:val="right"/>
              <w:ind w:right="103"/>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1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jc w:val="right"/>
              <w:ind w:right="183"/>
              <w:spacing w:after="0"/>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6"/>
                <w:szCs w:val="6"/>
                <w:color w:val="auto"/>
              </w:rPr>
            </w:pPr>
          </w:p>
        </w:tc>
        <w:tc>
          <w:tcPr>
            <w:tcW w:w="520" w:type="dxa"/>
            <w:vAlign w:val="bottom"/>
            <w:vMerge w:val="restart"/>
          </w:tcPr>
          <w:p>
            <w:pPr>
              <w:jc w:val="right"/>
              <w:ind w:right="161"/>
              <w:spacing w:after="0"/>
              <w:rPr>
                <w:sz w:val="20"/>
                <w:szCs w:val="20"/>
                <w:color w:val="auto"/>
              </w:rPr>
            </w:pPr>
            <w:r>
              <w:rPr>
                <w:rFonts w:ascii="Arial" w:cs="Arial" w:eastAsia="Arial" w:hAnsi="Arial"/>
                <w:sz w:val="11"/>
                <w:szCs w:val="11"/>
                <w:b w:val="1"/>
                <w:bCs w:val="1"/>
                <w:color w:val="auto"/>
              </w:rPr>
              <w:t>2024</w:t>
            </w: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2025</w:t>
            </w: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restart"/>
          </w:tcPr>
          <w:p>
            <w:pPr>
              <w:jc w:val="right"/>
              <w:ind w:right="181"/>
              <w:spacing w:after="0"/>
              <w:rPr>
                <w:sz w:val="20"/>
                <w:szCs w:val="20"/>
                <w:color w:val="auto"/>
              </w:rPr>
            </w:pPr>
            <w:r>
              <w:rPr>
                <w:rFonts w:ascii="Arial" w:cs="Arial" w:eastAsia="Arial" w:hAnsi="Arial"/>
                <w:sz w:val="11"/>
                <w:szCs w:val="11"/>
                <w:b w:val="1"/>
                <w:bCs w:val="1"/>
                <w:color w:val="auto"/>
              </w:rPr>
              <w:t>2024</w:t>
            </w: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Growth</w:t>
            </w: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Growth</w:t>
            </w: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3"/>
          </w:tcPr>
          <w:p>
            <w:pPr>
              <w:jc w:val="right"/>
              <w:spacing w:after="0"/>
              <w:rPr>
                <w:sz w:val="20"/>
                <w:szCs w:val="20"/>
                <w:color w:val="auto"/>
              </w:rPr>
            </w:pPr>
            <w:r>
              <w:rPr>
                <w:rFonts w:ascii="Arial" w:cs="Arial" w:eastAsia="Arial" w:hAnsi="Arial"/>
                <w:sz w:val="11"/>
                <w:szCs w:val="11"/>
                <w:b w:val="1"/>
                <w:bCs w:val="1"/>
                <w:color w:val="auto"/>
              </w:rPr>
              <w:t>(dollars in billions)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rPr>
              <w:t>Gross booking volume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6.6</w:t>
            </w:r>
          </w:p>
        </w:tc>
        <w:tc>
          <w:tcPr>
            <w:tcW w:w="200" w:type="dxa"/>
            <w:vAlign w:val="bottom"/>
            <w:vMerge w:val="restart"/>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5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5.0</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460" w:type="dxa"/>
            <w:vAlign w:val="bottom"/>
            <w:vMerge w:val="restart"/>
            <w:shd w:val="clear" w:color="auto" w:fill="CCEEFF"/>
          </w:tcPr>
          <w:p>
            <w:pPr>
              <w:jc w:val="right"/>
              <w:ind w:right="309"/>
              <w:spacing w:after="0"/>
              <w:rPr>
                <w:sz w:val="20"/>
                <w:szCs w:val="20"/>
                <w:color w:val="auto"/>
              </w:rPr>
            </w:pPr>
            <w:r>
              <w:rPr>
                <w:rFonts w:ascii="Arial" w:cs="Arial" w:eastAsia="Arial" w:hAnsi="Arial"/>
                <w:sz w:val="12"/>
                <w:szCs w:val="12"/>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5"/>
              </w:rPr>
              <w:t>4.1</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3.1</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 xml:space="preserve">(GBV) </w:t>
            </w:r>
            <w:r>
              <w:rPr>
                <w:rFonts w:ascii="Times New Roman" w:cs="Times New Roman" w:eastAsia="Times New Roman" w:hAnsi="Times New Roman"/>
                <w:sz w:val="12"/>
                <w:szCs w:val="12"/>
                <w:color w:val="B4B4B4"/>
              </w:rPr>
              <w:t>................................</w:t>
            </w: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60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CCEEFF"/>
            </w:tcBorders>
            <w:vMerge w:val="continue"/>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600" w:type="dxa"/>
            <w:vAlign w:val="bottom"/>
            <w:tcBorders>
              <w:bottom w:val="single" w:sz="8" w:color="CCEEFF"/>
            </w:tcBorders>
            <w:vMerge w:val="continue"/>
            <w:shd w:val="clear" w:color="auto" w:fill="CCEEFF"/>
          </w:tcPr>
          <w:p>
            <w:pPr>
              <w:spacing w:after="0"/>
              <w:rPr>
                <w:sz w:val="14"/>
                <w:szCs w:val="14"/>
                <w:color w:val="auto"/>
              </w:rPr>
            </w:pPr>
          </w:p>
        </w:tc>
        <w:tc>
          <w:tcPr>
            <w:tcW w:w="180" w:type="dxa"/>
            <w:vAlign w:val="bottom"/>
            <w:tcBorders>
              <w:bottom w:val="single" w:sz="8" w:color="CCEEFF"/>
            </w:tcBorders>
            <w:vMerge w:val="continue"/>
            <w:shd w:val="clear" w:color="auto" w:fill="CCEEFF"/>
          </w:tcPr>
          <w:p>
            <w:pPr>
              <w:spacing w:after="0"/>
              <w:rPr>
                <w:sz w:val="14"/>
                <w:szCs w:val="14"/>
                <w:color w:val="auto"/>
              </w:rPr>
            </w:pPr>
          </w:p>
        </w:tc>
        <w:tc>
          <w:tcPr>
            <w:tcW w:w="460" w:type="dxa"/>
            <w:vAlign w:val="bottom"/>
            <w:tcBorders>
              <w:bottom w:val="single" w:sz="8" w:color="CCEEFF"/>
            </w:tcBorders>
            <w:vMerge w:val="continue"/>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CCEEFF"/>
            </w:tcBorders>
            <w:vMerge w:val="continue"/>
            <w:shd w:val="clear" w:color="auto" w:fill="CCEEFF"/>
          </w:tcPr>
          <w:p>
            <w:pPr>
              <w:spacing w:after="0"/>
              <w:rPr>
                <w:sz w:val="14"/>
                <w:szCs w:val="14"/>
                <w:color w:val="auto"/>
              </w:rPr>
            </w:pPr>
          </w:p>
        </w:tc>
        <w:tc>
          <w:tcPr>
            <w:tcW w:w="540" w:type="dxa"/>
            <w:vAlign w:val="bottom"/>
            <w:tcBorders>
              <w:bottom w:val="single" w:sz="8" w:color="CCEEFF"/>
            </w:tcBorders>
            <w:vMerge w:val="continue"/>
            <w:shd w:val="clear" w:color="auto" w:fill="CCEEFF"/>
          </w:tcPr>
          <w:p>
            <w:pPr>
              <w:spacing w:after="0"/>
              <w:rPr>
                <w:sz w:val="14"/>
                <w:szCs w:val="14"/>
                <w:color w:val="auto"/>
              </w:rPr>
            </w:pPr>
          </w:p>
        </w:tc>
        <w:tc>
          <w:tcPr>
            <w:tcW w:w="580" w:type="dxa"/>
            <w:vAlign w:val="bottom"/>
            <w:tcBorders>
              <w:bottom w:val="single" w:sz="8" w:color="CCEEFF"/>
            </w:tcBorders>
            <w:vMerge w:val="continue"/>
            <w:shd w:val="clear" w:color="auto" w:fill="CCEEFF"/>
          </w:tcPr>
          <w:p>
            <w:pPr>
              <w:spacing w:after="0"/>
              <w:rPr>
                <w:sz w:val="14"/>
                <w:szCs w:val="14"/>
                <w:color w:val="auto"/>
              </w:rPr>
            </w:pPr>
          </w:p>
        </w:tc>
        <w:tc>
          <w:tcPr>
            <w:tcW w:w="1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40"/>
              <w:spacing w:after="0"/>
              <w:rPr>
                <w:sz w:val="20"/>
                <w:szCs w:val="20"/>
                <w:color w:val="auto"/>
              </w:rPr>
            </w:pPr>
            <w:r>
              <w:rPr>
                <w:rFonts w:ascii="Arial" w:cs="Arial" w:eastAsia="Arial" w:hAnsi="Arial"/>
                <w:sz w:val="12"/>
                <w:szCs w:val="12"/>
                <w:color w:val="auto"/>
              </w:rPr>
              <w:t xml:space="preserve">Payment volume </w:t>
            </w:r>
            <w:r>
              <w:rPr>
                <w:rFonts w:ascii="Times New Roman" w:cs="Times New Roman" w:eastAsia="Times New Roman" w:hAnsi="Times New Roman"/>
                <w:sz w:val="12"/>
                <w:szCs w:val="12"/>
                <w:color w:val="B4B4B4"/>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3"/>
              <w:spacing w:after="0"/>
              <w:rPr>
                <w:sz w:val="20"/>
                <w:szCs w:val="20"/>
                <w:color w:val="auto"/>
              </w:rPr>
            </w:pPr>
            <w:r>
              <w:rPr>
                <w:rFonts w:ascii="Arial" w:cs="Arial" w:eastAsia="Arial" w:hAnsi="Arial"/>
                <w:sz w:val="12"/>
                <w:szCs w:val="12"/>
                <w:color w:val="auto"/>
              </w:rPr>
              <w:t>3.7</w:t>
            </w:r>
          </w:p>
        </w:tc>
        <w:tc>
          <w:tcPr>
            <w:tcW w:w="20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2.7</w:t>
            </w:r>
          </w:p>
        </w:tc>
        <w:tc>
          <w:tcPr>
            <w:tcW w:w="600" w:type="dxa"/>
            <w:vAlign w:val="bottom"/>
          </w:tcPr>
          <w:p>
            <w:pPr>
              <w:jc w:val="right"/>
              <w:spacing w:after="0"/>
              <w:rPr>
                <w:sz w:val="20"/>
                <w:szCs w:val="20"/>
                <w:color w:val="auto"/>
              </w:rPr>
            </w:pPr>
            <w:r>
              <w:rPr>
                <w:rFonts w:ascii="Arial" w:cs="Arial" w:eastAsia="Arial" w:hAnsi="Arial"/>
                <w:sz w:val="12"/>
                <w:szCs w:val="12"/>
                <w:color w:val="auto"/>
              </w:rPr>
              <w:t>35</w:t>
            </w:r>
          </w:p>
        </w:tc>
        <w:tc>
          <w:tcPr>
            <w:tcW w:w="180" w:type="dxa"/>
            <w:vAlign w:val="bottom"/>
          </w:tcPr>
          <w:p>
            <w:pPr>
              <w:jc w:val="right"/>
              <w:spacing w:after="0"/>
              <w:rPr>
                <w:sz w:val="20"/>
                <w:szCs w:val="20"/>
                <w:color w:val="auto"/>
              </w:rPr>
            </w:pPr>
            <w:r>
              <w:rPr>
                <w:rFonts w:ascii="Arial" w:cs="Arial" w:eastAsia="Arial" w:hAnsi="Arial"/>
                <w:sz w:val="12"/>
                <w:szCs w:val="12"/>
                <w:color w:val="auto"/>
                <w:w w:val="93"/>
              </w:rPr>
              <w:t>%</w:t>
            </w:r>
          </w:p>
        </w:tc>
        <w:tc>
          <w:tcPr>
            <w:tcW w:w="460" w:type="dxa"/>
            <w:vAlign w:val="bottom"/>
          </w:tcPr>
          <w:p>
            <w:pPr>
              <w:jc w:val="right"/>
              <w:ind w:right="309"/>
              <w:spacing w:after="0"/>
              <w:rPr>
                <w:sz w:val="20"/>
                <w:szCs w:val="20"/>
                <w:color w:val="auto"/>
              </w:rPr>
            </w:pPr>
            <w:r>
              <w:rPr>
                <w:rFonts w:ascii="Arial" w:cs="Arial" w:eastAsia="Arial" w:hAnsi="Arial"/>
                <w:sz w:val="12"/>
                <w:szCs w:val="12"/>
                <w:color w:val="auto"/>
              </w:rPr>
              <w:t>$</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2.0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1.8</w:t>
            </w:r>
          </w:p>
        </w:tc>
        <w:tc>
          <w:tcPr>
            <w:tcW w:w="580" w:type="dxa"/>
            <w:vAlign w:val="bottom"/>
          </w:tcPr>
          <w:p>
            <w:pPr>
              <w:jc w:val="right"/>
              <w:spacing w:after="0"/>
              <w:rPr>
                <w:sz w:val="20"/>
                <w:szCs w:val="20"/>
                <w:color w:val="auto"/>
              </w:rPr>
            </w:pPr>
            <w:r>
              <w:rPr>
                <w:rFonts w:ascii="Arial" w:cs="Arial" w:eastAsia="Arial" w:hAnsi="Arial"/>
                <w:sz w:val="12"/>
                <w:szCs w:val="12"/>
                <w:color w:val="auto"/>
              </w:rPr>
              <w:t>10</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Gross Booking Volume (GBV)</w:t>
      </w:r>
    </w:p>
    <w:p>
      <w:pPr>
        <w:spacing w:after="0" w:line="128" w:lineRule="exact"/>
        <w:rPr>
          <w:sz w:val="20"/>
          <w:szCs w:val="20"/>
          <w:color w:val="auto"/>
        </w:rPr>
      </w:pPr>
    </w:p>
    <w:p>
      <w:pPr>
        <w:ind w:left="1520" w:right="1740" w:firstLine="230"/>
        <w:spacing w:after="0" w:line="275" w:lineRule="auto"/>
        <w:rPr>
          <w:sz w:val="20"/>
          <w:szCs w:val="20"/>
          <w:color w:val="auto"/>
        </w:rPr>
      </w:pPr>
      <w:r>
        <w:rPr>
          <w:rFonts w:ascii="Arial" w:cs="Arial" w:eastAsia="Arial" w:hAnsi="Arial"/>
          <w:sz w:val="12"/>
          <w:szCs w:val="12"/>
          <w:color w:val="auto"/>
        </w:rPr>
        <w:t>We define GBV as the total amount paid for valid bookings on our platform, measured on a booked basis and inclusive of total price, taxes, and fees, and adjusted for cancellations and refunds. We generate GBV through hotel, flight, car, and rail bookings, along with usage of our Meetings and Events, VIP, and Bleisure offerings by our customers. We expand GBV by growing our customer base, managing more business travel spend on our platform, increasing our payment volume, and introducing new offerings to address different types of business travel.</w:t>
      </w:r>
    </w:p>
    <w:p>
      <w:pPr>
        <w:spacing w:after="0" w:line="87"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Payment Volume</w:t>
      </w:r>
    </w:p>
    <w:p>
      <w:pPr>
        <w:spacing w:after="0" w:line="128" w:lineRule="exact"/>
        <w:rPr>
          <w:sz w:val="20"/>
          <w:szCs w:val="20"/>
          <w:color w:val="auto"/>
        </w:rPr>
      </w:pPr>
    </w:p>
    <w:p>
      <w:pPr>
        <w:jc w:val="both"/>
        <w:ind w:left="1520" w:right="1880" w:firstLine="230"/>
        <w:spacing w:after="0" w:line="281" w:lineRule="auto"/>
        <w:rPr>
          <w:sz w:val="20"/>
          <w:szCs w:val="20"/>
          <w:color w:val="auto"/>
        </w:rPr>
      </w:pPr>
      <w:r>
        <w:rPr>
          <w:rFonts w:ascii="Arial" w:cs="Arial" w:eastAsia="Arial" w:hAnsi="Arial"/>
          <w:sz w:val="12"/>
          <w:szCs w:val="12"/>
          <w:color w:val="auto"/>
        </w:rPr>
        <w:t>We define payment volume as the aggregate dollar amount of spend through Navan issued cards, settled for a given period and net of any chargebacks, cancellations, or refunds. Our payment volume grows as we increase adoption and usage of our Corporate Payments offering, where we support and issue our own cards.</w:t>
      </w:r>
    </w:p>
    <w:p>
      <w:pPr>
        <w:spacing w:after="0" w:line="8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Key Factors Affecting Our Performance</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Acquiring New Customers</w:t>
      </w:r>
    </w:p>
    <w:p>
      <w:pPr>
        <w:spacing w:after="0" w:line="128" w:lineRule="exact"/>
        <w:rPr>
          <w:sz w:val="20"/>
          <w:szCs w:val="20"/>
          <w:color w:val="auto"/>
        </w:rPr>
      </w:pPr>
    </w:p>
    <w:p>
      <w:pPr>
        <w:ind w:left="1520" w:right="1540" w:firstLine="230"/>
        <w:spacing w:after="0" w:line="269" w:lineRule="auto"/>
        <w:rPr>
          <w:sz w:val="20"/>
          <w:szCs w:val="20"/>
          <w:color w:val="auto"/>
        </w:rPr>
      </w:pPr>
      <w:r>
        <w:rPr>
          <w:rFonts w:ascii="Arial" w:cs="Arial" w:eastAsia="Arial" w:hAnsi="Arial"/>
          <w:sz w:val="12"/>
          <w:szCs w:val="12"/>
          <w:color w:val="auto"/>
        </w:rPr>
        <w:t>We believe there is substantial opportunity to continue to grow our customer base across both the managed and unmanaged categories, as well as across both our direct SLG and PLG channels. As such, we will continue to invest in sales and marketing to drive awareness of our platform in order to continue adding new customers. As of January 31, 2025 and 2024, we had over 10,000 and over 8,000 active customers, respectively, on our platform across a broad range of sizes, regions, and industries. We define an active customer as a customer that has transacted on the Navan platform six or more times in the 12 months preceding the measurement date and that has generated any form of usage-based revenue from</w:t>
      </w:r>
    </w:p>
    <w:p>
      <w:pPr>
        <w:ind w:left="1520" w:right="1700"/>
        <w:spacing w:after="0" w:line="279" w:lineRule="auto"/>
        <w:rPr>
          <w:sz w:val="20"/>
          <w:szCs w:val="20"/>
          <w:color w:val="auto"/>
        </w:rPr>
      </w:pPr>
      <w:r>
        <w:rPr>
          <w:rFonts w:ascii="Arial" w:cs="Arial" w:eastAsia="Arial" w:hAnsi="Arial"/>
          <w:sz w:val="12"/>
          <w:szCs w:val="12"/>
          <w:color w:val="auto"/>
        </w:rPr>
        <w:t>a user’s booking on our platform during this period. A single company or organization with multiple divisions, segments, or subsidiaries is generally counted as a single customer, even though we may enter into agreements with multiple parties within that company or organization.</w:t>
      </w:r>
    </w:p>
    <w:p>
      <w:pPr>
        <w:spacing w:after="0" w:line="8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Expanding Within our Existing Customer Base</w:t>
      </w:r>
    </w:p>
    <w:p>
      <w:pPr>
        <w:spacing w:after="0" w:line="128" w:lineRule="exact"/>
        <w:rPr>
          <w:sz w:val="20"/>
          <w:szCs w:val="20"/>
          <w:color w:val="auto"/>
        </w:rPr>
      </w:pPr>
    </w:p>
    <w:p>
      <w:pPr>
        <w:ind w:left="1520" w:right="1660" w:firstLine="230"/>
        <w:spacing w:after="0" w:line="272" w:lineRule="auto"/>
        <w:rPr>
          <w:sz w:val="20"/>
          <w:szCs w:val="20"/>
          <w:color w:val="auto"/>
        </w:rPr>
      </w:pPr>
      <w:r>
        <w:rPr>
          <w:rFonts w:ascii="Arial" w:cs="Arial" w:eastAsia="Arial" w:hAnsi="Arial"/>
          <w:sz w:val="12"/>
          <w:szCs w:val="12"/>
          <w:color w:val="auto"/>
        </w:rPr>
        <w:t>We expect to continue investing in our Customer Success teams within our sales and marketing function to drive more revenue from our existing customers. We typically land our customers with our travel platform. As we help our customers realize the benefits of our platform, we expect them to adopt and engage with additional offerings, including Corporate Payments, Expense Management, Meetings and Events, VIP, and Bleisure. As of January 31 , 2025, 36% of our customers attached to three or more offerings. This added value for customers also benefits our own financial performance. To measure the effectiveness of our land and expand strategy, we track the NRR from our existing customers, which remained above 110% as of January 31, 2025 and 2024. We believe the growth in use of our platform by our existing customers is an important measure of the health of our business and our future growth.</w:t>
      </w:r>
    </w:p>
    <w:p>
      <w:pPr>
        <w:spacing w:after="0" w:line="85" w:lineRule="exact"/>
        <w:rPr>
          <w:sz w:val="20"/>
          <w:szCs w:val="20"/>
          <w:color w:val="auto"/>
        </w:rPr>
      </w:pPr>
    </w:p>
    <w:p>
      <w:pPr>
        <w:ind w:left="1520" w:right="1720" w:firstLine="230"/>
        <w:spacing w:after="0" w:line="312" w:lineRule="auto"/>
        <w:rPr>
          <w:sz w:val="20"/>
          <w:szCs w:val="20"/>
          <w:color w:val="auto"/>
        </w:rPr>
      </w:pPr>
      <w:r>
        <w:rPr>
          <w:rFonts w:ascii="Arial" w:cs="Arial" w:eastAsia="Arial" w:hAnsi="Arial"/>
          <w:sz w:val="12"/>
          <w:szCs w:val="12"/>
          <w:color w:val="auto"/>
        </w:rPr>
        <w:t>We intend to continue investing in enhancing awareness of our brand and developing more offerings, features and functionality, which we believe are important factors to achieve widespread adoption of all</w:t>
      </w: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60"/>
        <w:spacing w:after="0" w:line="289" w:lineRule="auto"/>
        <w:rPr>
          <w:sz w:val="20"/>
          <w:szCs w:val="20"/>
          <w:color w:val="auto"/>
        </w:rPr>
      </w:pPr>
      <w:r>
        <w:rPr>
          <w:rFonts w:ascii="Arial" w:cs="Arial" w:eastAsia="Arial" w:hAnsi="Arial"/>
          <w:sz w:val="12"/>
          <w:szCs w:val="12"/>
          <w:color w:val="auto"/>
        </w:rPr>
        <w:t>our offerings. Our ability to increase sales to existing customers will depend on a number of factors, including our customers’ satisfaction with our platform and technologies, competition, pricing, and overall changes in our customers’ T&amp;E spending levels.</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Sustaining Innovation and Leadership</w:t>
      </w:r>
    </w:p>
    <w:p>
      <w:pPr>
        <w:spacing w:after="0" w:line="128" w:lineRule="exact"/>
        <w:rPr>
          <w:sz w:val="20"/>
          <w:szCs w:val="20"/>
          <w:color w:val="auto"/>
        </w:rPr>
      </w:pPr>
    </w:p>
    <w:p>
      <w:pPr>
        <w:ind w:left="1520" w:right="1780" w:firstLine="230"/>
        <w:spacing w:after="0" w:line="277" w:lineRule="auto"/>
        <w:rPr>
          <w:sz w:val="20"/>
          <w:szCs w:val="20"/>
          <w:color w:val="auto"/>
        </w:rPr>
      </w:pPr>
      <w:r>
        <w:rPr>
          <w:rFonts w:ascii="Arial" w:cs="Arial" w:eastAsia="Arial" w:hAnsi="Arial"/>
          <w:sz w:val="12"/>
          <w:szCs w:val="12"/>
          <w:color w:val="auto"/>
        </w:rPr>
        <w:t>Our success is dependent on our ability to sustain our leadership in innovation and technology. We have invested heavily in building out Navan Cloud, our global infrastructure, which is designed to enable the delivery of a wide range of travel content to our customers. We intend to continue investing in our infrastructure to ensure that our customers have a broad array of options and choices when using our platform.</w:t>
      </w:r>
    </w:p>
    <w:p>
      <w:pPr>
        <w:spacing w:after="0" w:line="84" w:lineRule="exact"/>
        <w:rPr>
          <w:sz w:val="20"/>
          <w:szCs w:val="20"/>
          <w:color w:val="auto"/>
        </w:rPr>
      </w:pPr>
    </w:p>
    <w:p>
      <w:pPr>
        <w:ind w:left="1520" w:right="1700" w:firstLine="230"/>
        <w:spacing w:after="0" w:line="312" w:lineRule="auto"/>
        <w:rPr>
          <w:sz w:val="20"/>
          <w:szCs w:val="20"/>
          <w:color w:val="auto"/>
        </w:rPr>
      </w:pPr>
      <w:r>
        <w:rPr>
          <w:rFonts w:ascii="Arial" w:cs="Arial" w:eastAsia="Arial" w:hAnsi="Arial"/>
          <w:sz w:val="12"/>
          <w:szCs w:val="12"/>
          <w:color w:val="auto"/>
        </w:rPr>
        <w:t>To further enhance customer choice and flexibility, we developed Navan Connect, which allows customers to integrate their existing systems and preferences and offers actionable real-time visibility and</w:t>
      </w:r>
    </w:p>
    <w:p>
      <w:pPr>
        <w:sectPr>
          <w:pgSz w:w="11900" w:h="16840" w:orient="portrait"/>
          <w:cols w:equalWidth="0" w:num="1">
            <w:col w:w="9020"/>
          </w:cols>
          <w:pgMar w:left="1440" w:top="608" w:right="1440" w:bottom="76" w:gutter="0" w:footer="0" w:header="0"/>
        </w:sectPr>
      </w:pPr>
    </w:p>
    <w:bookmarkStart w:id="71" w:name="page72"/>
    <w:bookmarkEnd w:id="71"/>
    <w:p>
      <w:pPr>
        <w:ind w:left="1520" w:right="1800"/>
        <w:spacing w:after="0" w:line="184" w:lineRule="auto"/>
        <w:rPr>
          <w:sz w:val="20"/>
          <w:szCs w:val="20"/>
          <w:color w:val="auto"/>
        </w:rPr>
      </w:pPr>
      <w:r>
        <w:rPr>
          <w:rFonts w:ascii="Arial" w:cs="Arial" w:eastAsia="Arial" w:hAnsi="Arial"/>
          <w:sz w:val="9"/>
          <w:szCs w:val="9"/>
          <w:color w:val="auto"/>
        </w:rPr>
        <w:t>policy enforc</w:t>
      </w:r>
      <w:r>
        <w:rPr>
          <w:rFonts w:ascii="Arial" w:cs="Arial" w:eastAsia="Arial" w:hAnsi="Arial"/>
          <w:sz w:val="14"/>
          <w:szCs w:val="14"/>
          <w:color w:val="auto"/>
          <w:vertAlign w:val="superscript"/>
        </w:rPr>
        <w:t>e</w:t>
      </w:r>
      <w:r>
        <w:rPr>
          <w:rFonts w:ascii="Arial" w:cs="Arial" w:eastAsia="Arial" w:hAnsi="Arial"/>
          <w:sz w:val="9"/>
          <w:szCs w:val="9"/>
          <w:color w:val="auto"/>
        </w:rPr>
        <w:t>m</w:t>
      </w:r>
      <w:r>
        <w:rPr>
          <w:rFonts w:ascii="Arial" w:cs="Arial" w:eastAsia="Arial" w:hAnsi="Arial"/>
          <w:sz w:val="14"/>
          <w:szCs w:val="14"/>
          <w:color w:val="auto"/>
          <w:vertAlign w:val="superscript"/>
        </w:rPr>
        <w:t>e</w:t>
      </w:r>
      <w:r>
        <w:rPr>
          <w:rFonts w:ascii="Arial" w:cs="Arial" w:eastAsia="Arial" w:hAnsi="Arial"/>
          <w:sz w:val="9"/>
          <w:szCs w:val="9"/>
          <w:color w:val="auto"/>
        </w:rPr>
        <w:t>nt for business expense management. While Connect does not itself generate revenue for Navan, w b lieve the flexibility it offers our customers helps drive easier and faster adoption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-121920</wp:posOffset>
            </wp:positionV>
            <wp:extent cx="6732270" cy="99707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2"/>
          <w:szCs w:val="12"/>
          <w:color w:val="auto"/>
        </w:rPr>
        <w:t>Expense Management offering.</w:t>
      </w:r>
    </w:p>
    <w:p>
      <w:pPr>
        <w:spacing w:after="0" w:line="118" w:lineRule="exact"/>
        <w:rPr>
          <w:sz w:val="20"/>
          <w:szCs w:val="20"/>
          <w:color w:val="auto"/>
        </w:rPr>
      </w:pPr>
    </w:p>
    <w:p>
      <w:pPr>
        <w:ind w:left="1520" w:right="1720" w:firstLine="230"/>
        <w:spacing w:after="0" w:line="275" w:lineRule="auto"/>
        <w:rPr>
          <w:sz w:val="20"/>
          <w:szCs w:val="20"/>
          <w:color w:val="auto"/>
        </w:rPr>
      </w:pPr>
      <w:r>
        <w:rPr>
          <w:rFonts w:ascii="Arial" w:cs="Arial" w:eastAsia="Arial" w:hAnsi="Arial"/>
          <w:sz w:val="12"/>
          <w:szCs w:val="12"/>
          <w:color w:val="auto"/>
        </w:rPr>
        <w:t>We have also invested significantly in AI to help make every step of the pre-booking, in-travel, and post-trip process as appealing and automated as possible. We view these investments as important tools to improve the efficiency of the booking process, how we operate our business, and how we serve our customers. We were one of the first travel companies to incorporate machine learning techniques into our offerings, leveraging proprietary algorithms to provide users with personalized intelligent recommendations, dynamic policy tools, and an overall seamless, end-to-end travel experience.</w:t>
      </w:r>
    </w:p>
    <w:p>
      <w:pPr>
        <w:spacing w:after="0" w:line="85" w:lineRule="exact"/>
        <w:rPr>
          <w:sz w:val="20"/>
          <w:szCs w:val="20"/>
          <w:color w:val="auto"/>
        </w:rPr>
      </w:pPr>
    </w:p>
    <w:p>
      <w:pPr>
        <w:ind w:left="1520" w:right="1940" w:firstLine="230"/>
        <w:spacing w:after="0" w:line="277" w:lineRule="auto"/>
        <w:rPr>
          <w:sz w:val="20"/>
          <w:szCs w:val="20"/>
          <w:color w:val="auto"/>
        </w:rPr>
      </w:pPr>
      <w:r>
        <w:rPr>
          <w:rFonts w:ascii="Arial" w:cs="Arial" w:eastAsia="Arial" w:hAnsi="Arial"/>
          <w:sz w:val="12"/>
          <w:szCs w:val="12"/>
          <w:color w:val="auto"/>
        </w:rPr>
        <w:t>In addition, we have continued to expand our investments in AI, including by building Navan Cognition, our proprietary AI framework. Navan Cognition is designed to leverage third-party large language models with our own proprietary, internally developed software to enable us to create, train, deploy, and supervise our specialized virtual agents that can handle many complex tasks previously requiring human intervention.</w:t>
      </w:r>
    </w:p>
    <w:p>
      <w:pPr>
        <w:spacing w:after="0" w:line="84" w:lineRule="exact"/>
        <w:rPr>
          <w:sz w:val="20"/>
          <w:szCs w:val="20"/>
          <w:color w:val="auto"/>
        </w:rPr>
      </w:pPr>
    </w:p>
    <w:p>
      <w:pPr>
        <w:ind w:left="1520" w:right="1700" w:firstLine="230"/>
        <w:spacing w:after="0" w:line="275" w:lineRule="auto"/>
        <w:rPr>
          <w:sz w:val="20"/>
          <w:szCs w:val="20"/>
          <w:color w:val="auto"/>
        </w:rPr>
      </w:pPr>
      <w:r>
        <w:rPr>
          <w:rFonts w:ascii="Arial" w:cs="Arial" w:eastAsia="Arial" w:hAnsi="Arial"/>
          <w:sz w:val="12"/>
          <w:szCs w:val="12"/>
          <w:color w:val="auto"/>
        </w:rPr>
        <w:t>Our purpose-designed AI-powered virtual agents can reliably handle a range of autonomous tasks, from communicating with users through chat or voice commands to real-time decision making, such as booking and cancelling flights and expense tracking. Because this workforce responds to the significant majority of travelers’ needs, we typically require only limited human agent intervention. This technology enables us to efficiently scale our platform, allowing us to maintain a high level of service to customers for their basic needs and reserve agent time for more critical or complex customer service situations.</w:t>
      </w:r>
    </w:p>
    <w:p>
      <w:pPr>
        <w:spacing w:after="0" w:line="85" w:lineRule="exact"/>
        <w:rPr>
          <w:sz w:val="20"/>
          <w:szCs w:val="20"/>
          <w:color w:val="auto"/>
        </w:rPr>
      </w:pPr>
    </w:p>
    <w:p>
      <w:pPr>
        <w:ind w:left="1520" w:right="1720" w:firstLine="230"/>
        <w:spacing w:after="0" w:line="272" w:lineRule="auto"/>
        <w:rPr>
          <w:sz w:val="20"/>
          <w:szCs w:val="20"/>
          <w:color w:val="auto"/>
        </w:rPr>
      </w:pPr>
      <w:r>
        <w:rPr>
          <w:rFonts w:ascii="Arial" w:cs="Arial" w:eastAsia="Arial" w:hAnsi="Arial"/>
          <w:sz w:val="12"/>
          <w:szCs w:val="12"/>
          <w:color w:val="auto"/>
        </w:rPr>
        <w:t xml:space="preserve">We intend to continue investing in research and development, including for our infrastructure and AI capabilities to make our offerings even more scalable and personalized to our users. We are particularly focused on our AI investments, which have allowed us to build and continue to develop Navan Cognition. We expect to continue to invest in Navan Cognition in order to further enable us, and potentially to enable outside organizations, to create and oversee </w:t>
      </w:r>
      <w:r>
        <w:rPr>
          <w:rFonts w:ascii="Arial" w:cs="Arial" w:eastAsia="Arial" w:hAnsi="Arial"/>
          <w:sz w:val="12"/>
          <w:szCs w:val="12"/>
          <w:color w:val="auto"/>
          <w:highlight w:val="white"/>
        </w:rPr>
        <w:t>AI-powered virtua l</w:t>
      </w:r>
      <w:r>
        <w:rPr>
          <w:rFonts w:ascii="Arial" w:cs="Arial" w:eastAsia="Arial" w:hAnsi="Arial"/>
          <w:sz w:val="12"/>
          <w:szCs w:val="12"/>
          <w:color w:val="auto"/>
        </w:rPr>
        <w:t xml:space="preserve"> agents with enterprise-grade reliability. We also expect to continue to invest in future product interface enhancements such as Navan Go, which is powered by Navan Cognition and designed to redefine how travelers book, modify, and manage trips on the go via their mobile devices. See the section titled “Business–Our Solution–Navan Cognition: Our New Paradigm in AI-Powered Travel Management” for more information about Navan Cognition.</w:t>
      </w:r>
    </w:p>
    <w:p>
      <w:pPr>
        <w:spacing w:after="0" w:line="85" w:lineRule="exact"/>
        <w:rPr>
          <w:sz w:val="20"/>
          <w:szCs w:val="20"/>
          <w:color w:val="auto"/>
        </w:rPr>
      </w:pPr>
    </w:p>
    <w:p>
      <w:pPr>
        <w:ind w:left="1520" w:right="1720" w:firstLine="230"/>
        <w:spacing w:after="0" w:line="269" w:lineRule="auto"/>
        <w:rPr>
          <w:sz w:val="20"/>
          <w:szCs w:val="20"/>
          <w:color w:val="auto"/>
        </w:rPr>
      </w:pPr>
      <w:r>
        <w:rPr>
          <w:rFonts w:ascii="Arial" w:cs="Arial" w:eastAsia="Arial" w:hAnsi="Arial"/>
          <w:sz w:val="12"/>
          <w:szCs w:val="12"/>
          <w:color w:val="auto"/>
        </w:rPr>
        <w:t>Our AI workforce’s performance, quality, and accuracy has been rated with a CSAT score of 78% for the six months ended July 31, 2025, which is on par with human agent performance. An increasing amount of our support services are becoming automated through our AI-powered virtual agent chatbot, Ava, handled approximately 50% of user interactions without live agent intervention during the six months ended July 31, 2025. Our ability to control customer support costs over time, even as customer support volume has increased significantly, has contributed to an increase in gross margin from 60% in fiscal</w:t>
      </w:r>
    </w:p>
    <w:p>
      <w:pPr>
        <w:spacing w:after="0" w:line="2" w:lineRule="exact"/>
        <w:rPr>
          <w:sz w:val="20"/>
          <w:szCs w:val="20"/>
          <w:color w:val="auto"/>
        </w:rPr>
      </w:pPr>
    </w:p>
    <w:p>
      <w:pPr>
        <w:ind w:left="1520" w:right="1680"/>
        <w:spacing w:after="0" w:line="292" w:lineRule="auto"/>
        <w:rPr>
          <w:sz w:val="20"/>
          <w:szCs w:val="20"/>
          <w:color w:val="auto"/>
        </w:rPr>
      </w:pPr>
      <w:r>
        <w:rPr>
          <w:rFonts w:ascii="Arial" w:cs="Arial" w:eastAsia="Arial" w:hAnsi="Arial"/>
          <w:sz w:val="12"/>
          <w:szCs w:val="12"/>
          <w:color w:val="auto"/>
        </w:rPr>
        <w:t>2024 to 68% in fiscal 2025, and non-GAAP gross margin increased from 62% in fiscal 2024 to 69% in fiscal 2025. Similarly, our gross margin has increased from 67% for the six months ended July 31, 2024 to</w:t>
      </w: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20"/>
        <w:spacing w:after="0" w:line="272" w:lineRule="auto"/>
        <w:rPr>
          <w:sz w:val="20"/>
          <w:szCs w:val="20"/>
          <w:color w:val="auto"/>
        </w:rPr>
      </w:pPr>
      <w:r>
        <w:rPr>
          <w:rFonts w:ascii="Arial" w:cs="Arial" w:eastAsia="Arial" w:hAnsi="Arial"/>
          <w:sz w:val="12"/>
          <w:szCs w:val="12"/>
          <w:color w:val="auto"/>
        </w:rPr>
        <w:t>72% for the six months ended July 31, 2025, and non-GAAP gross margin increased from 68% for the six months ended July 31, 2024 to 73% for the six months ended July 31, 2025. See the section titled “— Non-GAAP Financial Measures” below for information regarding our use of non-GAAP gross margin and</w:t>
      </w:r>
    </w:p>
    <w:p>
      <w:pPr>
        <w:spacing w:after="0" w:line="2" w:lineRule="exact"/>
        <w:rPr>
          <w:sz w:val="20"/>
          <w:szCs w:val="20"/>
          <w:color w:val="auto"/>
        </w:rPr>
      </w:pPr>
    </w:p>
    <w:p>
      <w:pPr>
        <w:ind w:left="1620" w:hanging="98"/>
        <w:spacing w:after="0"/>
        <w:tabs>
          <w:tab w:leader="none" w:pos="16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reconciliation of gross margin to non-GAAP gross margin.</w:t>
      </w:r>
    </w:p>
    <w:p>
      <w:pPr>
        <w:spacing w:after="0" w:line="120" w:lineRule="exact"/>
        <w:rPr>
          <w:rFonts w:ascii="Arial" w:cs="Arial" w:eastAsia="Arial" w:hAnsi="Arial"/>
          <w:sz w:val="12"/>
          <w:szCs w:val="12"/>
          <w:color w:val="auto"/>
        </w:rPr>
      </w:pPr>
    </w:p>
    <w:p>
      <w:pPr>
        <w:ind w:left="1760"/>
        <w:spacing w:after="0"/>
        <w:rPr>
          <w:rFonts w:ascii="Arial" w:cs="Arial" w:eastAsia="Arial" w:hAnsi="Arial"/>
          <w:sz w:val="12"/>
          <w:szCs w:val="12"/>
          <w:color w:val="auto"/>
        </w:rPr>
      </w:pPr>
      <w:r>
        <w:rPr>
          <w:rFonts w:ascii="Arial" w:cs="Arial" w:eastAsia="Arial" w:hAnsi="Arial"/>
          <w:sz w:val="12"/>
          <w:szCs w:val="12"/>
          <w:b w:val="1"/>
          <w:bCs w:val="1"/>
          <w:i w:val="1"/>
          <w:iCs w:val="1"/>
          <w:color w:val="auto"/>
        </w:rPr>
        <w:t>Expand Organically and Inorganically</w:t>
      </w:r>
    </w:p>
    <w:p>
      <w:pPr>
        <w:spacing w:after="0" w:line="128" w:lineRule="exact"/>
        <w:rPr>
          <w:sz w:val="20"/>
          <w:szCs w:val="20"/>
          <w:color w:val="auto"/>
        </w:rPr>
      </w:pPr>
    </w:p>
    <w:p>
      <w:pPr>
        <w:ind w:left="1520" w:right="1700" w:firstLine="230"/>
        <w:spacing w:after="0" w:line="269" w:lineRule="auto"/>
        <w:rPr>
          <w:sz w:val="20"/>
          <w:szCs w:val="20"/>
          <w:color w:val="auto"/>
        </w:rPr>
      </w:pPr>
      <w:r>
        <w:rPr>
          <w:rFonts w:ascii="Arial" w:cs="Arial" w:eastAsia="Arial" w:hAnsi="Arial"/>
          <w:sz w:val="12"/>
          <w:szCs w:val="12"/>
          <w:color w:val="auto"/>
        </w:rPr>
        <w:t>We have a highly successful track record of organic and inorganic investments and may consider additional M&amp;A opportunities. We have previously executed and integrated multiple acquisitions, including R&amp;M, Comtravo, Resia, Atlanta, Tripeur, and Regent, expanding our geographic footprint and strengthening our offering capabilities across core markets. Historically, inorganic growth efforts have focused on expanding international presence, deepening supply relationships, and extending our presence in key regions. For example, in April 2021, we acquired R&amp;M (UK business travel management company) and in February 2022, we acquired Comtravo (German business travel management company) for regional expertise and local inventory. We also acquired Resia (Scandinavian travel management company) in March 2022 and Atlanta (Spanish travel management company) in November 2022 to drive supply growth and support in the Nordics and in Spain, respectively. In April 2023, we acquired Tripeur (India-based, AI-powered business travel and expense management company) to cater to Indian consumer demands. In June 2024, we acquired Regent to gain exposure to the large Italian market. These acquisitions have accelerated our growth, enhanced localization, and enabled the company to serve a broader spectrum of enterprise customers with differentiated offerings tailored to regional travel and compliance needs. We may continue to make M&amp;A investments that allow us to further strengthen our platform, accelerate growth, and improve our offerings to best serve our diverse customer base.</w:t>
      </w:r>
    </w:p>
    <w:p>
      <w:pPr>
        <w:spacing w:after="0" w:line="9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Seasonality and Travel Demand</w:t>
      </w:r>
    </w:p>
    <w:p>
      <w:pPr>
        <w:spacing w:after="0" w:line="128" w:lineRule="exact"/>
        <w:rPr>
          <w:sz w:val="20"/>
          <w:szCs w:val="20"/>
          <w:color w:val="auto"/>
        </w:rPr>
      </w:pPr>
    </w:p>
    <w:p>
      <w:pPr>
        <w:ind w:left="1520" w:right="1720" w:firstLine="230"/>
        <w:spacing w:after="0" w:line="275" w:lineRule="auto"/>
        <w:rPr>
          <w:sz w:val="20"/>
          <w:szCs w:val="20"/>
          <w:color w:val="auto"/>
        </w:rPr>
      </w:pPr>
      <w:r>
        <w:rPr>
          <w:rFonts w:ascii="Arial" w:cs="Arial" w:eastAsia="Arial" w:hAnsi="Arial"/>
          <w:sz w:val="12"/>
          <w:szCs w:val="12"/>
          <w:color w:val="auto"/>
        </w:rPr>
        <w:t>We generally experience seasonality in our revenue, primarily related to seasonal travel trends of business travelers. Revenue is driven by travel volume, and our users typically travel less during holiday periods, though this effect varies regionally. As a result, our revenue has historically been strongest in the third fiscal quarter. Payments revenue is driven by the volume of corporate card spending, primarily through travel bookings. When frequent travelers are travelling less, this component of revenue may be less than at other times of the year.</w:t>
      </w:r>
    </w:p>
    <w:p>
      <w:pPr>
        <w:spacing w:after="0" w:line="85" w:lineRule="exact"/>
        <w:rPr>
          <w:sz w:val="20"/>
          <w:szCs w:val="20"/>
          <w:color w:val="auto"/>
        </w:rPr>
      </w:pPr>
    </w:p>
    <w:p>
      <w:pPr>
        <w:ind w:left="1520" w:right="1680" w:firstLine="230"/>
        <w:spacing w:after="0" w:line="280" w:lineRule="auto"/>
        <w:rPr>
          <w:sz w:val="20"/>
          <w:szCs w:val="20"/>
          <w:color w:val="auto"/>
        </w:rPr>
      </w:pPr>
      <w:r>
        <w:rPr>
          <w:rFonts w:ascii="Arial" w:cs="Arial" w:eastAsia="Arial" w:hAnsi="Arial"/>
          <w:sz w:val="12"/>
          <w:szCs w:val="12"/>
          <w:color w:val="auto"/>
        </w:rPr>
        <w:t>Although we expect introductions of new offerings and expansions of existing offerings to counterbalance some of the seasonality we have historically experienced, we anticipate that revenue from both our existing Travel Management offerings and Corporate Payments offering will continue to represent a significant proportion of our overall revenue mix, and that seasonality will continue to impact our results of operations.</w:t>
      </w:r>
    </w:p>
    <w:p>
      <w:pPr>
        <w:spacing w:after="0" w:line="236" w:lineRule="exact"/>
        <w:rPr>
          <w:sz w:val="20"/>
          <w:szCs w:val="20"/>
          <w:color w:val="auto"/>
        </w:rPr>
      </w:pPr>
    </w:p>
    <w:p>
      <w:pPr>
        <w:ind w:left="1520" w:right="1720" w:firstLine="230"/>
        <w:spacing w:after="0" w:line="289" w:lineRule="auto"/>
        <w:rPr>
          <w:sz w:val="20"/>
          <w:szCs w:val="20"/>
          <w:color w:val="auto"/>
        </w:rPr>
      </w:pPr>
      <w:r>
        <w:rPr>
          <w:rFonts w:ascii="Arial" w:cs="Arial" w:eastAsia="Arial" w:hAnsi="Arial"/>
          <w:sz w:val="12"/>
          <w:szCs w:val="12"/>
          <w:color w:val="auto"/>
        </w:rPr>
        <w:t>In addition, demand for travel fluctuates based on a number of factors, including periods of perceived or actual adverse economic conditions and times of political or economic uncertainty, which may impact our business and operating results.</w:t>
      </w:r>
    </w:p>
    <w:p>
      <w:pPr>
        <w:spacing w:after="0" w:line="76"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Components of Results of Operations</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Revenue</w:t>
      </w:r>
    </w:p>
    <w:p>
      <w:pPr>
        <w:spacing w:after="0" w:line="128" w:lineRule="exact"/>
        <w:rPr>
          <w:sz w:val="20"/>
          <w:szCs w:val="20"/>
          <w:color w:val="auto"/>
        </w:rPr>
      </w:pPr>
    </w:p>
    <w:p>
      <w:pPr>
        <w:ind w:left="1520" w:right="1680" w:firstLine="230"/>
        <w:spacing w:after="0" w:line="277" w:lineRule="auto"/>
        <w:rPr>
          <w:sz w:val="20"/>
          <w:szCs w:val="20"/>
          <w:color w:val="auto"/>
        </w:rPr>
      </w:pPr>
      <w:r>
        <w:rPr>
          <w:rFonts w:ascii="Arial" w:cs="Arial" w:eastAsia="Arial" w:hAnsi="Arial"/>
          <w:sz w:val="12"/>
          <w:szCs w:val="12"/>
          <w:color w:val="auto"/>
        </w:rPr>
        <w:t>Our primary sources of revenue are fees earned from customers for access to our travel and expense management platform (our Travel offering and Expense Management offering) or on-demand travel management services (our Meetings and Events, VIP, and Bleisure offerings), and from suppliers as well as from our payment partners (through our Corporate Payments offering) for connection to our network of travel bookings and corporate card transaction dollar volume. We categorize revenue earned as (i)</w:t>
      </w:r>
    </w:p>
    <w:p>
      <w:pPr>
        <w:sectPr>
          <w:pgSz w:w="11900" w:h="16840" w:orient="portrait"/>
          <w:cols w:equalWidth="0" w:num="1">
            <w:col w:w="9020"/>
          </w:cols>
          <w:pgMar w:left="1440" w:top="560" w:right="1440" w:bottom="11" w:gutter="0" w:footer="0" w:header="0"/>
        </w:sectPr>
      </w:pPr>
    </w:p>
    <w:bookmarkStart w:id="72" w:name="page73"/>
    <w:bookmarkEnd w:id="72"/>
    <w:p>
      <w:pPr>
        <w:ind w:left="1520" w:right="1980"/>
        <w:spacing w:after="0" w:line="251" w:lineRule="auto"/>
        <w:rPr>
          <w:sz w:val="20"/>
          <w:szCs w:val="20"/>
          <w:color w:val="auto"/>
        </w:rPr>
      </w:pPr>
      <w:r>
        <w:rPr>
          <w:rFonts w:ascii="Arial" w:cs="Arial" w:eastAsia="Arial" w:hAnsi="Arial"/>
          <w:sz w:val="12"/>
          <w:szCs w:val="12"/>
          <w:color w:val="auto"/>
        </w:rPr>
        <w:t>usage-based revenue, which primarily represents fees from our platform customers earned on a per-booking transaction basis and fees from our travel supply and payment partners, which are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-176530</wp:posOffset>
            </wp:positionV>
            <wp:extent cx="6732270" cy="99707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2020"/>
        <w:spacing w:after="0" w:line="292" w:lineRule="auto"/>
        <w:rPr>
          <w:sz w:val="20"/>
          <w:szCs w:val="20"/>
          <w:color w:val="auto"/>
        </w:rPr>
      </w:pPr>
      <w:r>
        <w:rPr>
          <w:rFonts w:ascii="Arial" w:cs="Arial" w:eastAsia="Arial" w:hAnsi="Arial"/>
          <w:sz w:val="12"/>
          <w:szCs w:val="12"/>
          <w:color w:val="auto"/>
        </w:rPr>
        <w:t>earned on a per-transaction basis, and (ii) subscription revenue, which primarily represents revenue earned from subscriptions to our expense management platform. Under arrangements with certain</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60"/>
        <w:spacing w:after="0" w:line="281" w:lineRule="auto"/>
        <w:rPr>
          <w:sz w:val="20"/>
          <w:szCs w:val="20"/>
          <w:color w:val="auto"/>
        </w:rPr>
      </w:pPr>
      <w:r>
        <w:rPr>
          <w:rFonts w:ascii="Arial" w:cs="Arial" w:eastAsia="Arial" w:hAnsi="Arial"/>
          <w:sz w:val="12"/>
          <w:szCs w:val="12"/>
          <w:color w:val="auto"/>
        </w:rPr>
        <w:t>suppliers, we earn additional fees when cumulative actual booking or transaction dollar volume exceeds specified contractual thresholds. Our suppliers include airlines, hotels, car rental companies, rail carriers, and providers of GDSs. Our payment partners primarily include our corporate card payment processors and card issuing partners.</w:t>
      </w:r>
    </w:p>
    <w:p>
      <w:pPr>
        <w:spacing w:after="0" w:line="8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Cost of Revenue</w:t>
      </w:r>
    </w:p>
    <w:p>
      <w:pPr>
        <w:spacing w:after="0" w:line="128" w:lineRule="exact"/>
        <w:rPr>
          <w:sz w:val="20"/>
          <w:szCs w:val="20"/>
          <w:color w:val="auto"/>
        </w:rPr>
      </w:pPr>
    </w:p>
    <w:p>
      <w:pPr>
        <w:ind w:left="1520" w:right="1700" w:firstLine="230"/>
        <w:spacing w:after="0" w:line="271" w:lineRule="auto"/>
        <w:rPr>
          <w:sz w:val="20"/>
          <w:szCs w:val="20"/>
          <w:color w:val="auto"/>
        </w:rPr>
      </w:pPr>
      <w:r>
        <w:rPr>
          <w:rFonts w:ascii="Arial" w:cs="Arial" w:eastAsia="Arial" w:hAnsi="Arial"/>
          <w:sz w:val="12"/>
          <w:szCs w:val="12"/>
          <w:color w:val="auto"/>
        </w:rPr>
        <w:t>Cost of revenue consists of direct personnel-related costs associated with customer support and a portion of customer success personnel costs, including salaries, bonuses, stock-based compensation, benefits and other expenses. In addition to personnel-related costs, cost of revenue includes third-party cloud infrastructure costs incurred to deliver our cloud-based travel and expense management platform, amortization of internally developed software and acquired technology, credit card processing fees, third-party vendor fees, and the allocation of certain corporate costs. We expect to incur additional stock-based compensation expense in periods following the completion of this offering as RSUs meet their time-based service vesting conditions, calculated using the accelerated attribution method for RSUs with a performance-based vesting condition and using the straight-line method for RSUs granted following the completion of this offering and without a performance-based vesting condition.</w:t>
      </w:r>
    </w:p>
    <w:p>
      <w:pPr>
        <w:spacing w:after="0" w:line="88" w:lineRule="exact"/>
        <w:rPr>
          <w:sz w:val="20"/>
          <w:szCs w:val="20"/>
          <w:color w:val="auto"/>
        </w:rPr>
      </w:pPr>
    </w:p>
    <w:p>
      <w:pPr>
        <w:ind w:left="1520" w:right="2000" w:firstLine="230"/>
        <w:spacing w:after="0" w:line="289" w:lineRule="auto"/>
        <w:rPr>
          <w:sz w:val="20"/>
          <w:szCs w:val="20"/>
          <w:color w:val="auto"/>
        </w:rPr>
      </w:pPr>
      <w:r>
        <w:rPr>
          <w:rFonts w:ascii="Arial" w:cs="Arial" w:eastAsia="Arial" w:hAnsi="Arial"/>
          <w:sz w:val="12"/>
          <w:szCs w:val="12"/>
          <w:color w:val="auto"/>
        </w:rPr>
        <w:t>We expect that our cost of revenue may fluctuate as a percentage of our revenue from period to period depending on revenue seasonality or other factors impacting revenue, and to decline as a percentage of revenue over the long term.</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128" w:lineRule="exact"/>
        <w:rPr>
          <w:sz w:val="20"/>
          <w:szCs w:val="20"/>
          <w:color w:val="auto"/>
        </w:rPr>
      </w:pPr>
    </w:p>
    <w:p>
      <w:pPr>
        <w:ind w:left="1520" w:right="1720" w:firstLine="230"/>
        <w:spacing w:after="0" w:line="272" w:lineRule="auto"/>
        <w:rPr>
          <w:sz w:val="20"/>
          <w:szCs w:val="20"/>
          <w:color w:val="auto"/>
        </w:rPr>
      </w:pPr>
      <w:r>
        <w:rPr>
          <w:rFonts w:ascii="Arial" w:cs="Arial" w:eastAsia="Arial" w:hAnsi="Arial"/>
          <w:sz w:val="12"/>
          <w:szCs w:val="12"/>
          <w:color w:val="auto"/>
        </w:rPr>
        <w:t>Research and development costs are expensed as incurred. Research and development costs primarily consist of personnel-related costs associated with research and development personnel, including salaries, bonuses, stock-based compensation, benefits and other expenses, third-party cloud infrastructure costs incurred in developing our platform, third-party consulting costs, and the allocation of certain corporate costs. We expect to incur additional stock-based compensation expense in periods following the completion of this offering as RSUs meet their time-based service vesting conditions, calculated using the accelerated attribution method for RSUs with a performance-based vesting condition and using the straight-line method for RSUs granted following the completion of this offering and without a performance-based vesting condition.</w:t>
      </w:r>
    </w:p>
    <w:p>
      <w:pPr>
        <w:spacing w:after="0" w:line="85" w:lineRule="exact"/>
        <w:rPr>
          <w:sz w:val="20"/>
          <w:szCs w:val="20"/>
          <w:color w:val="auto"/>
        </w:rPr>
      </w:pPr>
    </w:p>
    <w:p>
      <w:pPr>
        <w:ind w:left="1520" w:right="1760" w:firstLine="230"/>
        <w:spacing w:after="0" w:line="289" w:lineRule="auto"/>
        <w:rPr>
          <w:sz w:val="20"/>
          <w:szCs w:val="20"/>
          <w:color w:val="auto"/>
        </w:rPr>
      </w:pPr>
      <w:r>
        <w:rPr>
          <w:rFonts w:ascii="Arial" w:cs="Arial" w:eastAsia="Arial" w:hAnsi="Arial"/>
          <w:sz w:val="12"/>
          <w:szCs w:val="12"/>
          <w:color w:val="auto"/>
        </w:rPr>
        <w:t>We expect that research and development expenses may fluctuate as a percentage of our revenue from period to period depending on the timing of these expenses or other factors impacting revenue, and to decline as a percentage of revenue over the long term.</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Sales and Marketing Expenses</w:t>
      </w:r>
    </w:p>
    <w:p>
      <w:pPr>
        <w:spacing w:after="0" w:line="128" w:lineRule="exact"/>
        <w:rPr>
          <w:sz w:val="20"/>
          <w:szCs w:val="20"/>
          <w:color w:val="auto"/>
        </w:rPr>
      </w:pPr>
    </w:p>
    <w:p>
      <w:pPr>
        <w:ind w:left="1520" w:right="1720" w:firstLine="230"/>
        <w:spacing w:after="0" w:line="271" w:lineRule="auto"/>
        <w:rPr>
          <w:sz w:val="20"/>
          <w:szCs w:val="20"/>
          <w:color w:val="auto"/>
        </w:rPr>
      </w:pPr>
      <w:r>
        <w:rPr>
          <w:rFonts w:ascii="Arial" w:cs="Arial" w:eastAsia="Arial" w:hAnsi="Arial"/>
          <w:sz w:val="12"/>
          <w:szCs w:val="12"/>
          <w:color w:val="auto"/>
        </w:rPr>
        <w:t>Sales and marketing expenses primarily consist of personnel-related expenses, including salaries, commissions, bonuses, stock-based compensation, benefits and other expenses, amortization of acquired intangible assets, other promotional and advertising expenses, and the allocation of certain corporate costs. In addition, we expect to incur additional stock-based compensation expense in periods following the completion of this offering as RSUs meet their time-based service vesting conditions, calculated using the accelerated attribution method for RSUs with a performance-based vesting condition and using the straight-line method for RSUs granted following the completion of this offering and without a performance-based vesting condition. We expense certain sales and marketing costs, including promotional expenses, as incurred. We plan to increase our investment in sales and marketing for the foreseeable future, primarily through increased headcount in our sales function and investment in brand and product-marketing efforts.</w:t>
      </w:r>
    </w:p>
    <w:p>
      <w:pPr>
        <w:spacing w:after="0" w:line="241" w:lineRule="exact"/>
        <w:rPr>
          <w:sz w:val="20"/>
          <w:szCs w:val="20"/>
          <w:color w:val="auto"/>
        </w:rPr>
      </w:pPr>
    </w:p>
    <w:p>
      <w:pPr>
        <w:jc w:val="both"/>
        <w:ind w:left="1520" w:right="1680" w:firstLine="230"/>
        <w:spacing w:after="0" w:line="289" w:lineRule="auto"/>
        <w:rPr>
          <w:sz w:val="20"/>
          <w:szCs w:val="20"/>
          <w:color w:val="auto"/>
        </w:rPr>
      </w:pPr>
      <w:r>
        <w:rPr>
          <w:rFonts w:ascii="Arial" w:cs="Arial" w:eastAsia="Arial" w:hAnsi="Arial"/>
          <w:sz w:val="12"/>
          <w:szCs w:val="12"/>
          <w:color w:val="auto"/>
        </w:rPr>
        <w:t>In the near term, we expect that our sales and marketing expenses will increase in absolute dollars as we continue to invest in our sales and marketing organization to drive continued adoption of our platform. We expect that sales and marketing expenses may fluctuate as a percentage of our revenue from period</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840"/>
        <w:spacing w:after="0" w:line="312" w:lineRule="auto"/>
        <w:rPr>
          <w:sz w:val="20"/>
          <w:szCs w:val="20"/>
          <w:color w:val="auto"/>
        </w:rPr>
      </w:pPr>
      <w:r>
        <w:rPr>
          <w:rFonts w:ascii="Arial" w:cs="Arial" w:eastAsia="Arial" w:hAnsi="Arial"/>
          <w:sz w:val="12"/>
          <w:szCs w:val="12"/>
          <w:color w:val="auto"/>
        </w:rPr>
        <w:t>to period depending on the timing of these expenses or other factors impacting revenue, and to decline as a percentage of revenue over the long term.</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128" w:lineRule="exact"/>
        <w:rPr>
          <w:sz w:val="20"/>
          <w:szCs w:val="20"/>
          <w:color w:val="auto"/>
        </w:rPr>
      </w:pPr>
    </w:p>
    <w:p>
      <w:pPr>
        <w:ind w:left="1520" w:right="1700" w:firstLine="230"/>
        <w:spacing w:after="0" w:line="274" w:lineRule="auto"/>
        <w:rPr>
          <w:sz w:val="20"/>
          <w:szCs w:val="20"/>
          <w:color w:val="auto"/>
        </w:rPr>
      </w:pPr>
      <w:r>
        <w:rPr>
          <w:rFonts w:ascii="Arial" w:cs="Arial" w:eastAsia="Arial" w:hAnsi="Arial"/>
          <w:sz w:val="12"/>
          <w:szCs w:val="12"/>
          <w:color w:val="auto"/>
        </w:rPr>
        <w:t>General and administrative expenses primarily consist of personnel-related expenses associated with finance, legal, information technology, payment and finance operations, executives, and human resources personnel, including salaries, bonuses, stock-based compensation, benefits and other expenses. In addition to personnel-related expenses, general and administrative expenses consist of external professional services for finance, legal, human resources and information technology, corporate insurance costs, and the allocation of certain corporate costs. General and administrative expenses also include bad debt expenses.</w:t>
      </w:r>
    </w:p>
    <w:p>
      <w:pPr>
        <w:spacing w:after="0" w:line="241"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color w:val="auto"/>
        </w:rPr>
        <w:t>General and administrative expenses are expensed as incurred. We expect to increase the size of our general and administrative function to support the growth of our business. Following the completion of this offering, we expect to incur additional general and administrative expenses as a result of operating as a public company. Further, we expect to incur additional stock-based compensation expense in periods following the completion of this offering as RSUs meet their time-based service vesting conditions, calculated using the accelerated attribution method for RSUs with a performance-based vesting condition and using the straight-line method for RSUs granted following the completion of this offering and without</w:t>
      </w:r>
    </w:p>
    <w:p>
      <w:pPr>
        <w:sectPr>
          <w:pgSz w:w="11900" w:h="16840" w:orient="portrait"/>
          <w:cols w:equalWidth="0" w:num="1">
            <w:col w:w="9020"/>
          </w:cols>
          <w:pgMar w:left="1440" w:top="560" w:right="1440" w:bottom="0" w:gutter="0" w:footer="0" w:header="0"/>
        </w:sectPr>
      </w:pPr>
    </w:p>
    <w:bookmarkStart w:id="73" w:name="page74"/>
    <w:bookmarkEnd w:id="73"/>
    <w:p>
      <w:pPr>
        <w:ind w:left="1520" w:right="1760"/>
        <w:spacing w:after="0" w:line="281" w:lineRule="auto"/>
        <w:rPr>
          <w:sz w:val="20"/>
          <w:szCs w:val="20"/>
          <w:color w:val="auto"/>
        </w:rPr>
      </w:pPr>
      <w:r>
        <w:rPr>
          <w:rFonts w:ascii="Arial" w:cs="Arial" w:eastAsia="Arial" w:hAnsi="Arial"/>
          <w:sz w:val="12"/>
          <w:szCs w:val="12"/>
          <w:color w:val="auto"/>
        </w:rPr>
        <w:t>a performance-based vesting condition. As a result, we expect that our general and administrative expenses will increase in absolute dollars for the foreseeable future. We expect our general and administrative expenses may vary from period to period as a percentage of revenue in the near term and to decline as a percentage of revenue in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-403860</wp:posOffset>
            </wp:positionV>
            <wp:extent cx="6732270" cy="99707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61" w:lineRule="exact"/>
        <w:rPr>
          <w:sz w:val="20"/>
          <w:szCs w:val="20"/>
          <w:color w:val="auto"/>
        </w:rPr>
      </w:pPr>
    </w:p>
    <w:p>
      <w:pPr>
        <w:ind w:left="1520" w:right="1780" w:firstLine="230"/>
        <w:spacing w:after="0" w:line="277" w:lineRule="auto"/>
        <w:rPr>
          <w:sz w:val="20"/>
          <w:szCs w:val="20"/>
          <w:color w:val="auto"/>
        </w:rPr>
      </w:pPr>
      <w:r>
        <w:rPr>
          <w:rFonts w:ascii="Arial" w:cs="Arial" w:eastAsia="Arial" w:hAnsi="Arial"/>
          <w:sz w:val="12"/>
          <w:szCs w:val="12"/>
          <w:color w:val="auto"/>
        </w:rPr>
        <w:t>In the quarter in which this offering is completed, we will recognize approximately $81.1 million of stock-based compensation expense across our cost of revenue and operating expenses associated with the satisfaction of the performance-based vesting condition for outstanding RSUs for which the service-based vesting conditions have been fully or partially satisfied upon the effective date of the registration statement of which this prospectus forms a part.</w:t>
      </w:r>
    </w:p>
    <w:p>
      <w:pPr>
        <w:spacing w:after="0" w:line="8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Interest Expense</w:t>
      </w:r>
    </w:p>
    <w:p>
      <w:pPr>
        <w:spacing w:after="0" w:line="128" w:lineRule="exact"/>
        <w:rPr>
          <w:sz w:val="20"/>
          <w:szCs w:val="20"/>
          <w:color w:val="auto"/>
        </w:rPr>
      </w:pPr>
    </w:p>
    <w:p>
      <w:pPr>
        <w:ind w:left="1520" w:right="1920" w:firstLine="230"/>
        <w:spacing w:after="0" w:line="312" w:lineRule="auto"/>
        <w:rPr>
          <w:sz w:val="20"/>
          <w:szCs w:val="20"/>
          <w:color w:val="auto"/>
        </w:rPr>
      </w:pPr>
      <w:r>
        <w:rPr>
          <w:rFonts w:ascii="Arial" w:cs="Arial" w:eastAsia="Arial" w:hAnsi="Arial"/>
          <w:sz w:val="12"/>
          <w:szCs w:val="12"/>
          <w:color w:val="auto"/>
        </w:rPr>
        <w:t>Interest expense primarily relates to interest expense on our borrowings, including amortization of debt discount and issuance costs related to our outstanding debt.</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Other Income (Expense), Net</w:t>
      </w:r>
    </w:p>
    <w:p>
      <w:pPr>
        <w:spacing w:after="0" w:line="128" w:lineRule="exact"/>
        <w:rPr>
          <w:sz w:val="20"/>
          <w:szCs w:val="20"/>
          <w:color w:val="auto"/>
        </w:rPr>
      </w:pPr>
    </w:p>
    <w:p>
      <w:pPr>
        <w:ind w:left="1520" w:right="2260" w:firstLine="230"/>
        <w:spacing w:after="0" w:line="312" w:lineRule="auto"/>
        <w:rPr>
          <w:sz w:val="20"/>
          <w:szCs w:val="20"/>
          <w:color w:val="auto"/>
        </w:rPr>
      </w:pPr>
      <w:r>
        <w:rPr>
          <w:rFonts w:ascii="Arial" w:cs="Arial" w:eastAsia="Arial" w:hAnsi="Arial"/>
          <w:sz w:val="12"/>
          <w:szCs w:val="12"/>
          <w:color w:val="auto"/>
        </w:rPr>
        <w:t>Other income (expense), net primarily consists of interest income earned on cash and cash equivalents, foreign exchange gains and losses, and other non-operating gains and losses.</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Gain (Loss) on Fair Value Adjustments</w:t>
      </w:r>
    </w:p>
    <w:p>
      <w:pPr>
        <w:spacing w:after="0" w:line="128" w:lineRule="exact"/>
        <w:rPr>
          <w:sz w:val="20"/>
          <w:szCs w:val="20"/>
          <w:color w:val="auto"/>
        </w:rPr>
      </w:pPr>
    </w:p>
    <w:p>
      <w:pPr>
        <w:jc w:val="both"/>
        <w:ind w:left="1520" w:right="1840" w:firstLine="230"/>
        <w:spacing w:after="0" w:line="312" w:lineRule="auto"/>
        <w:rPr>
          <w:sz w:val="20"/>
          <w:szCs w:val="20"/>
          <w:color w:val="auto"/>
        </w:rPr>
      </w:pPr>
      <w:r>
        <w:rPr>
          <w:rFonts w:ascii="Arial" w:cs="Arial" w:eastAsia="Arial" w:hAnsi="Arial"/>
          <w:sz w:val="12"/>
          <w:szCs w:val="12"/>
          <w:color w:val="auto"/>
        </w:rPr>
        <w:t>Gain (loss) on fair value adjustments primarily consists of gains and losses as a result of recording our SAFEs, embedded derivative and warrant liabilities at fair value at the end of each reporting period.</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Loss on Extinguishment of Debt</w:t>
      </w:r>
    </w:p>
    <w:p>
      <w:pPr>
        <w:spacing w:after="0" w:line="12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Loss on extinguishment of debt consists of losses incurred on the extinguishment of debt instruments.</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Income Tax Expense</w:t>
      </w:r>
    </w:p>
    <w:p>
      <w:pPr>
        <w:spacing w:after="0" w:line="128" w:lineRule="exact"/>
        <w:rPr>
          <w:sz w:val="20"/>
          <w:szCs w:val="20"/>
          <w:color w:val="auto"/>
        </w:rPr>
      </w:pPr>
    </w:p>
    <w:p>
      <w:pPr>
        <w:ind w:left="1520" w:right="1760" w:firstLine="230"/>
        <w:spacing w:after="0" w:line="281" w:lineRule="auto"/>
        <w:rPr>
          <w:sz w:val="20"/>
          <w:szCs w:val="20"/>
          <w:color w:val="auto"/>
        </w:rPr>
      </w:pPr>
      <w:r>
        <w:rPr>
          <w:rFonts w:ascii="Arial" w:cs="Arial" w:eastAsia="Arial" w:hAnsi="Arial"/>
          <w:sz w:val="12"/>
          <w:szCs w:val="12"/>
          <w:color w:val="auto"/>
        </w:rPr>
        <w:t>Income tax expense primarily consists of income taxes in certain federal, state, and foreign jurisdictions in which we conduct business. We maintain a full valuation allowance against our U.S. federal and state deferred tax assets, and certain foreign deferred tax assets, as we have concluded that it is not more likely than not that these deferred tax assets will be realized.</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Results of Operations</w:t>
      </w:r>
    </w:p>
    <w:p>
      <w:pPr>
        <w:spacing w:after="0" w:line="130" w:lineRule="exact"/>
        <w:rPr>
          <w:sz w:val="20"/>
          <w:szCs w:val="20"/>
          <w:color w:val="auto"/>
        </w:rPr>
      </w:pPr>
    </w:p>
    <w:p>
      <w:pPr>
        <w:ind w:left="1520" w:right="2240" w:firstLine="230"/>
        <w:spacing w:after="0" w:line="312" w:lineRule="auto"/>
        <w:rPr>
          <w:sz w:val="20"/>
          <w:szCs w:val="20"/>
          <w:color w:val="auto"/>
        </w:rPr>
      </w:pPr>
      <w:r>
        <w:rPr>
          <w:rFonts w:ascii="Arial" w:cs="Arial" w:eastAsia="Arial" w:hAnsi="Arial"/>
          <w:sz w:val="12"/>
          <w:szCs w:val="12"/>
          <w:color w:val="auto"/>
        </w:rPr>
        <w:t>The following table sets forth our consolidated statements of operations data for the periods indicated:</w:t>
      </w:r>
    </w:p>
    <w:p>
      <w:pPr>
        <w:spacing w:after="0" w:line="79"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2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gridSpan w:val="4"/>
          </w:tcPr>
          <w:p>
            <w:pPr>
              <w:jc w:val="right"/>
              <w:ind w:right="181"/>
              <w:spacing w:after="0"/>
              <w:rPr>
                <w:sz w:val="20"/>
                <w:szCs w:val="20"/>
                <w:color w:val="auto"/>
              </w:rPr>
            </w:pPr>
            <w:r>
              <w:rPr>
                <w:rFonts w:ascii="Arial" w:cs="Arial" w:eastAsia="Arial" w:hAnsi="Arial"/>
                <w:sz w:val="11"/>
                <w:szCs w:val="11"/>
                <w:b w:val="1"/>
                <w:bCs w:val="1"/>
                <w:color w:val="auto"/>
              </w:rPr>
              <w:t>Year Ended January 31,</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4"/>
          </w:tcPr>
          <w:p>
            <w:pPr>
              <w:ind w:left="4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57"/>
        </w:trPr>
        <w:tc>
          <w:tcPr>
            <w:tcW w:w="25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ind w:left="40"/>
              <w:spacing w:after="0" w:line="47" w:lineRule="exact"/>
              <w:rPr>
                <w:sz w:val="20"/>
                <w:szCs w:val="20"/>
                <w:color w:val="auto"/>
              </w:rPr>
            </w:pPr>
            <w:r>
              <w:rPr>
                <w:rFonts w:ascii="Arial" w:cs="Arial" w:eastAsia="Arial" w:hAnsi="Arial"/>
                <w:sz w:val="5"/>
                <w:szCs w:val="5"/>
                <w:b w:val="1"/>
                <w:bCs w:val="1"/>
                <w:color w:val="auto"/>
              </w:rPr>
              <w:t>,</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vMerge w:val="restart"/>
          </w:tcPr>
          <w:p>
            <w:pPr>
              <w:jc w:val="right"/>
              <w:ind w:right="258"/>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38"/>
        </w:trPr>
        <w:tc>
          <w:tcPr>
            <w:tcW w:w="25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gridSpan w:val="4"/>
          </w:tcPr>
          <w:p>
            <w:pPr>
              <w:jc w:val="right"/>
              <w:ind w:right="461"/>
              <w:spacing w:after="0" w:line="91" w:lineRule="exact"/>
              <w:rPr>
                <w:sz w:val="20"/>
                <w:szCs w:val="20"/>
                <w:color w:val="auto"/>
              </w:rPr>
            </w:pPr>
            <w:r>
              <w:rPr>
                <w:rFonts w:ascii="Arial" w:cs="Arial" w:eastAsia="Arial" w:hAnsi="Arial"/>
                <w:sz w:val="9"/>
                <w:szCs w:val="9"/>
                <w:b w:val="1"/>
                <w:bCs w:val="1"/>
                <w:color w:val="auto"/>
              </w:rPr>
              <w:t>(in thousands</w:t>
            </w: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560" w:type="dxa"/>
            <w:vAlign w:val="bottom"/>
            <w:vMerge w:val="restart"/>
          </w:tcPr>
          <w:p>
            <w:pPr>
              <w:ind w:left="40"/>
              <w:spacing w:after="0"/>
              <w:rPr>
                <w:sz w:val="20"/>
                <w:szCs w:val="20"/>
                <w:color w:val="auto"/>
              </w:rPr>
            </w:pPr>
            <w:r>
              <w:rPr>
                <w:rFonts w:ascii="Arial" w:cs="Arial" w:eastAsia="Arial" w:hAnsi="Arial"/>
                <w:sz w:val="12"/>
                <w:szCs w:val="12"/>
                <w:color w:val="auto"/>
              </w:rPr>
              <w:t xml:space="preserve">Revenue </w:t>
            </w:r>
            <w:r>
              <w:rPr>
                <w:rFonts w:ascii="Times New Roman" w:cs="Times New Roman" w:eastAsia="Times New Roman" w:hAnsi="Times New Roman"/>
                <w:sz w:val="12"/>
                <w:szCs w:val="12"/>
                <w:color w:val="B4B4B4"/>
              </w:rPr>
              <w:t>..............................................................</w:t>
            </w:r>
          </w:p>
        </w:tc>
        <w:tc>
          <w:tcPr>
            <w:tcW w:w="180" w:type="dxa"/>
            <w:vAlign w:val="bottom"/>
            <w:vMerge w:val="restart"/>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536,837</w:t>
            </w:r>
          </w:p>
        </w:tc>
        <w:tc>
          <w:tcPr>
            <w:tcW w:w="220" w:type="dxa"/>
            <w:vAlign w:val="bottom"/>
            <w:gridSpan w:val="2"/>
            <w:vMerge w:val="restart"/>
          </w:tcPr>
          <w:p>
            <w:pPr>
              <w:jc w:val="right"/>
              <w:ind w:right="1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41"/>
              <w:spacing w:after="0" w:line="67" w:lineRule="exact"/>
              <w:rPr>
                <w:sz w:val="20"/>
                <w:szCs w:val="20"/>
                <w:color w:val="auto"/>
              </w:rPr>
            </w:pPr>
            <w:r>
              <w:rPr>
                <w:rFonts w:ascii="Arial" w:cs="Arial" w:eastAsia="Arial" w:hAnsi="Arial"/>
                <w:sz w:val="7"/>
                <w:szCs w:val="7"/>
                <w:b w:val="1"/>
                <w:bCs w:val="1"/>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1"/>
              <w:spacing w:after="0"/>
              <w:rPr>
                <w:sz w:val="20"/>
                <w:szCs w:val="20"/>
                <w:color w:val="auto"/>
              </w:rPr>
            </w:pPr>
            <w:r>
              <w:rPr>
                <w:rFonts w:ascii="Arial" w:cs="Arial" w:eastAsia="Arial" w:hAnsi="Arial"/>
                <w:sz w:val="12"/>
                <w:szCs w:val="12"/>
                <w:color w:val="auto"/>
              </w:rPr>
              <w:t>329,413</w:t>
            </w:r>
          </w:p>
        </w:tc>
        <w:tc>
          <w:tcPr>
            <w:tcW w:w="240" w:type="dxa"/>
            <w:vAlign w:val="bottom"/>
            <w:gridSpan w:val="2"/>
            <w:vMerge w:val="restart"/>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ind w:right="18"/>
              <w:spacing w:after="0"/>
              <w:rPr>
                <w:sz w:val="20"/>
                <w:szCs w:val="20"/>
                <w:color w:val="auto"/>
              </w:rPr>
            </w:pPr>
            <w:r>
              <w:rPr>
                <w:rFonts w:ascii="Arial" w:cs="Arial" w:eastAsia="Arial" w:hAnsi="Arial"/>
                <w:sz w:val="12"/>
                <w:szCs w:val="12"/>
                <w:color w:val="auto"/>
              </w:rPr>
              <w:t>253,727</w:t>
            </w:r>
          </w:p>
        </w:tc>
        <w:tc>
          <w:tcPr>
            <w:tcW w:w="0" w:type="dxa"/>
            <w:vAlign w:val="bottom"/>
          </w:tcPr>
          <w:p>
            <w:pPr>
              <w:spacing w:after="0"/>
              <w:rPr>
                <w:sz w:val="1"/>
                <w:szCs w:val="1"/>
                <w:color w:val="auto"/>
              </w:rPr>
            </w:pPr>
          </w:p>
        </w:tc>
      </w:tr>
      <w:tr>
        <w:trPr>
          <w:trHeight w:val="168"/>
        </w:trPr>
        <w:tc>
          <w:tcPr>
            <w:tcW w:w="25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402,256</w:t>
            </w:r>
          </w:p>
        </w:tc>
        <w:tc>
          <w:tcPr>
            <w:tcW w:w="2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5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Cost of revenue </w:t>
            </w:r>
            <w:r>
              <w:rPr>
                <w:rFonts w:ascii="Times New Roman" w:cs="Times New Roman" w:eastAsia="Times New Roman" w:hAnsi="Times New Roman"/>
                <w:sz w:val="12"/>
                <w:szCs w:val="12"/>
                <w:color w:val="B4B4B4"/>
              </w:rPr>
              <w:t>..................................................</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169,815</w:t>
            </w: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162,622</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92,583</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82,545</w:t>
            </w:r>
          </w:p>
        </w:tc>
        <w:tc>
          <w:tcPr>
            <w:tcW w:w="0" w:type="dxa"/>
            <w:vAlign w:val="bottom"/>
          </w:tcPr>
          <w:p>
            <w:pPr>
              <w:spacing w:after="0"/>
              <w:rPr>
                <w:sz w:val="1"/>
                <w:szCs w:val="1"/>
                <w:color w:val="auto"/>
              </w:rPr>
            </w:pPr>
          </w:p>
        </w:tc>
      </w:tr>
      <w:tr>
        <w:trPr>
          <w:trHeight w:val="170"/>
        </w:trPr>
        <w:tc>
          <w:tcPr>
            <w:tcW w:w="25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Grossprofit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367,022</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239,634</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236,830</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171,182</w:t>
            </w:r>
          </w:p>
        </w:tc>
        <w:tc>
          <w:tcPr>
            <w:tcW w:w="0" w:type="dxa"/>
            <w:vAlign w:val="bottom"/>
          </w:tcPr>
          <w:p>
            <w:pPr>
              <w:spacing w:after="0"/>
              <w:rPr>
                <w:sz w:val="1"/>
                <w:szCs w:val="1"/>
                <w:color w:val="auto"/>
              </w:rPr>
            </w:pPr>
          </w:p>
        </w:tc>
      </w:tr>
      <w:tr>
        <w:trPr>
          <w:trHeight w:val="173"/>
        </w:trPr>
        <w:tc>
          <w:tcPr>
            <w:tcW w:w="2560" w:type="dxa"/>
            <w:vAlign w:val="bottom"/>
          </w:tcPr>
          <w:p>
            <w:pPr>
              <w:ind w:left="40"/>
              <w:spacing w:after="0"/>
              <w:rPr>
                <w:sz w:val="20"/>
                <w:szCs w:val="20"/>
                <w:color w:val="auto"/>
              </w:rPr>
            </w:pPr>
            <w:r>
              <w:rPr>
                <w:rFonts w:ascii="Arial" w:cs="Arial" w:eastAsia="Arial" w:hAnsi="Arial"/>
                <w:sz w:val="12"/>
                <w:szCs w:val="12"/>
                <w:color w:val="auto"/>
              </w:rPr>
              <w:t>Operating expenses</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Research and development </w:t>
            </w:r>
            <w:r>
              <w:rPr>
                <w:rFonts w:ascii="Times New Roman" w:cs="Times New Roman" w:eastAsia="Times New Roman" w:hAnsi="Times New Roman"/>
                <w:sz w:val="12"/>
                <w:szCs w:val="12"/>
                <w:color w:val="B4B4B4"/>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122,386</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132,442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64,760</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57,784</w:t>
            </w:r>
          </w:p>
        </w:tc>
        <w:tc>
          <w:tcPr>
            <w:tcW w:w="0" w:type="dxa"/>
            <w:vAlign w:val="bottom"/>
          </w:tcPr>
          <w:p>
            <w:pPr>
              <w:spacing w:after="0"/>
              <w:rPr>
                <w:sz w:val="1"/>
                <w:szCs w:val="1"/>
                <w:color w:val="auto"/>
              </w:rPr>
            </w:pPr>
          </w:p>
        </w:tc>
      </w:tr>
      <w:tr>
        <w:trPr>
          <w:trHeight w:val="173"/>
        </w:trPr>
        <w:tc>
          <w:tcPr>
            <w:tcW w:w="2560" w:type="dxa"/>
            <w:vAlign w:val="bottom"/>
          </w:tcPr>
          <w:p>
            <w:pPr>
              <w:ind w:left="180"/>
              <w:spacing w:after="0"/>
              <w:rPr>
                <w:sz w:val="20"/>
                <w:szCs w:val="20"/>
                <w:color w:val="auto"/>
              </w:rPr>
            </w:pPr>
            <w:r>
              <w:rPr>
                <w:rFonts w:ascii="Arial" w:cs="Arial" w:eastAsia="Arial" w:hAnsi="Arial"/>
                <w:sz w:val="12"/>
                <w:szCs w:val="12"/>
                <w:color w:val="auto"/>
              </w:rPr>
              <w:t xml:space="preserve">Sales and marketing </w:t>
            </w:r>
            <w:r>
              <w:rPr>
                <w:rFonts w:ascii="Times New Roman" w:cs="Times New Roman" w:eastAsia="Times New Roman" w:hAnsi="Times New Roman"/>
                <w:sz w:val="12"/>
                <w:szCs w:val="12"/>
                <w:color w:val="B4B4B4"/>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218,722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220,511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130,376</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103,530</w:t>
            </w:r>
          </w:p>
        </w:tc>
        <w:tc>
          <w:tcPr>
            <w:tcW w:w="0" w:type="dxa"/>
            <w:vAlign w:val="bottom"/>
          </w:tcPr>
          <w:p>
            <w:pPr>
              <w:spacing w:after="0"/>
              <w:rPr>
                <w:sz w:val="1"/>
                <w:szCs w:val="1"/>
                <w:color w:val="auto"/>
              </w:rPr>
            </w:pPr>
          </w:p>
        </w:tc>
      </w:tr>
      <w:tr>
        <w:trPr>
          <w:trHeight w:val="190"/>
        </w:trPr>
        <w:tc>
          <w:tcPr>
            <w:tcW w:w="2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General and administrative </w:t>
            </w:r>
            <w:r>
              <w:rPr>
                <w:rFonts w:ascii="Times New Roman" w:cs="Times New Roman" w:eastAsia="Times New Roman" w:hAnsi="Times New Roman"/>
                <w:sz w:val="12"/>
                <w:szCs w:val="12"/>
                <w:color w:val="B4B4B4"/>
              </w:rPr>
              <w:t>.........................</w:t>
            </w: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133,552</w:t>
            </w: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133,023</w:t>
            </w: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69,845</w:t>
            </w: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65,238</w:t>
            </w:r>
          </w:p>
        </w:tc>
        <w:tc>
          <w:tcPr>
            <w:tcW w:w="0" w:type="dxa"/>
            <w:vAlign w:val="bottom"/>
          </w:tcPr>
          <w:p>
            <w:pPr>
              <w:spacing w:after="0"/>
              <w:rPr>
                <w:sz w:val="1"/>
                <w:szCs w:val="1"/>
                <w:color w:val="auto"/>
              </w:rPr>
            </w:pPr>
          </w:p>
        </w:tc>
      </w:tr>
      <w:tr>
        <w:trPr>
          <w:trHeight w:val="158"/>
        </w:trPr>
        <w:tc>
          <w:tcPr>
            <w:tcW w:w="2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Totaloperatingexpense</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474,660</w:t>
            </w: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485,976</w:t>
            </w: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264,981</w:t>
            </w: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226,552</w:t>
            </w:r>
          </w:p>
        </w:tc>
        <w:tc>
          <w:tcPr>
            <w:tcW w:w="0" w:type="dxa"/>
            <w:vAlign w:val="bottom"/>
          </w:tcPr>
          <w:p>
            <w:pPr>
              <w:spacing w:after="0"/>
              <w:rPr>
                <w:sz w:val="1"/>
                <w:szCs w:val="1"/>
                <w:color w:val="auto"/>
              </w:rPr>
            </w:pPr>
          </w:p>
        </w:tc>
      </w:tr>
      <w:tr>
        <w:trPr>
          <w:trHeight w:val="166"/>
        </w:trPr>
        <w:tc>
          <w:tcPr>
            <w:tcW w:w="25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Lossfromoperations</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(107,638)</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(246,342)</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(28,151)</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(55,370)</w:t>
            </w:r>
          </w:p>
        </w:tc>
        <w:tc>
          <w:tcPr>
            <w:tcW w:w="0" w:type="dxa"/>
            <w:vAlign w:val="bottom"/>
          </w:tcPr>
          <w:p>
            <w:pPr>
              <w:spacing w:after="0"/>
              <w:rPr>
                <w:sz w:val="1"/>
                <w:szCs w:val="1"/>
                <w:color w:val="auto"/>
              </w:rPr>
            </w:pPr>
          </w:p>
        </w:tc>
      </w:tr>
      <w:tr>
        <w:trPr>
          <w:trHeight w:val="173"/>
        </w:trPr>
        <w:tc>
          <w:tcPr>
            <w:tcW w:w="2560" w:type="dxa"/>
            <w:vAlign w:val="bottom"/>
          </w:tcPr>
          <w:p>
            <w:pPr>
              <w:ind w:left="180"/>
              <w:spacing w:after="0"/>
              <w:rPr>
                <w:sz w:val="20"/>
                <w:szCs w:val="20"/>
                <w:color w:val="auto"/>
              </w:rPr>
            </w:pPr>
            <w:r>
              <w:rPr>
                <w:rFonts w:ascii="Arial" w:cs="Arial" w:eastAsia="Arial" w:hAnsi="Arial"/>
                <w:sz w:val="12"/>
                <w:szCs w:val="12"/>
                <w:color w:val="auto"/>
              </w:rPr>
              <w:t xml:space="preserve">Interest expense </w:t>
            </w:r>
            <w:r>
              <w:rPr>
                <w:rFonts w:ascii="Times New Roman" w:cs="Times New Roman" w:eastAsia="Times New Roman" w:hAnsi="Times New Roman"/>
                <w:sz w:val="12"/>
                <w:szCs w:val="12"/>
                <w:color w:val="B4B4B4"/>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(75,997)</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(63,281)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(31,971)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(37,851)</w:t>
            </w:r>
          </w:p>
        </w:tc>
        <w:tc>
          <w:tcPr>
            <w:tcW w:w="0" w:type="dxa"/>
            <w:vAlign w:val="bottom"/>
          </w:tcPr>
          <w:p>
            <w:pPr>
              <w:spacing w:after="0"/>
              <w:rPr>
                <w:sz w:val="1"/>
                <w:szCs w:val="1"/>
                <w:color w:val="auto"/>
              </w:rPr>
            </w:pPr>
          </w:p>
        </w:tc>
      </w:tr>
      <w:tr>
        <w:trPr>
          <w:trHeight w:val="190"/>
        </w:trPr>
        <w:tc>
          <w:tcPr>
            <w:tcW w:w="2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Other income (expense), net </w:t>
            </w:r>
            <w:r>
              <w:rPr>
                <w:rFonts w:ascii="Times New Roman" w:cs="Times New Roman" w:eastAsia="Times New Roman" w:hAnsi="Times New Roman"/>
                <w:sz w:val="12"/>
                <w:szCs w:val="12"/>
                <w:color w:val="B4B4B4"/>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10,093</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6,699</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1,953</w:t>
            </w:r>
          </w:p>
        </w:tc>
        <w:tc>
          <w:tcPr>
            <w:tcW w:w="0" w:type="dxa"/>
            <w:vAlign w:val="bottom"/>
          </w:tcPr>
          <w:p>
            <w:pPr>
              <w:spacing w:after="0"/>
              <w:rPr>
                <w:sz w:val="1"/>
                <w:szCs w:val="1"/>
                <w:color w:val="auto"/>
              </w:rPr>
            </w:pPr>
          </w:p>
        </w:tc>
      </w:tr>
      <w:tr>
        <w:trPr>
          <w:trHeight w:val="173"/>
        </w:trPr>
        <w:tc>
          <w:tcPr>
            <w:tcW w:w="2560" w:type="dxa"/>
            <w:vAlign w:val="bottom"/>
          </w:tcPr>
          <w:p>
            <w:pPr>
              <w:ind w:left="180"/>
              <w:spacing w:after="0"/>
              <w:rPr>
                <w:sz w:val="20"/>
                <w:szCs w:val="20"/>
                <w:color w:val="auto"/>
              </w:rPr>
            </w:pPr>
            <w:r>
              <w:rPr>
                <w:rFonts w:ascii="Arial" w:cs="Arial" w:eastAsia="Arial" w:hAnsi="Arial"/>
                <w:sz w:val="12"/>
                <w:szCs w:val="12"/>
                <w:color w:val="auto"/>
              </w:rPr>
              <w:t xml:space="preserve">Loss on extinguishment of debt </w:t>
            </w:r>
            <w:r>
              <w:rPr>
                <w:rFonts w:ascii="Times New Roman" w:cs="Times New Roman" w:eastAsia="Times New Roman" w:hAnsi="Times New Roman"/>
                <w:sz w:val="12"/>
                <w:szCs w:val="12"/>
                <w:color w:val="B4B4B4"/>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(20,528)</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0"/>
        </w:trPr>
        <w:tc>
          <w:tcPr>
            <w:tcW w:w="2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Gain (loss) on fair value adjustments </w:t>
            </w:r>
            <w:r>
              <w:rPr>
                <w:rFonts w:ascii="Times New Roman" w:cs="Times New Roman" w:eastAsia="Times New Roman" w:hAnsi="Times New Roman"/>
                <w:sz w:val="12"/>
                <w:szCs w:val="12"/>
                <w:color w:val="B4B4B4"/>
              </w:rPr>
              <w:t>........</w:t>
            </w: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12,200</w:t>
            </w: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(26,594)</w:t>
            </w: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(17,886)</w:t>
            </w: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3,020</w:t>
            </w:r>
          </w:p>
        </w:tc>
        <w:tc>
          <w:tcPr>
            <w:tcW w:w="0" w:type="dxa"/>
            <w:vAlign w:val="bottom"/>
          </w:tcPr>
          <w:p>
            <w:pPr>
              <w:spacing w:after="0"/>
              <w:rPr>
                <w:sz w:val="1"/>
                <w:szCs w:val="1"/>
                <w:color w:val="auto"/>
              </w:rPr>
            </w:pPr>
          </w:p>
        </w:tc>
      </w:tr>
      <w:tr>
        <w:trPr>
          <w:trHeight w:val="158"/>
        </w:trPr>
        <w:tc>
          <w:tcPr>
            <w:tcW w:w="2560" w:type="dxa"/>
            <w:vAlign w:val="bottom"/>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Lossbeforeincometaxexpense</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(171,508)</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(326,124)</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(91,837)</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(88,248)</w:t>
            </w:r>
          </w:p>
        </w:tc>
        <w:tc>
          <w:tcPr>
            <w:tcW w:w="0" w:type="dxa"/>
            <w:vAlign w:val="bottom"/>
          </w:tcPr>
          <w:p>
            <w:pPr>
              <w:spacing w:after="0"/>
              <w:rPr>
                <w:sz w:val="1"/>
                <w:szCs w:val="1"/>
                <w:color w:val="auto"/>
              </w:rPr>
            </w:pPr>
          </w:p>
        </w:tc>
      </w:tr>
      <w:tr>
        <w:trPr>
          <w:trHeight w:val="186"/>
        </w:trPr>
        <w:tc>
          <w:tcPr>
            <w:tcW w:w="25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Income tax expense </w:t>
            </w:r>
            <w:r>
              <w:rPr>
                <w:rFonts w:ascii="Times New Roman" w:cs="Times New Roman" w:eastAsia="Times New Roman" w:hAnsi="Times New Roman"/>
                <w:sz w:val="12"/>
                <w:szCs w:val="12"/>
                <w:color w:val="B4B4B4"/>
              </w:rPr>
              <w:t>..........................................</w:t>
            </w: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9,570</w:t>
            </w: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5,428</w:t>
            </w: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8,043</w:t>
            </w: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4,296</w:t>
            </w:r>
          </w:p>
        </w:tc>
        <w:tc>
          <w:tcPr>
            <w:tcW w:w="0" w:type="dxa"/>
            <w:vAlign w:val="bottom"/>
          </w:tcPr>
          <w:p>
            <w:pPr>
              <w:spacing w:after="0"/>
              <w:rPr>
                <w:sz w:val="1"/>
                <w:szCs w:val="1"/>
                <w:color w:val="auto"/>
              </w:rPr>
            </w:pPr>
          </w:p>
        </w:tc>
      </w:tr>
      <w:tr>
        <w:trPr>
          <w:trHeight w:val="161"/>
        </w:trPr>
        <w:tc>
          <w:tcPr>
            <w:tcW w:w="25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Netloss</w:t>
            </w:r>
          </w:p>
        </w:tc>
        <w:tc>
          <w:tcPr>
            <w:tcW w:w="1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(181,078)</w:t>
            </w:r>
          </w:p>
        </w:tc>
        <w:tc>
          <w:tcPr>
            <w:tcW w:w="40" w:type="dxa"/>
            <w:vAlign w:val="bottom"/>
          </w:tcPr>
          <w:p>
            <w:pPr>
              <w:spacing w:after="0"/>
              <w:rPr>
                <w:sz w:val="13"/>
                <w:szCs w:val="13"/>
                <w:color w:val="auto"/>
              </w:rPr>
            </w:pPr>
          </w:p>
        </w:tc>
        <w:tc>
          <w:tcPr>
            <w:tcW w:w="1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(331,552)</w:t>
            </w:r>
          </w:p>
        </w:tc>
        <w:tc>
          <w:tcPr>
            <w:tcW w:w="40" w:type="dxa"/>
            <w:vAlign w:val="bottom"/>
          </w:tcPr>
          <w:p>
            <w:pPr>
              <w:spacing w:after="0"/>
              <w:rPr>
                <w:sz w:val="13"/>
                <w:szCs w:val="1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(99,880)</w:t>
            </w:r>
          </w:p>
        </w:tc>
        <w:tc>
          <w:tcPr>
            <w:tcW w:w="40" w:type="dxa"/>
            <w:vAlign w:val="bottom"/>
          </w:tcPr>
          <w:p>
            <w:pPr>
              <w:spacing w:after="0"/>
              <w:rPr>
                <w:sz w:val="13"/>
                <w:szCs w:val="13"/>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(92,544)</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520" w:right="2320" w:firstLine="230"/>
        <w:spacing w:after="0" w:line="312" w:lineRule="auto"/>
        <w:rPr>
          <w:sz w:val="20"/>
          <w:szCs w:val="20"/>
          <w:color w:val="auto"/>
        </w:rPr>
      </w:pPr>
      <w:r>
        <w:rPr>
          <w:rFonts w:ascii="Arial" w:cs="Arial" w:eastAsia="Arial" w:hAnsi="Arial"/>
          <w:sz w:val="12"/>
          <w:szCs w:val="12"/>
          <w:color w:val="auto"/>
        </w:rPr>
        <w:t>Stock-based compensation is included in the following components of expenses within the consolidated statements of operations:</w:t>
      </w:r>
    </w:p>
    <w:p>
      <w:pPr>
        <w:spacing w:after="0" w:line="79"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2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4"/>
          </w:tcPr>
          <w:p>
            <w:pPr>
              <w:jc w:val="right"/>
              <w:ind w:right="204"/>
              <w:spacing w:after="0"/>
              <w:rPr>
                <w:sz w:val="20"/>
                <w:szCs w:val="20"/>
                <w:color w:val="auto"/>
              </w:rPr>
            </w:pPr>
            <w:r>
              <w:rPr>
                <w:rFonts w:ascii="Arial" w:cs="Arial" w:eastAsia="Arial" w:hAnsi="Arial"/>
                <w:sz w:val="11"/>
                <w:szCs w:val="11"/>
                <w:b w:val="1"/>
                <w:bCs w:val="1"/>
                <w:color w:val="auto"/>
                <w:w w:val="99"/>
              </w:rPr>
              <w:t>Year Ended January 31,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4"/>
          </w:tcPr>
          <w:p>
            <w:pPr>
              <w:ind w:left="6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57"/>
        </w:trPr>
        <w:tc>
          <w:tcPr>
            <w:tcW w:w="25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ind w:left="60"/>
              <w:spacing w:after="0" w:line="47" w:lineRule="exact"/>
              <w:rPr>
                <w:sz w:val="20"/>
                <w:szCs w:val="20"/>
                <w:color w:val="auto"/>
              </w:rPr>
            </w:pPr>
            <w:r>
              <w:rPr>
                <w:rFonts w:ascii="Arial" w:cs="Arial" w:eastAsia="Arial" w:hAnsi="Arial"/>
                <w:sz w:val="5"/>
                <w:szCs w:val="5"/>
                <w:b w:val="1"/>
                <w:bCs w:val="1"/>
                <w:color w:val="auto"/>
              </w:rPr>
              <w:t>,</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38"/>
        </w:trPr>
        <w:tc>
          <w:tcPr>
            <w:tcW w:w="25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b w:val="1"/>
                <w:bCs w:val="1"/>
                <w:color w:val="auto"/>
              </w:rPr>
              <w:t>2024</w:t>
            </w: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45"/>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gridSpan w:val="4"/>
          </w:tcPr>
          <w:p>
            <w:pPr>
              <w:jc w:val="right"/>
              <w:ind w:right="465"/>
              <w:spacing w:after="0" w:line="91" w:lineRule="exact"/>
              <w:rPr>
                <w:sz w:val="20"/>
                <w:szCs w:val="20"/>
                <w:color w:val="auto"/>
              </w:rPr>
            </w:pPr>
            <w:r>
              <w:rPr>
                <w:rFonts w:ascii="Arial" w:cs="Arial" w:eastAsia="Arial" w:hAnsi="Arial"/>
                <w:sz w:val="9"/>
                <w:szCs w:val="9"/>
                <w:b w:val="1"/>
                <w:bCs w:val="1"/>
                <w:color w:val="auto"/>
              </w:rPr>
              <w:t>(in thousands</w:t>
            </w: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520" w:type="dxa"/>
            <w:vAlign w:val="bottom"/>
            <w:vMerge w:val="restart"/>
          </w:tcPr>
          <w:p>
            <w:pPr>
              <w:ind w:left="40"/>
              <w:spacing w:after="0"/>
              <w:rPr>
                <w:sz w:val="20"/>
                <w:szCs w:val="20"/>
                <w:color w:val="auto"/>
              </w:rPr>
            </w:pPr>
            <w:r>
              <w:rPr>
                <w:rFonts w:ascii="Arial" w:cs="Arial" w:eastAsia="Arial" w:hAnsi="Arial"/>
                <w:sz w:val="12"/>
                <w:szCs w:val="12"/>
                <w:color w:val="auto"/>
              </w:rPr>
              <w:t xml:space="preserve">Cost of revenue </w:t>
            </w:r>
            <w:r>
              <w:rPr>
                <w:rFonts w:ascii="Times New Roman" w:cs="Times New Roman" w:eastAsia="Times New Roman" w:hAnsi="Times New Roman"/>
                <w:sz w:val="12"/>
                <w:szCs w:val="12"/>
                <w:color w:val="B4B4B4"/>
              </w:rPr>
              <w:t>................................................</w:t>
            </w:r>
          </w:p>
        </w:tc>
        <w:tc>
          <w:tcPr>
            <w:tcW w:w="200" w:type="dxa"/>
            <w:vAlign w:val="bottom"/>
            <w:vMerge w:val="restart"/>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ind w:right="1"/>
              <w:spacing w:after="0"/>
              <w:rPr>
                <w:sz w:val="20"/>
                <w:szCs w:val="20"/>
                <w:color w:val="auto"/>
              </w:rPr>
            </w:pPr>
            <w:r>
              <w:rPr>
                <w:rFonts w:ascii="Arial" w:cs="Arial" w:eastAsia="Arial" w:hAnsi="Arial"/>
                <w:sz w:val="12"/>
                <w:szCs w:val="12"/>
                <w:color w:val="auto"/>
              </w:rPr>
              <w:t>4,577</w:t>
            </w:r>
          </w:p>
        </w:tc>
        <w:tc>
          <w:tcPr>
            <w:tcW w:w="240" w:type="dxa"/>
            <w:vAlign w:val="bottom"/>
            <w:gridSpan w:val="2"/>
            <w:vMerge w:val="restart"/>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44"/>
              <w:spacing w:after="0" w:line="67" w:lineRule="exact"/>
              <w:rPr>
                <w:sz w:val="20"/>
                <w:szCs w:val="20"/>
                <w:color w:val="auto"/>
              </w:rPr>
            </w:pPr>
            <w:r>
              <w:rPr>
                <w:rFonts w:ascii="Arial" w:cs="Arial" w:eastAsia="Arial" w:hAnsi="Arial"/>
                <w:sz w:val="7"/>
                <w:szCs w:val="7"/>
                <w:b w:val="1"/>
                <w:bCs w:val="1"/>
                <w:color w:val="auto"/>
              </w:rPr>
              <w:t>)</w:t>
            </w:r>
          </w:p>
        </w:tc>
        <w:tc>
          <w:tcPr>
            <w:tcW w:w="18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5"/>
              <w:spacing w:after="0"/>
              <w:rPr>
                <w:sz w:val="20"/>
                <w:szCs w:val="20"/>
                <w:color w:val="auto"/>
              </w:rPr>
            </w:pPr>
            <w:r>
              <w:rPr>
                <w:rFonts w:ascii="Arial" w:cs="Arial" w:eastAsia="Arial" w:hAnsi="Arial"/>
                <w:sz w:val="12"/>
                <w:szCs w:val="12"/>
                <w:color w:val="auto"/>
              </w:rPr>
              <w:t>1,902</w:t>
            </w:r>
          </w:p>
        </w:tc>
        <w:tc>
          <w:tcPr>
            <w:tcW w:w="240" w:type="dxa"/>
            <w:vAlign w:val="bottom"/>
            <w:gridSpan w:val="2"/>
            <w:vMerge w:val="restart"/>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1,842</w:t>
            </w:r>
          </w:p>
        </w:tc>
        <w:tc>
          <w:tcPr>
            <w:tcW w:w="0" w:type="dxa"/>
            <w:vAlign w:val="bottom"/>
          </w:tcPr>
          <w:p>
            <w:pPr>
              <w:spacing w:after="0"/>
              <w:rPr>
                <w:sz w:val="1"/>
                <w:szCs w:val="1"/>
                <w:color w:val="auto"/>
              </w:rPr>
            </w:pPr>
          </w:p>
        </w:tc>
      </w:tr>
      <w:tr>
        <w:trPr>
          <w:trHeight w:val="168"/>
        </w:trPr>
        <w:tc>
          <w:tcPr>
            <w:tcW w:w="25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40" w:type="dxa"/>
            <w:vAlign w:val="bottom"/>
          </w:tcPr>
          <w:p>
            <w:pPr>
              <w:jc w:val="right"/>
              <w:ind w:right="24"/>
              <w:spacing w:after="0"/>
              <w:rPr>
                <w:sz w:val="20"/>
                <w:szCs w:val="20"/>
                <w:color w:val="auto"/>
              </w:rPr>
            </w:pPr>
            <w:r>
              <w:rPr>
                <w:rFonts w:ascii="Arial" w:cs="Arial" w:eastAsia="Arial" w:hAnsi="Arial"/>
                <w:sz w:val="12"/>
                <w:szCs w:val="12"/>
                <w:color w:val="auto"/>
              </w:rPr>
              <w:t>4,751</w:t>
            </w:r>
          </w:p>
        </w:tc>
        <w:tc>
          <w:tcPr>
            <w:tcW w:w="18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Research and development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30,408</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Arial" w:cs="Arial" w:eastAsia="Arial" w:hAnsi="Arial"/>
                <w:sz w:val="12"/>
                <w:szCs w:val="12"/>
                <w:color w:val="auto"/>
              </w:rPr>
              <w:t>27,039</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Arial" w:cs="Arial" w:eastAsia="Arial" w:hAnsi="Arial"/>
                <w:sz w:val="12"/>
                <w:szCs w:val="12"/>
                <w:color w:val="auto"/>
              </w:rPr>
              <w:t>14,371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13,619</w:t>
            </w:r>
          </w:p>
        </w:tc>
        <w:tc>
          <w:tcPr>
            <w:tcW w:w="0" w:type="dxa"/>
            <w:vAlign w:val="bottom"/>
          </w:tcPr>
          <w:p>
            <w:pPr>
              <w:spacing w:after="0"/>
              <w:rPr>
                <w:sz w:val="1"/>
                <w:szCs w:val="1"/>
                <w:color w:val="auto"/>
              </w:rPr>
            </w:pPr>
          </w:p>
        </w:tc>
      </w:tr>
      <w:tr>
        <w:trPr>
          <w:trHeight w:val="190"/>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Sales and marketing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17,077</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rPr>
              <w:t>15,872</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7,738</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7,614</w:t>
            </w:r>
          </w:p>
        </w:tc>
        <w:tc>
          <w:tcPr>
            <w:tcW w:w="0" w:type="dxa"/>
            <w:vAlign w:val="bottom"/>
          </w:tcPr>
          <w:p>
            <w:pPr>
              <w:spacing w:after="0"/>
              <w:rPr>
                <w:sz w:val="1"/>
                <w:szCs w:val="1"/>
                <w:color w:val="auto"/>
              </w:rPr>
            </w:pPr>
          </w:p>
        </w:tc>
      </w:tr>
      <w:tr>
        <w:trPr>
          <w:trHeight w:val="173"/>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General and administration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24,919</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28,189</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11,898</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11,838</w:t>
            </w:r>
          </w:p>
        </w:tc>
        <w:tc>
          <w:tcPr>
            <w:tcW w:w="0" w:type="dxa"/>
            <w:vAlign w:val="bottom"/>
          </w:tcPr>
          <w:p>
            <w:pPr>
              <w:spacing w:after="0"/>
              <w:rPr>
                <w:sz w:val="1"/>
                <w:szCs w:val="1"/>
                <w:color w:val="auto"/>
              </w:rPr>
            </w:pPr>
          </w:p>
        </w:tc>
      </w:tr>
      <w:tr>
        <w:trPr>
          <w:trHeight w:val="113"/>
        </w:trPr>
        <w:tc>
          <w:tcPr>
            <w:tcW w:w="2520" w:type="dxa"/>
            <w:vAlign w:val="bottom"/>
            <w:shd w:val="clear" w:color="auto" w:fill="CCEEFF"/>
          </w:tcPr>
          <w:p>
            <w:pPr>
              <w:ind w:left="180"/>
              <w:spacing w:after="0" w:line="113" w:lineRule="exact"/>
              <w:rPr>
                <w:sz w:val="20"/>
                <w:szCs w:val="20"/>
                <w:color w:val="auto"/>
              </w:rPr>
            </w:pPr>
            <w:r>
              <w:rPr>
                <w:rFonts w:ascii="Arial" w:cs="Arial" w:eastAsia="Arial" w:hAnsi="Arial"/>
                <w:sz w:val="12"/>
                <w:szCs w:val="12"/>
                <w:color w:val="auto"/>
              </w:rPr>
              <w:t>Total stock-based compensation</w:t>
            </w:r>
          </w:p>
        </w:tc>
        <w:tc>
          <w:tcPr>
            <w:tcW w:w="200" w:type="dxa"/>
            <w:vAlign w:val="bottom"/>
            <w:vMerge w:val="restart"/>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76,981</w:t>
            </w:r>
          </w:p>
        </w:tc>
        <w:tc>
          <w:tcPr>
            <w:tcW w:w="40" w:type="dxa"/>
            <w:vAlign w:val="bottom"/>
            <w:vMerge w:val="restart"/>
            <w:shd w:val="clear" w:color="auto" w:fill="CCEEFF"/>
          </w:tcPr>
          <w:p>
            <w:pPr>
              <w:spacing w:after="0"/>
              <w:rPr>
                <w:sz w:val="9"/>
                <w:szCs w:val="9"/>
                <w:color w:val="auto"/>
              </w:rPr>
            </w:pPr>
          </w:p>
        </w:tc>
        <w:tc>
          <w:tcPr>
            <w:tcW w:w="200" w:type="dxa"/>
            <w:vAlign w:val="bottom"/>
            <w:vMerge w:val="restart"/>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ind w:right="24"/>
              <w:spacing w:after="0"/>
              <w:rPr>
                <w:sz w:val="20"/>
                <w:szCs w:val="20"/>
                <w:color w:val="auto"/>
              </w:rPr>
            </w:pPr>
            <w:r>
              <w:rPr>
                <w:rFonts w:ascii="Arial" w:cs="Arial" w:eastAsia="Arial" w:hAnsi="Arial"/>
                <w:sz w:val="12"/>
                <w:szCs w:val="12"/>
                <w:color w:val="auto"/>
              </w:rPr>
              <w:t>75,851</w:t>
            </w:r>
          </w:p>
        </w:tc>
        <w:tc>
          <w:tcPr>
            <w:tcW w:w="20" w:type="dxa"/>
            <w:vAlign w:val="bottom"/>
            <w:vMerge w:val="restart"/>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ind w:right="5"/>
              <w:spacing w:after="0"/>
              <w:rPr>
                <w:sz w:val="20"/>
                <w:szCs w:val="20"/>
                <w:color w:val="auto"/>
              </w:rPr>
            </w:pPr>
            <w:r>
              <w:rPr>
                <w:rFonts w:ascii="Arial" w:cs="Arial" w:eastAsia="Arial" w:hAnsi="Arial"/>
                <w:sz w:val="12"/>
                <w:szCs w:val="12"/>
                <w:color w:val="auto"/>
              </w:rPr>
              <w:t>35,909</w:t>
            </w:r>
          </w:p>
        </w:tc>
        <w:tc>
          <w:tcPr>
            <w:tcW w:w="40" w:type="dxa"/>
            <w:vAlign w:val="bottom"/>
            <w:vMerge w:val="restart"/>
            <w:shd w:val="clear" w:color="auto" w:fill="CCEEFF"/>
          </w:tcPr>
          <w:p>
            <w:pPr>
              <w:spacing w:after="0"/>
              <w:rPr>
                <w:sz w:val="9"/>
                <w:szCs w:val="9"/>
                <w:color w:val="auto"/>
              </w:rPr>
            </w:pPr>
          </w:p>
        </w:tc>
        <w:tc>
          <w:tcPr>
            <w:tcW w:w="200" w:type="dxa"/>
            <w:vAlign w:val="bottom"/>
            <w:vMerge w:val="restart"/>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2"/>
                <w:szCs w:val="12"/>
                <w:color w:val="auto"/>
              </w:rPr>
              <w:t>34,913</w:t>
            </w:r>
          </w:p>
        </w:tc>
        <w:tc>
          <w:tcPr>
            <w:tcW w:w="0" w:type="dxa"/>
            <w:vAlign w:val="bottom"/>
          </w:tcPr>
          <w:p>
            <w:pPr>
              <w:spacing w:after="0"/>
              <w:rPr>
                <w:sz w:val="1"/>
                <w:szCs w:val="1"/>
                <w:color w:val="auto"/>
              </w:rPr>
            </w:pPr>
          </w:p>
        </w:tc>
      </w:tr>
      <w:tr>
        <w:trPr>
          <w:trHeight w:val="191"/>
        </w:trPr>
        <w:tc>
          <w:tcPr>
            <w:tcW w:w="25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 xml:space="preserve">expense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CCEEFF"/>
            </w:tcBorders>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CCEEFF"/>
            </w:tcBorders>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60" w:right="1440"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2200" w:firstLine="230"/>
        <w:spacing w:after="0" w:line="312" w:lineRule="auto"/>
        <w:rPr>
          <w:sz w:val="20"/>
          <w:szCs w:val="20"/>
          <w:color w:val="auto"/>
        </w:rPr>
      </w:pPr>
      <w:r>
        <w:rPr>
          <w:rFonts w:ascii="Arial" w:cs="Arial" w:eastAsia="Arial" w:hAnsi="Arial"/>
          <w:sz w:val="12"/>
          <w:szCs w:val="12"/>
          <w:color w:val="auto"/>
        </w:rPr>
        <w:t>The following table sets forth our consolidated statements of operations data expressed as a percentage of revenue for the periods indicated:</w:t>
      </w:r>
    </w:p>
    <w:p>
      <w:pPr>
        <w:spacing w:after="0" w:line="79"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2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4"/>
          </w:tcPr>
          <w:p>
            <w:pPr>
              <w:jc w:val="right"/>
              <w:ind w:right="199"/>
              <w:spacing w:after="0"/>
              <w:rPr>
                <w:sz w:val="20"/>
                <w:szCs w:val="20"/>
                <w:color w:val="auto"/>
              </w:rPr>
            </w:pPr>
            <w:r>
              <w:rPr>
                <w:rFonts w:ascii="Arial" w:cs="Arial" w:eastAsia="Arial" w:hAnsi="Arial"/>
                <w:sz w:val="11"/>
                <w:szCs w:val="11"/>
                <w:b w:val="1"/>
                <w:bCs w:val="1"/>
                <w:color w:val="auto"/>
              </w:rPr>
              <w:t>Year Ended January 31,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3"/>
          </w:tcPr>
          <w:p>
            <w:pPr>
              <w:ind w:left="60"/>
              <w:spacing w:after="0"/>
              <w:rPr>
                <w:sz w:val="20"/>
                <w:szCs w:val="20"/>
                <w:color w:val="auto"/>
              </w:rPr>
            </w:pPr>
            <w:r>
              <w:rPr>
                <w:rFonts w:ascii="Arial" w:cs="Arial" w:eastAsia="Arial" w:hAnsi="Arial"/>
                <w:sz w:val="11"/>
                <w:szCs w:val="11"/>
                <w:b w:val="1"/>
                <w:bCs w:val="1"/>
                <w:color w:val="auto"/>
                <w:w w:val="97"/>
              </w:rPr>
              <w:t>Six Months Ended July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5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ind w:left="60"/>
              <w:spacing w:after="0" w:line="47" w:lineRule="exact"/>
              <w:rPr>
                <w:sz w:val="20"/>
                <w:szCs w:val="20"/>
                <w:color w:val="auto"/>
              </w:rPr>
            </w:pPr>
            <w:r>
              <w:rPr>
                <w:rFonts w:ascii="Arial" w:cs="Arial" w:eastAsia="Arial" w:hAnsi="Arial"/>
                <w:sz w:val="5"/>
                <w:szCs w:val="5"/>
                <w:b w:val="1"/>
                <w:bCs w:val="1"/>
                <w:color w:val="auto"/>
              </w:rPr>
              <w:t>,</w:t>
            </w:r>
          </w:p>
        </w:tc>
        <w:tc>
          <w:tcPr>
            <w:tcW w:w="720" w:type="dxa"/>
            <w:vAlign w:val="bottom"/>
            <w:gridSpan w:val="2"/>
            <w:vMerge w:val="restart"/>
          </w:tcPr>
          <w:p>
            <w:pPr>
              <w:jc w:val="right"/>
              <w:ind w:right="79"/>
              <w:spacing w:after="0"/>
              <w:rPr>
                <w:sz w:val="20"/>
                <w:szCs w:val="20"/>
                <w:color w:val="auto"/>
              </w:rPr>
            </w:pPr>
            <w:r>
              <w:rPr>
                <w:rFonts w:ascii="Arial" w:cs="Arial" w:eastAsia="Arial" w:hAnsi="Arial"/>
                <w:sz w:val="11"/>
                <w:szCs w:val="11"/>
                <w:b w:val="1"/>
                <w:bCs w:val="1"/>
                <w:color w:val="auto"/>
              </w:rPr>
              <w:t>2024</w:t>
            </w: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241"/>
              <w:spacing w:after="0"/>
              <w:rPr>
                <w:sz w:val="20"/>
                <w:szCs w:val="20"/>
                <w:color w:val="auto"/>
              </w:rPr>
            </w:pPr>
            <w:r>
              <w:rPr>
                <w:rFonts w:ascii="Arial" w:cs="Arial" w:eastAsia="Arial" w:hAnsi="Arial"/>
                <w:sz w:val="11"/>
                <w:szCs w:val="11"/>
                <w:b w:val="1"/>
                <w:bCs w:val="1"/>
                <w:color w:val="auto"/>
              </w:rPr>
              <w:t>2025</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ind w:right="259"/>
              <w:spacing w:after="0"/>
              <w:rPr>
                <w:sz w:val="20"/>
                <w:szCs w:val="20"/>
                <w:color w:val="auto"/>
              </w:rPr>
            </w:pPr>
            <w:r>
              <w:rPr>
                <w:rFonts w:ascii="Arial" w:cs="Arial" w:eastAsia="Arial" w:hAnsi="Arial"/>
                <w:sz w:val="11"/>
                <w:szCs w:val="11"/>
                <w:b w:val="1"/>
                <w:bCs w:val="1"/>
                <w:color w:val="auto"/>
              </w:rPr>
              <w:t>2024</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241"/>
              <w:spacing w:after="0"/>
              <w:rPr>
                <w:sz w:val="20"/>
                <w:szCs w:val="20"/>
                <w:color w:val="auto"/>
              </w:rPr>
            </w:pPr>
            <w:r>
              <w:rPr>
                <w:rFonts w:ascii="Arial" w:cs="Arial" w:eastAsia="Arial" w:hAnsi="Arial"/>
                <w:sz w:val="11"/>
                <w:szCs w:val="11"/>
                <w:b w:val="1"/>
                <w:bCs w:val="1"/>
                <w:color w:val="auto"/>
              </w:rPr>
              <w:t>2025</w:t>
            </w:r>
          </w:p>
        </w:tc>
        <w:tc>
          <w:tcPr>
            <w:tcW w:w="7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20" w:type="dxa"/>
            <w:vAlign w:val="bottom"/>
            <w:tcBorders>
              <w:top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Revenue</w:t>
            </w: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73"/>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Cost of revenue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Arial" w:cs="Arial" w:eastAsia="Arial" w:hAnsi="Arial"/>
                <w:sz w:val="12"/>
                <w:szCs w:val="12"/>
                <w:color w:val="auto"/>
              </w:rPr>
              <w:t>32</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19"/>
              <w:spacing w:after="0"/>
              <w:rPr>
                <w:sz w:val="20"/>
                <w:szCs w:val="20"/>
                <w:color w:val="auto"/>
              </w:rPr>
            </w:pPr>
            <w:r>
              <w:rPr>
                <w:rFonts w:ascii="Arial" w:cs="Arial" w:eastAsia="Arial" w:hAnsi="Arial"/>
                <w:sz w:val="12"/>
                <w:szCs w:val="12"/>
                <w:color w:val="auto"/>
              </w:rPr>
              <w:t>40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Arial" w:cs="Arial" w:eastAsia="Arial" w:hAnsi="Arial"/>
                <w:sz w:val="12"/>
                <w:szCs w:val="12"/>
                <w:color w:val="auto"/>
              </w:rPr>
              <w:t>28</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33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20" w:type="dxa"/>
            <w:vAlign w:val="bottom"/>
            <w:tcBorders>
              <w:top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Grossprofit</w:t>
            </w: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rPr>
              <w:t>68</w:t>
            </w: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60</w:t>
            </w: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rPr>
              <w:t>72</w:t>
            </w:r>
          </w:p>
        </w:tc>
        <w:tc>
          <w:tcPr>
            <w:tcW w:w="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20" w:type="dxa"/>
            <w:vAlign w:val="bottom"/>
          </w:tcPr>
          <w:p>
            <w:pPr>
              <w:ind w:left="40"/>
              <w:spacing w:after="0"/>
              <w:rPr>
                <w:sz w:val="20"/>
                <w:szCs w:val="20"/>
                <w:color w:val="auto"/>
              </w:rPr>
            </w:pPr>
            <w:r>
              <w:rPr>
                <w:rFonts w:ascii="Arial" w:cs="Arial" w:eastAsia="Arial" w:hAnsi="Arial"/>
                <w:sz w:val="12"/>
                <w:szCs w:val="12"/>
                <w:color w:val="auto"/>
              </w:rPr>
              <w:t>Operating expenses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Research and development </w:t>
            </w:r>
            <w:r>
              <w:rPr>
                <w:rFonts w:ascii="Times New Roman" w:cs="Times New Roman" w:eastAsia="Times New Roman" w:hAnsi="Times New Roman"/>
                <w:sz w:val="12"/>
                <w:szCs w:val="12"/>
                <w:color w:val="B4B4B4"/>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23</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33</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520" w:type="dxa"/>
            <w:vAlign w:val="bottom"/>
          </w:tcPr>
          <w:p>
            <w:pPr>
              <w:ind w:left="180"/>
              <w:spacing w:after="0"/>
              <w:rPr>
                <w:sz w:val="20"/>
                <w:szCs w:val="20"/>
                <w:color w:val="auto"/>
              </w:rPr>
            </w:pPr>
            <w:r>
              <w:rPr>
                <w:rFonts w:ascii="Arial" w:cs="Arial" w:eastAsia="Arial" w:hAnsi="Arial"/>
                <w:sz w:val="12"/>
                <w:szCs w:val="12"/>
                <w:color w:val="auto"/>
              </w:rPr>
              <w:t xml:space="preserve">Sales and marketing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Arial" w:cs="Arial" w:eastAsia="Arial" w:hAnsi="Arial"/>
                <w:sz w:val="12"/>
                <w:szCs w:val="12"/>
                <w:color w:val="auto"/>
              </w:rPr>
              <w:t>41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19"/>
              <w:spacing w:after="0"/>
              <w:rPr>
                <w:sz w:val="20"/>
                <w:szCs w:val="20"/>
                <w:color w:val="auto"/>
              </w:rPr>
            </w:pPr>
            <w:r>
              <w:rPr>
                <w:rFonts w:ascii="Arial" w:cs="Arial" w:eastAsia="Arial" w:hAnsi="Arial"/>
                <w:sz w:val="12"/>
                <w:szCs w:val="12"/>
                <w:color w:val="auto"/>
              </w:rPr>
              <w:t>55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Arial" w:cs="Arial" w:eastAsia="Arial" w:hAnsi="Arial"/>
                <w:sz w:val="12"/>
                <w:szCs w:val="12"/>
                <w:color w:val="auto"/>
              </w:rPr>
              <w:t>40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41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General and administrative </w:t>
            </w:r>
            <w:r>
              <w:rPr>
                <w:rFonts w:ascii="Times New Roman" w:cs="Times New Roman" w:eastAsia="Times New Roman" w:hAnsi="Times New Roman"/>
                <w:sz w:val="12"/>
                <w:szCs w:val="12"/>
                <w:color w:val="B4B4B4"/>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25</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33</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Totaloperatingexpense</w:t>
            </w: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2"/>
                <w:szCs w:val="12"/>
                <w:color w:val="auto"/>
              </w:rPr>
              <w:t>89</w:t>
            </w:r>
          </w:p>
        </w:tc>
        <w:tc>
          <w:tcPr>
            <w:tcW w:w="4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2"/>
                <w:szCs w:val="12"/>
                <w:color w:val="auto"/>
              </w:rPr>
              <w:t>121</w:t>
            </w:r>
          </w:p>
        </w:tc>
        <w:tc>
          <w:tcPr>
            <w:tcW w:w="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2"/>
                <w:szCs w:val="12"/>
                <w:color w:val="auto"/>
              </w:rPr>
              <w:t>80</w:t>
            </w:r>
          </w:p>
        </w:tc>
        <w:tc>
          <w:tcPr>
            <w:tcW w:w="4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89</w:t>
            </w:r>
          </w:p>
        </w:tc>
        <w:tc>
          <w:tcPr>
            <w:tcW w:w="16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Lossfromoperations</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(21)</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(61)</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w:t>
            </w: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73"/>
        </w:trPr>
        <w:tc>
          <w:tcPr>
            <w:tcW w:w="2520" w:type="dxa"/>
            <w:vAlign w:val="bottom"/>
          </w:tcPr>
          <w:p>
            <w:pPr>
              <w:ind w:left="180"/>
              <w:spacing w:after="0"/>
              <w:rPr>
                <w:sz w:val="20"/>
                <w:szCs w:val="20"/>
                <w:color w:val="auto"/>
              </w:rPr>
            </w:pPr>
            <w:r>
              <w:rPr>
                <w:rFonts w:ascii="Arial" w:cs="Arial" w:eastAsia="Arial" w:hAnsi="Arial"/>
                <w:sz w:val="12"/>
                <w:szCs w:val="12"/>
                <w:color w:val="auto"/>
              </w:rPr>
              <w:t xml:space="preserve">Interest expense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680" w:type="dxa"/>
            <w:vAlign w:val="bottom"/>
          </w:tcPr>
          <w:p>
            <w:pPr>
              <w:jc w:val="right"/>
              <w:ind w:right="81"/>
              <w:spacing w:after="0"/>
              <w:rPr>
                <w:sz w:val="20"/>
                <w:szCs w:val="20"/>
                <w:color w:val="auto"/>
              </w:rPr>
            </w:pPr>
            <w:r>
              <w:rPr>
                <w:rFonts w:ascii="Arial" w:cs="Arial" w:eastAsia="Arial" w:hAnsi="Arial"/>
                <w:sz w:val="12"/>
                <w:szCs w:val="12"/>
                <w:color w:val="auto"/>
              </w:rPr>
              <w:t>(14)</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79"/>
              <w:spacing w:after="0"/>
              <w:rPr>
                <w:sz w:val="20"/>
                <w:szCs w:val="20"/>
                <w:color w:val="auto"/>
              </w:rPr>
            </w:pPr>
            <w:r>
              <w:rPr>
                <w:rFonts w:ascii="Arial" w:cs="Arial" w:eastAsia="Arial" w:hAnsi="Arial"/>
                <w:sz w:val="12"/>
                <w:szCs w:val="12"/>
                <w:color w:val="auto"/>
              </w:rPr>
              <w:t>(16)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81"/>
              <w:spacing w:after="0"/>
              <w:rPr>
                <w:sz w:val="20"/>
                <w:szCs w:val="20"/>
                <w:color w:val="auto"/>
              </w:rPr>
            </w:pPr>
            <w:r>
              <w:rPr>
                <w:rFonts w:ascii="Arial" w:cs="Arial" w:eastAsia="Arial" w:hAnsi="Arial"/>
                <w:sz w:val="12"/>
                <w:szCs w:val="12"/>
                <w:color w:val="auto"/>
              </w:rPr>
              <w:t>(10)</w:t>
            </w:r>
          </w:p>
        </w:tc>
        <w:tc>
          <w:tcPr>
            <w:tcW w:w="880" w:type="dxa"/>
            <w:vAlign w:val="bottom"/>
            <w:gridSpan w:val="3"/>
          </w:tcPr>
          <w:p>
            <w:pPr>
              <w:jc w:val="right"/>
              <w:ind w:right="78"/>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90"/>
        </w:trPr>
        <w:tc>
          <w:tcPr>
            <w:tcW w:w="25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Other income (expense), net </w:t>
            </w:r>
            <w:r>
              <w:rPr>
                <w:rFonts w:ascii="Times New Roman" w:cs="Times New Roman" w:eastAsia="Times New Roman" w:hAnsi="Times New Roman"/>
                <w:sz w:val="12"/>
                <w:szCs w:val="12"/>
                <w:color w:val="B4B4B4"/>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3</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520" w:type="dxa"/>
            <w:vAlign w:val="bottom"/>
          </w:tcPr>
          <w:p>
            <w:pPr>
              <w:ind w:left="180"/>
              <w:spacing w:after="0"/>
              <w:rPr>
                <w:sz w:val="20"/>
                <w:szCs w:val="20"/>
                <w:color w:val="auto"/>
              </w:rPr>
            </w:pPr>
            <w:r>
              <w:rPr>
                <w:rFonts w:ascii="Arial" w:cs="Arial" w:eastAsia="Arial" w:hAnsi="Arial"/>
                <w:sz w:val="12"/>
                <w:szCs w:val="12"/>
                <w:color w:val="auto"/>
              </w:rPr>
              <w:t xml:space="preserve">Loss on extinguishment of debt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81"/>
              <w:spacing w:after="0"/>
              <w:rPr>
                <w:sz w:val="20"/>
                <w:szCs w:val="20"/>
                <w:color w:val="auto"/>
              </w:rPr>
            </w:pPr>
            <w:r>
              <w:rPr>
                <w:rFonts w:ascii="Arial" w:cs="Arial" w:eastAsia="Arial" w:hAnsi="Arial"/>
                <w:sz w:val="12"/>
                <w:szCs w:val="12"/>
                <w:color w:val="auto"/>
              </w:rPr>
              <w:t>(6)</w:t>
            </w:r>
          </w:p>
        </w:tc>
        <w:tc>
          <w:tcPr>
            <w:tcW w:w="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Gain (loss) on fair value adjustments </w:t>
            </w:r>
            <w:r>
              <w:rPr>
                <w:rFonts w:ascii="Times New Roman" w:cs="Times New Roman" w:eastAsia="Times New Roman" w:hAnsi="Times New Roman"/>
                <w:sz w:val="12"/>
                <w:szCs w:val="12"/>
                <w:color w:val="B4B4B4"/>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(7)</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520" w:type="dxa"/>
            <w:vAlign w:val="bottom"/>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Lossbeforeincometaxexpense</w:t>
            </w: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rPr>
              <w:t>(33)</w:t>
            </w:r>
          </w:p>
        </w:tc>
        <w:tc>
          <w:tcPr>
            <w:tcW w:w="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79"/>
              <w:spacing w:after="0"/>
              <w:rPr>
                <w:sz w:val="20"/>
                <w:szCs w:val="20"/>
                <w:color w:val="auto"/>
              </w:rPr>
            </w:pPr>
            <w:r>
              <w:rPr>
                <w:rFonts w:ascii="Arial" w:cs="Arial" w:eastAsia="Arial" w:hAnsi="Arial"/>
                <w:sz w:val="12"/>
                <w:szCs w:val="12"/>
                <w:color w:val="auto"/>
              </w:rPr>
              <w:t>(81)</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rPr>
              <w:t>(27)</w:t>
            </w:r>
          </w:p>
        </w:tc>
        <w:tc>
          <w:tcPr>
            <w:tcW w:w="40" w:type="dxa"/>
            <w:vAlign w:val="bottom"/>
          </w:tcPr>
          <w:p>
            <w:pPr>
              <w:spacing w:after="0"/>
              <w:rPr>
                <w:sz w:val="13"/>
                <w:szCs w:val="13"/>
                <w:color w:val="auto"/>
              </w:rPr>
            </w:pPr>
          </w:p>
        </w:tc>
        <w:tc>
          <w:tcPr>
            <w:tcW w:w="840" w:type="dxa"/>
            <w:vAlign w:val="bottom"/>
            <w:tcBorders>
              <w:top w:val="single" w:sz="8" w:color="auto"/>
            </w:tcBorders>
            <w:gridSpan w:val="2"/>
          </w:tcPr>
          <w:p>
            <w:pPr>
              <w:jc w:val="right"/>
              <w:ind w:right="78"/>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86"/>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Income tax expense </w:t>
            </w:r>
            <w:r>
              <w:rPr>
                <w:rFonts w:ascii="Times New Roman" w:cs="Times New Roman" w:eastAsia="Times New Roman" w:hAnsi="Times New Roman"/>
                <w:sz w:val="12"/>
                <w:szCs w:val="12"/>
                <w:color w:val="B4B4B4"/>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1</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52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Netloss</w:t>
            </w: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(82%)</w:t>
            </w: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w:t>
            </w:r>
          </w:p>
        </w:tc>
        <w:tc>
          <w:tcPr>
            <w:tcW w:w="40" w:type="dxa"/>
            <w:vAlign w:val="bottom"/>
          </w:tcPr>
          <w:p>
            <w:pPr>
              <w:spacing w:after="0"/>
              <w:rPr>
                <w:sz w:val="14"/>
                <w:szCs w:val="14"/>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275"/>
        </w:trPr>
        <w:tc>
          <w:tcPr>
            <w:tcW w:w="4240" w:type="dxa"/>
            <w:vAlign w:val="bottom"/>
            <w:gridSpan w:val="6"/>
          </w:tcPr>
          <w:p>
            <w:pPr>
              <w:ind w:left="240"/>
              <w:spacing w:after="0"/>
              <w:rPr>
                <w:sz w:val="20"/>
                <w:szCs w:val="20"/>
                <w:color w:val="auto"/>
              </w:rPr>
            </w:pPr>
            <w:r>
              <w:rPr>
                <w:rFonts w:ascii="Arial" w:cs="Arial" w:eastAsia="Arial" w:hAnsi="Arial"/>
                <w:sz w:val="12"/>
                <w:szCs w:val="12"/>
                <w:b w:val="1"/>
                <w:bCs w:val="1"/>
                <w:i w:val="1"/>
                <w:iCs w:val="1"/>
                <w:color w:val="auto"/>
              </w:rPr>
              <w:t>Comparison of the Six Months Ended July 31, 2025 and 2024</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520" w:type="dxa"/>
            <w:vAlign w:val="bottom"/>
          </w:tcPr>
          <w:p>
            <w:pPr>
              <w:ind w:left="240"/>
              <w:spacing w:after="0"/>
              <w:rPr>
                <w:sz w:val="20"/>
                <w:szCs w:val="20"/>
                <w:color w:val="auto"/>
              </w:rPr>
            </w:pPr>
            <w:r>
              <w:rPr>
                <w:rFonts w:ascii="Arial" w:cs="Arial" w:eastAsia="Arial" w:hAnsi="Arial"/>
                <w:sz w:val="12"/>
                <w:szCs w:val="12"/>
                <w:i w:val="1"/>
                <w:iCs w:val="1"/>
                <w:color w:val="auto"/>
              </w:rPr>
              <w:t>Revenue</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4"/>
          </w:tcPr>
          <w:p>
            <w:pPr>
              <w:jc w:val="right"/>
              <w:ind w:right="159"/>
              <w:spacing w:after="0"/>
              <w:rPr>
                <w:sz w:val="20"/>
                <w:szCs w:val="20"/>
                <w:color w:val="auto"/>
              </w:rPr>
            </w:pPr>
            <w:r>
              <w:rPr>
                <w:rFonts w:ascii="Arial" w:cs="Arial" w:eastAsia="Arial" w:hAnsi="Arial"/>
                <w:sz w:val="11"/>
                <w:szCs w:val="11"/>
                <w:b w:val="1"/>
                <w:bCs w:val="1"/>
                <w:color w:val="auto"/>
                <w:w w:val="97"/>
              </w:rPr>
              <w:t>Six Months Ended July 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jc w:val="right"/>
              <w:ind w:right="541"/>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restart"/>
          </w:tcPr>
          <w:p>
            <w:pPr>
              <w:jc w:val="right"/>
              <w:ind w:right="259"/>
              <w:spacing w:after="0"/>
              <w:rPr>
                <w:sz w:val="20"/>
                <w:szCs w:val="20"/>
                <w:color w:val="auto"/>
              </w:rPr>
            </w:pPr>
            <w:r>
              <w:rPr>
                <w:rFonts w:ascii="Arial" w:cs="Arial" w:eastAsia="Arial" w:hAnsi="Arial"/>
                <w:sz w:val="11"/>
                <w:szCs w:val="11"/>
                <w:b w:val="1"/>
                <w:bCs w:val="1"/>
                <w:color w:val="auto"/>
              </w:rPr>
              <w:t>2024</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restart"/>
          </w:tcPr>
          <w:p>
            <w:pPr>
              <w:jc w:val="right"/>
              <w:ind w:right="161"/>
              <w:spacing w:after="0"/>
              <w:rPr>
                <w:sz w:val="20"/>
                <w:szCs w:val="20"/>
                <w:color w:val="auto"/>
              </w:rPr>
            </w:pPr>
            <w:r>
              <w:rPr>
                <w:rFonts w:ascii="Arial" w:cs="Arial" w:eastAsia="Arial" w:hAnsi="Arial"/>
                <w:sz w:val="11"/>
                <w:szCs w:val="11"/>
                <w:b w:val="1"/>
                <w:bCs w:val="1"/>
                <w:color w:val="auto"/>
              </w:rPr>
              <w:t>Change</w:t>
            </w:r>
          </w:p>
        </w:tc>
        <w:tc>
          <w:tcPr>
            <w:tcW w:w="40" w:type="dxa"/>
            <w:vAlign w:val="bottom"/>
          </w:tcPr>
          <w:p>
            <w:pPr>
              <w:spacing w:after="0"/>
              <w:rPr>
                <w:sz w:val="5"/>
                <w:szCs w:val="5"/>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 Change</w:t>
            </w: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4"/>
          </w:tcPr>
          <w:p>
            <w:pPr>
              <w:jc w:val="right"/>
              <w:ind w:right="221"/>
              <w:spacing w:after="0"/>
              <w:rPr>
                <w:sz w:val="20"/>
                <w:szCs w:val="20"/>
                <w:color w:val="auto"/>
              </w:rPr>
            </w:pPr>
            <w:r>
              <w:rPr>
                <w:rFonts w:ascii="Arial" w:cs="Arial" w:eastAsia="Arial" w:hAnsi="Arial"/>
                <w:sz w:val="11"/>
                <w:szCs w:val="11"/>
                <w:b w:val="1"/>
                <w:bCs w:val="1"/>
                <w:color w:val="auto"/>
              </w:rPr>
              <w:t>(dollars in thousands)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Usage-based revenue </w:t>
            </w:r>
            <w:r>
              <w:rPr>
                <w:rFonts w:ascii="Times New Roman" w:cs="Times New Roman" w:eastAsia="Times New Roman" w:hAnsi="Times New Roman"/>
                <w:sz w:val="12"/>
                <w:szCs w:val="12"/>
                <w:color w:val="B4B4B4"/>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299,698</w:t>
            </w:r>
          </w:p>
        </w:tc>
        <w:tc>
          <w:tcPr>
            <w:tcW w:w="2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232,448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67,250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Subscription revenue </w:t>
            </w:r>
            <w:r>
              <w:rPr>
                <w:rFonts w:ascii="Times New Roman" w:cs="Times New Roman" w:eastAsia="Times New Roman" w:hAnsi="Times New Roman"/>
                <w:sz w:val="12"/>
                <w:szCs w:val="12"/>
                <w:color w:val="B4B4B4"/>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29,715</w:t>
            </w:r>
          </w:p>
        </w:tc>
        <w:tc>
          <w:tcPr>
            <w:tcW w:w="240" w:type="dxa"/>
            <w:vAlign w:val="bottom"/>
            <w:gridSpan w:val="2"/>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21,279</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8,436</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40</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0"/>
        </w:trPr>
        <w:tc>
          <w:tcPr>
            <w:tcW w:w="2520" w:type="dxa"/>
            <w:vAlign w:val="bottom"/>
            <w:tcBorders>
              <w:top w:val="single" w:sz="8" w:color="CCEEFF"/>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329,413</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253,727</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75,686</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Revenue for the six months July 31, 2025 increased by $75.7 million, or 30%.</w:t>
      </w:r>
    </w:p>
    <w:p>
      <w:pPr>
        <w:spacing w:after="0" w:line="130" w:lineRule="exact"/>
        <w:rPr>
          <w:sz w:val="20"/>
          <w:szCs w:val="20"/>
          <w:color w:val="auto"/>
        </w:rPr>
      </w:pPr>
    </w:p>
    <w:p>
      <w:pPr>
        <w:ind w:left="1520" w:right="1700" w:firstLine="230"/>
        <w:spacing w:after="0" w:line="276" w:lineRule="auto"/>
        <w:rPr>
          <w:sz w:val="20"/>
          <w:szCs w:val="20"/>
          <w:color w:val="auto"/>
        </w:rPr>
      </w:pPr>
      <w:r>
        <w:rPr>
          <w:rFonts w:ascii="Arial" w:cs="Arial" w:eastAsia="Arial" w:hAnsi="Arial"/>
          <w:sz w:val="12"/>
          <w:szCs w:val="12"/>
          <w:color w:val="auto"/>
        </w:rPr>
        <w:t>The increase in revenue for the six months ended July 31, 2025, compared to the six months ended July 31, 2024, was due to (i) an increase in usage-based revenue driven by a 34% increase in GBV and a 10% increase in payment volume as we increased our customer base and expanded engagement with our platform and offerings by existing customers, and (ii) an increase in subscription revenue primarily driven by increased adoption of our Expense Management offering by new and existing customers on our platform.</w:t>
      </w:r>
    </w:p>
    <w:p>
      <w:pPr>
        <w:spacing w:after="0" w:line="240" w:lineRule="exact"/>
        <w:rPr>
          <w:sz w:val="20"/>
          <w:szCs w:val="20"/>
          <w:color w:val="auto"/>
        </w:rPr>
      </w:pPr>
    </w:p>
    <w:p>
      <w:pPr>
        <w:ind w:left="1520" w:right="1800" w:firstLine="230"/>
        <w:spacing w:after="0" w:line="312" w:lineRule="auto"/>
        <w:rPr>
          <w:sz w:val="20"/>
          <w:szCs w:val="20"/>
          <w:color w:val="auto"/>
        </w:rPr>
      </w:pPr>
      <w:r>
        <w:rPr>
          <w:rFonts w:ascii="Arial" w:cs="Arial" w:eastAsia="Arial" w:hAnsi="Arial"/>
          <w:sz w:val="12"/>
          <w:szCs w:val="12"/>
          <w:color w:val="auto"/>
        </w:rPr>
        <w:t>The impact of foreign currency translation on the change in revenue from the six months ended July 31, 2024 to the six months ended July 31, 2025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1760"/>
        <w:spacing w:after="0"/>
        <w:rPr>
          <w:sz w:val="20"/>
          <w:szCs w:val="20"/>
          <w:color w:val="auto"/>
        </w:rPr>
      </w:pPr>
      <w:r>
        <w:rPr>
          <w:rFonts w:ascii="Arial" w:cs="Arial" w:eastAsia="Arial" w:hAnsi="Arial"/>
          <w:sz w:val="12"/>
          <w:szCs w:val="12"/>
          <w:i w:val="1"/>
          <w:iCs w:val="1"/>
          <w:color w:val="auto"/>
        </w:rPr>
        <w:t>Cost of Revenue and Gross Profit</w:t>
      </w:r>
    </w:p>
    <w:p>
      <w:pPr>
        <w:spacing w:after="0" w:line="79" w:lineRule="exact"/>
        <w:rPr>
          <w:sz w:val="20"/>
          <w:szCs w:val="20"/>
          <w:color w:val="auto"/>
        </w:rPr>
      </w:pPr>
    </w:p>
    <w:p>
      <w:pPr>
        <w:ind w:left="4240"/>
        <w:spacing w:after="0"/>
        <w:rPr>
          <w:sz w:val="20"/>
          <w:szCs w:val="20"/>
          <w:color w:val="auto"/>
        </w:rPr>
      </w:pPr>
      <w:r>
        <w:rPr>
          <w:rFonts w:ascii="Arial" w:cs="Arial" w:eastAsia="Arial" w:hAnsi="Arial"/>
          <w:sz w:val="11"/>
          <w:szCs w:val="11"/>
          <w:b w:val="1"/>
          <w:bCs w:val="1"/>
          <w:color w:val="auto"/>
        </w:rPr>
        <w:t>Six Months Ended July 31</w:t>
      </w:r>
    </w:p>
    <w:p>
      <w:pPr>
        <w:ind w:left="4240"/>
        <w:spacing w:after="0" w:line="181" w:lineRule="auto"/>
        <w:rPr>
          <w:sz w:val="20"/>
          <w:szCs w:val="20"/>
          <w:color w:val="auto"/>
        </w:rPr>
      </w:pPr>
      <w:r>
        <w:rPr>
          <w:rFonts w:ascii="Arial" w:cs="Arial" w:eastAsia="Arial" w:hAnsi="Arial"/>
          <w:sz w:val="11"/>
          <w:szCs w:val="11"/>
          <w:b w:val="1"/>
          <w:bCs w:val="1"/>
          <w:color w:val="auto"/>
        </w:rPr>
        <w:t>,</w:t>
      </w:r>
    </w:p>
    <w:tbl>
      <w:tblPr>
        <w:tblLayout w:type="fixed"/>
        <w:tblInd w:w="1520" w:type="dxa"/>
        <w:tblCellMar>
          <w:top w:w="0" w:type="dxa"/>
          <w:left w:w="0" w:type="dxa"/>
          <w:bottom w:w="0" w:type="dxa"/>
          <w:right w:w="0" w:type="dxa"/>
        </w:tblCellMar>
      </w:tblPr>
      <w:tr>
        <w:trPr>
          <w:trHeight w:val="148"/>
        </w:trPr>
        <w:tc>
          <w:tcPr>
            <w:tcW w:w="2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2025</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2"/>
              <w:spacing w:after="0"/>
              <w:rPr>
                <w:sz w:val="20"/>
                <w:szCs w:val="20"/>
                <w:color w:val="auto"/>
              </w:rPr>
            </w:pPr>
            <w:r>
              <w:rPr>
                <w:rFonts w:ascii="Arial" w:cs="Arial" w:eastAsia="Arial" w:hAnsi="Arial"/>
                <w:sz w:val="11"/>
                <w:szCs w:val="11"/>
                <w:b w:val="1"/>
                <w:bCs w:val="1"/>
                <w:color w:val="auto"/>
              </w:rPr>
              <w:t>2024</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1"/>
              <w:spacing w:after="0"/>
              <w:rPr>
                <w:sz w:val="20"/>
                <w:szCs w:val="20"/>
                <w:color w:val="auto"/>
              </w:rPr>
            </w:pPr>
            <w:r>
              <w:rPr>
                <w:rFonts w:ascii="Arial" w:cs="Arial" w:eastAsia="Arial" w:hAnsi="Arial"/>
                <w:sz w:val="11"/>
                <w:szCs w:val="11"/>
                <w:b w:val="1"/>
                <w:bCs w:val="1"/>
                <w:color w:val="auto"/>
              </w:rPr>
              <w:t>Change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 Change</w:t>
            </w:r>
          </w:p>
        </w:tc>
        <w:tc>
          <w:tcPr>
            <w:tcW w:w="160" w:type="dxa"/>
            <w:vAlign w:val="bottom"/>
            <w:tcBorders>
              <w:bottom w:val="single" w:sz="8" w:color="auto"/>
            </w:tcBorders>
          </w:tcPr>
          <w:p>
            <w:pPr>
              <w:spacing w:after="0"/>
              <w:rPr>
                <w:sz w:val="12"/>
                <w:szCs w:val="12"/>
                <w:color w:val="auto"/>
              </w:rPr>
            </w:pPr>
          </w:p>
        </w:tc>
      </w:tr>
      <w:tr>
        <w:trPr>
          <w:trHeight w:val="142"/>
        </w:trPr>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tcPr>
          <w:p>
            <w:pPr>
              <w:jc w:val="right"/>
              <w:ind w:right="281"/>
              <w:spacing w:after="0"/>
              <w:rPr>
                <w:sz w:val="20"/>
                <w:szCs w:val="20"/>
                <w:color w:val="auto"/>
              </w:rPr>
            </w:pPr>
            <w:r>
              <w:rPr>
                <w:rFonts w:ascii="Arial" w:cs="Arial" w:eastAsia="Arial" w:hAnsi="Arial"/>
                <w:sz w:val="11"/>
                <w:szCs w:val="11"/>
                <w:b w:val="1"/>
                <w:bCs w:val="1"/>
                <w:color w:val="auto"/>
              </w:rPr>
              <w:t>(dollars in thousands)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87"/>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Cost of revenue </w:t>
            </w:r>
            <w:r>
              <w:rPr>
                <w:rFonts w:ascii="Times New Roman" w:cs="Times New Roman" w:eastAsia="Times New Roman" w:hAnsi="Times New Roman"/>
                <w:sz w:val="12"/>
                <w:szCs w:val="12"/>
                <w:color w:val="B4B4B4"/>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92,583</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82,545</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10,038</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3"/>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Gross profit </w:t>
            </w:r>
            <w:r>
              <w:rPr>
                <w:rFonts w:ascii="Times New Roman" w:cs="Times New Roman" w:eastAsia="Times New Roman" w:hAnsi="Times New Roman"/>
                <w:sz w:val="12"/>
                <w:szCs w:val="12"/>
                <w:color w:val="B4B4B4"/>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20"/>
              <w:spacing w:after="0"/>
              <w:rPr>
                <w:sz w:val="20"/>
                <w:szCs w:val="20"/>
                <w:color w:val="auto"/>
              </w:rPr>
            </w:pPr>
            <w:r>
              <w:rPr>
                <w:rFonts w:ascii="Arial" w:cs="Arial" w:eastAsia="Arial" w:hAnsi="Arial"/>
                <w:sz w:val="12"/>
                <w:szCs w:val="12"/>
                <w:color w:val="auto"/>
              </w:rPr>
              <w:t>236,830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42"/>
              <w:spacing w:after="0"/>
              <w:rPr>
                <w:sz w:val="20"/>
                <w:szCs w:val="20"/>
                <w:color w:val="auto"/>
              </w:rPr>
            </w:pPr>
            <w:r>
              <w:rPr>
                <w:rFonts w:ascii="Arial" w:cs="Arial" w:eastAsia="Arial" w:hAnsi="Arial"/>
                <w:sz w:val="12"/>
                <w:szCs w:val="12"/>
                <w:color w:val="auto"/>
              </w:rPr>
              <w:t>171,182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61"/>
              <w:spacing w:after="0"/>
              <w:rPr>
                <w:sz w:val="20"/>
                <w:szCs w:val="20"/>
                <w:color w:val="auto"/>
              </w:rPr>
            </w:pPr>
            <w:r>
              <w:rPr>
                <w:rFonts w:ascii="Arial" w:cs="Arial" w:eastAsia="Arial" w:hAnsi="Arial"/>
                <w:sz w:val="12"/>
                <w:szCs w:val="12"/>
                <w:color w:val="auto"/>
              </w:rPr>
              <w:t>65,648</w:t>
            </w:r>
          </w:p>
        </w:tc>
        <w:tc>
          <w:tcPr>
            <w:tcW w:w="660" w:type="dxa"/>
            <w:vAlign w:val="bottom"/>
          </w:tcPr>
          <w:p>
            <w:pPr>
              <w:jc w:val="right"/>
              <w:spacing w:after="0"/>
              <w:rPr>
                <w:sz w:val="20"/>
                <w:szCs w:val="20"/>
                <w:color w:val="auto"/>
              </w:rPr>
            </w:pPr>
            <w:r>
              <w:rPr>
                <w:rFonts w:ascii="Arial" w:cs="Arial" w:eastAsia="Arial" w:hAnsi="Arial"/>
                <w:sz w:val="12"/>
                <w:szCs w:val="12"/>
                <w:color w:val="auto"/>
              </w:rPr>
              <w:t>38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0"/>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Gross margin </w:t>
            </w:r>
            <w:r>
              <w:rPr>
                <w:rFonts w:ascii="Times New Roman" w:cs="Times New Roman" w:eastAsia="Times New Roman" w:hAnsi="Times New Roman"/>
                <w:sz w:val="12"/>
                <w:szCs w:val="12"/>
                <w:color w:val="B4B4B4"/>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67%</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bl>
    <w:p>
      <w:pPr>
        <w:spacing w:after="0" w:line="134" w:lineRule="exact"/>
        <w:rPr>
          <w:sz w:val="20"/>
          <w:szCs w:val="20"/>
          <w:color w:val="auto"/>
        </w:rPr>
      </w:pPr>
    </w:p>
    <w:p>
      <w:pPr>
        <w:ind w:left="1520" w:right="1700" w:firstLine="230"/>
        <w:spacing w:after="0" w:line="275" w:lineRule="auto"/>
        <w:rPr>
          <w:sz w:val="20"/>
          <w:szCs w:val="20"/>
          <w:color w:val="auto"/>
        </w:rPr>
      </w:pPr>
      <w:r>
        <w:rPr>
          <w:rFonts w:ascii="Arial" w:cs="Arial" w:eastAsia="Arial" w:hAnsi="Arial"/>
          <w:sz w:val="12"/>
          <w:szCs w:val="12"/>
          <w:color w:val="auto"/>
        </w:rPr>
        <w:t>Cost of revenue for the six months ended July 31, 2025 increased by $10.0 million, or 12%, primarily due to (i) an increase in salaries and related benefits, including stock-based compensation, of $5.6 million driven by an increase in headcount, (ii) an increase in facilities and IT-related costs of $1.7 million, (iii) an increase in merchant fees of $1.1 million, and (iv) an increase in other corporate costs of $0.8 million. The increase in gross profit and gross margin is primarily due to an increase in revenue on a relatively fixed cost base supported by our delivery of AI-powered customer support.</w:t>
      </w:r>
    </w:p>
    <w:p>
      <w:pPr>
        <w:spacing w:after="0" w:line="87" w:lineRule="exact"/>
        <w:rPr>
          <w:sz w:val="20"/>
          <w:szCs w:val="20"/>
          <w:color w:val="auto"/>
        </w:rPr>
      </w:pPr>
    </w:p>
    <w:p>
      <w:pPr>
        <w:ind w:left="1760"/>
        <w:spacing w:after="0"/>
        <w:rPr>
          <w:sz w:val="20"/>
          <w:szCs w:val="20"/>
          <w:color w:val="auto"/>
        </w:rPr>
      </w:pPr>
      <w:r>
        <w:rPr>
          <w:rFonts w:ascii="Arial" w:cs="Arial" w:eastAsia="Arial" w:hAnsi="Arial"/>
          <w:sz w:val="12"/>
          <w:szCs w:val="12"/>
          <w:i w:val="1"/>
          <w:iCs w:val="1"/>
          <w:color w:val="auto"/>
        </w:rPr>
        <w:t>Operating Expenses</w:t>
      </w:r>
    </w:p>
    <w:p>
      <w:pPr>
        <w:spacing w:after="0" w:line="16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Research and Development Expense</w:t>
      </w:r>
    </w:p>
    <w:p>
      <w:pPr>
        <w:spacing w:after="0" w:line="98" w:lineRule="exact"/>
        <w:rPr>
          <w:sz w:val="20"/>
          <w:szCs w:val="20"/>
          <w:color w:val="auto"/>
        </w:rPr>
      </w:pPr>
    </w:p>
    <w:p>
      <w:pPr>
        <w:ind w:left="4240"/>
        <w:spacing w:after="0"/>
        <w:rPr>
          <w:sz w:val="20"/>
          <w:szCs w:val="20"/>
          <w:color w:val="auto"/>
        </w:rPr>
      </w:pPr>
      <w:r>
        <w:rPr>
          <w:rFonts w:ascii="Arial" w:cs="Arial" w:eastAsia="Arial" w:hAnsi="Arial"/>
          <w:sz w:val="11"/>
          <w:szCs w:val="11"/>
          <w:b w:val="1"/>
          <w:bCs w:val="1"/>
          <w:color w:val="auto"/>
        </w:rPr>
        <w:t>Six Months Ended July 31</w:t>
      </w:r>
    </w:p>
    <w:p>
      <w:pPr>
        <w:ind w:left="4240"/>
        <w:spacing w:after="0" w:line="217" w:lineRule="auto"/>
        <w:rPr>
          <w:sz w:val="20"/>
          <w:szCs w:val="20"/>
          <w:color w:val="auto"/>
        </w:rPr>
      </w:pPr>
      <w:r>
        <w:rPr>
          <w:rFonts w:ascii="Arial" w:cs="Arial" w:eastAsia="Arial" w:hAnsi="Arial"/>
          <w:sz w:val="11"/>
          <w:szCs w:val="11"/>
          <w:b w:val="1"/>
          <w:bCs w:val="1"/>
          <w:color w:val="auto"/>
        </w:rPr>
        <w:t>,</w:t>
      </w:r>
    </w:p>
    <w:p>
      <w:pPr>
        <w:ind w:left="4340"/>
        <w:spacing w:after="0"/>
        <w:tabs>
          <w:tab w:leader="none" w:pos="5200" w:val="left"/>
          <w:tab w:leader="none" w:pos="5980" w:val="left"/>
          <w:tab w:leader="none" w:pos="6800" w:val="left"/>
        </w:tabs>
        <w:rPr>
          <w:sz w:val="20"/>
          <w:szCs w:val="20"/>
          <w:color w:val="auto"/>
        </w:rPr>
      </w:pPr>
      <w:r>
        <w:rPr>
          <w:rFonts w:ascii="Arial" w:cs="Arial" w:eastAsia="Arial" w:hAnsi="Arial"/>
          <w:sz w:val="11"/>
          <w:szCs w:val="11"/>
          <w:b w:val="1"/>
          <w:bCs w:val="1"/>
          <w:color w:val="auto"/>
        </w:rPr>
        <w:t>2025</w:t>
      </w:r>
      <w:r>
        <w:rPr>
          <w:sz w:val="20"/>
          <w:szCs w:val="20"/>
          <w:color w:val="auto"/>
        </w:rPr>
        <w:tab/>
      </w:r>
      <w:r>
        <w:rPr>
          <w:rFonts w:ascii="Arial" w:cs="Arial" w:eastAsia="Arial" w:hAnsi="Arial"/>
          <w:sz w:val="11"/>
          <w:szCs w:val="11"/>
          <w:b w:val="1"/>
          <w:bCs w:val="1"/>
          <w:color w:val="auto"/>
        </w:rPr>
        <w:t>2024</w:t>
      </w:r>
      <w:r>
        <w:rPr>
          <w:sz w:val="20"/>
          <w:szCs w:val="20"/>
          <w:color w:val="auto"/>
        </w:rPr>
        <w:tab/>
      </w:r>
      <w:r>
        <w:rPr>
          <w:rFonts w:ascii="Arial" w:cs="Arial" w:eastAsia="Arial" w:hAnsi="Arial"/>
          <w:sz w:val="11"/>
          <w:szCs w:val="11"/>
          <w:b w:val="1"/>
          <w:bCs w:val="1"/>
          <w:color w:val="auto"/>
        </w:rPr>
        <w:t>Change</w:t>
      </w:r>
      <w:r>
        <w:rPr>
          <w:sz w:val="20"/>
          <w:szCs w:val="20"/>
          <w:color w:val="auto"/>
        </w:rPr>
        <w:tab/>
      </w:r>
      <w:r>
        <w:rPr>
          <w:rFonts w:ascii="Arial" w:cs="Arial" w:eastAsia="Arial" w:hAnsi="Arial"/>
          <w:sz w:val="9"/>
          <w:szCs w:val="9"/>
          <w:b w:val="1"/>
          <w:bCs w:val="1"/>
          <w:color w:val="auto"/>
        </w:rPr>
        <w:t>% Change</w:t>
      </w:r>
    </w:p>
    <w:p>
      <w:pPr>
        <w:spacing w:after="0" w:line="45" w:lineRule="exact"/>
        <w:rPr>
          <w:sz w:val="20"/>
          <w:szCs w:val="20"/>
          <w:color w:val="auto"/>
        </w:rPr>
      </w:pPr>
    </w:p>
    <w:p>
      <w:pPr>
        <w:ind w:left="5240"/>
        <w:spacing w:after="0"/>
        <w:rPr>
          <w:sz w:val="20"/>
          <w:szCs w:val="20"/>
          <w:color w:val="auto"/>
        </w:rPr>
      </w:pPr>
      <w:r>
        <w:rPr>
          <w:rFonts w:ascii="Arial" w:cs="Arial" w:eastAsia="Arial" w:hAnsi="Arial"/>
          <w:sz w:val="11"/>
          <w:szCs w:val="11"/>
          <w:b w:val="1"/>
          <w:bCs w:val="1"/>
          <w:color w:val="auto"/>
        </w:rPr>
        <w:t>(dollars in thousands)</w:t>
      </w:r>
    </w:p>
    <w:p>
      <w:pPr>
        <w:sectPr>
          <w:pgSz w:w="11900" w:h="16840" w:orient="portrait"/>
          <w:cols w:equalWidth="0" w:num="1">
            <w:col w:w="9020"/>
          </w:cols>
          <w:pgMar w:left="1440" w:top="646" w:right="1440" w:bottom="47" w:gutter="0" w:footer="0" w:header="0"/>
        </w:sectPr>
      </w:pPr>
    </w:p>
    <w:p>
      <w:pPr>
        <w:spacing w:after="0" w:line="26" w:lineRule="exact"/>
        <w:rPr>
          <w:sz w:val="20"/>
          <w:szCs w:val="20"/>
          <w:color w:val="auto"/>
        </w:rPr>
      </w:pPr>
    </w:p>
    <w:p>
      <w:pPr>
        <w:ind w:left="1560"/>
        <w:spacing w:after="0"/>
        <w:tabs>
          <w:tab w:leader="none" w:pos="4420" w:val="left"/>
          <w:tab w:leader="none" w:pos="4920" w:val="left"/>
          <w:tab w:leader="none" w:pos="5280" w:val="left"/>
          <w:tab w:leader="none" w:pos="5800" w:val="left"/>
          <w:tab w:leader="none" w:pos="6220" w:val="left"/>
          <w:tab w:leader="none" w:pos="7160" w:val="left"/>
        </w:tabs>
        <w:rPr>
          <w:sz w:val="20"/>
          <w:szCs w:val="20"/>
          <w:color w:val="auto"/>
        </w:rPr>
      </w:pPr>
      <w:r>
        <w:rPr>
          <w:rFonts w:ascii="Arial" w:cs="Arial" w:eastAsia="Arial" w:hAnsi="Arial"/>
          <w:sz w:val="12"/>
          <w:szCs w:val="12"/>
          <w:color w:val="auto"/>
        </w:rPr>
        <w:t xml:space="preserve">Research and development </w:t>
      </w:r>
      <w:r>
        <w:rPr>
          <w:rFonts w:ascii="Times New Roman" w:cs="Times New Roman" w:eastAsia="Times New Roman" w:hAnsi="Times New Roman"/>
          <w:sz w:val="12"/>
          <w:szCs w:val="12"/>
          <w:color w:val="B4B4B4"/>
        </w:rPr>
        <w:t>............................</w:t>
      </w:r>
      <w:r>
        <w:rPr>
          <w:rFonts w:ascii="Arial" w:cs="Arial" w:eastAsia="Arial" w:hAnsi="Arial"/>
          <w:sz w:val="12"/>
          <w:szCs w:val="12"/>
          <w:color w:val="auto"/>
        </w:rPr>
        <w:t xml:space="preserve">  $</w:t>
      </w:r>
      <w:r>
        <w:rPr>
          <w:sz w:val="20"/>
          <w:szCs w:val="20"/>
          <w:color w:val="auto"/>
        </w:rPr>
        <w:tab/>
      </w:r>
      <w:r>
        <w:rPr>
          <w:rFonts w:ascii="Arial" w:cs="Arial" w:eastAsia="Arial" w:hAnsi="Arial"/>
          <w:sz w:val="12"/>
          <w:szCs w:val="12"/>
          <w:color w:val="auto"/>
        </w:rPr>
        <w:t>64,760</w:t>
        <w:tab/>
        <w:t>$</w:t>
      </w:r>
      <w:r>
        <w:rPr>
          <w:sz w:val="20"/>
          <w:szCs w:val="20"/>
          <w:color w:val="auto"/>
        </w:rPr>
        <w:tab/>
      </w:r>
      <w:r>
        <w:rPr>
          <w:rFonts w:ascii="Arial" w:cs="Arial" w:eastAsia="Arial" w:hAnsi="Arial"/>
          <w:sz w:val="12"/>
          <w:szCs w:val="12"/>
          <w:color w:val="auto"/>
        </w:rPr>
        <w:t>57,784</w:t>
        <w:tab/>
        <w:t>$</w:t>
      </w:r>
      <w:r>
        <w:rPr>
          <w:sz w:val="20"/>
          <w:szCs w:val="20"/>
          <w:color w:val="auto"/>
        </w:rPr>
        <w:tab/>
      </w:r>
      <w:r>
        <w:rPr>
          <w:rFonts w:ascii="Arial" w:cs="Arial" w:eastAsia="Arial" w:hAnsi="Arial"/>
          <w:sz w:val="12"/>
          <w:szCs w:val="12"/>
          <w:color w:val="auto"/>
        </w:rPr>
        <w:t>6,976</w:t>
      </w:r>
      <w:r>
        <w:rPr>
          <w:sz w:val="20"/>
          <w:szCs w:val="20"/>
          <w:color w:val="auto"/>
        </w:rPr>
        <w:tab/>
      </w:r>
      <w:r>
        <w:rPr>
          <w:rFonts w:ascii="Arial" w:cs="Arial" w:eastAsia="Arial" w:hAnsi="Arial"/>
          <w:sz w:val="11"/>
          <w:szCs w:val="11"/>
          <w:color w:val="auto"/>
        </w:rPr>
        <w:t>12%</w:t>
      </w:r>
    </w:p>
    <w:p>
      <w:pPr>
        <w:sectPr>
          <w:pgSz w:w="11900" w:h="16840" w:orient="portrait"/>
          <w:cols w:equalWidth="0" w:num="1">
            <w:col w:w="9020"/>
          </w:cols>
          <w:pgMar w:left="1440" w:top="646" w:right="1440" w:bottom="47" w:gutter="0" w:footer="0" w:header="0"/>
          <w:type w:val="continuous"/>
        </w:sectPr>
      </w:pPr>
    </w:p>
    <w:bookmarkStart w:id="75" w:name="page76"/>
    <w:bookmarkEnd w:id="75"/>
    <w:p>
      <w:pPr>
        <w:ind w:left="1520" w:right="1960" w:firstLine="230"/>
        <w:spacing w:after="0" w:line="28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Research and development expense for the six months ended July 31, 2025 increased by $7.0 million, or 12%, primarily due to (i) an increase in salaries and related benefits, including stock-based compensation, of $3.9 million driven by an increase in headcount, (ii) an increase in facilities and IT-related costs of $1.3 million, and (iii) an increase in other corporate costs of $1.1 million.</w:t>
      </w:r>
    </w:p>
    <w:p>
      <w:pPr>
        <w:spacing w:after="0" w:line="83" w:lineRule="exact"/>
        <w:rPr>
          <w:sz w:val="20"/>
          <w:szCs w:val="20"/>
          <w:color w:val="auto"/>
        </w:rPr>
      </w:pPr>
    </w:p>
    <w:p>
      <w:pPr>
        <w:ind w:left="1760"/>
        <w:spacing w:after="0"/>
        <w:rPr>
          <w:sz w:val="20"/>
          <w:szCs w:val="20"/>
          <w:color w:val="auto"/>
        </w:rPr>
      </w:pPr>
      <w:r>
        <w:rPr>
          <w:rFonts w:ascii="Arial" w:cs="Arial" w:eastAsia="Arial" w:hAnsi="Arial"/>
          <w:sz w:val="12"/>
          <w:szCs w:val="12"/>
          <w:i w:val="1"/>
          <w:iCs w:val="1"/>
          <w:color w:val="auto"/>
        </w:rPr>
        <w:t>Sales and Marketing Expense</w:t>
      </w:r>
    </w:p>
    <w:p>
      <w:pPr>
        <w:spacing w:after="0" w:line="79" w:lineRule="exact"/>
        <w:rPr>
          <w:sz w:val="20"/>
          <w:szCs w:val="20"/>
          <w:color w:val="auto"/>
        </w:rPr>
      </w:pPr>
    </w:p>
    <w:p>
      <w:pPr>
        <w:ind w:left="4240"/>
        <w:spacing w:after="0"/>
        <w:rPr>
          <w:sz w:val="20"/>
          <w:szCs w:val="20"/>
          <w:color w:val="auto"/>
        </w:rPr>
      </w:pPr>
      <w:r>
        <w:rPr>
          <w:rFonts w:ascii="Arial" w:cs="Arial" w:eastAsia="Arial" w:hAnsi="Arial"/>
          <w:sz w:val="11"/>
          <w:szCs w:val="11"/>
          <w:b w:val="1"/>
          <w:bCs w:val="1"/>
          <w:color w:val="auto"/>
        </w:rPr>
        <w:t>Six Months Ended July 31</w:t>
      </w:r>
    </w:p>
    <w:p>
      <w:pPr>
        <w:ind w:left="4240"/>
        <w:spacing w:after="0" w:line="181" w:lineRule="auto"/>
        <w:rPr>
          <w:sz w:val="20"/>
          <w:szCs w:val="20"/>
          <w:color w:val="auto"/>
        </w:rPr>
      </w:pPr>
      <w:r>
        <w:rPr>
          <w:rFonts w:ascii="Arial" w:cs="Arial" w:eastAsia="Arial" w:hAnsi="Arial"/>
          <w:sz w:val="11"/>
          <w:szCs w:val="11"/>
          <w:b w:val="1"/>
          <w:bCs w:val="1"/>
          <w:color w:val="auto"/>
        </w:rPr>
        <w:t>,</w:t>
      </w:r>
    </w:p>
    <w:tbl>
      <w:tblPr>
        <w:tblLayout w:type="fixed"/>
        <w:tblInd w:w="1520" w:type="dxa"/>
        <w:tblCellMar>
          <w:top w:w="0" w:type="dxa"/>
          <w:left w:w="0" w:type="dxa"/>
          <w:bottom w:w="0" w:type="dxa"/>
          <w:right w:w="0" w:type="dxa"/>
        </w:tblCellMar>
      </w:tblPr>
      <w:tr>
        <w:trPr>
          <w:trHeight w:val="148"/>
        </w:trPr>
        <w:tc>
          <w:tcPr>
            <w:tcW w:w="25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2025</w:t>
            </w: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b w:val="1"/>
                <w:bCs w:val="1"/>
                <w:color w:val="auto"/>
              </w:rPr>
              <w:t>2024</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Change</w:t>
            </w:r>
          </w:p>
        </w:tc>
        <w:tc>
          <w:tcPr>
            <w:tcW w:w="8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 Change</w:t>
            </w:r>
          </w:p>
        </w:tc>
      </w:tr>
      <w:tr>
        <w:trPr>
          <w:trHeight w:val="142"/>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3"/>
          </w:tcPr>
          <w:p>
            <w:pPr>
              <w:ind w:left="120"/>
              <w:spacing w:after="0"/>
              <w:rPr>
                <w:sz w:val="20"/>
                <w:szCs w:val="20"/>
                <w:color w:val="auto"/>
              </w:rPr>
            </w:pPr>
            <w:r>
              <w:rPr>
                <w:rFonts w:ascii="Arial" w:cs="Arial" w:eastAsia="Arial" w:hAnsi="Arial"/>
                <w:sz w:val="11"/>
                <w:szCs w:val="11"/>
                <w:b w:val="1"/>
                <w:bCs w:val="1"/>
                <w:color w:val="auto"/>
              </w:rPr>
              <w:t>(dollars in thousands)</w:t>
            </w:r>
          </w:p>
        </w:tc>
        <w:tc>
          <w:tcPr>
            <w:tcW w:w="820" w:type="dxa"/>
            <w:vAlign w:val="bottom"/>
          </w:tcPr>
          <w:p>
            <w:pPr>
              <w:spacing w:after="0"/>
              <w:rPr>
                <w:sz w:val="12"/>
                <w:szCs w:val="12"/>
                <w:color w:val="auto"/>
              </w:rPr>
            </w:pPr>
          </w:p>
        </w:tc>
      </w:tr>
      <w:tr>
        <w:trPr>
          <w:trHeight w:val="187"/>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Sales and marketing </w:t>
            </w:r>
            <w:r>
              <w:rPr>
                <w:rFonts w:ascii="Times New Roman" w:cs="Times New Roman" w:eastAsia="Times New Roman" w:hAnsi="Times New Roman"/>
                <w:sz w:val="12"/>
                <w:szCs w:val="12"/>
                <w:color w:val="B4B4B4"/>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130,376</w:t>
            </w: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103,530</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26,846</w:t>
            </w: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26%</w:t>
            </w:r>
          </w:p>
        </w:tc>
      </w:tr>
    </w:tbl>
    <w:p>
      <w:pPr>
        <w:spacing w:after="0" w:line="143" w:lineRule="exact"/>
        <w:rPr>
          <w:sz w:val="20"/>
          <w:szCs w:val="20"/>
          <w:color w:val="auto"/>
        </w:rPr>
      </w:pPr>
    </w:p>
    <w:p>
      <w:pPr>
        <w:ind w:left="1520" w:right="1620" w:firstLine="230"/>
        <w:spacing w:after="0" w:line="274" w:lineRule="auto"/>
        <w:rPr>
          <w:sz w:val="20"/>
          <w:szCs w:val="20"/>
          <w:color w:val="auto"/>
        </w:rPr>
      </w:pPr>
      <w:r>
        <w:rPr>
          <w:rFonts w:ascii="Arial" w:cs="Arial" w:eastAsia="Arial" w:hAnsi="Arial"/>
          <w:sz w:val="12"/>
          <w:szCs w:val="12"/>
          <w:color w:val="auto"/>
        </w:rPr>
        <w:t>Sales and marketing expense for the six months ended July 31, 2025 increased by $26.8 million, or 26%, primarily due to (i) an increase in advertising expense, which primarily consists of digital marketing spend, of $9.7 million, (ii) an increase in salaries and related benefits, including stock-based compensation, of $8.7 million driven by an increase in headcount as we continue to expand our sales and marketing organization to grow our customer base, (iii) an increase in sales commissions expense of $4.0 million, (iv) an increase in other corporate costs of $2.7 million, and (v) an increase in facilities and IT-related costs of $1.2 million.</w:t>
      </w:r>
    </w:p>
    <w:p>
      <w:pPr>
        <w:spacing w:after="0" w:line="243" w:lineRule="exact"/>
        <w:rPr>
          <w:sz w:val="20"/>
          <w:szCs w:val="20"/>
          <w:color w:val="auto"/>
        </w:rPr>
      </w:pPr>
    </w:p>
    <w:p>
      <w:pPr>
        <w:ind w:left="1760"/>
        <w:spacing w:after="0"/>
        <w:rPr>
          <w:sz w:val="20"/>
          <w:szCs w:val="20"/>
          <w:color w:val="auto"/>
        </w:rPr>
      </w:pPr>
      <w:r>
        <w:rPr>
          <w:rFonts w:ascii="Arial" w:cs="Arial" w:eastAsia="Arial" w:hAnsi="Arial"/>
          <w:sz w:val="12"/>
          <w:szCs w:val="12"/>
          <w:i w:val="1"/>
          <w:iCs w:val="1"/>
          <w:color w:val="auto"/>
        </w:rPr>
        <w:t>General and Administrative Expense</w:t>
      </w:r>
    </w:p>
    <w:p>
      <w:pPr>
        <w:spacing w:after="0" w:line="117" w:lineRule="exact"/>
        <w:rPr>
          <w:sz w:val="20"/>
          <w:szCs w:val="20"/>
          <w:color w:val="auto"/>
        </w:rPr>
      </w:pPr>
    </w:p>
    <w:p>
      <w:pPr>
        <w:ind w:left="4240"/>
        <w:spacing w:after="0"/>
        <w:rPr>
          <w:sz w:val="20"/>
          <w:szCs w:val="20"/>
          <w:color w:val="auto"/>
        </w:rPr>
      </w:pPr>
      <w:r>
        <w:rPr>
          <w:rFonts w:ascii="Arial" w:cs="Arial" w:eastAsia="Arial" w:hAnsi="Arial"/>
          <w:sz w:val="11"/>
          <w:szCs w:val="11"/>
          <w:b w:val="1"/>
          <w:bCs w:val="1"/>
          <w:color w:val="auto"/>
        </w:rPr>
        <w:t>Six Months Ended July 31</w:t>
      </w:r>
    </w:p>
    <w:p>
      <w:pPr>
        <w:ind w:left="4240"/>
        <w:spacing w:after="0" w:line="181" w:lineRule="auto"/>
        <w:rPr>
          <w:sz w:val="20"/>
          <w:szCs w:val="20"/>
          <w:color w:val="auto"/>
        </w:rPr>
      </w:pPr>
      <w:r>
        <w:rPr>
          <w:rFonts w:ascii="Arial" w:cs="Arial" w:eastAsia="Arial" w:hAnsi="Arial"/>
          <w:sz w:val="11"/>
          <w:szCs w:val="11"/>
          <w:b w:val="1"/>
          <w:bCs w:val="1"/>
          <w:color w:val="auto"/>
        </w:rPr>
        <w:t>,</w:t>
      </w:r>
    </w:p>
    <w:tbl>
      <w:tblPr>
        <w:tblLayout w:type="fixed"/>
        <w:tblInd w:w="1520" w:type="dxa"/>
        <w:tblCellMar>
          <w:top w:w="0" w:type="dxa"/>
          <w:left w:w="0" w:type="dxa"/>
          <w:bottom w:w="0" w:type="dxa"/>
          <w:right w:w="0" w:type="dxa"/>
        </w:tblCellMar>
      </w:tblPr>
      <w:tr>
        <w:trPr>
          <w:trHeight w:val="148"/>
        </w:trPr>
        <w:tc>
          <w:tcPr>
            <w:tcW w:w="25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2025</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2024</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Change</w:t>
            </w:r>
          </w:p>
        </w:tc>
        <w:tc>
          <w:tcPr>
            <w:tcW w:w="8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 Change</w:t>
            </w:r>
          </w:p>
        </w:tc>
      </w:tr>
      <w:tr>
        <w:trPr>
          <w:trHeight w:val="142"/>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3"/>
          </w:tcPr>
          <w:p>
            <w:pPr>
              <w:jc w:val="right"/>
              <w:ind w:right="303"/>
              <w:spacing w:after="0"/>
              <w:rPr>
                <w:sz w:val="20"/>
                <w:szCs w:val="20"/>
                <w:color w:val="auto"/>
              </w:rPr>
            </w:pPr>
            <w:r>
              <w:rPr>
                <w:rFonts w:ascii="Arial" w:cs="Arial" w:eastAsia="Arial" w:hAnsi="Arial"/>
                <w:sz w:val="11"/>
                <w:szCs w:val="11"/>
                <w:b w:val="1"/>
                <w:bCs w:val="1"/>
                <w:color w:val="auto"/>
              </w:rPr>
              <w:t>(dollars in thousands)</w:t>
            </w:r>
          </w:p>
        </w:tc>
        <w:tc>
          <w:tcPr>
            <w:tcW w:w="800" w:type="dxa"/>
            <w:vAlign w:val="bottom"/>
          </w:tcPr>
          <w:p>
            <w:pPr>
              <w:spacing w:after="0"/>
              <w:rPr>
                <w:sz w:val="12"/>
                <w:szCs w:val="12"/>
                <w:color w:val="auto"/>
              </w:rPr>
            </w:pPr>
          </w:p>
        </w:tc>
      </w:tr>
      <w:tr>
        <w:trPr>
          <w:trHeight w:val="187"/>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General and administrative </w:t>
            </w:r>
            <w:r>
              <w:rPr>
                <w:rFonts w:ascii="Times New Roman" w:cs="Times New Roman" w:eastAsia="Times New Roman" w:hAnsi="Times New Roman"/>
                <w:sz w:val="12"/>
                <w:szCs w:val="12"/>
                <w:color w:val="B4B4B4"/>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69,845</w:t>
            </w: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65,238</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4,607</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7 %</w:t>
            </w: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900" w:firstLine="230"/>
        <w:spacing w:after="0" w:line="281" w:lineRule="auto"/>
        <w:rPr>
          <w:sz w:val="20"/>
          <w:szCs w:val="20"/>
          <w:color w:val="auto"/>
        </w:rPr>
      </w:pPr>
      <w:r>
        <w:rPr>
          <w:rFonts w:ascii="Arial" w:cs="Arial" w:eastAsia="Arial" w:hAnsi="Arial"/>
          <w:sz w:val="12"/>
          <w:szCs w:val="12"/>
          <w:color w:val="auto"/>
        </w:rPr>
        <w:t>General and administrative expense for the six months ended July 31, 2025 increased by $4.6 million, or 7%, primarily due to an increase in salaries and related benefits, including stock-based compensation, of $5.2 million driven by an increase in headcount, offset by a decrease in professional services of $1.0 million.</w:t>
      </w:r>
    </w:p>
    <w:p>
      <w:pPr>
        <w:spacing w:after="0" w:line="83" w:lineRule="exact"/>
        <w:rPr>
          <w:sz w:val="20"/>
          <w:szCs w:val="20"/>
          <w:color w:val="auto"/>
        </w:rPr>
      </w:pPr>
    </w:p>
    <w:p>
      <w:pPr>
        <w:ind w:left="1760"/>
        <w:spacing w:after="0"/>
        <w:rPr>
          <w:sz w:val="20"/>
          <w:szCs w:val="20"/>
          <w:color w:val="auto"/>
        </w:rPr>
      </w:pPr>
      <w:r>
        <w:rPr>
          <w:rFonts w:ascii="Arial" w:cs="Arial" w:eastAsia="Arial" w:hAnsi="Arial"/>
          <w:sz w:val="12"/>
          <w:szCs w:val="12"/>
          <w:i w:val="1"/>
          <w:iCs w:val="1"/>
          <w:color w:val="auto"/>
        </w:rPr>
        <w:t>Interest Expense</w:t>
      </w:r>
    </w:p>
    <w:p>
      <w:pPr>
        <w:spacing w:after="0" w:line="79" w:lineRule="exact"/>
        <w:rPr>
          <w:sz w:val="20"/>
          <w:szCs w:val="20"/>
          <w:color w:val="auto"/>
        </w:rPr>
      </w:pPr>
    </w:p>
    <w:p>
      <w:pPr>
        <w:ind w:left="4240"/>
        <w:spacing w:after="0"/>
        <w:rPr>
          <w:sz w:val="20"/>
          <w:szCs w:val="20"/>
          <w:color w:val="auto"/>
        </w:rPr>
      </w:pPr>
      <w:r>
        <w:rPr>
          <w:rFonts w:ascii="Arial" w:cs="Arial" w:eastAsia="Arial" w:hAnsi="Arial"/>
          <w:sz w:val="11"/>
          <w:szCs w:val="11"/>
          <w:b w:val="1"/>
          <w:bCs w:val="1"/>
          <w:color w:val="auto"/>
        </w:rPr>
        <w:t>Six Months Ended July 31</w:t>
      </w:r>
    </w:p>
    <w:p>
      <w:pPr>
        <w:ind w:left="4240"/>
        <w:spacing w:after="0" w:line="181" w:lineRule="auto"/>
        <w:rPr>
          <w:sz w:val="20"/>
          <w:szCs w:val="20"/>
          <w:color w:val="auto"/>
        </w:rPr>
      </w:pPr>
      <w:r>
        <w:rPr>
          <w:rFonts w:ascii="Arial" w:cs="Arial" w:eastAsia="Arial" w:hAnsi="Arial"/>
          <w:sz w:val="11"/>
          <w:szCs w:val="11"/>
          <w:b w:val="1"/>
          <w:bCs w:val="1"/>
          <w:color w:val="auto"/>
        </w:rPr>
        <w:t>,</w:t>
      </w:r>
    </w:p>
    <w:tbl>
      <w:tblPr>
        <w:tblLayout w:type="fixed"/>
        <w:tblInd w:w="1520" w:type="dxa"/>
        <w:tblCellMar>
          <w:top w:w="0" w:type="dxa"/>
          <w:left w:w="0" w:type="dxa"/>
          <w:bottom w:w="0" w:type="dxa"/>
          <w:right w:w="0" w:type="dxa"/>
        </w:tblCellMar>
      </w:tblPr>
      <w:tr>
        <w:trPr>
          <w:trHeight w:val="148"/>
        </w:trPr>
        <w:tc>
          <w:tcPr>
            <w:tcW w:w="25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2025</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b w:val="1"/>
                <w:bCs w:val="1"/>
                <w:color w:val="auto"/>
              </w:rPr>
              <w:t>2024</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Change</w:t>
            </w:r>
          </w:p>
        </w:tc>
        <w:tc>
          <w:tcPr>
            <w:tcW w:w="8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 Change</w:t>
            </w:r>
          </w:p>
        </w:tc>
      </w:tr>
      <w:tr>
        <w:trPr>
          <w:trHeight w:val="142"/>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3"/>
          </w:tcPr>
          <w:p>
            <w:pPr>
              <w:jc w:val="right"/>
              <w:ind w:right="303"/>
              <w:spacing w:after="0"/>
              <w:rPr>
                <w:sz w:val="20"/>
                <w:szCs w:val="20"/>
                <w:color w:val="auto"/>
              </w:rPr>
            </w:pPr>
            <w:r>
              <w:rPr>
                <w:rFonts w:ascii="Arial" w:cs="Arial" w:eastAsia="Arial" w:hAnsi="Arial"/>
                <w:sz w:val="11"/>
                <w:szCs w:val="11"/>
                <w:b w:val="1"/>
                <w:bCs w:val="1"/>
                <w:color w:val="auto"/>
              </w:rPr>
              <w:t>(dollars in thousands)</w:t>
            </w:r>
          </w:p>
        </w:tc>
        <w:tc>
          <w:tcPr>
            <w:tcW w:w="800" w:type="dxa"/>
            <w:vAlign w:val="bottom"/>
          </w:tcPr>
          <w:p>
            <w:pPr>
              <w:spacing w:after="0"/>
              <w:rPr>
                <w:sz w:val="12"/>
                <w:szCs w:val="12"/>
                <w:color w:val="auto"/>
              </w:rPr>
            </w:pPr>
          </w:p>
        </w:tc>
      </w:tr>
      <w:tr>
        <w:trPr>
          <w:trHeight w:val="187"/>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Interest expense </w:t>
            </w:r>
            <w:r>
              <w:rPr>
                <w:rFonts w:ascii="Times New Roman" w:cs="Times New Roman" w:eastAsia="Times New Roman" w:hAnsi="Times New Roman"/>
                <w:sz w:val="12"/>
                <w:szCs w:val="12"/>
                <w:color w:val="B4B4B4"/>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(31,971)</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(37,851)</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5,880</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r>
    </w:tbl>
    <w:p>
      <w:pPr>
        <w:spacing w:after="0" w:line="134" w:lineRule="exact"/>
        <w:rPr>
          <w:sz w:val="20"/>
          <w:szCs w:val="20"/>
          <w:color w:val="auto"/>
        </w:rPr>
      </w:pPr>
    </w:p>
    <w:p>
      <w:pPr>
        <w:ind w:left="1520" w:right="1720" w:firstLine="230"/>
        <w:spacing w:after="0" w:line="281" w:lineRule="auto"/>
        <w:rPr>
          <w:sz w:val="20"/>
          <w:szCs w:val="20"/>
          <w:color w:val="auto"/>
        </w:rPr>
      </w:pPr>
      <w:r>
        <w:rPr>
          <w:rFonts w:ascii="Arial" w:cs="Arial" w:eastAsia="Arial" w:hAnsi="Arial"/>
          <w:sz w:val="12"/>
          <w:szCs w:val="12"/>
          <w:color w:val="auto"/>
        </w:rPr>
        <w:t>Interest expense for the six months ended July 31, 2025 decreased by $5.9 million, or 16%, primarily due to the settlement of a certain promissory note issued to a lender in 2022 for $150.0 million , or the 2022 Promissory Note, and lower borrowing levels under the Warehouse Credit Facility, partially offset by interest associated with the Vista Facility, which was issued during the six months ended July 31, 2025.</w:t>
      </w:r>
    </w:p>
    <w:p>
      <w:pPr>
        <w:spacing w:after="0" w:line="83" w:lineRule="exact"/>
        <w:rPr>
          <w:sz w:val="20"/>
          <w:szCs w:val="20"/>
          <w:color w:val="auto"/>
        </w:rPr>
      </w:pPr>
    </w:p>
    <w:p>
      <w:pPr>
        <w:ind w:left="1760"/>
        <w:spacing w:after="0"/>
        <w:rPr>
          <w:sz w:val="20"/>
          <w:szCs w:val="20"/>
          <w:color w:val="auto"/>
        </w:rPr>
      </w:pPr>
      <w:r>
        <w:rPr>
          <w:rFonts w:ascii="Arial" w:cs="Arial" w:eastAsia="Arial" w:hAnsi="Arial"/>
          <w:sz w:val="12"/>
          <w:szCs w:val="12"/>
          <w:i w:val="1"/>
          <w:iCs w:val="1"/>
          <w:color w:val="auto"/>
        </w:rPr>
        <w:t>Other Income</w:t>
      </w:r>
    </w:p>
    <w:p>
      <w:pPr>
        <w:spacing w:after="0" w:line="79" w:lineRule="exact"/>
        <w:rPr>
          <w:sz w:val="20"/>
          <w:szCs w:val="20"/>
          <w:color w:val="auto"/>
        </w:rPr>
      </w:pPr>
    </w:p>
    <w:p>
      <w:pPr>
        <w:ind w:left="4240"/>
        <w:spacing w:after="0"/>
        <w:rPr>
          <w:sz w:val="20"/>
          <w:szCs w:val="20"/>
          <w:color w:val="auto"/>
        </w:rPr>
      </w:pPr>
      <w:r>
        <w:rPr>
          <w:rFonts w:ascii="Arial" w:cs="Arial" w:eastAsia="Arial" w:hAnsi="Arial"/>
          <w:sz w:val="11"/>
          <w:szCs w:val="11"/>
          <w:b w:val="1"/>
          <w:bCs w:val="1"/>
          <w:color w:val="auto"/>
        </w:rPr>
        <w:t>Six Months Ended July 31</w:t>
      </w:r>
    </w:p>
    <w:p>
      <w:pPr>
        <w:ind w:left="4240"/>
        <w:spacing w:after="0" w:line="181" w:lineRule="auto"/>
        <w:rPr>
          <w:sz w:val="20"/>
          <w:szCs w:val="20"/>
          <w:color w:val="auto"/>
        </w:rPr>
      </w:pPr>
      <w:r>
        <w:rPr>
          <w:rFonts w:ascii="Arial" w:cs="Arial" w:eastAsia="Arial" w:hAnsi="Arial"/>
          <w:sz w:val="11"/>
          <w:szCs w:val="11"/>
          <w:b w:val="1"/>
          <w:bCs w:val="1"/>
          <w:color w:val="auto"/>
        </w:rPr>
        <w:t>,</w:t>
      </w:r>
    </w:p>
    <w:tbl>
      <w:tblPr>
        <w:tblLayout w:type="fixed"/>
        <w:tblInd w:w="1520" w:type="dxa"/>
        <w:tblCellMar>
          <w:top w:w="0" w:type="dxa"/>
          <w:left w:w="0" w:type="dxa"/>
          <w:bottom w:w="0" w:type="dxa"/>
          <w:right w:w="0" w:type="dxa"/>
        </w:tblCellMar>
      </w:tblPr>
      <w:tr>
        <w:trPr>
          <w:trHeight w:val="148"/>
        </w:trPr>
        <w:tc>
          <w:tcPr>
            <w:tcW w:w="25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2025</w:t>
            </w: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b w:val="1"/>
                <w:bCs w:val="1"/>
                <w:color w:val="auto"/>
              </w:rPr>
              <w:t>2024</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Change</w:t>
            </w:r>
          </w:p>
        </w:tc>
        <w:tc>
          <w:tcPr>
            <w:tcW w:w="8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 Change</w:t>
            </w:r>
          </w:p>
        </w:tc>
      </w:tr>
      <w:tr>
        <w:trPr>
          <w:trHeight w:val="142"/>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3"/>
          </w:tcPr>
          <w:p>
            <w:pPr>
              <w:jc w:val="right"/>
              <w:ind w:right="303"/>
              <w:spacing w:after="0"/>
              <w:rPr>
                <w:sz w:val="20"/>
                <w:szCs w:val="20"/>
                <w:color w:val="auto"/>
              </w:rPr>
            </w:pPr>
            <w:r>
              <w:rPr>
                <w:rFonts w:ascii="Arial" w:cs="Arial" w:eastAsia="Arial" w:hAnsi="Arial"/>
                <w:sz w:val="11"/>
                <w:szCs w:val="11"/>
                <w:b w:val="1"/>
                <w:bCs w:val="1"/>
                <w:color w:val="auto"/>
              </w:rPr>
              <w:t>(dollars in thousands)</w:t>
            </w:r>
          </w:p>
        </w:tc>
        <w:tc>
          <w:tcPr>
            <w:tcW w:w="800" w:type="dxa"/>
            <w:vAlign w:val="bottom"/>
          </w:tcPr>
          <w:p>
            <w:pPr>
              <w:spacing w:after="0"/>
              <w:rPr>
                <w:sz w:val="12"/>
                <w:szCs w:val="12"/>
                <w:color w:val="auto"/>
              </w:rPr>
            </w:pPr>
          </w:p>
        </w:tc>
      </w:tr>
      <w:tr>
        <w:trPr>
          <w:trHeight w:val="187"/>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Other income, net </w:t>
            </w:r>
            <w:r>
              <w:rPr>
                <w:rFonts w:ascii="Times New Roman" w:cs="Times New Roman" w:eastAsia="Times New Roman" w:hAnsi="Times New Roman"/>
                <w:sz w:val="12"/>
                <w:szCs w:val="12"/>
                <w:color w:val="B4B4B4"/>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6,699</w:t>
            </w: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rPr>
              <w:t>1,953</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4,746</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243%</w:t>
            </w:r>
          </w:p>
        </w:tc>
      </w:tr>
    </w:tbl>
    <w:p>
      <w:pPr>
        <w:spacing w:after="0" w:line="143" w:lineRule="exact"/>
        <w:rPr>
          <w:sz w:val="20"/>
          <w:szCs w:val="20"/>
          <w:color w:val="auto"/>
        </w:rPr>
      </w:pPr>
    </w:p>
    <w:p>
      <w:pPr>
        <w:jc w:val="both"/>
        <w:ind w:left="1520" w:right="1800" w:firstLine="230"/>
        <w:spacing w:after="0" w:line="286" w:lineRule="auto"/>
        <w:rPr>
          <w:sz w:val="20"/>
          <w:szCs w:val="20"/>
          <w:color w:val="auto"/>
        </w:rPr>
      </w:pPr>
      <w:r>
        <w:rPr>
          <w:rFonts w:ascii="Arial" w:cs="Arial" w:eastAsia="Arial" w:hAnsi="Arial"/>
          <w:sz w:val="12"/>
          <w:szCs w:val="12"/>
          <w:color w:val="auto"/>
        </w:rPr>
        <w:t>Other income for the six months ended July 31, 2025 increased by $4.7 million, or 243%, primarily due to an increase in foreign currency transaction gains of $8.3 million, partially offset by debt issuance costs of $2.9 million incurred in connection with the issuance of the SAFEs, which were expensed when incurred.</w:t>
      </w:r>
    </w:p>
    <w:p>
      <w:pPr>
        <w:spacing w:after="0" w:line="236" w:lineRule="exact"/>
        <w:rPr>
          <w:sz w:val="20"/>
          <w:szCs w:val="20"/>
          <w:color w:val="auto"/>
        </w:rPr>
      </w:pPr>
    </w:p>
    <w:p>
      <w:pPr>
        <w:ind w:left="1760"/>
        <w:spacing w:after="0"/>
        <w:rPr>
          <w:sz w:val="20"/>
          <w:szCs w:val="20"/>
          <w:color w:val="auto"/>
        </w:rPr>
      </w:pPr>
      <w:r>
        <w:rPr>
          <w:rFonts w:ascii="Arial" w:cs="Arial" w:eastAsia="Arial" w:hAnsi="Arial"/>
          <w:sz w:val="12"/>
          <w:szCs w:val="12"/>
          <w:i w:val="1"/>
          <w:iCs w:val="1"/>
          <w:color w:val="auto"/>
        </w:rPr>
        <w:t>Loss on Extinguishment of Debt</w:t>
      </w:r>
    </w:p>
    <w:p>
      <w:pPr>
        <w:spacing w:after="0" w:line="117" w:lineRule="exact"/>
        <w:rPr>
          <w:sz w:val="20"/>
          <w:szCs w:val="20"/>
          <w:color w:val="auto"/>
        </w:rPr>
      </w:pPr>
    </w:p>
    <w:p>
      <w:pPr>
        <w:ind w:left="4240"/>
        <w:spacing w:after="0"/>
        <w:rPr>
          <w:sz w:val="20"/>
          <w:szCs w:val="20"/>
          <w:color w:val="auto"/>
        </w:rPr>
      </w:pPr>
      <w:r>
        <w:rPr>
          <w:rFonts w:ascii="Arial" w:cs="Arial" w:eastAsia="Arial" w:hAnsi="Arial"/>
          <w:sz w:val="11"/>
          <w:szCs w:val="11"/>
          <w:b w:val="1"/>
          <w:bCs w:val="1"/>
          <w:color w:val="auto"/>
        </w:rPr>
        <w:t>Six Months Ended July 31</w:t>
      </w:r>
    </w:p>
    <w:p>
      <w:pPr>
        <w:ind w:left="4240"/>
        <w:spacing w:after="0" w:line="181" w:lineRule="auto"/>
        <w:rPr>
          <w:sz w:val="20"/>
          <w:szCs w:val="20"/>
          <w:color w:val="auto"/>
        </w:rPr>
      </w:pPr>
      <w:r>
        <w:rPr>
          <w:rFonts w:ascii="Arial" w:cs="Arial" w:eastAsia="Arial" w:hAnsi="Arial"/>
          <w:sz w:val="11"/>
          <w:szCs w:val="11"/>
          <w:b w:val="1"/>
          <w:bCs w:val="1"/>
          <w:color w:val="auto"/>
        </w:rPr>
        <w:t>,</w:t>
      </w:r>
    </w:p>
    <w:tbl>
      <w:tblPr>
        <w:tblLayout w:type="fixed"/>
        <w:tblInd w:w="1520" w:type="dxa"/>
        <w:tblCellMar>
          <w:top w:w="0" w:type="dxa"/>
          <w:left w:w="0" w:type="dxa"/>
          <w:bottom w:w="0" w:type="dxa"/>
          <w:right w:w="0" w:type="dxa"/>
        </w:tblCellMar>
      </w:tblPr>
      <w:tr>
        <w:trPr>
          <w:trHeight w:val="148"/>
        </w:trPr>
        <w:tc>
          <w:tcPr>
            <w:tcW w:w="25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2025</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44"/>
              <w:spacing w:after="0"/>
              <w:rPr>
                <w:sz w:val="20"/>
                <w:szCs w:val="20"/>
                <w:color w:val="auto"/>
              </w:rPr>
            </w:pPr>
            <w:r>
              <w:rPr>
                <w:rFonts w:ascii="Arial" w:cs="Arial" w:eastAsia="Arial" w:hAnsi="Arial"/>
                <w:sz w:val="11"/>
                <w:szCs w:val="11"/>
                <w:b w:val="1"/>
                <w:bCs w:val="1"/>
                <w:color w:val="auto"/>
              </w:rPr>
              <w:t>2024</w:t>
            </w: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Change</w:t>
            </w: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 Change</w:t>
            </w:r>
          </w:p>
        </w:tc>
      </w:tr>
      <w:tr>
        <w:trPr>
          <w:trHeight w:val="142"/>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right"/>
              <w:ind w:right="303"/>
              <w:spacing w:after="0"/>
              <w:rPr>
                <w:sz w:val="20"/>
                <w:szCs w:val="20"/>
                <w:color w:val="auto"/>
              </w:rPr>
            </w:pPr>
            <w:r>
              <w:rPr>
                <w:rFonts w:ascii="Arial" w:cs="Arial" w:eastAsia="Arial" w:hAnsi="Arial"/>
                <w:sz w:val="11"/>
                <w:szCs w:val="11"/>
                <w:b w:val="1"/>
                <w:bCs w:val="1"/>
                <w:color w:val="auto"/>
              </w:rPr>
              <w:t>(dollars in thousands)</w:t>
            </w:r>
          </w:p>
        </w:tc>
        <w:tc>
          <w:tcPr>
            <w:tcW w:w="800" w:type="dxa"/>
            <w:vAlign w:val="bottom"/>
          </w:tcPr>
          <w:p>
            <w:pPr>
              <w:spacing w:after="0"/>
              <w:rPr>
                <w:sz w:val="12"/>
                <w:szCs w:val="12"/>
                <w:color w:val="auto"/>
              </w:rPr>
            </w:pPr>
          </w:p>
        </w:tc>
      </w:tr>
      <w:tr>
        <w:trPr>
          <w:trHeight w:val="187"/>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Loss on extinguishment of debt </w:t>
            </w:r>
            <w:r>
              <w:rPr>
                <w:rFonts w:ascii="Times New Roman" w:cs="Times New Roman" w:eastAsia="Times New Roman" w:hAnsi="Times New Roman"/>
                <w:sz w:val="12"/>
                <w:szCs w:val="12"/>
                <w:color w:val="B4B4B4"/>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(20,528)</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  $</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(20,528)</w:t>
            </w:r>
          </w:p>
        </w:tc>
        <w:tc>
          <w:tcPr>
            <w:tcW w:w="800" w:type="dxa"/>
            <w:vAlign w:val="bottom"/>
            <w:shd w:val="clear" w:color="auto" w:fill="CCEEFF"/>
          </w:tcPr>
          <w:p>
            <w:pPr>
              <w:ind w:left="580"/>
              <w:spacing w:after="0"/>
              <w:rPr>
                <w:sz w:val="20"/>
                <w:szCs w:val="20"/>
                <w:color w:val="auto"/>
              </w:rPr>
            </w:pPr>
            <w:r>
              <w:rPr>
                <w:rFonts w:ascii="Arial" w:cs="Arial" w:eastAsia="Arial" w:hAnsi="Arial"/>
                <w:sz w:val="12"/>
                <w:szCs w:val="12"/>
                <w:color w:val="auto"/>
              </w:rPr>
              <w:t>NM</w:t>
            </w:r>
          </w:p>
        </w:tc>
      </w:tr>
    </w:tbl>
    <w:p>
      <w:pPr>
        <w:spacing w:after="0" w:line="30"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w:t>
      </w:r>
    </w:p>
    <w:p>
      <w:pPr>
        <w:spacing w:after="0" w:line="17"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*NM - Not meaningful</w:t>
      </w:r>
    </w:p>
    <w:p>
      <w:pPr>
        <w:spacing w:after="0" w:line="111" w:lineRule="exact"/>
        <w:rPr>
          <w:sz w:val="20"/>
          <w:szCs w:val="20"/>
          <w:color w:val="auto"/>
        </w:rPr>
      </w:pPr>
    </w:p>
    <w:p>
      <w:pPr>
        <w:ind w:left="1520" w:right="2000" w:firstLine="230"/>
        <w:spacing w:after="0" w:line="312" w:lineRule="auto"/>
        <w:rPr>
          <w:sz w:val="20"/>
          <w:szCs w:val="20"/>
          <w:color w:val="auto"/>
        </w:rPr>
      </w:pPr>
      <w:r>
        <w:rPr>
          <w:rFonts w:ascii="Arial" w:cs="Arial" w:eastAsia="Arial" w:hAnsi="Arial"/>
          <w:sz w:val="12"/>
          <w:szCs w:val="12"/>
          <w:color w:val="auto"/>
        </w:rPr>
        <w:t>Loss on extinguishment of debt for the six months ended July 31, 2025 was $20.5 million, which represented the loss on the settlement of the 2022 Promissory Note.</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i w:val="1"/>
          <w:iCs w:val="1"/>
          <w:color w:val="auto"/>
        </w:rPr>
        <w:t>Gain (Loss) on Fair Value Adjustments</w:t>
      </w:r>
    </w:p>
    <w:p>
      <w:pPr>
        <w:spacing w:after="0" w:line="117" w:lineRule="exact"/>
        <w:rPr>
          <w:sz w:val="20"/>
          <w:szCs w:val="20"/>
          <w:color w:val="auto"/>
        </w:rPr>
      </w:pPr>
    </w:p>
    <w:p>
      <w:pPr>
        <w:ind w:left="4240"/>
        <w:spacing w:after="0"/>
        <w:rPr>
          <w:sz w:val="20"/>
          <w:szCs w:val="20"/>
          <w:color w:val="auto"/>
        </w:rPr>
      </w:pPr>
      <w:r>
        <w:rPr>
          <w:rFonts w:ascii="Arial" w:cs="Arial" w:eastAsia="Arial" w:hAnsi="Arial"/>
          <w:sz w:val="11"/>
          <w:szCs w:val="11"/>
          <w:b w:val="1"/>
          <w:bCs w:val="1"/>
          <w:color w:val="auto"/>
        </w:rPr>
        <w:t>Six Months Ended July 31</w:t>
      </w:r>
    </w:p>
    <w:p>
      <w:pPr>
        <w:ind w:left="4240"/>
        <w:spacing w:after="0" w:line="181" w:lineRule="auto"/>
        <w:rPr>
          <w:sz w:val="20"/>
          <w:szCs w:val="20"/>
          <w:color w:val="auto"/>
        </w:rPr>
      </w:pPr>
      <w:r>
        <w:rPr>
          <w:rFonts w:ascii="Arial" w:cs="Arial" w:eastAsia="Arial" w:hAnsi="Arial"/>
          <w:sz w:val="11"/>
          <w:szCs w:val="11"/>
          <w:b w:val="1"/>
          <w:bCs w:val="1"/>
          <w:color w:val="auto"/>
        </w:rPr>
        <w:t>,</w:t>
      </w:r>
    </w:p>
    <w:tbl>
      <w:tblPr>
        <w:tblLayout w:type="fixed"/>
        <w:tblInd w:w="1520" w:type="dxa"/>
        <w:tblCellMar>
          <w:top w:w="0" w:type="dxa"/>
          <w:left w:w="0" w:type="dxa"/>
          <w:bottom w:w="0" w:type="dxa"/>
          <w:right w:w="0" w:type="dxa"/>
        </w:tblCellMar>
      </w:tblPr>
      <w:tr>
        <w:trPr>
          <w:trHeight w:val="148"/>
        </w:trPr>
        <w:tc>
          <w:tcPr>
            <w:tcW w:w="25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2025</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b w:val="1"/>
                <w:bCs w:val="1"/>
                <w:color w:val="auto"/>
              </w:rPr>
              <w:t>2024</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Change</w:t>
            </w: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 Change</w:t>
            </w:r>
          </w:p>
        </w:tc>
      </w:tr>
      <w:tr>
        <w:trPr>
          <w:trHeight w:val="142"/>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3"/>
          </w:tcPr>
          <w:p>
            <w:pPr>
              <w:jc w:val="right"/>
              <w:ind w:right="303"/>
              <w:spacing w:after="0"/>
              <w:rPr>
                <w:sz w:val="20"/>
                <w:szCs w:val="20"/>
                <w:color w:val="auto"/>
              </w:rPr>
            </w:pPr>
            <w:r>
              <w:rPr>
                <w:rFonts w:ascii="Arial" w:cs="Arial" w:eastAsia="Arial" w:hAnsi="Arial"/>
                <w:sz w:val="11"/>
                <w:szCs w:val="11"/>
                <w:b w:val="1"/>
                <w:bCs w:val="1"/>
                <w:color w:val="auto"/>
              </w:rPr>
              <w:t>(dollars in thousands)</w:t>
            </w:r>
          </w:p>
        </w:tc>
        <w:tc>
          <w:tcPr>
            <w:tcW w:w="800" w:type="dxa"/>
            <w:vAlign w:val="bottom"/>
          </w:tcPr>
          <w:p>
            <w:pPr>
              <w:spacing w:after="0"/>
              <w:rPr>
                <w:sz w:val="12"/>
                <w:szCs w:val="12"/>
                <w:color w:val="auto"/>
              </w:rPr>
            </w:pPr>
          </w:p>
        </w:tc>
      </w:tr>
      <w:tr>
        <w:trPr>
          <w:trHeight w:val="187"/>
        </w:trPr>
        <w:tc>
          <w:tcPr>
            <w:tcW w:w="27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xml:space="preserve">Gain (loss) on fair value adjustments </w:t>
            </w:r>
            <w:r>
              <w:rPr>
                <w:rFonts w:ascii="Times New Roman" w:cs="Times New Roman" w:eastAsia="Times New Roman" w:hAnsi="Times New Roman"/>
                <w:sz w:val="12"/>
                <w:szCs w:val="12"/>
                <w:color w:val="B4B4B4"/>
              </w:rPr>
              <w:t>............</w:t>
            </w:r>
            <w:r>
              <w:rPr>
                <w:rFonts w:ascii="Arial" w:cs="Arial" w:eastAsia="Arial" w:hAnsi="Arial"/>
                <w:sz w:val="12"/>
                <w:szCs w:val="12"/>
                <w:color w:val="auto"/>
              </w:rPr>
              <w:t xml:space="preserve"> $</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(17,886)</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rPr>
              <w:t>3,020</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(20,906)</w:t>
            </w:r>
          </w:p>
        </w:tc>
        <w:tc>
          <w:tcPr>
            <w:tcW w:w="800" w:type="dxa"/>
            <w:vAlign w:val="bottom"/>
            <w:shd w:val="clear" w:color="auto" w:fill="CCEEFF"/>
          </w:tcPr>
          <w:p>
            <w:pPr>
              <w:ind w:left="580"/>
              <w:spacing w:after="0"/>
              <w:rPr>
                <w:sz w:val="20"/>
                <w:szCs w:val="20"/>
                <w:color w:val="auto"/>
              </w:rPr>
            </w:pPr>
            <w:r>
              <w:rPr>
                <w:rFonts w:ascii="Arial" w:cs="Arial" w:eastAsia="Arial" w:hAnsi="Arial"/>
                <w:sz w:val="12"/>
                <w:szCs w:val="12"/>
                <w:color w:val="auto"/>
              </w:rPr>
              <w:t>NM</w:t>
            </w:r>
          </w:p>
        </w:tc>
      </w:tr>
    </w:tbl>
    <w:p>
      <w:pPr>
        <w:spacing w:after="0" w:line="30"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w:t>
      </w:r>
    </w:p>
    <w:p>
      <w:pPr>
        <w:spacing w:after="0" w:line="17"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*NM - Not meaningful</w:t>
      </w:r>
    </w:p>
    <w:p>
      <w:pPr>
        <w:spacing w:after="0" w:line="121" w:lineRule="exact"/>
        <w:rPr>
          <w:sz w:val="20"/>
          <w:szCs w:val="20"/>
          <w:color w:val="auto"/>
        </w:rPr>
      </w:pPr>
    </w:p>
    <w:p>
      <w:pPr>
        <w:ind w:left="1520" w:right="1720" w:firstLine="230"/>
        <w:spacing w:after="0" w:line="281" w:lineRule="auto"/>
        <w:rPr>
          <w:sz w:val="20"/>
          <w:szCs w:val="20"/>
          <w:color w:val="auto"/>
        </w:rPr>
      </w:pPr>
      <w:r>
        <w:rPr>
          <w:rFonts w:ascii="Arial" w:cs="Arial" w:eastAsia="Arial" w:hAnsi="Arial"/>
          <w:sz w:val="12"/>
          <w:szCs w:val="12"/>
          <w:color w:val="auto"/>
        </w:rPr>
        <w:t>Gain (loss) on fair value adjustments for the six months ended July 31, 2025 changed by $20.9 million, primarily due to a $39.2 million increase in the fair value of the SAFEs and common stock warrant liabilities, which were issued during the six months ended July 31, 2025, offset by an $18.3 million decrease in the fair value of the embedded derivative liability related to the Convertible Notes.</w:t>
      </w:r>
    </w:p>
    <w:p>
      <w:pPr>
        <w:sectPr>
          <w:pgSz w:w="11900" w:h="16840" w:orient="portrait"/>
          <w:cols w:equalWidth="0" w:num="1">
            <w:col w:w="9020"/>
          </w:cols>
          <w:pgMar w:left="1440" w:top="722" w:right="1440" w:bottom="604" w:gutter="0" w:footer="0" w:header="0"/>
        </w:sect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105</w:t>
      </w:r>
    </w:p>
    <w:p>
      <w:pPr>
        <w:sectPr>
          <w:pgSz w:w="11900" w:h="16840" w:orient="portrait"/>
          <w:cols w:equalWidth="0" w:num="1">
            <w:col w:w="9020"/>
          </w:cols>
          <w:pgMar w:left="1440" w:top="722" w:right="1440" w:bottom="604" w:gutter="0" w:footer="0" w:header="0"/>
          <w:type w:val="continuous"/>
        </w:sectPr>
      </w:pPr>
    </w:p>
    <w:bookmarkStart w:id="76" w:name="page77"/>
    <w:bookmarkEnd w:id="76"/>
    <w:p>
      <w:pPr>
        <w:ind w:left="1520"/>
        <w:spacing w:after="0"/>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1760"/>
        <w:spacing w:after="0"/>
        <w:rPr>
          <w:sz w:val="20"/>
          <w:szCs w:val="20"/>
          <w:color w:val="auto"/>
        </w:rPr>
      </w:pPr>
      <w:r>
        <w:rPr>
          <w:rFonts w:ascii="Arial" w:cs="Arial" w:eastAsia="Arial" w:hAnsi="Arial"/>
          <w:sz w:val="12"/>
          <w:szCs w:val="12"/>
          <w:i w:val="1"/>
          <w:iCs w:val="1"/>
          <w:color w:val="auto"/>
        </w:rPr>
        <w:t>Income Tax Expense</w:t>
      </w:r>
    </w:p>
    <w:p>
      <w:pPr>
        <w:spacing w:after="0" w:line="79" w:lineRule="exact"/>
        <w:rPr>
          <w:sz w:val="20"/>
          <w:szCs w:val="20"/>
          <w:color w:val="auto"/>
        </w:rPr>
      </w:pPr>
    </w:p>
    <w:p>
      <w:pPr>
        <w:ind w:left="4240"/>
        <w:spacing w:after="0"/>
        <w:rPr>
          <w:sz w:val="20"/>
          <w:szCs w:val="20"/>
          <w:color w:val="auto"/>
        </w:rPr>
      </w:pPr>
      <w:r>
        <w:rPr>
          <w:rFonts w:ascii="Arial" w:cs="Arial" w:eastAsia="Arial" w:hAnsi="Arial"/>
          <w:sz w:val="11"/>
          <w:szCs w:val="11"/>
          <w:b w:val="1"/>
          <w:bCs w:val="1"/>
          <w:color w:val="auto"/>
        </w:rPr>
        <w:t>Six Months Ended July 31</w:t>
      </w:r>
    </w:p>
    <w:p>
      <w:pPr>
        <w:ind w:left="4240"/>
        <w:spacing w:after="0" w:line="181" w:lineRule="auto"/>
        <w:rPr>
          <w:sz w:val="20"/>
          <w:szCs w:val="20"/>
          <w:color w:val="auto"/>
        </w:rPr>
      </w:pPr>
      <w:r>
        <w:rPr>
          <w:rFonts w:ascii="Arial" w:cs="Arial" w:eastAsia="Arial" w:hAnsi="Arial"/>
          <w:sz w:val="11"/>
          <w:szCs w:val="11"/>
          <w:b w:val="1"/>
          <w:bCs w:val="1"/>
          <w:color w:val="auto"/>
        </w:rPr>
        <w:t>,</w:t>
      </w:r>
    </w:p>
    <w:tbl>
      <w:tblPr>
        <w:tblLayout w:type="fixed"/>
        <w:tblInd w:w="1520" w:type="dxa"/>
        <w:tblCellMar>
          <w:top w:w="0" w:type="dxa"/>
          <w:left w:w="0" w:type="dxa"/>
          <w:bottom w:w="0" w:type="dxa"/>
          <w:right w:w="0" w:type="dxa"/>
        </w:tblCellMar>
      </w:tblPr>
      <w:tr>
        <w:trPr>
          <w:trHeight w:val="148"/>
        </w:trPr>
        <w:tc>
          <w:tcPr>
            <w:tcW w:w="25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2025</w:t>
            </w: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b w:val="1"/>
                <w:bCs w:val="1"/>
                <w:color w:val="auto"/>
              </w:rPr>
              <w:t>2024</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Change</w:t>
            </w:r>
          </w:p>
        </w:tc>
        <w:tc>
          <w:tcPr>
            <w:tcW w:w="8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 Change</w:t>
            </w:r>
          </w:p>
        </w:tc>
      </w:tr>
      <w:tr>
        <w:trPr>
          <w:trHeight w:val="142"/>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3"/>
          </w:tcPr>
          <w:p>
            <w:pPr>
              <w:jc w:val="right"/>
              <w:ind w:right="303"/>
              <w:spacing w:after="0"/>
              <w:rPr>
                <w:sz w:val="20"/>
                <w:szCs w:val="20"/>
                <w:color w:val="auto"/>
              </w:rPr>
            </w:pPr>
            <w:r>
              <w:rPr>
                <w:rFonts w:ascii="Arial" w:cs="Arial" w:eastAsia="Arial" w:hAnsi="Arial"/>
                <w:sz w:val="11"/>
                <w:szCs w:val="11"/>
                <w:b w:val="1"/>
                <w:bCs w:val="1"/>
                <w:color w:val="auto"/>
              </w:rPr>
              <w:t>(dollars in thousands)</w:t>
            </w:r>
          </w:p>
        </w:tc>
        <w:tc>
          <w:tcPr>
            <w:tcW w:w="800" w:type="dxa"/>
            <w:vAlign w:val="bottom"/>
          </w:tcPr>
          <w:p>
            <w:pPr>
              <w:spacing w:after="0"/>
              <w:rPr>
                <w:sz w:val="12"/>
                <w:szCs w:val="12"/>
                <w:color w:val="auto"/>
              </w:rPr>
            </w:pPr>
          </w:p>
        </w:tc>
      </w:tr>
      <w:tr>
        <w:trPr>
          <w:trHeight w:val="187"/>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Income tax expense </w:t>
            </w:r>
            <w:r>
              <w:rPr>
                <w:rFonts w:ascii="Times New Roman" w:cs="Times New Roman" w:eastAsia="Times New Roman" w:hAnsi="Times New Roman"/>
                <w:sz w:val="12"/>
                <w:szCs w:val="12"/>
                <w:color w:val="B4B4B4"/>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8,043</w:t>
            </w: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rPr>
              <w:t>4,296</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3,747</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87%</w:t>
            </w:r>
          </w:p>
        </w:tc>
      </w:tr>
    </w:tbl>
    <w:p>
      <w:pPr>
        <w:spacing w:after="0" w:line="134" w:lineRule="exact"/>
        <w:rPr>
          <w:sz w:val="20"/>
          <w:szCs w:val="20"/>
          <w:color w:val="auto"/>
        </w:rPr>
      </w:pPr>
    </w:p>
    <w:p>
      <w:pPr>
        <w:ind w:left="1520" w:right="2080" w:firstLine="230"/>
        <w:spacing w:after="0" w:line="312" w:lineRule="auto"/>
        <w:rPr>
          <w:sz w:val="20"/>
          <w:szCs w:val="20"/>
          <w:color w:val="auto"/>
        </w:rPr>
      </w:pPr>
      <w:r>
        <w:rPr>
          <w:rFonts w:ascii="Arial" w:cs="Arial" w:eastAsia="Arial" w:hAnsi="Arial"/>
          <w:sz w:val="12"/>
          <w:szCs w:val="12"/>
          <w:color w:val="auto"/>
        </w:rPr>
        <w:t>Income tax expense for the six months ended July 31, 2025 increased by $3.7 million, or 87%, primarily due to increases in foreign profits and nondeductible expenses.</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Comparison of the Fiscal Years Ended January 31, 2025 and 2024</w:t>
      </w:r>
    </w:p>
    <w:p>
      <w:pPr>
        <w:spacing w:after="0" w:line="130" w:lineRule="exact"/>
        <w:rPr>
          <w:sz w:val="20"/>
          <w:szCs w:val="20"/>
          <w:color w:val="auto"/>
        </w:rPr>
      </w:pPr>
    </w:p>
    <w:p>
      <w:pPr>
        <w:ind w:left="1760"/>
        <w:spacing w:after="0"/>
        <w:rPr>
          <w:sz w:val="20"/>
          <w:szCs w:val="20"/>
          <w:color w:val="auto"/>
        </w:rPr>
      </w:pPr>
      <w:r>
        <w:rPr>
          <w:rFonts w:ascii="Arial" w:cs="Arial" w:eastAsia="Arial" w:hAnsi="Arial"/>
          <w:sz w:val="12"/>
          <w:szCs w:val="12"/>
          <w:i w:val="1"/>
          <w:iCs w:val="1"/>
          <w:color w:val="auto"/>
        </w:rPr>
        <w:t>Revenue</w:t>
      </w:r>
    </w:p>
    <w:p>
      <w:pPr>
        <w:spacing w:after="0" w:line="128" w:lineRule="exact"/>
        <w:rPr>
          <w:sz w:val="20"/>
          <w:szCs w:val="20"/>
          <w:color w:val="auto"/>
        </w:rPr>
      </w:pPr>
    </w:p>
    <w:tbl>
      <w:tblPr>
        <w:tblLayout w:type="fixed"/>
        <w:tblInd w:w="1520" w:type="dxa"/>
        <w:tblCellMar>
          <w:top w:w="0" w:type="dxa"/>
          <w:left w:w="0" w:type="dxa"/>
          <w:bottom w:w="0" w:type="dxa"/>
          <w:right w:w="0" w:type="dxa"/>
        </w:tblCellMar>
      </w:tblPr>
      <w:tr>
        <w:trPr>
          <w:trHeight w:val="152"/>
        </w:trPr>
        <w:tc>
          <w:tcPr>
            <w:tcW w:w="25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202"/>
              <w:spacing w:after="0"/>
              <w:rPr>
                <w:sz w:val="20"/>
                <w:szCs w:val="20"/>
                <w:color w:val="auto"/>
              </w:rPr>
            </w:pPr>
            <w:r>
              <w:rPr>
                <w:rFonts w:ascii="Arial" w:cs="Arial" w:eastAsia="Arial" w:hAnsi="Arial"/>
                <w:sz w:val="11"/>
                <w:szCs w:val="11"/>
                <w:b w:val="1"/>
                <w:bCs w:val="1"/>
                <w:color w:val="auto"/>
                <w:w w:val="99"/>
              </w:rPr>
              <w:t>Year Ended January 31,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25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62"/>
              <w:spacing w:after="0"/>
              <w:rPr>
                <w:sz w:val="20"/>
                <w:szCs w:val="20"/>
                <w:color w:val="auto"/>
              </w:rPr>
            </w:pPr>
            <w:r>
              <w:rPr>
                <w:rFonts w:ascii="Arial" w:cs="Arial" w:eastAsia="Arial" w:hAnsi="Arial"/>
                <w:sz w:val="11"/>
                <w:szCs w:val="11"/>
                <w:b w:val="1"/>
                <w:bCs w:val="1"/>
                <w:color w:val="auto"/>
              </w:rPr>
              <w:t>2024</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Change</w:t>
            </w: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 Change</w:t>
            </w:r>
          </w:p>
        </w:tc>
        <w:tc>
          <w:tcPr>
            <w:tcW w:w="160" w:type="dxa"/>
            <w:vAlign w:val="bottom"/>
            <w:tcBorders>
              <w:bottom w:val="single" w:sz="8" w:color="auto"/>
            </w:tcBorders>
          </w:tcPr>
          <w:p>
            <w:pPr>
              <w:spacing w:after="0"/>
              <w:rPr>
                <w:sz w:val="12"/>
                <w:szCs w:val="12"/>
                <w:color w:val="auto"/>
              </w:rPr>
            </w:pPr>
          </w:p>
        </w:tc>
      </w:tr>
      <w:tr>
        <w:trPr>
          <w:trHeight w:val="143"/>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4"/>
          </w:tcPr>
          <w:p>
            <w:pPr>
              <w:jc w:val="right"/>
              <w:ind w:right="220"/>
              <w:spacing w:after="0"/>
              <w:rPr>
                <w:sz w:val="20"/>
                <w:szCs w:val="20"/>
                <w:color w:val="auto"/>
              </w:rPr>
            </w:pPr>
            <w:r>
              <w:rPr>
                <w:rFonts w:ascii="Arial" w:cs="Arial" w:eastAsia="Arial" w:hAnsi="Arial"/>
                <w:sz w:val="11"/>
                <w:szCs w:val="11"/>
                <w:b w:val="1"/>
                <w:bCs w:val="1"/>
                <w:color w:val="auto"/>
              </w:rPr>
              <w:t>(dollars in thousands)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87"/>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Usage-based revenue </w:t>
            </w:r>
            <w:r>
              <w:rPr>
                <w:rFonts w:ascii="Times New Roman" w:cs="Times New Roman" w:eastAsia="Times New Roman" w:hAnsi="Times New Roman"/>
                <w:sz w:val="12"/>
                <w:szCs w:val="12"/>
                <w:color w:val="B4B4B4"/>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490,356</w:t>
            </w:r>
          </w:p>
        </w:tc>
        <w:tc>
          <w:tcPr>
            <w:tcW w:w="2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371,728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118,628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3"/>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Subscription revenue </w:t>
            </w:r>
            <w:r>
              <w:rPr>
                <w:rFonts w:ascii="Times New Roman" w:cs="Times New Roman" w:eastAsia="Times New Roman" w:hAnsi="Times New Roman"/>
                <w:sz w:val="12"/>
                <w:szCs w:val="12"/>
                <w:color w:val="B4B4B4"/>
              </w:rPr>
              <w:t>.......................................</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46,481</w:t>
            </w:r>
          </w:p>
        </w:tc>
        <w:tc>
          <w:tcPr>
            <w:tcW w:w="240" w:type="dxa"/>
            <w:vAlign w:val="bottom"/>
            <w:gridSpan w:val="2"/>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30,528</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15,953</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52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0"/>
        </w:trPr>
        <w:tc>
          <w:tcPr>
            <w:tcW w:w="2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Totalrevenue</w:t>
            </w: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536,837</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402,256</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134,581</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124"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Revenue for the year ended January 31, 2025 increased by $134.6 million, or 33%.</w:t>
      </w:r>
    </w:p>
    <w:p>
      <w:pPr>
        <w:spacing w:after="0" w:line="130" w:lineRule="exact"/>
        <w:rPr>
          <w:sz w:val="20"/>
          <w:szCs w:val="20"/>
          <w:color w:val="auto"/>
        </w:rPr>
      </w:pPr>
    </w:p>
    <w:p>
      <w:pPr>
        <w:ind w:left="1520" w:right="1720" w:firstLine="230"/>
        <w:spacing w:after="0" w:line="276" w:lineRule="auto"/>
        <w:rPr>
          <w:sz w:val="20"/>
          <w:szCs w:val="20"/>
          <w:color w:val="auto"/>
        </w:rPr>
      </w:pPr>
      <w:r>
        <w:rPr>
          <w:rFonts w:ascii="Arial" w:cs="Arial" w:eastAsia="Arial" w:hAnsi="Arial"/>
          <w:sz w:val="12"/>
          <w:szCs w:val="12"/>
          <w:color w:val="auto"/>
        </w:rPr>
        <w:t>The increase in revenue for the year ended January 31, 2025, compared to the year ended January 31, 2024, was due to (i) an increase in usage-based revenue driven by a 32% increase in GBV and a 35% increase in payment volume as we increased our customer base and expanded engagement with our platform and offerings by existing customers, and (ii) an increase in subscription revenue primarily driven by increased adoption of our Expense Management offering by new and existing customers on our platform.</w:t>
      </w:r>
    </w:p>
    <w:p>
      <w:pPr>
        <w:spacing w:after="0" w:line="240" w:lineRule="exact"/>
        <w:rPr>
          <w:sz w:val="20"/>
          <w:szCs w:val="20"/>
          <w:color w:val="auto"/>
        </w:rPr>
      </w:pPr>
    </w:p>
    <w:p>
      <w:pPr>
        <w:ind w:left="1520" w:right="1720" w:firstLine="230"/>
        <w:spacing w:after="0" w:line="312" w:lineRule="auto"/>
        <w:rPr>
          <w:sz w:val="20"/>
          <w:szCs w:val="20"/>
          <w:color w:val="auto"/>
        </w:rPr>
      </w:pPr>
      <w:r>
        <w:rPr>
          <w:rFonts w:ascii="Arial" w:cs="Arial" w:eastAsia="Arial" w:hAnsi="Arial"/>
          <w:sz w:val="12"/>
          <w:szCs w:val="12"/>
          <w:color w:val="auto"/>
        </w:rPr>
        <w:t>The impact of foreign currency translation on the change in revenue from the year ended January 31, 2024 to the year ended January 31, 2025 was not material.</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i w:val="1"/>
          <w:iCs w:val="1"/>
          <w:color w:val="auto"/>
        </w:rPr>
        <w:t>Cost of Revenue and Gross Profit</w:t>
      </w:r>
    </w:p>
    <w:p>
      <w:pPr>
        <w:spacing w:after="0" w:line="128" w:lineRule="exact"/>
        <w:rPr>
          <w:sz w:val="20"/>
          <w:szCs w:val="20"/>
          <w:color w:val="auto"/>
        </w:rPr>
      </w:pPr>
    </w:p>
    <w:tbl>
      <w:tblPr>
        <w:tblLayout w:type="fixed"/>
        <w:tblInd w:w="1520" w:type="dxa"/>
        <w:tblCellMar>
          <w:top w:w="0" w:type="dxa"/>
          <w:left w:w="0" w:type="dxa"/>
          <w:bottom w:w="0" w:type="dxa"/>
          <w:right w:w="0" w:type="dxa"/>
        </w:tblCellMar>
      </w:tblPr>
      <w:tr>
        <w:trPr>
          <w:trHeight w:val="152"/>
        </w:trPr>
        <w:tc>
          <w:tcPr>
            <w:tcW w:w="2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202"/>
              <w:spacing w:after="0"/>
              <w:rPr>
                <w:sz w:val="20"/>
                <w:szCs w:val="20"/>
                <w:color w:val="auto"/>
              </w:rPr>
            </w:pPr>
            <w:r>
              <w:rPr>
                <w:rFonts w:ascii="Arial" w:cs="Arial" w:eastAsia="Arial" w:hAnsi="Arial"/>
                <w:sz w:val="11"/>
                <w:szCs w:val="11"/>
                <w:b w:val="1"/>
                <w:bCs w:val="1"/>
                <w:color w:val="auto"/>
              </w:rPr>
              <w:t>Year Ended January 31,</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8"/>
        </w:trPr>
        <w:tc>
          <w:tcPr>
            <w:tcW w:w="2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b w:val="1"/>
                <w:bCs w:val="1"/>
                <w:color w:val="auto"/>
              </w:rPr>
              <w:t>2025</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2"/>
              <w:spacing w:after="0"/>
              <w:rPr>
                <w:sz w:val="20"/>
                <w:szCs w:val="20"/>
                <w:color w:val="auto"/>
              </w:rPr>
            </w:pPr>
            <w:r>
              <w:rPr>
                <w:rFonts w:ascii="Arial" w:cs="Arial" w:eastAsia="Arial" w:hAnsi="Arial"/>
                <w:sz w:val="11"/>
                <w:szCs w:val="11"/>
                <w:b w:val="1"/>
                <w:bCs w:val="1"/>
                <w:color w:val="auto"/>
              </w:rPr>
              <w:t>2024</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Change</w:t>
            </w: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1"/>
                <w:szCs w:val="11"/>
                <w:b w:val="1"/>
                <w:bCs w:val="1"/>
                <w:color w:val="auto"/>
              </w:rPr>
              <w:t>% Change</w:t>
            </w:r>
          </w:p>
        </w:tc>
      </w:tr>
      <w:tr>
        <w:trPr>
          <w:trHeight w:val="143"/>
        </w:trPr>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3"/>
          </w:tcPr>
          <w:p>
            <w:pPr>
              <w:jc w:val="right"/>
              <w:ind w:right="301"/>
              <w:spacing w:after="0"/>
              <w:rPr>
                <w:sz w:val="20"/>
                <w:szCs w:val="20"/>
                <w:color w:val="auto"/>
              </w:rPr>
            </w:pPr>
            <w:r>
              <w:rPr>
                <w:rFonts w:ascii="Arial" w:cs="Arial" w:eastAsia="Arial" w:hAnsi="Arial"/>
                <w:sz w:val="11"/>
                <w:szCs w:val="11"/>
                <w:b w:val="1"/>
                <w:bCs w:val="1"/>
                <w:color w:val="auto"/>
              </w:rPr>
              <w:t>(dollars in thousands)</w:t>
            </w:r>
          </w:p>
        </w:tc>
        <w:tc>
          <w:tcPr>
            <w:tcW w:w="800" w:type="dxa"/>
            <w:vAlign w:val="bottom"/>
          </w:tcPr>
          <w:p>
            <w:pPr>
              <w:spacing w:after="0"/>
              <w:rPr>
                <w:sz w:val="12"/>
                <w:szCs w:val="12"/>
                <w:color w:val="auto"/>
              </w:rPr>
            </w:pPr>
          </w:p>
        </w:tc>
      </w:tr>
      <w:tr>
        <w:trPr>
          <w:trHeight w:val="187"/>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Cost of revenue </w:t>
            </w:r>
            <w:r>
              <w:rPr>
                <w:rFonts w:ascii="Times New Roman" w:cs="Times New Roman" w:eastAsia="Times New Roman" w:hAnsi="Times New Roman"/>
                <w:sz w:val="12"/>
                <w:szCs w:val="12"/>
                <w:color w:val="B4B4B4"/>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169,815</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162,622</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7,193</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4 %</w:t>
            </w:r>
          </w:p>
        </w:tc>
      </w:tr>
      <w:tr>
        <w:trPr>
          <w:trHeight w:val="173"/>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Gross profit </w:t>
            </w:r>
            <w:r>
              <w:rPr>
                <w:rFonts w:ascii="Times New Roman" w:cs="Times New Roman" w:eastAsia="Times New Roman" w:hAnsi="Times New Roman"/>
                <w:sz w:val="12"/>
                <w:szCs w:val="12"/>
                <w:color w:val="B4B4B4"/>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22"/>
              <w:spacing w:after="0"/>
              <w:rPr>
                <w:sz w:val="20"/>
                <w:szCs w:val="20"/>
                <w:color w:val="auto"/>
              </w:rPr>
            </w:pPr>
            <w:r>
              <w:rPr>
                <w:rFonts w:ascii="Arial" w:cs="Arial" w:eastAsia="Arial" w:hAnsi="Arial"/>
                <w:sz w:val="12"/>
                <w:szCs w:val="12"/>
                <w:color w:val="auto"/>
              </w:rPr>
              <w:t>367,022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42"/>
              <w:spacing w:after="0"/>
              <w:rPr>
                <w:sz w:val="20"/>
                <w:szCs w:val="20"/>
                <w:color w:val="auto"/>
              </w:rPr>
            </w:pPr>
            <w:r>
              <w:rPr>
                <w:rFonts w:ascii="Arial" w:cs="Arial" w:eastAsia="Arial" w:hAnsi="Arial"/>
                <w:sz w:val="12"/>
                <w:szCs w:val="12"/>
                <w:color w:val="auto"/>
              </w:rPr>
              <w:t>239,634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1"/>
              <w:spacing w:after="0"/>
              <w:rPr>
                <w:sz w:val="20"/>
                <w:szCs w:val="20"/>
                <w:color w:val="auto"/>
              </w:rPr>
            </w:pPr>
            <w:r>
              <w:rPr>
                <w:rFonts w:ascii="Arial" w:cs="Arial" w:eastAsia="Arial" w:hAnsi="Arial"/>
                <w:sz w:val="12"/>
                <w:szCs w:val="12"/>
                <w:color w:val="auto"/>
              </w:rPr>
              <w:t>127,388</w:t>
            </w:r>
          </w:p>
        </w:tc>
        <w:tc>
          <w:tcPr>
            <w:tcW w:w="800" w:type="dxa"/>
            <w:vAlign w:val="bottom"/>
          </w:tcPr>
          <w:p>
            <w:pPr>
              <w:jc w:val="right"/>
              <w:spacing w:after="0"/>
              <w:rPr>
                <w:sz w:val="20"/>
                <w:szCs w:val="20"/>
                <w:color w:val="auto"/>
              </w:rPr>
            </w:pPr>
            <w:r>
              <w:rPr>
                <w:rFonts w:ascii="Arial" w:cs="Arial" w:eastAsia="Arial" w:hAnsi="Arial"/>
                <w:sz w:val="12"/>
                <w:szCs w:val="12"/>
                <w:color w:val="auto"/>
              </w:rPr>
              <w:t>53 %</w:t>
            </w:r>
          </w:p>
        </w:tc>
      </w:tr>
      <w:tr>
        <w:trPr>
          <w:trHeight w:val="190"/>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Gross margin </w:t>
            </w:r>
            <w:r>
              <w:rPr>
                <w:rFonts w:ascii="Times New Roman" w:cs="Times New Roman" w:eastAsia="Times New Roman" w:hAnsi="Times New Roman"/>
                <w:sz w:val="12"/>
                <w:szCs w:val="12"/>
                <w:color w:val="B4B4B4"/>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68%</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60%</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bl>
    <w:p>
      <w:pPr>
        <w:spacing w:after="0" w:line="143"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color w:val="auto"/>
        </w:rPr>
        <w:t>Cost of revenue for the year ended January 31, 2025 increased by $7.2 million, or 4%, primarily due to an increase in salaries and related benefits of $4.6 million, an increase in merchant fees of $2.9 million, and an increase in cloud hosting, support, processing and ticketing fees of $2.8 million, offset by a $2.9 million decrease in depreciation related to the early termination of an office lease during the year ended January 31, 2024, and a decrease in stock-based compensation of $0.1 million. The increase in gross profit and gross margin is primarily due to an increase in revenue on a relatively fixed cost base supported by our delivery of AI-powered customer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1760"/>
        <w:spacing w:after="0"/>
        <w:rPr>
          <w:sz w:val="20"/>
          <w:szCs w:val="20"/>
          <w:color w:val="auto"/>
        </w:rPr>
      </w:pPr>
      <w:r>
        <w:rPr>
          <w:rFonts w:ascii="Arial" w:cs="Arial" w:eastAsia="Arial" w:hAnsi="Arial"/>
          <w:sz w:val="12"/>
          <w:szCs w:val="12"/>
          <w:i w:val="1"/>
          <w:iCs w:val="1"/>
          <w:color w:val="auto"/>
        </w:rPr>
        <w:t>Operating Expenses</w:t>
      </w:r>
    </w:p>
    <w:p>
      <w:pPr>
        <w:spacing w:after="0" w:line="16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Research and Development Expense</w:t>
      </w:r>
    </w:p>
    <w:p>
      <w:pPr>
        <w:spacing w:after="0" w:line="147"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25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1"/>
                <w:szCs w:val="11"/>
                <w:b w:val="1"/>
                <w:bCs w:val="1"/>
                <w:color w:val="auto"/>
                <w:w w:val="99"/>
              </w:rPr>
              <w:t>Year Ended January 31,</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2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2025</w:t>
            </w: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b w:val="1"/>
                <w:bCs w:val="1"/>
                <w:color w:val="auto"/>
              </w:rPr>
              <w:t>2024</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Change</w:t>
            </w:r>
          </w:p>
        </w:tc>
        <w:tc>
          <w:tcPr>
            <w:tcW w:w="8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 Change</w:t>
            </w: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3"/>
          </w:tcPr>
          <w:p>
            <w:pPr>
              <w:ind w:left="120"/>
              <w:spacing w:after="0"/>
              <w:rPr>
                <w:sz w:val="20"/>
                <w:szCs w:val="20"/>
                <w:color w:val="auto"/>
              </w:rPr>
            </w:pPr>
            <w:r>
              <w:rPr>
                <w:rFonts w:ascii="Arial" w:cs="Arial" w:eastAsia="Arial" w:hAnsi="Arial"/>
                <w:sz w:val="11"/>
                <w:szCs w:val="11"/>
                <w:b w:val="1"/>
                <w:bCs w:val="1"/>
                <w:color w:val="auto"/>
              </w:rPr>
              <w:t>(dollars in thousands)</w:t>
            </w:r>
          </w:p>
        </w:tc>
        <w:tc>
          <w:tcPr>
            <w:tcW w:w="800" w:type="dxa"/>
            <w:vAlign w:val="bottom"/>
          </w:tcPr>
          <w:p>
            <w:pPr>
              <w:spacing w:after="0"/>
              <w:rPr>
                <w:sz w:val="14"/>
                <w:szCs w:val="14"/>
                <w:color w:val="auto"/>
              </w:rPr>
            </w:pPr>
          </w:p>
        </w:tc>
      </w:tr>
      <w:tr>
        <w:trPr>
          <w:trHeight w:val="192"/>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Research and development </w:t>
            </w:r>
            <w:r>
              <w:rPr>
                <w:rFonts w:ascii="Times New Roman" w:cs="Times New Roman" w:eastAsia="Times New Roman" w:hAnsi="Times New Roman"/>
                <w:sz w:val="12"/>
                <w:szCs w:val="12"/>
                <w:color w:val="B4B4B4"/>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122,386</w:t>
            </w: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132,442</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(10,056)</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r>
    </w:tbl>
    <w:p>
      <w:pPr>
        <w:spacing w:after="0" w:line="134" w:lineRule="exact"/>
        <w:rPr>
          <w:sz w:val="20"/>
          <w:szCs w:val="20"/>
          <w:color w:val="auto"/>
        </w:rPr>
      </w:pPr>
    </w:p>
    <w:p>
      <w:pPr>
        <w:ind w:left="1520" w:right="1960" w:firstLine="230"/>
        <w:spacing w:after="0" w:line="289" w:lineRule="auto"/>
        <w:rPr>
          <w:sz w:val="20"/>
          <w:szCs w:val="20"/>
          <w:color w:val="auto"/>
        </w:rPr>
      </w:pPr>
      <w:r>
        <w:rPr>
          <w:rFonts w:ascii="Arial" w:cs="Arial" w:eastAsia="Arial" w:hAnsi="Arial"/>
          <w:sz w:val="12"/>
          <w:szCs w:val="12"/>
          <w:color w:val="auto"/>
        </w:rPr>
        <w:t>Research and development expense for the year ended January 31, 2025 decreased by $10.1 million, or 8%, primarily due to a decrease in salaries and related benefits of $13.4 million driven by a reduction in headcount, offset by an increase of $3.4 million in stock-based compensation.</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Sales and Marketing Expense</w:t>
      </w:r>
    </w:p>
    <w:p>
      <w:pPr>
        <w:spacing w:after="0" w:line="128" w:lineRule="exact"/>
        <w:rPr>
          <w:sz w:val="20"/>
          <w:szCs w:val="20"/>
          <w:color w:val="auto"/>
        </w:rPr>
      </w:pPr>
    </w:p>
    <w:tbl>
      <w:tblPr>
        <w:tblLayout w:type="fixed"/>
        <w:tblInd w:w="1520" w:type="dxa"/>
        <w:tblCellMar>
          <w:top w:w="0" w:type="dxa"/>
          <w:left w:w="0" w:type="dxa"/>
          <w:bottom w:w="0" w:type="dxa"/>
          <w:right w:w="0" w:type="dxa"/>
        </w:tblCellMar>
      </w:tblPr>
      <w:tr>
        <w:trPr>
          <w:trHeight w:val="152"/>
        </w:trPr>
        <w:tc>
          <w:tcPr>
            <w:tcW w:w="25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1"/>
                <w:szCs w:val="11"/>
                <w:b w:val="1"/>
                <w:bCs w:val="1"/>
                <w:color w:val="auto"/>
                <w:w w:val="99"/>
              </w:rPr>
              <w:t>Year Ended January 31,</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8"/>
        </w:trPr>
        <w:tc>
          <w:tcPr>
            <w:tcW w:w="25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2025</w:t>
            </w: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b w:val="1"/>
                <w:bCs w:val="1"/>
                <w:color w:val="auto"/>
              </w:rPr>
              <w:t>2024</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Change</w:t>
            </w:r>
          </w:p>
        </w:tc>
        <w:tc>
          <w:tcPr>
            <w:tcW w:w="8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 Change</w:t>
            </w:r>
          </w:p>
        </w:tc>
      </w:tr>
      <w:tr>
        <w:trPr>
          <w:trHeight w:val="143"/>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3"/>
          </w:tcPr>
          <w:p>
            <w:pPr>
              <w:ind w:left="120"/>
              <w:spacing w:after="0"/>
              <w:rPr>
                <w:sz w:val="20"/>
                <w:szCs w:val="20"/>
                <w:color w:val="auto"/>
              </w:rPr>
            </w:pPr>
            <w:r>
              <w:rPr>
                <w:rFonts w:ascii="Arial" w:cs="Arial" w:eastAsia="Arial" w:hAnsi="Arial"/>
                <w:sz w:val="11"/>
                <w:szCs w:val="11"/>
                <w:b w:val="1"/>
                <w:bCs w:val="1"/>
                <w:color w:val="auto"/>
              </w:rPr>
              <w:t>(dollars in thousands)</w:t>
            </w:r>
          </w:p>
        </w:tc>
        <w:tc>
          <w:tcPr>
            <w:tcW w:w="800" w:type="dxa"/>
            <w:vAlign w:val="bottom"/>
          </w:tcPr>
          <w:p>
            <w:pPr>
              <w:spacing w:after="0"/>
              <w:rPr>
                <w:sz w:val="12"/>
                <w:szCs w:val="12"/>
                <w:color w:val="auto"/>
              </w:rPr>
            </w:pPr>
          </w:p>
        </w:tc>
      </w:tr>
      <w:tr>
        <w:trPr>
          <w:trHeight w:val="187"/>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Sales and marketing </w:t>
            </w:r>
            <w:r>
              <w:rPr>
                <w:rFonts w:ascii="Times New Roman" w:cs="Times New Roman" w:eastAsia="Times New Roman" w:hAnsi="Times New Roman"/>
                <w:sz w:val="12"/>
                <w:szCs w:val="12"/>
                <w:color w:val="B4B4B4"/>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218,722</w:t>
            </w: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220,511</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(1,789)</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bl>
    <w:p>
      <w:pPr>
        <w:spacing w:after="0" w:line="143" w:lineRule="exact"/>
        <w:rPr>
          <w:sz w:val="20"/>
          <w:szCs w:val="20"/>
          <w:color w:val="auto"/>
        </w:rPr>
      </w:pPr>
    </w:p>
    <w:p>
      <w:pPr>
        <w:ind w:left="1520" w:right="1720" w:firstLine="230"/>
        <w:spacing w:after="0" w:line="275" w:lineRule="auto"/>
        <w:rPr>
          <w:sz w:val="20"/>
          <w:szCs w:val="20"/>
          <w:color w:val="auto"/>
        </w:rPr>
      </w:pPr>
      <w:r>
        <w:rPr>
          <w:rFonts w:ascii="Arial" w:cs="Arial" w:eastAsia="Arial" w:hAnsi="Arial"/>
          <w:sz w:val="12"/>
          <w:szCs w:val="12"/>
          <w:color w:val="auto"/>
        </w:rPr>
        <w:t>Sales and marketing expense for the year ended January 31, 2025 decreased by $1.8 million, or 1%, primarily due to (i) a decrease in sales commissions expense of $13.7 million, primarily driven by a change in our sales compensation plans during the year ended January 31, 2025, which resulted in an increase in the capitalization of certain contract acquisition costs, partially offset by (ii) an increase in advertising expense, which primarily consists of digital marketing spend, of $6.3 million, and (iii) an increase in salaries and related benefits, including stock-based compensation, of $6.2 million.</w:t>
      </w:r>
    </w:p>
    <w:p>
      <w:pPr>
        <w:spacing w:after="0" w:line="85" w:lineRule="exact"/>
        <w:rPr>
          <w:sz w:val="20"/>
          <w:szCs w:val="20"/>
          <w:color w:val="auto"/>
        </w:rPr>
      </w:pPr>
    </w:p>
    <w:p>
      <w:pPr>
        <w:jc w:val="both"/>
        <w:ind w:left="1520" w:right="1920" w:firstLine="230"/>
        <w:spacing w:after="0" w:line="289" w:lineRule="auto"/>
        <w:rPr>
          <w:sz w:val="20"/>
          <w:szCs w:val="20"/>
          <w:color w:val="auto"/>
        </w:rPr>
      </w:pPr>
      <w:r>
        <w:rPr>
          <w:rFonts w:ascii="Arial" w:cs="Arial" w:eastAsia="Arial" w:hAnsi="Arial"/>
          <w:sz w:val="12"/>
          <w:szCs w:val="12"/>
          <w:color w:val="auto"/>
        </w:rPr>
        <w:t>Refer to Note 1, “Description of Business and Significant Accounting Policies” to our consolidated financial statements included elsewhere in this prospectus for further details regarding our accounting policy for contract acquisition costs.</w:t>
      </w:r>
    </w:p>
    <w:p>
      <w:pPr>
        <w:sectPr>
          <w:pgSz w:w="11900" w:h="16840" w:orient="portrait"/>
          <w:cols w:equalWidth="0" w:num="1">
            <w:col w:w="9020"/>
          </w:cols>
          <w:pgMar w:left="1440" w:top="761" w:right="1440" w:bottom="3" w:gutter="0" w:footer="0" w:header="0"/>
        </w:sectPr>
      </w:pPr>
    </w:p>
    <w:bookmarkStart w:id="77" w:name="page78"/>
    <w:bookmarkEnd w:id="77"/>
    <w:p>
      <w:pPr>
        <w:ind w:left="1980"/>
        <w:spacing w:after="0"/>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General and Administrative Expense</w:t>
      </w:r>
    </w:p>
    <w:p>
      <w:pPr>
        <w:spacing w:after="0" w:line="166" w:lineRule="exact"/>
        <w:rPr>
          <w:sz w:val="20"/>
          <w:szCs w:val="20"/>
          <w:color w:val="auto"/>
        </w:rPr>
      </w:pPr>
    </w:p>
    <w:tbl>
      <w:tblPr>
        <w:tblLayout w:type="fixed"/>
        <w:tblInd w:w="1520" w:type="dxa"/>
        <w:tblCellMar>
          <w:top w:w="0" w:type="dxa"/>
          <w:left w:w="0" w:type="dxa"/>
          <w:bottom w:w="0" w:type="dxa"/>
          <w:right w:w="0" w:type="dxa"/>
        </w:tblCellMar>
      </w:tblPr>
      <w:tr>
        <w:trPr>
          <w:trHeight w:val="152"/>
        </w:trPr>
        <w:tc>
          <w:tcPr>
            <w:tcW w:w="25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1"/>
                <w:szCs w:val="11"/>
                <w:b w:val="1"/>
                <w:bCs w:val="1"/>
                <w:color w:val="auto"/>
                <w:w w:val="99"/>
              </w:rPr>
              <w:t>Year Ended January 31,</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8"/>
        </w:trPr>
        <w:tc>
          <w:tcPr>
            <w:tcW w:w="25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2025</w:t>
            </w: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b w:val="1"/>
                <w:bCs w:val="1"/>
                <w:color w:val="auto"/>
              </w:rPr>
              <w:t>2024</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Change</w:t>
            </w: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 Change</w:t>
            </w:r>
          </w:p>
        </w:tc>
      </w:tr>
      <w:tr>
        <w:trPr>
          <w:trHeight w:val="143"/>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3"/>
          </w:tcPr>
          <w:p>
            <w:pPr>
              <w:ind w:left="120"/>
              <w:spacing w:after="0"/>
              <w:rPr>
                <w:sz w:val="20"/>
                <w:szCs w:val="20"/>
                <w:color w:val="auto"/>
              </w:rPr>
            </w:pPr>
            <w:r>
              <w:rPr>
                <w:rFonts w:ascii="Arial" w:cs="Arial" w:eastAsia="Arial" w:hAnsi="Arial"/>
                <w:sz w:val="11"/>
                <w:szCs w:val="11"/>
                <w:b w:val="1"/>
                <w:bCs w:val="1"/>
                <w:color w:val="auto"/>
              </w:rPr>
              <w:t>(dollars in thousands)</w:t>
            </w:r>
          </w:p>
        </w:tc>
        <w:tc>
          <w:tcPr>
            <w:tcW w:w="800" w:type="dxa"/>
            <w:vAlign w:val="bottom"/>
          </w:tcPr>
          <w:p>
            <w:pPr>
              <w:spacing w:after="0"/>
              <w:rPr>
                <w:sz w:val="12"/>
                <w:szCs w:val="12"/>
                <w:color w:val="auto"/>
              </w:rPr>
            </w:pPr>
          </w:p>
        </w:tc>
      </w:tr>
      <w:tr>
        <w:trPr>
          <w:trHeight w:val="187"/>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General and administrative </w:t>
            </w:r>
            <w:r>
              <w:rPr>
                <w:rFonts w:ascii="Times New Roman" w:cs="Times New Roman" w:eastAsia="Times New Roman" w:hAnsi="Times New Roman"/>
                <w:sz w:val="12"/>
                <w:szCs w:val="12"/>
                <w:color w:val="B4B4B4"/>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133,552</w:t>
            </w: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133,023</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529</w:t>
            </w:r>
          </w:p>
        </w:tc>
        <w:tc>
          <w:tcPr>
            <w:tcW w:w="800" w:type="dxa"/>
            <w:vAlign w:val="bottom"/>
            <w:shd w:val="clear" w:color="auto" w:fill="CCEEFF"/>
          </w:tcPr>
          <w:p>
            <w:pPr>
              <w:ind w:left="580"/>
              <w:spacing w:after="0"/>
              <w:rPr>
                <w:sz w:val="20"/>
                <w:szCs w:val="20"/>
                <w:color w:val="auto"/>
              </w:rPr>
            </w:pPr>
            <w:r>
              <w:rPr>
                <w:rFonts w:ascii="Arial" w:cs="Arial" w:eastAsia="Arial" w:hAnsi="Arial"/>
                <w:sz w:val="12"/>
                <w:szCs w:val="12"/>
                <w:color w:val="auto"/>
              </w:rPr>
              <w:t>NM</w:t>
            </w:r>
          </w:p>
        </w:tc>
      </w:tr>
    </w:tbl>
    <w:p>
      <w:pPr>
        <w:spacing w:after="0" w:line="30"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w:t>
      </w:r>
    </w:p>
    <w:p>
      <w:pPr>
        <w:spacing w:after="0" w:line="17"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*NM - Not meaningful</w:t>
      </w:r>
    </w:p>
    <w:p>
      <w:pPr>
        <w:spacing w:after="0" w:line="111" w:lineRule="exact"/>
        <w:rPr>
          <w:sz w:val="20"/>
          <w:szCs w:val="20"/>
          <w:color w:val="auto"/>
        </w:rPr>
      </w:pPr>
    </w:p>
    <w:p>
      <w:pPr>
        <w:ind w:left="1520" w:right="1700" w:firstLine="230"/>
        <w:spacing w:after="0" w:line="271" w:lineRule="auto"/>
        <w:rPr>
          <w:sz w:val="20"/>
          <w:szCs w:val="20"/>
          <w:color w:val="auto"/>
        </w:rPr>
      </w:pPr>
      <w:r>
        <w:rPr>
          <w:rFonts w:ascii="Arial" w:cs="Arial" w:eastAsia="Arial" w:hAnsi="Arial"/>
          <w:sz w:val="12"/>
          <w:szCs w:val="12"/>
          <w:color w:val="auto"/>
        </w:rPr>
        <w:t>General and administrative expense for the year ended January 31, 2025 increased by $0.5 million, primarily due to (i) an increase in expense of $23.0 million related to the release of a tax contingency reserve in the year ended January 31, 2024 and (ii) an increase in professional services expenses of $2.5 million, primarily driven by accounting and advisory services necessary to support our growth and public company preparation activities, in addition to recruiting and placement fees, partially offset by (iii) a decrease in salaries and related benefits, including stock-based compensation, of $10.0 million compared to the year ended January 31, 2024, (iv) a decrease in facilities and IT-related costs of $6.9 million, (v) a decrease in expense of $3.7 million due to the write-off of previously capitalized offering costs in the year ended January 31, 2024, and (vi) a decrease in bad debt expense of $2.1 million, primarily driven by improved credit and collection processes and shorter payment terms for existing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1760"/>
        <w:spacing w:after="0"/>
        <w:rPr>
          <w:sz w:val="20"/>
          <w:szCs w:val="20"/>
          <w:color w:val="auto"/>
        </w:rPr>
      </w:pPr>
      <w:r>
        <w:rPr>
          <w:rFonts w:ascii="Arial" w:cs="Arial" w:eastAsia="Arial" w:hAnsi="Arial"/>
          <w:sz w:val="12"/>
          <w:szCs w:val="12"/>
          <w:i w:val="1"/>
          <w:iCs w:val="1"/>
          <w:color w:val="auto"/>
        </w:rPr>
        <w:t>Interest Expense</w:t>
      </w:r>
    </w:p>
    <w:p>
      <w:pPr>
        <w:spacing w:after="0" w:line="128" w:lineRule="exact"/>
        <w:rPr>
          <w:sz w:val="20"/>
          <w:szCs w:val="20"/>
          <w:color w:val="auto"/>
        </w:rPr>
      </w:pPr>
    </w:p>
    <w:tbl>
      <w:tblPr>
        <w:tblLayout w:type="fixed"/>
        <w:tblInd w:w="1520" w:type="dxa"/>
        <w:tblCellMar>
          <w:top w:w="0" w:type="dxa"/>
          <w:left w:w="0" w:type="dxa"/>
          <w:bottom w:w="0" w:type="dxa"/>
          <w:right w:w="0" w:type="dxa"/>
        </w:tblCellMar>
      </w:tblPr>
      <w:tr>
        <w:trPr>
          <w:trHeight w:val="152"/>
        </w:trPr>
        <w:tc>
          <w:tcPr>
            <w:tcW w:w="25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1"/>
                <w:szCs w:val="11"/>
                <w:b w:val="1"/>
                <w:bCs w:val="1"/>
                <w:color w:val="auto"/>
                <w:w w:val="99"/>
              </w:rPr>
              <w:t>Year Ended January 31,</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8"/>
        </w:trPr>
        <w:tc>
          <w:tcPr>
            <w:tcW w:w="25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b w:val="1"/>
                <w:bCs w:val="1"/>
                <w:color w:val="auto"/>
              </w:rPr>
              <w:t>2025</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b w:val="1"/>
                <w:bCs w:val="1"/>
                <w:color w:val="auto"/>
              </w:rPr>
              <w:t>2024</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Change</w:t>
            </w:r>
          </w:p>
        </w:tc>
        <w:tc>
          <w:tcPr>
            <w:tcW w:w="8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 Change</w:t>
            </w:r>
          </w:p>
        </w:tc>
      </w:tr>
      <w:tr>
        <w:trPr>
          <w:trHeight w:val="143"/>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3"/>
          </w:tcPr>
          <w:p>
            <w:pPr>
              <w:jc w:val="right"/>
              <w:ind w:right="303"/>
              <w:spacing w:after="0"/>
              <w:rPr>
                <w:sz w:val="20"/>
                <w:szCs w:val="20"/>
                <w:color w:val="auto"/>
              </w:rPr>
            </w:pPr>
            <w:r>
              <w:rPr>
                <w:rFonts w:ascii="Arial" w:cs="Arial" w:eastAsia="Arial" w:hAnsi="Arial"/>
                <w:sz w:val="11"/>
                <w:szCs w:val="11"/>
                <w:b w:val="1"/>
                <w:bCs w:val="1"/>
                <w:color w:val="auto"/>
              </w:rPr>
              <w:t>(dollars in thousands)</w:t>
            </w:r>
          </w:p>
        </w:tc>
        <w:tc>
          <w:tcPr>
            <w:tcW w:w="800" w:type="dxa"/>
            <w:vAlign w:val="bottom"/>
          </w:tcPr>
          <w:p>
            <w:pPr>
              <w:spacing w:after="0"/>
              <w:rPr>
                <w:sz w:val="12"/>
                <w:szCs w:val="12"/>
                <w:color w:val="auto"/>
              </w:rPr>
            </w:pPr>
          </w:p>
        </w:tc>
      </w:tr>
      <w:tr>
        <w:trPr>
          <w:trHeight w:val="187"/>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Interest expense </w:t>
            </w:r>
            <w:r>
              <w:rPr>
                <w:rFonts w:ascii="Times New Roman" w:cs="Times New Roman" w:eastAsia="Times New Roman" w:hAnsi="Times New Roman"/>
                <w:sz w:val="12"/>
                <w:szCs w:val="12"/>
                <w:color w:val="B4B4B4"/>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(75,997)</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(63,281)</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(12,716)</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20 %</w:t>
            </w:r>
          </w:p>
        </w:tc>
      </w:tr>
    </w:tbl>
    <w:p>
      <w:pPr>
        <w:spacing w:after="0" w:line="134" w:lineRule="exact"/>
        <w:rPr>
          <w:sz w:val="20"/>
          <w:szCs w:val="20"/>
          <w:color w:val="auto"/>
        </w:rPr>
      </w:pPr>
    </w:p>
    <w:p>
      <w:pPr>
        <w:ind w:left="1520" w:right="1840" w:firstLine="230"/>
        <w:spacing w:after="0" w:line="312" w:lineRule="auto"/>
        <w:rPr>
          <w:sz w:val="20"/>
          <w:szCs w:val="20"/>
          <w:color w:val="auto"/>
        </w:rPr>
      </w:pPr>
      <w:r>
        <w:rPr>
          <w:rFonts w:ascii="Arial" w:cs="Arial" w:eastAsia="Arial" w:hAnsi="Arial"/>
          <w:sz w:val="12"/>
          <w:szCs w:val="12"/>
          <w:color w:val="auto"/>
        </w:rPr>
        <w:t>Interest expense for the year ended January 31, 2025 increased by $12.7 million, or 20%, primarily due to higher borrowing levels under the Warehouse Credit Facility and the Trade Loan Facility.</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i w:val="1"/>
          <w:iCs w:val="1"/>
          <w:color w:val="auto"/>
        </w:rPr>
        <w:t>Other Income (Expense)</w:t>
      </w:r>
    </w:p>
    <w:p>
      <w:pPr>
        <w:spacing w:after="0" w:line="128" w:lineRule="exact"/>
        <w:rPr>
          <w:sz w:val="20"/>
          <w:szCs w:val="20"/>
          <w:color w:val="auto"/>
        </w:rPr>
      </w:pPr>
    </w:p>
    <w:tbl>
      <w:tblPr>
        <w:tblLayout w:type="fixed"/>
        <w:tblInd w:w="1520" w:type="dxa"/>
        <w:tblCellMar>
          <w:top w:w="0" w:type="dxa"/>
          <w:left w:w="0" w:type="dxa"/>
          <w:bottom w:w="0" w:type="dxa"/>
          <w:right w:w="0" w:type="dxa"/>
        </w:tblCellMar>
      </w:tblPr>
      <w:tr>
        <w:trPr>
          <w:trHeight w:val="152"/>
        </w:trPr>
        <w:tc>
          <w:tcPr>
            <w:tcW w:w="2520" w:type="dxa"/>
            <w:vAlign w:val="bottom"/>
          </w:tcPr>
          <w:p>
            <w:pPr>
              <w:spacing w:after="0"/>
              <w:rPr>
                <w:sz w:val="13"/>
                <w:szCs w:val="13"/>
                <w:color w:val="auto"/>
              </w:rPr>
            </w:pPr>
          </w:p>
        </w:tc>
        <w:tc>
          <w:tcPr>
            <w:tcW w:w="172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1"/>
                <w:szCs w:val="11"/>
                <w:b w:val="1"/>
                <w:bCs w:val="1"/>
                <w:color w:val="auto"/>
              </w:rPr>
              <w:t>Year Ended January 31,</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8"/>
        </w:trPr>
        <w:tc>
          <w:tcPr>
            <w:tcW w:w="252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5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b w:val="1"/>
                <w:bCs w:val="1"/>
                <w:color w:val="auto"/>
              </w:rPr>
              <w:t>2024</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Change</w:t>
            </w:r>
          </w:p>
        </w:tc>
        <w:tc>
          <w:tcPr>
            <w:tcW w:w="8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 Change</w:t>
            </w:r>
          </w:p>
        </w:tc>
      </w:tr>
      <w:tr>
        <w:trPr>
          <w:trHeight w:val="143"/>
        </w:trPr>
        <w:tc>
          <w:tcPr>
            <w:tcW w:w="2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3"/>
          </w:tcPr>
          <w:p>
            <w:pPr>
              <w:jc w:val="right"/>
              <w:ind w:right="303"/>
              <w:spacing w:after="0"/>
              <w:rPr>
                <w:sz w:val="20"/>
                <w:szCs w:val="20"/>
                <w:color w:val="auto"/>
              </w:rPr>
            </w:pPr>
            <w:r>
              <w:rPr>
                <w:rFonts w:ascii="Arial" w:cs="Arial" w:eastAsia="Arial" w:hAnsi="Arial"/>
                <w:sz w:val="11"/>
                <w:szCs w:val="11"/>
                <w:b w:val="1"/>
                <w:bCs w:val="1"/>
                <w:color w:val="auto"/>
              </w:rPr>
              <w:t>(dollars in thousands)</w:t>
            </w:r>
          </w:p>
        </w:tc>
        <w:tc>
          <w:tcPr>
            <w:tcW w:w="800" w:type="dxa"/>
            <w:vAlign w:val="bottom"/>
          </w:tcPr>
          <w:p>
            <w:pPr>
              <w:spacing w:after="0"/>
              <w:rPr>
                <w:sz w:val="12"/>
                <w:szCs w:val="12"/>
                <w:color w:val="auto"/>
              </w:rPr>
            </w:pPr>
          </w:p>
        </w:tc>
      </w:tr>
      <w:tr>
        <w:trPr>
          <w:trHeight w:val="187"/>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Other income (expense), net </w:t>
            </w:r>
            <w:r>
              <w:rPr>
                <w:rFonts w:ascii="Times New Roman" w:cs="Times New Roman" w:eastAsia="Times New Roman" w:hAnsi="Times New Roman"/>
                <w:sz w:val="12"/>
                <w:szCs w:val="12"/>
                <w:color w:val="B4B4B4"/>
              </w:rPr>
              <w:t>..........................</w:t>
            </w:r>
          </w:p>
        </w:tc>
        <w:tc>
          <w:tcPr>
            <w:tcW w:w="560" w:type="dxa"/>
            <w:vAlign w:val="bottom"/>
            <w:shd w:val="clear" w:color="auto" w:fill="CCEEFF"/>
          </w:tcPr>
          <w:p>
            <w:pPr>
              <w:jc w:val="right"/>
              <w:ind w:right="404"/>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(73)  $</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rPr>
              <w:t>10,093</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(10,166)</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w:t>
            </w:r>
          </w:p>
        </w:tc>
      </w:tr>
    </w:tbl>
    <w:p>
      <w:pPr>
        <w:spacing w:after="0" w:line="143" w:lineRule="exact"/>
        <w:rPr>
          <w:sz w:val="20"/>
          <w:szCs w:val="20"/>
          <w:color w:val="auto"/>
        </w:rPr>
      </w:pPr>
    </w:p>
    <w:p>
      <w:pPr>
        <w:ind w:left="1520" w:right="1680" w:firstLine="230"/>
        <w:spacing w:after="0" w:line="281" w:lineRule="auto"/>
        <w:rPr>
          <w:sz w:val="20"/>
          <w:szCs w:val="20"/>
          <w:color w:val="auto"/>
        </w:rPr>
      </w:pPr>
      <w:r>
        <w:rPr>
          <w:rFonts w:ascii="Arial" w:cs="Arial" w:eastAsia="Arial" w:hAnsi="Arial"/>
          <w:sz w:val="12"/>
          <w:szCs w:val="12"/>
          <w:color w:val="auto"/>
        </w:rPr>
        <w:t>Other income (expense), net for the year ended January 31, 2025 changed by $10.2 million, or 101%, primarily due to (i) the release of a tax contingency reserve in the amount of $6.7 million in the year ended January 31, 2024, which resulted in non-recurring income in the prior year, and (ii) an increase in foreign currency transaction losses of $3.9 million.</w:t>
      </w:r>
    </w:p>
    <w:p>
      <w:pPr>
        <w:spacing w:after="0" w:line="83" w:lineRule="exact"/>
        <w:rPr>
          <w:sz w:val="20"/>
          <w:szCs w:val="20"/>
          <w:color w:val="auto"/>
        </w:rPr>
      </w:pPr>
    </w:p>
    <w:p>
      <w:pPr>
        <w:ind w:left="1760"/>
        <w:spacing w:after="0"/>
        <w:rPr>
          <w:sz w:val="20"/>
          <w:szCs w:val="20"/>
          <w:color w:val="auto"/>
        </w:rPr>
      </w:pPr>
      <w:r>
        <w:rPr>
          <w:rFonts w:ascii="Arial" w:cs="Arial" w:eastAsia="Arial" w:hAnsi="Arial"/>
          <w:sz w:val="12"/>
          <w:szCs w:val="12"/>
          <w:i w:val="1"/>
          <w:iCs w:val="1"/>
          <w:color w:val="auto"/>
        </w:rPr>
        <w:t>Gain (Loss) on Fair Value Adjustments</w:t>
      </w:r>
    </w:p>
    <w:p>
      <w:pPr>
        <w:spacing w:after="0" w:line="128" w:lineRule="exact"/>
        <w:rPr>
          <w:sz w:val="20"/>
          <w:szCs w:val="20"/>
          <w:color w:val="auto"/>
        </w:rPr>
      </w:pPr>
    </w:p>
    <w:tbl>
      <w:tblPr>
        <w:tblLayout w:type="fixed"/>
        <w:tblInd w:w="1520" w:type="dxa"/>
        <w:tblCellMar>
          <w:top w:w="0" w:type="dxa"/>
          <w:left w:w="0" w:type="dxa"/>
          <w:bottom w:w="0" w:type="dxa"/>
          <w:right w:w="0" w:type="dxa"/>
        </w:tblCellMar>
      </w:tblPr>
      <w:tr>
        <w:trPr>
          <w:trHeight w:val="152"/>
        </w:trPr>
        <w:tc>
          <w:tcPr>
            <w:tcW w:w="25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1"/>
                <w:szCs w:val="11"/>
                <w:b w:val="1"/>
                <w:bCs w:val="1"/>
                <w:color w:val="auto"/>
                <w:w w:val="99"/>
              </w:rPr>
              <w:t>Year Ended January 31,</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48"/>
        </w:trPr>
        <w:tc>
          <w:tcPr>
            <w:tcW w:w="25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2025</w:t>
            </w: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b w:val="1"/>
                <w:bCs w:val="1"/>
                <w:color w:val="auto"/>
              </w:rPr>
              <w:t>2024</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Change</w:t>
            </w: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 Change</w:t>
            </w:r>
          </w:p>
        </w:tc>
      </w:tr>
      <w:tr>
        <w:trPr>
          <w:trHeight w:val="143"/>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3"/>
          </w:tcPr>
          <w:p>
            <w:pPr>
              <w:jc w:val="right"/>
              <w:ind w:right="283"/>
              <w:spacing w:after="0"/>
              <w:rPr>
                <w:sz w:val="20"/>
                <w:szCs w:val="20"/>
                <w:color w:val="auto"/>
              </w:rPr>
            </w:pPr>
            <w:r>
              <w:rPr>
                <w:rFonts w:ascii="Arial" w:cs="Arial" w:eastAsia="Arial" w:hAnsi="Arial"/>
                <w:sz w:val="11"/>
                <w:szCs w:val="11"/>
                <w:b w:val="1"/>
                <w:bCs w:val="1"/>
                <w:color w:val="auto"/>
              </w:rPr>
              <w:t>(dollars in thousands)</w:t>
            </w:r>
          </w:p>
        </w:tc>
        <w:tc>
          <w:tcPr>
            <w:tcW w:w="820" w:type="dxa"/>
            <w:vAlign w:val="bottom"/>
          </w:tcPr>
          <w:p>
            <w:pPr>
              <w:spacing w:after="0"/>
              <w:rPr>
                <w:sz w:val="12"/>
                <w:szCs w:val="12"/>
                <w:color w:val="auto"/>
              </w:rPr>
            </w:pPr>
          </w:p>
        </w:tc>
      </w:tr>
      <w:tr>
        <w:trPr>
          <w:trHeight w:val="187"/>
        </w:trPr>
        <w:tc>
          <w:tcPr>
            <w:tcW w:w="27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xml:space="preserve">Gain (loss) on fair value adjustments </w:t>
            </w:r>
            <w:r>
              <w:rPr>
                <w:rFonts w:ascii="Times New Roman" w:cs="Times New Roman" w:eastAsia="Times New Roman" w:hAnsi="Times New Roman"/>
                <w:sz w:val="12"/>
                <w:szCs w:val="12"/>
                <w:color w:val="B4B4B4"/>
              </w:rPr>
              <w:t>............</w:t>
            </w:r>
            <w:r>
              <w:rPr>
                <w:rFonts w:ascii="Arial" w:cs="Arial" w:eastAsia="Arial" w:hAnsi="Arial"/>
                <w:sz w:val="12"/>
                <w:szCs w:val="12"/>
                <w:color w:val="auto"/>
              </w:rPr>
              <w:t xml:space="preserve"> $</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12,200</w:t>
            </w: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(26,594)</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38,794</w:t>
            </w:r>
          </w:p>
        </w:tc>
        <w:tc>
          <w:tcPr>
            <w:tcW w:w="8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NM</w:t>
            </w:r>
          </w:p>
        </w:tc>
      </w:tr>
    </w:tbl>
    <w:p>
      <w:pPr>
        <w:spacing w:after="0" w:line="30"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w:t>
      </w:r>
    </w:p>
    <w:p>
      <w:pPr>
        <w:spacing w:after="0" w:line="17"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*NM - Not meaningful</w:t>
      </w:r>
    </w:p>
    <w:p>
      <w:pPr>
        <w:spacing w:after="0" w:line="111" w:lineRule="exact"/>
        <w:rPr>
          <w:sz w:val="20"/>
          <w:szCs w:val="20"/>
          <w:color w:val="auto"/>
        </w:rPr>
      </w:pPr>
    </w:p>
    <w:p>
      <w:pPr>
        <w:ind w:left="1520" w:right="1720" w:firstLine="230"/>
        <w:spacing w:after="0" w:line="312" w:lineRule="auto"/>
        <w:rPr>
          <w:sz w:val="20"/>
          <w:szCs w:val="20"/>
          <w:color w:val="auto"/>
        </w:rPr>
      </w:pPr>
      <w:r>
        <w:rPr>
          <w:rFonts w:ascii="Arial" w:cs="Arial" w:eastAsia="Arial" w:hAnsi="Arial"/>
          <w:sz w:val="12"/>
          <w:szCs w:val="12"/>
          <w:color w:val="auto"/>
        </w:rPr>
        <w:t>Gain (loss) on fair value adjustments for the year ended January 31, 2025 changed by $38.8 million, primarily due to changes in the value of the embedded derivative liability related to the Convertible Notes.</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i w:val="1"/>
          <w:iCs w:val="1"/>
          <w:color w:val="auto"/>
        </w:rPr>
        <w:t>Income Tax Expense</w:t>
      </w:r>
    </w:p>
    <w:p>
      <w:pPr>
        <w:spacing w:after="0" w:line="128" w:lineRule="exact"/>
        <w:rPr>
          <w:sz w:val="20"/>
          <w:szCs w:val="20"/>
          <w:color w:val="auto"/>
        </w:rPr>
      </w:pPr>
    </w:p>
    <w:tbl>
      <w:tblPr>
        <w:tblLayout w:type="fixed"/>
        <w:tblInd w:w="1520" w:type="dxa"/>
        <w:tblCellMar>
          <w:top w:w="0" w:type="dxa"/>
          <w:left w:w="0" w:type="dxa"/>
          <w:bottom w:w="0" w:type="dxa"/>
          <w:right w:w="0" w:type="dxa"/>
        </w:tblCellMar>
      </w:tblPr>
      <w:tr>
        <w:trPr>
          <w:trHeight w:val="152"/>
        </w:trPr>
        <w:tc>
          <w:tcPr>
            <w:tcW w:w="25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1"/>
                <w:szCs w:val="11"/>
                <w:b w:val="1"/>
                <w:bCs w:val="1"/>
                <w:color w:val="auto"/>
                <w:w w:val="99"/>
              </w:rPr>
              <w:t>Year Ended January 31,</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8"/>
        </w:trPr>
        <w:tc>
          <w:tcPr>
            <w:tcW w:w="25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2025</w:t>
            </w: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b w:val="1"/>
                <w:bCs w:val="1"/>
                <w:color w:val="auto"/>
              </w:rPr>
              <w:t>2024</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Change</w:t>
            </w:r>
          </w:p>
        </w:tc>
        <w:tc>
          <w:tcPr>
            <w:tcW w:w="8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 Change</w:t>
            </w:r>
          </w:p>
        </w:tc>
      </w:tr>
      <w:tr>
        <w:trPr>
          <w:trHeight w:val="143"/>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3"/>
          </w:tcPr>
          <w:p>
            <w:pPr>
              <w:jc w:val="right"/>
              <w:ind w:right="303"/>
              <w:spacing w:after="0"/>
              <w:rPr>
                <w:sz w:val="20"/>
                <w:szCs w:val="20"/>
                <w:color w:val="auto"/>
              </w:rPr>
            </w:pPr>
            <w:r>
              <w:rPr>
                <w:rFonts w:ascii="Arial" w:cs="Arial" w:eastAsia="Arial" w:hAnsi="Arial"/>
                <w:sz w:val="11"/>
                <w:szCs w:val="11"/>
                <w:b w:val="1"/>
                <w:bCs w:val="1"/>
                <w:color w:val="auto"/>
              </w:rPr>
              <w:t>(dollars in thousands)</w:t>
            </w:r>
          </w:p>
        </w:tc>
        <w:tc>
          <w:tcPr>
            <w:tcW w:w="800" w:type="dxa"/>
            <w:vAlign w:val="bottom"/>
          </w:tcPr>
          <w:p>
            <w:pPr>
              <w:spacing w:after="0"/>
              <w:rPr>
                <w:sz w:val="12"/>
                <w:szCs w:val="12"/>
                <w:color w:val="auto"/>
              </w:rPr>
            </w:pPr>
          </w:p>
        </w:tc>
      </w:tr>
      <w:tr>
        <w:trPr>
          <w:trHeight w:val="187"/>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Income tax expense </w:t>
            </w:r>
            <w:r>
              <w:rPr>
                <w:rFonts w:ascii="Times New Roman" w:cs="Times New Roman" w:eastAsia="Times New Roman" w:hAnsi="Times New Roman"/>
                <w:sz w:val="12"/>
                <w:szCs w:val="12"/>
                <w:color w:val="B4B4B4"/>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9,570</w:t>
            </w: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rPr>
              <w:t>5,428</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4,142</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76%</w:t>
            </w:r>
          </w:p>
        </w:tc>
      </w:tr>
    </w:tbl>
    <w:p>
      <w:pPr>
        <w:spacing w:after="0" w:line="143" w:lineRule="exact"/>
        <w:rPr>
          <w:sz w:val="20"/>
          <w:szCs w:val="20"/>
          <w:color w:val="auto"/>
        </w:rPr>
      </w:pPr>
    </w:p>
    <w:p>
      <w:pPr>
        <w:ind w:left="1520" w:right="1720" w:firstLine="230"/>
        <w:spacing w:after="0" w:line="312" w:lineRule="auto"/>
        <w:rPr>
          <w:sz w:val="20"/>
          <w:szCs w:val="20"/>
          <w:color w:val="auto"/>
        </w:rPr>
      </w:pPr>
      <w:r>
        <w:rPr>
          <w:rFonts w:ascii="Arial" w:cs="Arial" w:eastAsia="Arial" w:hAnsi="Arial"/>
          <w:sz w:val="12"/>
          <w:szCs w:val="12"/>
          <w:color w:val="auto"/>
        </w:rPr>
        <w:t>Income tax expense for the year ended January 31, 2025 increased by $4.1 million, or 76%, primarily due to increases in foreign profits and nondeductible expenses.</w:t>
      </w:r>
    </w:p>
    <w:p>
      <w:pPr>
        <w:spacing w:after="0" w:line="62"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Non-GAAP Financial Measures</w:t>
      </w:r>
    </w:p>
    <w:p>
      <w:pPr>
        <w:spacing w:after="0" w:line="130" w:lineRule="exact"/>
        <w:rPr>
          <w:sz w:val="20"/>
          <w:szCs w:val="20"/>
          <w:color w:val="auto"/>
        </w:rPr>
      </w:pPr>
    </w:p>
    <w:p>
      <w:pPr>
        <w:ind w:left="1520" w:right="1820" w:firstLine="230"/>
        <w:spacing w:after="0" w:line="273" w:lineRule="auto"/>
        <w:rPr>
          <w:sz w:val="20"/>
          <w:szCs w:val="20"/>
          <w:color w:val="auto"/>
        </w:rPr>
      </w:pPr>
      <w:r>
        <w:rPr>
          <w:rFonts w:ascii="Arial" w:cs="Arial" w:eastAsia="Arial" w:hAnsi="Arial"/>
          <w:sz w:val="12"/>
          <w:szCs w:val="12"/>
          <w:color w:val="auto"/>
        </w:rPr>
        <w:t>To supplement our consolidated financial statements, which are prepared and presented in accordance with GAAP, we use certain non-GAAP financial measures, which include non-GAAP gross profit, non-GAAP gross margin, non-GAAP income (loss) from operations, and non-GAAP net loss, to understand and evaluate our core operating performance. These non-GAAP financial measures, which may be different from similarly-titled measures used by other companies, are presented to enhance investors’ overall understanding of our operating performance and should not be considered substitutes for, or superior to, the financial information prepared and presented in accordance with GAAP.</w:t>
      </w: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108</w:t>
      </w:r>
    </w:p>
    <w:p>
      <w:pPr>
        <w:sectPr>
          <w:pgSz w:w="11900" w:h="16840" w:orient="portrait"/>
          <w:cols w:equalWidth="0" w:num="1">
            <w:col w:w="9020"/>
          </w:cols>
          <w:pgMar w:left="1440" w:top="648" w:right="1440" w:bottom="4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ectPr>
          <w:pgSz w:w="11900" w:h="16840" w:orient="portrait"/>
          <w:cols w:equalWidth="0" w:num="1">
            <w:col w:w="9020"/>
          </w:cols>
          <w:pgMar w:left="1440" w:top="648" w:right="1440" w:bottom="478" w:gutter="0" w:footer="0" w:header="0"/>
          <w:type w:val="continuous"/>
        </w:sectPr>
      </w:pPr>
    </w:p>
    <w:bookmarkStart w:id="78" w:name="page79"/>
    <w:bookmarkEnd w:id="78"/>
    <w:p>
      <w:pPr>
        <w:ind w:left="1520" w:right="1700" w:firstLine="230"/>
        <w:spacing w:after="0" w:line="27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We include these non-GAAP financial measures in this prospectus because they are important measures upon which our management assesses our operating performance and the operating leverage in our business. We believe that these non-GAAP financial measures are useful to investors because they provide useful information about our financial performance, consistency and comparability with past financial performance and may assist in comparisons with other companies in our industry, some of which use similar non-GAAP financial information to supplement their GAAP results.</w:t>
      </w:r>
    </w:p>
    <w:p>
      <w:pPr>
        <w:spacing w:after="0" w:line="85" w:lineRule="exact"/>
        <w:rPr>
          <w:sz w:val="20"/>
          <w:szCs w:val="20"/>
          <w:color w:val="auto"/>
        </w:rPr>
      </w:pPr>
    </w:p>
    <w:p>
      <w:pPr>
        <w:ind w:left="1520" w:right="1720" w:firstLine="230"/>
        <w:spacing w:after="0" w:line="273" w:lineRule="auto"/>
        <w:rPr>
          <w:sz w:val="20"/>
          <w:szCs w:val="20"/>
          <w:color w:val="auto"/>
        </w:rPr>
      </w:pPr>
      <w:r>
        <w:rPr>
          <w:rFonts w:ascii="Arial" w:cs="Arial" w:eastAsia="Arial" w:hAnsi="Arial"/>
          <w:sz w:val="12"/>
          <w:szCs w:val="12"/>
          <w:color w:val="auto"/>
        </w:rPr>
        <w:t>Non-GAAP financial measures have limitations in their usefulness to investors and should not be considered in isolation or as substitutes for financial information presented under GAAP. Non-GAAP financial measures have no standardized meaning prescribed by GAAP and are not prepared under any comprehensive set of accounting rules or principles. In addition, other companies, including companies in our industry, may calculate similarly titled non-GAAP financial measures differently or may use other measures to evaluate their performance, all of which could reduce the usefulness of our non-GAAP financial measures as tools for comparison.</w:t>
      </w:r>
    </w:p>
    <w:p>
      <w:pPr>
        <w:spacing w:after="0" w:line="88" w:lineRule="exact"/>
        <w:rPr>
          <w:sz w:val="20"/>
          <w:szCs w:val="20"/>
          <w:color w:val="auto"/>
        </w:rPr>
      </w:pPr>
    </w:p>
    <w:p>
      <w:pPr>
        <w:ind w:left="1520" w:right="1700" w:firstLine="230"/>
        <w:spacing w:after="0" w:line="281" w:lineRule="auto"/>
        <w:rPr>
          <w:sz w:val="20"/>
          <w:szCs w:val="20"/>
          <w:color w:val="auto"/>
        </w:rPr>
      </w:pPr>
      <w:r>
        <w:rPr>
          <w:rFonts w:ascii="Arial" w:cs="Arial" w:eastAsia="Arial" w:hAnsi="Arial"/>
          <w:sz w:val="12"/>
          <w:szCs w:val="12"/>
          <w:color w:val="auto"/>
        </w:rPr>
        <w:t>For the reasons set forth below, we believe that excluding the following items provide information that is helpful in understanding our operating results, evaluating our future prospects, comparing our financial results across accounting periods, and comparing our financial results to our peers, many of which provide similar non-GAAP financial measures.</w:t>
      </w:r>
    </w:p>
    <w:p>
      <w:pPr>
        <w:spacing w:after="0" w:line="81" w:lineRule="exact"/>
        <w:rPr>
          <w:sz w:val="20"/>
          <w:szCs w:val="20"/>
          <w:color w:val="auto"/>
        </w:rPr>
      </w:pPr>
    </w:p>
    <w:p>
      <w:pPr>
        <w:ind w:left="1980" w:right="1680" w:hanging="228"/>
        <w:spacing w:after="0" w:line="275" w:lineRule="auto"/>
        <w:tabs>
          <w:tab w:leader="none" w:pos="1980" w:val="left"/>
        </w:tabs>
        <w:numPr>
          <w:ilvl w:val="0"/>
          <w:numId w:val="79"/>
        </w:numPr>
        <w:rPr>
          <w:rFonts w:ascii="Arial" w:cs="Arial" w:eastAsia="Arial" w:hAnsi="Arial"/>
          <w:sz w:val="12"/>
          <w:szCs w:val="12"/>
          <w:color w:val="auto"/>
        </w:rPr>
      </w:pPr>
      <w:r>
        <w:rPr>
          <w:rFonts w:ascii="Arial" w:cs="Arial" w:eastAsia="Arial" w:hAnsi="Arial"/>
          <w:sz w:val="12"/>
          <w:szCs w:val="12"/>
          <w:i w:val="1"/>
          <w:iCs w:val="1"/>
          <w:color w:val="auto"/>
        </w:rPr>
        <w:t xml:space="preserve">Stock-based compensation-related charges. </w:t>
      </w:r>
      <w:r>
        <w:rPr>
          <w:rFonts w:ascii="Arial" w:cs="Arial" w:eastAsia="Arial" w:hAnsi="Arial"/>
          <w:sz w:val="12"/>
          <w:szCs w:val="12"/>
          <w:color w:val="auto"/>
        </w:rPr>
        <w:t>We exclude stock-based compensation expense</w:t>
      </w:r>
      <w:r>
        <w:rPr>
          <w:rFonts w:ascii="Arial" w:cs="Arial" w:eastAsia="Arial" w:hAnsi="Arial"/>
          <w:sz w:val="12"/>
          <w:szCs w:val="12"/>
          <w:i w:val="1"/>
          <w:iCs w:val="1"/>
          <w:color w:val="auto"/>
        </w:rPr>
        <w:t xml:space="preserve"> </w:t>
      </w:r>
      <w:r>
        <w:rPr>
          <w:rFonts w:ascii="Arial" w:cs="Arial" w:eastAsia="Arial" w:hAnsi="Arial"/>
          <w:sz w:val="12"/>
          <w:szCs w:val="12"/>
          <w:color w:val="auto"/>
        </w:rPr>
        <w:t>and related charges to allow investors to make more meaningful comparisons of our performance between periods and to facilitate a comparison of our performance to those of other peer companies. Stock-based compensation-related charges may vary between periods due to various factors unrelated to our core performance, including as a result of the assumptions used in the valuation methodologies, timing and amount of equity grants and other factors.</w:t>
      </w:r>
    </w:p>
    <w:p>
      <w:pPr>
        <w:spacing w:after="0" w:line="84" w:lineRule="exact"/>
        <w:rPr>
          <w:rFonts w:ascii="Arial" w:cs="Arial" w:eastAsia="Arial" w:hAnsi="Arial"/>
          <w:sz w:val="12"/>
          <w:szCs w:val="12"/>
          <w:color w:val="auto"/>
        </w:rPr>
      </w:pPr>
    </w:p>
    <w:p>
      <w:pPr>
        <w:ind w:left="1980" w:right="1640" w:hanging="228"/>
        <w:spacing w:after="0" w:line="275" w:lineRule="auto"/>
        <w:tabs>
          <w:tab w:leader="none" w:pos="1980" w:val="left"/>
        </w:tabs>
        <w:numPr>
          <w:ilvl w:val="0"/>
          <w:numId w:val="79"/>
        </w:numPr>
        <w:rPr>
          <w:rFonts w:ascii="Arial" w:cs="Arial" w:eastAsia="Arial" w:hAnsi="Arial"/>
          <w:sz w:val="12"/>
          <w:szCs w:val="12"/>
          <w:color w:val="auto"/>
        </w:rPr>
      </w:pPr>
      <w:r>
        <w:rPr>
          <w:rFonts w:ascii="Arial" w:cs="Arial" w:eastAsia="Arial" w:hAnsi="Arial"/>
          <w:sz w:val="12"/>
          <w:szCs w:val="12"/>
          <w:i w:val="1"/>
          <w:iCs w:val="1"/>
          <w:color w:val="auto"/>
        </w:rPr>
        <w:t xml:space="preserve">Amortization of intangible assets. </w:t>
      </w:r>
      <w:r>
        <w:rPr>
          <w:rFonts w:ascii="Arial" w:cs="Arial" w:eastAsia="Arial" w:hAnsi="Arial"/>
          <w:sz w:val="12"/>
          <w:szCs w:val="12"/>
          <w:color w:val="auto"/>
        </w:rPr>
        <w:t>We recognize amortization expense related to intangible assets</w:t>
      </w:r>
      <w:r>
        <w:rPr>
          <w:rFonts w:ascii="Arial" w:cs="Arial" w:eastAsia="Arial" w:hAnsi="Arial"/>
          <w:sz w:val="12"/>
          <w:szCs w:val="12"/>
          <w:i w:val="1"/>
          <w:iCs w:val="1"/>
          <w:color w:val="auto"/>
        </w:rPr>
        <w:t xml:space="preserve"> </w:t>
      </w:r>
      <w:r>
        <w:rPr>
          <w:rFonts w:ascii="Arial" w:cs="Arial" w:eastAsia="Arial" w:hAnsi="Arial"/>
          <w:sz w:val="12"/>
          <w:szCs w:val="12"/>
          <w:color w:val="auto"/>
        </w:rPr>
        <w:t>acquired in connection with certain business combinations. Amortization of acquired intangible assets is a non-cash expense that is significantly affected by the timing and size of acquisitions, and the inherent subjective nature of purchase price allocations. The use of intangible assets has contributed to our revenue during the periods presented, and we expect such use will contribute to revenue in future periods.</w:t>
      </w:r>
    </w:p>
    <w:p>
      <w:pPr>
        <w:spacing w:after="0" w:line="84" w:lineRule="exact"/>
        <w:rPr>
          <w:rFonts w:ascii="Arial" w:cs="Arial" w:eastAsia="Arial" w:hAnsi="Arial"/>
          <w:sz w:val="12"/>
          <w:szCs w:val="12"/>
          <w:color w:val="auto"/>
        </w:rPr>
      </w:pPr>
    </w:p>
    <w:p>
      <w:pPr>
        <w:ind w:left="1980" w:right="1740" w:hanging="228"/>
        <w:spacing w:after="0" w:line="273" w:lineRule="auto"/>
        <w:tabs>
          <w:tab w:leader="none" w:pos="1980" w:val="left"/>
        </w:tabs>
        <w:numPr>
          <w:ilvl w:val="0"/>
          <w:numId w:val="79"/>
        </w:numPr>
        <w:rPr>
          <w:rFonts w:ascii="Arial" w:cs="Arial" w:eastAsia="Arial" w:hAnsi="Arial"/>
          <w:sz w:val="12"/>
          <w:szCs w:val="12"/>
          <w:color w:val="auto"/>
        </w:rPr>
      </w:pPr>
      <w:r>
        <w:rPr>
          <w:rFonts w:ascii="Arial" w:cs="Arial" w:eastAsia="Arial" w:hAnsi="Arial"/>
          <w:sz w:val="12"/>
          <w:szCs w:val="12"/>
          <w:i w:val="1"/>
          <w:iCs w:val="1"/>
          <w:color w:val="auto"/>
        </w:rPr>
        <w:t xml:space="preserve">Amortization of debt discount and debt issuance costs. </w:t>
      </w:r>
      <w:r>
        <w:rPr>
          <w:rFonts w:ascii="Arial" w:cs="Arial" w:eastAsia="Arial" w:hAnsi="Arial"/>
          <w:sz w:val="12"/>
          <w:szCs w:val="12"/>
          <w:color w:val="auto"/>
        </w:rPr>
        <w:t>In connection with the issuance of our</w:t>
      </w:r>
      <w:r>
        <w:rPr>
          <w:rFonts w:ascii="Arial" w:cs="Arial" w:eastAsia="Arial" w:hAnsi="Arial"/>
          <w:sz w:val="12"/>
          <w:szCs w:val="12"/>
          <w:i w:val="1"/>
          <w:iCs w:val="1"/>
          <w:color w:val="auto"/>
        </w:rPr>
        <w:t xml:space="preserve"> </w:t>
      </w:r>
      <w:r>
        <w:rPr>
          <w:rFonts w:ascii="Arial" w:cs="Arial" w:eastAsia="Arial" w:hAnsi="Arial"/>
          <w:sz w:val="12"/>
          <w:szCs w:val="12"/>
          <w:color w:val="auto"/>
        </w:rPr>
        <w:t>outstanding debt instruments, we incur upfront issuance costs and, where required, account for embedded derivatives and warrants issued in connection with certain debt instruments as debt discounts. The related amortization of these costs and discounts is recognized as interest expense over the term of the related debt instruments. We believe the exclusion of this non-cash interest expense provides for a useful comparison of our operating results to prior periods and to our peer companies.</w:t>
      </w:r>
    </w:p>
    <w:p>
      <w:pPr>
        <w:spacing w:after="0" w:line="87" w:lineRule="exact"/>
        <w:rPr>
          <w:rFonts w:ascii="Arial" w:cs="Arial" w:eastAsia="Arial" w:hAnsi="Arial"/>
          <w:sz w:val="12"/>
          <w:szCs w:val="12"/>
          <w:color w:val="auto"/>
        </w:rPr>
      </w:pPr>
    </w:p>
    <w:p>
      <w:pPr>
        <w:ind w:left="1980" w:right="1800" w:hanging="228"/>
        <w:spacing w:after="0" w:line="281" w:lineRule="auto"/>
        <w:tabs>
          <w:tab w:leader="none" w:pos="1980" w:val="left"/>
        </w:tabs>
        <w:numPr>
          <w:ilvl w:val="0"/>
          <w:numId w:val="79"/>
        </w:numPr>
        <w:rPr>
          <w:rFonts w:ascii="Arial" w:cs="Arial" w:eastAsia="Arial" w:hAnsi="Arial"/>
          <w:sz w:val="12"/>
          <w:szCs w:val="12"/>
          <w:color w:val="auto"/>
        </w:rPr>
      </w:pPr>
      <w:r>
        <w:rPr>
          <w:rFonts w:ascii="Arial" w:cs="Arial" w:eastAsia="Arial" w:hAnsi="Arial"/>
          <w:sz w:val="12"/>
          <w:szCs w:val="12"/>
          <w:i w:val="1"/>
          <w:iCs w:val="1"/>
          <w:color w:val="auto"/>
        </w:rPr>
        <w:t xml:space="preserve">Deferred offering costs write-off. </w:t>
      </w:r>
      <w:r>
        <w:rPr>
          <w:rFonts w:ascii="Arial" w:cs="Arial" w:eastAsia="Arial" w:hAnsi="Arial"/>
          <w:sz w:val="12"/>
          <w:szCs w:val="12"/>
          <w:color w:val="auto"/>
        </w:rPr>
        <w:t>During the year ended January 31, 2024, we wrote off</w:t>
      </w:r>
      <w:r>
        <w:rPr>
          <w:rFonts w:ascii="Arial" w:cs="Arial" w:eastAsia="Arial" w:hAnsi="Arial"/>
          <w:sz w:val="12"/>
          <w:szCs w:val="12"/>
          <w:i w:val="1"/>
          <w:iCs w:val="1"/>
          <w:color w:val="auto"/>
        </w:rPr>
        <w:t xml:space="preserve"> </w:t>
      </w:r>
      <w:r>
        <w:rPr>
          <w:rFonts w:ascii="Arial" w:cs="Arial" w:eastAsia="Arial" w:hAnsi="Arial"/>
          <w:sz w:val="12"/>
          <w:szCs w:val="12"/>
          <w:color w:val="auto"/>
        </w:rPr>
        <w:t>previously capitalized costs incurred in connection with an offering of our securities that we elected not to pursue. We believe excluding these charges allows investors to make meaningful comparisons between our actual performance and those of other peer companies.</w:t>
      </w:r>
    </w:p>
    <w:p>
      <w:pPr>
        <w:spacing w:after="0" w:line="80" w:lineRule="exact"/>
        <w:rPr>
          <w:rFonts w:ascii="Arial" w:cs="Arial" w:eastAsia="Arial" w:hAnsi="Arial"/>
          <w:sz w:val="12"/>
          <w:szCs w:val="12"/>
          <w:color w:val="auto"/>
        </w:rPr>
      </w:pPr>
    </w:p>
    <w:p>
      <w:pPr>
        <w:ind w:left="1980" w:right="1680" w:hanging="228"/>
        <w:spacing w:after="0" w:line="281" w:lineRule="auto"/>
        <w:tabs>
          <w:tab w:leader="none" w:pos="1980" w:val="left"/>
        </w:tabs>
        <w:numPr>
          <w:ilvl w:val="0"/>
          <w:numId w:val="79"/>
        </w:numPr>
        <w:rPr>
          <w:rFonts w:ascii="Arial" w:cs="Arial" w:eastAsia="Arial" w:hAnsi="Arial"/>
          <w:sz w:val="12"/>
          <w:szCs w:val="12"/>
          <w:color w:val="auto"/>
        </w:rPr>
      </w:pPr>
      <w:r>
        <w:rPr>
          <w:rFonts w:ascii="Arial" w:cs="Arial" w:eastAsia="Arial" w:hAnsi="Arial"/>
          <w:sz w:val="12"/>
          <w:szCs w:val="12"/>
          <w:i w:val="1"/>
          <w:iCs w:val="1"/>
          <w:color w:val="auto"/>
        </w:rPr>
        <w:t xml:space="preserve">Gain (loss) on fair value adjustments. </w:t>
      </w:r>
      <w:r>
        <w:rPr>
          <w:rFonts w:ascii="Arial" w:cs="Arial" w:eastAsia="Arial" w:hAnsi="Arial"/>
          <w:sz w:val="12"/>
          <w:szCs w:val="12"/>
          <w:color w:val="auto"/>
        </w:rPr>
        <w:t>We exclude gains and losses on fair value adjustments</w:t>
      </w:r>
      <w:r>
        <w:rPr>
          <w:rFonts w:ascii="Arial" w:cs="Arial" w:eastAsia="Arial" w:hAnsi="Arial"/>
          <w:sz w:val="12"/>
          <w:szCs w:val="12"/>
          <w:i w:val="1"/>
          <w:iCs w:val="1"/>
          <w:color w:val="auto"/>
        </w:rPr>
        <w:t xml:space="preserve"> </w:t>
      </w:r>
      <w:r>
        <w:rPr>
          <w:rFonts w:ascii="Arial" w:cs="Arial" w:eastAsia="Arial" w:hAnsi="Arial"/>
          <w:sz w:val="12"/>
          <w:szCs w:val="12"/>
          <w:color w:val="auto"/>
        </w:rPr>
        <w:t>related to the remeasurement of the SAFEs and our derivative and warrant liabilities as of the end of each reporting period. We exclude these non-cash gains and losses because they are unrelated to our core operating performance.</w:t>
      </w:r>
    </w:p>
    <w:p>
      <w:pPr>
        <w:spacing w:after="0" w:line="80" w:lineRule="exact"/>
        <w:rPr>
          <w:rFonts w:ascii="Arial" w:cs="Arial" w:eastAsia="Arial" w:hAnsi="Arial"/>
          <w:sz w:val="12"/>
          <w:szCs w:val="12"/>
          <w:color w:val="auto"/>
        </w:rPr>
      </w:pPr>
    </w:p>
    <w:p>
      <w:pPr>
        <w:ind w:left="1980" w:right="1760" w:hanging="228"/>
        <w:spacing w:after="0" w:line="281" w:lineRule="auto"/>
        <w:tabs>
          <w:tab w:leader="none" w:pos="1980" w:val="left"/>
        </w:tabs>
        <w:numPr>
          <w:ilvl w:val="0"/>
          <w:numId w:val="79"/>
        </w:numPr>
        <w:rPr>
          <w:rFonts w:ascii="Arial" w:cs="Arial" w:eastAsia="Arial" w:hAnsi="Arial"/>
          <w:sz w:val="12"/>
          <w:szCs w:val="12"/>
          <w:color w:val="auto"/>
        </w:rPr>
      </w:pPr>
      <w:r>
        <w:rPr>
          <w:rFonts w:ascii="Arial" w:cs="Arial" w:eastAsia="Arial" w:hAnsi="Arial"/>
          <w:sz w:val="12"/>
          <w:szCs w:val="12"/>
          <w:i w:val="1"/>
          <w:iCs w:val="1"/>
          <w:color w:val="auto"/>
        </w:rPr>
        <w:t xml:space="preserve">Restructuring and facility exit costs. </w:t>
      </w:r>
      <w:r>
        <w:rPr>
          <w:rFonts w:ascii="Arial" w:cs="Arial" w:eastAsia="Arial" w:hAnsi="Arial"/>
          <w:sz w:val="12"/>
          <w:szCs w:val="12"/>
          <w:color w:val="auto"/>
        </w:rPr>
        <w:t>To better align our strategic priorities with our investments,</w:t>
      </w:r>
      <w:r>
        <w:rPr>
          <w:rFonts w:ascii="Arial" w:cs="Arial" w:eastAsia="Arial" w:hAnsi="Arial"/>
          <w:sz w:val="12"/>
          <w:szCs w:val="12"/>
          <w:i w:val="1"/>
          <w:iCs w:val="1"/>
          <w:color w:val="auto"/>
        </w:rPr>
        <w:t xml:space="preserve"> </w:t>
      </w:r>
      <w:r>
        <w:rPr>
          <w:rFonts w:ascii="Arial" w:cs="Arial" w:eastAsia="Arial" w:hAnsi="Arial"/>
          <w:sz w:val="12"/>
          <w:szCs w:val="12"/>
          <w:color w:val="auto"/>
        </w:rPr>
        <w:t>we implemented workforce reductions during the year ended January 31, 2024. In connection with these reductions, we incurred employee-related expenses including severance and other termination benefits. We also incurred facility exit costs and accelerated depreciation associated</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980" w:right="2440"/>
        <w:spacing w:after="0" w:line="312" w:lineRule="auto"/>
        <w:rPr>
          <w:sz w:val="20"/>
          <w:szCs w:val="20"/>
          <w:color w:val="auto"/>
        </w:rPr>
      </w:pPr>
      <w:r>
        <w:rPr>
          <w:rFonts w:ascii="Arial" w:cs="Arial" w:eastAsia="Arial" w:hAnsi="Arial"/>
          <w:sz w:val="12"/>
          <w:szCs w:val="12"/>
          <w:color w:val="auto"/>
        </w:rPr>
        <w:t>with the early termination of an office lease. We exclude these costs as they are not representative of our core operations.</w:t>
      </w:r>
    </w:p>
    <w:p>
      <w:pPr>
        <w:spacing w:after="0" w:line="62" w:lineRule="exact"/>
        <w:rPr>
          <w:sz w:val="20"/>
          <w:szCs w:val="20"/>
          <w:color w:val="auto"/>
        </w:rPr>
      </w:pPr>
    </w:p>
    <w:p>
      <w:pPr>
        <w:ind w:left="1980" w:right="1740" w:hanging="228"/>
        <w:spacing w:after="0" w:line="281" w:lineRule="auto"/>
        <w:tabs>
          <w:tab w:leader="none" w:pos="1980" w:val="left"/>
        </w:tabs>
        <w:numPr>
          <w:ilvl w:val="0"/>
          <w:numId w:val="80"/>
        </w:numPr>
        <w:rPr>
          <w:rFonts w:ascii="Arial" w:cs="Arial" w:eastAsia="Arial" w:hAnsi="Arial"/>
          <w:sz w:val="12"/>
          <w:szCs w:val="12"/>
          <w:color w:val="auto"/>
        </w:rPr>
      </w:pPr>
      <w:r>
        <w:rPr>
          <w:rFonts w:ascii="Arial" w:cs="Arial" w:eastAsia="Arial" w:hAnsi="Arial"/>
          <w:sz w:val="12"/>
          <w:szCs w:val="12"/>
          <w:i w:val="1"/>
          <w:iCs w:val="1"/>
          <w:color w:val="auto"/>
        </w:rPr>
        <w:t xml:space="preserve">Reversal of tax contingency. </w:t>
      </w:r>
      <w:r>
        <w:rPr>
          <w:rFonts w:ascii="Arial" w:cs="Arial" w:eastAsia="Arial" w:hAnsi="Arial"/>
          <w:sz w:val="12"/>
          <w:szCs w:val="12"/>
          <w:color w:val="auto"/>
        </w:rPr>
        <w:t>During the year ended January 31, 2024, we released a tax</w:t>
      </w:r>
      <w:r>
        <w:rPr>
          <w:rFonts w:ascii="Arial" w:cs="Arial" w:eastAsia="Arial" w:hAnsi="Arial"/>
          <w:sz w:val="12"/>
          <w:szCs w:val="12"/>
          <w:i w:val="1"/>
          <w:iCs w:val="1"/>
          <w:color w:val="auto"/>
        </w:rPr>
        <w:t xml:space="preserve"> </w:t>
      </w:r>
      <w:r>
        <w:rPr>
          <w:rFonts w:ascii="Arial" w:cs="Arial" w:eastAsia="Arial" w:hAnsi="Arial"/>
          <w:sz w:val="12"/>
          <w:szCs w:val="12"/>
          <w:color w:val="auto"/>
        </w:rPr>
        <w:t>contingency reserve which resulted in the recognition of other income and a reduction of general and administrative expense. We exclude this non-cash gain because it is unrelated to our core operating performance.</w:t>
      </w:r>
    </w:p>
    <w:p>
      <w:pPr>
        <w:spacing w:after="0" w:line="80" w:lineRule="exact"/>
        <w:rPr>
          <w:rFonts w:ascii="Arial" w:cs="Arial" w:eastAsia="Arial" w:hAnsi="Arial"/>
          <w:sz w:val="12"/>
          <w:szCs w:val="12"/>
          <w:color w:val="auto"/>
        </w:rPr>
      </w:pPr>
    </w:p>
    <w:p>
      <w:pPr>
        <w:ind w:left="1980" w:hanging="228"/>
        <w:spacing w:after="0"/>
        <w:tabs>
          <w:tab w:leader="none" w:pos="1980" w:val="left"/>
        </w:tabs>
        <w:numPr>
          <w:ilvl w:val="0"/>
          <w:numId w:val="80"/>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SAFE debt issuance costs expensed.  </w:t>
      </w:r>
      <w:r>
        <w:rPr>
          <w:rFonts w:ascii="Arial" w:cs="Arial" w:eastAsia="Arial" w:hAnsi="Arial"/>
          <w:sz w:val="12"/>
          <w:szCs w:val="12"/>
          <w:color w:val="auto"/>
        </w:rPr>
        <w:t>We exclude the issuance costs incurred in connection with</w:t>
      </w:r>
    </w:p>
    <w:p>
      <w:pPr>
        <w:spacing w:after="0" w:line="27" w:lineRule="exact"/>
        <w:rPr>
          <w:sz w:val="20"/>
          <w:szCs w:val="20"/>
          <w:color w:val="auto"/>
        </w:rPr>
      </w:pPr>
    </w:p>
    <w:p>
      <w:pPr>
        <w:ind w:left="1980" w:right="1740"/>
        <w:spacing w:after="0" w:line="279" w:lineRule="auto"/>
        <w:rPr>
          <w:sz w:val="20"/>
          <w:szCs w:val="20"/>
          <w:color w:val="auto"/>
        </w:rPr>
      </w:pPr>
      <w:r>
        <w:rPr>
          <w:rFonts w:ascii="Arial" w:cs="Arial" w:eastAsia="Arial" w:hAnsi="Arial"/>
          <w:sz w:val="12"/>
          <w:szCs w:val="12"/>
          <w:color w:val="auto"/>
        </w:rPr>
        <w:t>the SAFEs issued during the six months ended July 31, 2025, as these costs are non-recurring and unrelated to our core operating performance. We believe the exclusion of this expense provides for a useful comparison of our operating results to prior periods and to our peer companies.</w:t>
      </w:r>
    </w:p>
    <w:p>
      <w:pPr>
        <w:spacing w:after="0" w:line="234" w:lineRule="exact"/>
        <w:rPr>
          <w:sz w:val="20"/>
          <w:szCs w:val="20"/>
          <w:color w:val="auto"/>
        </w:rPr>
      </w:pPr>
    </w:p>
    <w:p>
      <w:pPr>
        <w:ind w:left="1980" w:right="1920" w:hanging="228"/>
        <w:spacing w:after="0" w:line="281" w:lineRule="auto"/>
        <w:tabs>
          <w:tab w:leader="none" w:pos="1980" w:val="left"/>
        </w:tabs>
        <w:numPr>
          <w:ilvl w:val="0"/>
          <w:numId w:val="81"/>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Loss on extinguishment of debt. </w:t>
      </w:r>
      <w:r>
        <w:rPr>
          <w:rFonts w:ascii="Arial" w:cs="Arial" w:eastAsia="Arial" w:hAnsi="Arial"/>
          <w:sz w:val="12"/>
          <w:szCs w:val="12"/>
          <w:color w:val="auto"/>
        </w:rPr>
        <w:t>We exclude losses on the extinguishment of debt, as these</w:t>
      </w:r>
      <w:r>
        <w:rPr>
          <w:rFonts w:ascii="Arial" w:cs="Arial" w:eastAsia="Arial" w:hAnsi="Arial"/>
          <w:sz w:val="12"/>
          <w:szCs w:val="12"/>
          <w:i w:val="1"/>
          <w:iCs w:val="1"/>
          <w:color w:val="auto"/>
        </w:rPr>
        <w:t xml:space="preserve"> </w:t>
      </w:r>
      <w:r>
        <w:rPr>
          <w:rFonts w:ascii="Arial" w:cs="Arial" w:eastAsia="Arial" w:hAnsi="Arial"/>
          <w:sz w:val="12"/>
          <w:szCs w:val="12"/>
          <w:color w:val="auto"/>
        </w:rPr>
        <w:t>losses are non-recurring and unrelated to our core operating performance. We believe the exclusion provides for a useful comparison of our operating results to prior periods and to our peer companies.</w:t>
      </w:r>
    </w:p>
    <w:p>
      <w:pPr>
        <w:spacing w:after="0" w:line="80" w:lineRule="exact"/>
        <w:rPr>
          <w:rFonts w:ascii="Arial" w:cs="Arial" w:eastAsia="Arial" w:hAnsi="Arial"/>
          <w:sz w:val="12"/>
          <w:szCs w:val="12"/>
          <w:i w:val="1"/>
          <w:iCs w:val="1"/>
          <w:color w:val="auto"/>
        </w:rPr>
      </w:pPr>
    </w:p>
    <w:p>
      <w:pPr>
        <w:ind w:left="1980" w:right="1600" w:hanging="228"/>
        <w:spacing w:after="0" w:line="281" w:lineRule="auto"/>
        <w:tabs>
          <w:tab w:leader="none" w:pos="1980" w:val="left"/>
        </w:tabs>
        <w:numPr>
          <w:ilvl w:val="0"/>
          <w:numId w:val="81"/>
        </w:numPr>
        <w:rPr>
          <w:rFonts w:ascii="Arial" w:cs="Arial" w:eastAsia="Arial" w:hAnsi="Arial"/>
          <w:sz w:val="12"/>
          <w:szCs w:val="12"/>
          <w:color w:val="auto"/>
        </w:rPr>
      </w:pPr>
      <w:r>
        <w:rPr>
          <w:rFonts w:ascii="Arial" w:cs="Arial" w:eastAsia="Arial" w:hAnsi="Arial"/>
          <w:sz w:val="12"/>
          <w:szCs w:val="12"/>
          <w:i w:val="1"/>
          <w:iCs w:val="1"/>
          <w:color w:val="auto"/>
        </w:rPr>
        <w:t xml:space="preserve">Non-GAAP provision for income taxes. </w:t>
      </w:r>
      <w:r>
        <w:rPr>
          <w:rFonts w:ascii="Arial" w:cs="Arial" w:eastAsia="Arial" w:hAnsi="Arial"/>
          <w:sz w:val="12"/>
          <w:szCs w:val="12"/>
          <w:color w:val="auto"/>
        </w:rPr>
        <w:t>We have adjusted the provision for income taxes to reflect</w:t>
      </w:r>
      <w:r>
        <w:rPr>
          <w:rFonts w:ascii="Arial" w:cs="Arial" w:eastAsia="Arial" w:hAnsi="Arial"/>
          <w:sz w:val="12"/>
          <w:szCs w:val="12"/>
          <w:i w:val="1"/>
          <w:iCs w:val="1"/>
          <w:color w:val="auto"/>
        </w:rPr>
        <w:t xml:space="preserve"> </w:t>
      </w:r>
      <w:r>
        <w:rPr>
          <w:rFonts w:ascii="Arial" w:cs="Arial" w:eastAsia="Arial" w:hAnsi="Arial"/>
          <w:sz w:val="12"/>
          <w:szCs w:val="12"/>
          <w:color w:val="auto"/>
        </w:rPr>
        <w:t>the income tax effects of the non-GAAP adjustments to pre-tax income (loss). Due to the full valuation allowance against U.S. federal and state deferred taxes, the primary non-GAAP adjustment relates to the income tax effects of stock-based compensation expense.</w:t>
      </w:r>
    </w:p>
    <w:p>
      <w:pPr>
        <w:spacing w:after="0" w:line="8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Non-GAAP Gross Profit and Non-GAAP Gross Margin</w:t>
      </w:r>
    </w:p>
    <w:p>
      <w:pPr>
        <w:spacing w:after="0" w:line="128" w:lineRule="exact"/>
        <w:rPr>
          <w:sz w:val="20"/>
          <w:szCs w:val="20"/>
          <w:color w:val="auto"/>
        </w:rPr>
      </w:pPr>
    </w:p>
    <w:p>
      <w:pPr>
        <w:ind w:left="1520" w:right="1700" w:firstLine="230"/>
        <w:spacing w:after="0" w:line="289" w:lineRule="auto"/>
        <w:rPr>
          <w:sz w:val="20"/>
          <w:szCs w:val="20"/>
          <w:color w:val="auto"/>
        </w:rPr>
      </w:pPr>
      <w:r>
        <w:rPr>
          <w:rFonts w:ascii="Arial" w:cs="Arial" w:eastAsia="Arial" w:hAnsi="Arial"/>
          <w:sz w:val="12"/>
          <w:szCs w:val="12"/>
          <w:color w:val="auto"/>
        </w:rPr>
        <w:t>We define non-GAAP gross profit as GAAP gross profit, excluding stock-based compensation-related charges, amortization of intangible assets, and restructuring and facility exit costs. We define non-GAAP gross margin as non-GAAP gross profit divided by revenue.</w:t>
      </w:r>
    </w:p>
    <w:p>
      <w:pPr>
        <w:spacing w:after="0" w:line="76" w:lineRule="exact"/>
        <w:rPr>
          <w:sz w:val="20"/>
          <w:szCs w:val="20"/>
          <w:color w:val="auto"/>
        </w:rPr>
      </w:pPr>
    </w:p>
    <w:p>
      <w:pPr>
        <w:ind w:left="1520" w:right="1980" w:firstLine="230"/>
        <w:spacing w:after="0" w:line="312" w:lineRule="auto"/>
        <w:rPr>
          <w:sz w:val="20"/>
          <w:szCs w:val="20"/>
          <w:color w:val="auto"/>
        </w:rPr>
      </w:pPr>
      <w:r>
        <w:rPr>
          <w:rFonts w:ascii="Arial" w:cs="Arial" w:eastAsia="Arial" w:hAnsi="Arial"/>
          <w:sz w:val="12"/>
          <w:szCs w:val="12"/>
          <w:color w:val="auto"/>
        </w:rPr>
        <w:t>The following table reflects the reconciliation of GAAP gross profit to non-GAAP gross profit and gross margin to non-GAAP gross margin for the periods presented:</w:t>
      </w:r>
    </w:p>
    <w:p>
      <w:pPr>
        <w:spacing w:after="0" w:line="79" w:lineRule="exact"/>
        <w:rPr>
          <w:sz w:val="20"/>
          <w:szCs w:val="20"/>
          <w:color w:val="auto"/>
        </w:rPr>
      </w:pPr>
    </w:p>
    <w:tbl>
      <w:tblPr>
        <w:tblLayout w:type="fixed"/>
        <w:tblInd w:w="4320" w:type="dxa"/>
        <w:tblCellMar>
          <w:top w:w="0" w:type="dxa"/>
          <w:left w:w="0" w:type="dxa"/>
          <w:bottom w:w="0" w:type="dxa"/>
          <w:right w:w="0" w:type="dxa"/>
        </w:tblCellMar>
      </w:tblPr>
      <w:tr>
        <w:trPr>
          <w:trHeight w:val="126"/>
        </w:trPr>
        <w:tc>
          <w:tcPr>
            <w:tcW w:w="1420" w:type="dxa"/>
            <w:vAlign w:val="bottom"/>
            <w:gridSpan w:val="2"/>
          </w:tcPr>
          <w:p>
            <w:pPr>
              <w:jc w:val="right"/>
              <w:ind w:right="187"/>
              <w:spacing w:after="0"/>
              <w:rPr>
                <w:sz w:val="20"/>
                <w:szCs w:val="20"/>
                <w:color w:val="auto"/>
              </w:rPr>
            </w:pPr>
            <w:r>
              <w:rPr>
                <w:rFonts w:ascii="Arial" w:cs="Arial" w:eastAsia="Arial" w:hAnsi="Arial"/>
                <w:sz w:val="11"/>
                <w:szCs w:val="11"/>
                <w:b w:val="1"/>
                <w:bCs w:val="1"/>
                <w:color w:val="auto"/>
                <w:w w:val="93"/>
              </w:rPr>
              <w:t>Year Ended January 31,</w:t>
            </w:r>
          </w:p>
        </w:tc>
        <w:tc>
          <w:tcPr>
            <w:tcW w:w="1540" w:type="dxa"/>
            <w:vAlign w:val="bottom"/>
            <w:gridSpan w:val="2"/>
          </w:tcPr>
          <w:p>
            <w:pPr>
              <w:ind w:left="260"/>
              <w:spacing w:after="0"/>
              <w:rPr>
                <w:sz w:val="20"/>
                <w:szCs w:val="20"/>
                <w:color w:val="auto"/>
              </w:rPr>
            </w:pPr>
            <w:r>
              <w:rPr>
                <w:rFonts w:ascii="Arial" w:cs="Arial" w:eastAsia="Arial" w:hAnsi="Arial"/>
                <w:sz w:val="11"/>
                <w:szCs w:val="11"/>
                <w:b w:val="1"/>
                <w:bCs w:val="1"/>
                <w:color w:val="auto"/>
                <w:w w:val="92"/>
              </w:rPr>
              <w:t>Six Months Ended July 31</w:t>
            </w:r>
          </w:p>
        </w:tc>
        <w:tc>
          <w:tcPr>
            <w:tcW w:w="0" w:type="dxa"/>
            <w:vAlign w:val="bottom"/>
          </w:tcPr>
          <w:p>
            <w:pPr>
              <w:spacing w:after="0"/>
              <w:rPr>
                <w:sz w:val="1"/>
                <w:szCs w:val="1"/>
                <w:color w:val="auto"/>
              </w:rPr>
            </w:pPr>
          </w:p>
        </w:tc>
      </w:tr>
      <w:tr>
        <w:trPr>
          <w:trHeight w:val="67"/>
        </w:trPr>
        <w:tc>
          <w:tcPr>
            <w:tcW w:w="580" w:type="dxa"/>
            <w:vAlign w:val="bottom"/>
            <w:vMerge w:val="restart"/>
          </w:tcPr>
          <w:p>
            <w:pPr>
              <w:jc w:val="right"/>
              <w:ind w:right="267"/>
              <w:spacing w:after="0"/>
              <w:rPr>
                <w:sz w:val="20"/>
                <w:szCs w:val="20"/>
                <w:color w:val="auto"/>
              </w:rPr>
            </w:pPr>
            <w:r>
              <w:rPr>
                <w:rFonts w:ascii="Arial" w:cs="Arial" w:eastAsia="Arial" w:hAnsi="Arial"/>
                <w:sz w:val="11"/>
                <w:szCs w:val="11"/>
                <w:b w:val="1"/>
                <w:bCs w:val="1"/>
                <w:color w:val="auto"/>
                <w:w w:val="97"/>
              </w:rPr>
              <w:t>2025</w:t>
            </w:r>
          </w:p>
        </w:tc>
        <w:tc>
          <w:tcPr>
            <w:tcW w:w="840" w:type="dxa"/>
            <w:vAlign w:val="bottom"/>
            <w:vMerge w:val="restart"/>
          </w:tcPr>
          <w:p>
            <w:pPr>
              <w:jc w:val="right"/>
              <w:ind w:right="247"/>
              <w:spacing w:after="0"/>
              <w:rPr>
                <w:sz w:val="20"/>
                <w:szCs w:val="20"/>
                <w:color w:val="auto"/>
              </w:rPr>
            </w:pPr>
            <w:r>
              <w:rPr>
                <w:rFonts w:ascii="Arial" w:cs="Arial" w:eastAsia="Arial" w:hAnsi="Arial"/>
                <w:sz w:val="11"/>
                <w:szCs w:val="11"/>
                <w:b w:val="1"/>
                <w:bCs w:val="1"/>
                <w:color w:val="auto"/>
              </w:rPr>
              <w:t>2024</w:t>
            </w:r>
          </w:p>
        </w:tc>
        <w:tc>
          <w:tcPr>
            <w:tcW w:w="900" w:type="dxa"/>
            <w:vAlign w:val="bottom"/>
          </w:tcPr>
          <w:p>
            <w:pPr>
              <w:ind w:left="260"/>
              <w:spacing w:after="0" w:line="67" w:lineRule="exact"/>
              <w:rPr>
                <w:sz w:val="20"/>
                <w:szCs w:val="20"/>
                <w:color w:val="auto"/>
              </w:rPr>
            </w:pPr>
            <w:r>
              <w:rPr>
                <w:rFonts w:ascii="Arial" w:cs="Arial" w:eastAsia="Arial" w:hAnsi="Arial"/>
                <w:sz w:val="7"/>
                <w:szCs w:val="7"/>
                <w:b w:val="1"/>
                <w:bCs w:val="1"/>
                <w:color w:val="auto"/>
              </w:rPr>
              <w:t>,</w:t>
            </w:r>
          </w:p>
        </w:tc>
        <w:tc>
          <w:tcPr>
            <w:tcW w:w="640" w:type="dxa"/>
            <w:vAlign w:val="bottom"/>
            <w:vMerge w:val="restart"/>
          </w:tcPr>
          <w:p>
            <w:pPr>
              <w:jc w:val="right"/>
              <w:ind w:right="27"/>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3"/>
        </w:trPr>
        <w:tc>
          <w:tcPr>
            <w:tcW w:w="5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900" w:type="dxa"/>
            <w:vAlign w:val="bottom"/>
          </w:tcPr>
          <w:p>
            <w:pPr>
              <w:jc w:val="right"/>
              <w:ind w:right="273"/>
              <w:spacing w:after="0"/>
              <w:rPr>
                <w:sz w:val="20"/>
                <w:szCs w:val="20"/>
                <w:color w:val="auto"/>
              </w:rPr>
            </w:pPr>
            <w:r>
              <w:rPr>
                <w:rFonts w:ascii="Arial" w:cs="Arial" w:eastAsia="Arial" w:hAnsi="Arial"/>
                <w:sz w:val="11"/>
                <w:szCs w:val="11"/>
                <w:b w:val="1"/>
                <w:bCs w:val="1"/>
                <w:color w:val="auto"/>
              </w:rPr>
              <w:t>2025</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5240"/>
        <w:spacing w:after="0"/>
        <w:rPr>
          <w:sz w:val="20"/>
          <w:szCs w:val="20"/>
          <w:color w:val="auto"/>
        </w:rPr>
      </w:pPr>
      <w:r>
        <w:rPr>
          <w:rFonts w:ascii="Arial" w:cs="Arial" w:eastAsia="Arial" w:hAnsi="Arial"/>
          <w:sz w:val="11"/>
          <w:szCs w:val="11"/>
          <w:b w:val="1"/>
          <w:bCs w:val="1"/>
          <w:color w:val="auto"/>
        </w:rPr>
        <w:t>(dollars in thousands)</w:t>
      </w:r>
    </w:p>
    <w:p>
      <w:pPr>
        <w:sectPr>
          <w:pgSz w:w="11900" w:h="16840" w:orient="portrait"/>
          <w:cols w:equalWidth="0" w:num="1">
            <w:col w:w="9020"/>
          </w:cols>
          <w:pgMar w:left="1440" w:top="646" w:right="1440" w:bottom="28" w:gutter="0" w:footer="0" w:header="0"/>
        </w:sectPr>
      </w:pPr>
    </w:p>
    <w:p>
      <w:pPr>
        <w:spacing w:after="0" w:line="26" w:lineRule="exact"/>
        <w:rPr>
          <w:sz w:val="20"/>
          <w:szCs w:val="20"/>
          <w:color w:val="auto"/>
        </w:rPr>
      </w:pPr>
    </w:p>
    <w:p>
      <w:pPr>
        <w:ind w:left="1560"/>
        <w:spacing w:after="0"/>
        <w:tabs>
          <w:tab w:leader="none" w:pos="4060" w:val="left"/>
          <w:tab w:leader="none" w:pos="4220" w:val="left"/>
          <w:tab w:leader="none" w:pos="4920" w:val="left"/>
          <w:tab w:leader="none" w:pos="5100" w:val="left"/>
          <w:tab w:leader="none" w:pos="5800" w:val="left"/>
          <w:tab w:leader="none" w:pos="5980" w:val="left"/>
          <w:tab w:leader="none" w:pos="6660" w:val="left"/>
          <w:tab w:leader="none" w:pos="6840" w:val="left"/>
        </w:tabs>
        <w:rPr>
          <w:sz w:val="20"/>
          <w:szCs w:val="20"/>
          <w:color w:val="auto"/>
        </w:rPr>
      </w:pPr>
      <w:r>
        <w:rPr>
          <w:rFonts w:ascii="Arial" w:cs="Arial" w:eastAsia="Arial" w:hAnsi="Arial"/>
          <w:sz w:val="12"/>
          <w:szCs w:val="12"/>
          <w:color w:val="auto"/>
        </w:rPr>
        <w:t xml:space="preserve">GAAP gross profit </w:t>
      </w:r>
      <w:r>
        <w:rPr>
          <w:rFonts w:ascii="Times New Roman" w:cs="Times New Roman" w:eastAsia="Times New Roman" w:hAnsi="Times New Roman"/>
          <w:sz w:val="12"/>
          <w:szCs w:val="12"/>
          <w:color w:val="B4B4B4"/>
        </w:rPr>
        <w:t>.............................................</w:t>
      </w:r>
      <w:r>
        <w:rPr>
          <w:rFonts w:ascii="Arial" w:cs="Arial" w:eastAsia="Arial" w:hAnsi="Arial"/>
          <w:sz w:val="12"/>
          <w:szCs w:val="12"/>
          <w:color w:val="auto"/>
        </w:rPr>
        <w:tab/>
        <w:t>$</w:t>
        <w:tab/>
        <w:t>367,022</w:t>
      </w:r>
      <w:r>
        <w:rPr>
          <w:sz w:val="20"/>
          <w:szCs w:val="20"/>
          <w:color w:val="auto"/>
        </w:rPr>
        <w:tab/>
      </w:r>
      <w:r>
        <w:rPr>
          <w:rFonts w:ascii="Arial" w:cs="Arial" w:eastAsia="Arial" w:hAnsi="Arial"/>
          <w:sz w:val="12"/>
          <w:szCs w:val="12"/>
          <w:color w:val="auto"/>
        </w:rPr>
        <w:t>$</w:t>
        <w:tab/>
        <w:t>239,634</w:t>
      </w:r>
      <w:r>
        <w:rPr>
          <w:sz w:val="20"/>
          <w:szCs w:val="20"/>
          <w:color w:val="auto"/>
        </w:rPr>
        <w:tab/>
      </w:r>
      <w:r>
        <w:rPr>
          <w:rFonts w:ascii="Arial" w:cs="Arial" w:eastAsia="Arial" w:hAnsi="Arial"/>
          <w:sz w:val="12"/>
          <w:szCs w:val="12"/>
          <w:color w:val="auto"/>
        </w:rPr>
        <w:t>$</w:t>
        <w:tab/>
        <w:t>236,830</w:t>
      </w:r>
      <w:r>
        <w:rPr>
          <w:sz w:val="20"/>
          <w:szCs w:val="20"/>
          <w:color w:val="auto"/>
        </w:rPr>
        <w:tab/>
      </w:r>
      <w:r>
        <w:rPr>
          <w:rFonts w:ascii="Arial" w:cs="Arial" w:eastAsia="Arial" w:hAnsi="Arial"/>
          <w:sz w:val="12"/>
          <w:szCs w:val="12"/>
          <w:color w:val="auto"/>
        </w:rPr>
        <w:t>$</w:t>
        <w:tab/>
        <w:t>171,182</w:t>
      </w:r>
    </w:p>
    <w:p>
      <w:pPr>
        <w:sectPr>
          <w:pgSz w:w="11900" w:h="16840" w:orient="portrait"/>
          <w:cols w:equalWidth="0" w:num="1">
            <w:col w:w="9020"/>
          </w:cols>
          <w:pgMar w:left="1440" w:top="646" w:right="1440" w:bottom="28" w:gutter="0" w:footer="0" w:header="0"/>
          <w:type w:val="continuous"/>
        </w:sectPr>
      </w:pPr>
    </w:p>
    <w:bookmarkStart w:id="79" w:name="page80"/>
    <w:bookmarkEnd w:id="79"/>
    <w:tbl>
      <w:tblPr>
        <w:tblLayout w:type="fixed"/>
        <w:tblInd w:w="1520" w:type="dxa"/>
        <w:tblCellMar>
          <w:top w:w="0" w:type="dxa"/>
          <w:left w:w="0" w:type="dxa"/>
          <w:bottom w:w="0" w:type="dxa"/>
          <w:right w:w="0" w:type="dxa"/>
        </w:tblCellMar>
      </w:tblPr>
      <w:tr>
        <w:trPr>
          <w:trHeight w:val="144"/>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GAAP gross margin </w:t>
            </w:r>
            <w:r>
              <w:rPr>
                <w:rFonts w:ascii="Times New Roman" w:cs="Times New Roman" w:eastAsia="Times New Roman" w:hAnsi="Times New Roman"/>
                <w:sz w:val="12"/>
                <w:szCs w:val="12"/>
                <w:color w:val="B4B4B4"/>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68 %</w:t>
            </w:r>
          </w:p>
        </w:tc>
        <w:tc>
          <w:tcPr>
            <w:tcW w:w="860" w:type="dxa"/>
            <w:vAlign w:val="bottom"/>
          </w:tcPr>
          <w:p>
            <w:pPr>
              <w:jc w:val="right"/>
              <w:spacing w:after="0"/>
              <w:rPr>
                <w:sz w:val="20"/>
                <w:szCs w:val="20"/>
                <w:color w:val="auto"/>
              </w:rPr>
            </w:pPr>
            <w:r>
              <w:rPr>
                <w:rFonts w:ascii="Arial" w:cs="Arial" w:eastAsia="Arial" w:hAnsi="Arial"/>
                <w:sz w:val="12"/>
                <w:szCs w:val="12"/>
                <w:color w:val="auto"/>
              </w:rPr>
              <w:t>60 %</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72 %</w:t>
            </w:r>
          </w:p>
        </w:tc>
        <w:tc>
          <w:tcPr>
            <w:tcW w:w="860" w:type="dxa"/>
            <w:vAlign w:val="bottom"/>
          </w:tcPr>
          <w:p>
            <w:pPr>
              <w:jc w:val="right"/>
              <w:spacing w:after="0"/>
              <w:rPr>
                <w:sz w:val="20"/>
                <w:szCs w:val="20"/>
                <w:color w:val="auto"/>
              </w:rPr>
            </w:pPr>
            <w:r>
              <w:rPr>
                <w:rFonts w:ascii="Arial" w:cs="Arial" w:eastAsia="Arial" w:hAnsi="Arial"/>
                <w:sz w:val="12"/>
                <w:szCs w:val="12"/>
                <w:color w:val="auto"/>
              </w:rPr>
              <w:t>67 %</w:t>
            </w:r>
          </w:p>
        </w:tc>
      </w:tr>
      <w:tr>
        <w:trPr>
          <w:trHeight w:val="143"/>
        </w:trPr>
        <w:tc>
          <w:tcPr>
            <w:tcW w:w="2520" w:type="dxa"/>
            <w:vAlign w:val="bottom"/>
          </w:tcPr>
          <w:p>
            <w:pPr>
              <w:ind w:left="40"/>
              <w:spacing w:after="0" w:line="132" w:lineRule="exact"/>
              <w:rPr>
                <w:sz w:val="20"/>
                <w:szCs w:val="20"/>
                <w:color w:val="auto"/>
              </w:rPr>
            </w:pPr>
            <w:r>
              <w:rPr>
                <w:rFonts w:ascii="Arial" w:cs="Arial" w:eastAsia="Arial" w:hAnsi="Arial"/>
                <w:sz w:val="12"/>
                <w:szCs w:val="12"/>
                <w:color w:val="auto"/>
              </w:rPr>
              <w:t>Stock-based compensation-related</w:t>
            </w:r>
          </w:p>
        </w:tc>
        <w:tc>
          <w:tcPr>
            <w:tcW w:w="8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r>
      <w:tr>
        <w:trPr>
          <w:trHeight w:val="143"/>
        </w:trPr>
        <w:tc>
          <w:tcPr>
            <w:tcW w:w="2520" w:type="dxa"/>
            <w:vAlign w:val="bottom"/>
          </w:tcPr>
          <w:p>
            <w:pPr>
              <w:ind w:left="140"/>
              <w:spacing w:after="0"/>
              <w:rPr>
                <w:sz w:val="20"/>
                <w:szCs w:val="20"/>
                <w:color w:val="auto"/>
              </w:rPr>
            </w:pPr>
            <w:r>
              <w:rPr>
                <w:rFonts w:ascii="Arial" w:cs="Arial" w:eastAsia="Arial" w:hAnsi="Arial"/>
                <w:sz w:val="12"/>
                <w:szCs w:val="12"/>
                <w:color w:val="auto"/>
              </w:rPr>
              <w:t xml:space="preserve">charges </w:t>
            </w:r>
            <w:r>
              <w:rPr>
                <w:rFonts w:ascii="Times New Roman" w:cs="Times New Roman" w:eastAsia="Times New Roman" w:hAnsi="Times New Roman"/>
                <w:sz w:val="12"/>
                <w:szCs w:val="12"/>
                <w:color w:val="B4B4B4"/>
              </w:rPr>
              <w:t>...........................................................</w:t>
            </w:r>
          </w:p>
        </w:tc>
        <w:tc>
          <w:tcPr>
            <w:tcW w:w="860" w:type="dxa"/>
            <w:vAlign w:val="bottom"/>
          </w:tcPr>
          <w:p>
            <w:pPr>
              <w:jc w:val="right"/>
              <w:ind w:right="138"/>
              <w:spacing w:after="0"/>
              <w:rPr>
                <w:sz w:val="20"/>
                <w:szCs w:val="20"/>
                <w:color w:val="auto"/>
              </w:rPr>
            </w:pPr>
            <w:r>
              <w:rPr>
                <w:rFonts w:ascii="Arial" w:cs="Arial" w:eastAsia="Arial" w:hAnsi="Arial"/>
                <w:sz w:val="12"/>
                <w:szCs w:val="12"/>
                <w:color w:val="auto"/>
              </w:rPr>
              <w:t>4,577</w:t>
            </w:r>
          </w:p>
        </w:tc>
        <w:tc>
          <w:tcPr>
            <w:tcW w:w="860" w:type="dxa"/>
            <w:vAlign w:val="bottom"/>
          </w:tcPr>
          <w:p>
            <w:pPr>
              <w:jc w:val="right"/>
              <w:ind w:right="118"/>
              <w:spacing w:after="0"/>
              <w:rPr>
                <w:sz w:val="20"/>
                <w:szCs w:val="20"/>
                <w:color w:val="auto"/>
              </w:rPr>
            </w:pPr>
            <w:r>
              <w:rPr>
                <w:rFonts w:ascii="Arial" w:cs="Arial" w:eastAsia="Arial" w:hAnsi="Arial"/>
                <w:sz w:val="12"/>
                <w:szCs w:val="12"/>
                <w:color w:val="auto"/>
              </w:rPr>
              <w:t>4,751</w:t>
            </w:r>
          </w:p>
        </w:tc>
        <w:tc>
          <w:tcPr>
            <w:tcW w:w="880" w:type="dxa"/>
            <w:vAlign w:val="bottom"/>
            <w:gridSpan w:val="2"/>
          </w:tcPr>
          <w:p>
            <w:pPr>
              <w:jc w:val="right"/>
              <w:ind w:right="138"/>
              <w:spacing w:after="0"/>
              <w:rPr>
                <w:sz w:val="20"/>
                <w:szCs w:val="20"/>
                <w:color w:val="auto"/>
              </w:rPr>
            </w:pPr>
            <w:r>
              <w:rPr>
                <w:rFonts w:ascii="Arial" w:cs="Arial" w:eastAsia="Arial" w:hAnsi="Arial"/>
                <w:sz w:val="12"/>
                <w:szCs w:val="12"/>
                <w:color w:val="auto"/>
              </w:rPr>
              <w:t>2,110</w:t>
            </w:r>
          </w:p>
        </w:tc>
        <w:tc>
          <w:tcPr>
            <w:tcW w:w="860" w:type="dxa"/>
            <w:vAlign w:val="bottom"/>
          </w:tcPr>
          <w:p>
            <w:pPr>
              <w:jc w:val="right"/>
              <w:ind w:right="118"/>
              <w:spacing w:after="0"/>
              <w:rPr>
                <w:sz w:val="20"/>
                <w:szCs w:val="20"/>
                <w:color w:val="auto"/>
              </w:rPr>
            </w:pPr>
            <w:r>
              <w:rPr>
                <w:rFonts w:ascii="Arial" w:cs="Arial" w:eastAsia="Arial" w:hAnsi="Arial"/>
                <w:sz w:val="12"/>
                <w:szCs w:val="12"/>
                <w:color w:val="auto"/>
              </w:rPr>
              <w:t>1,842</w:t>
            </w:r>
          </w:p>
        </w:tc>
      </w:tr>
      <w:tr>
        <w:trPr>
          <w:trHeight w:val="182"/>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Amortization of intangible assets </w:t>
            </w:r>
            <w:r>
              <w:rPr>
                <w:rFonts w:ascii="Times New Roman" w:cs="Times New Roman" w:eastAsia="Times New Roman" w:hAnsi="Times New Roman"/>
                <w:sz w:val="12"/>
                <w:szCs w:val="12"/>
                <w:color w:val="B4B4B4"/>
              </w:rPr>
              <w:t>...................</w:t>
            </w:r>
          </w:p>
        </w:tc>
        <w:tc>
          <w:tcPr>
            <w:tcW w:w="86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256</w:t>
            </w:r>
          </w:p>
        </w:tc>
        <w:tc>
          <w:tcPr>
            <w:tcW w:w="8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1,526</w:t>
            </w:r>
          </w:p>
        </w:tc>
        <w:tc>
          <w:tcPr>
            <w:tcW w:w="88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85</w:t>
            </w:r>
          </w:p>
        </w:tc>
        <w:tc>
          <w:tcPr>
            <w:tcW w:w="8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128</w:t>
            </w:r>
          </w:p>
        </w:tc>
      </w:tr>
      <w:tr>
        <w:trPr>
          <w:trHeight w:val="182"/>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Restructuring and facility exit costs </w:t>
            </w:r>
            <w:r>
              <w:rPr>
                <w:rFonts w:ascii="Times New Roman" w:cs="Times New Roman" w:eastAsia="Times New Roman" w:hAnsi="Times New Roman"/>
                <w:sz w:val="12"/>
                <w:szCs w:val="12"/>
                <w:color w:val="B4B4B4"/>
              </w:rPr>
              <w:t>...............</w:t>
            </w:r>
          </w:p>
        </w:tc>
        <w:tc>
          <w:tcPr>
            <w:tcW w:w="86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18"/>
              <w:spacing w:after="0"/>
              <w:rPr>
                <w:sz w:val="20"/>
                <w:szCs w:val="20"/>
                <w:color w:val="auto"/>
              </w:rPr>
            </w:pPr>
            <w:r>
              <w:rPr>
                <w:rFonts w:ascii="Arial" w:cs="Arial" w:eastAsia="Arial" w:hAnsi="Arial"/>
                <w:sz w:val="12"/>
                <w:szCs w:val="12"/>
                <w:color w:val="auto"/>
              </w:rPr>
              <w:t>3,318</w:t>
            </w:r>
          </w:p>
        </w:tc>
        <w:tc>
          <w:tcPr>
            <w:tcW w:w="20" w:type="dxa"/>
            <w:vAlign w:val="bottom"/>
          </w:tcPr>
          <w:p>
            <w:pPr>
              <w:spacing w:after="0"/>
              <w:rPr>
                <w:sz w:val="15"/>
                <w:szCs w:val="15"/>
                <w:color w:val="auto"/>
              </w:rPr>
            </w:pPr>
          </w:p>
        </w:tc>
        <w:tc>
          <w:tcPr>
            <w:tcW w:w="86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18"/>
              <w:spacing w:after="0"/>
              <w:rPr>
                <w:sz w:val="20"/>
                <w:szCs w:val="20"/>
                <w:color w:val="auto"/>
              </w:rPr>
            </w:pPr>
            <w:r>
              <w:rPr>
                <w:rFonts w:ascii="Arial" w:cs="Arial" w:eastAsia="Arial" w:hAnsi="Arial"/>
                <w:sz w:val="12"/>
                <w:szCs w:val="12"/>
                <w:color w:val="auto"/>
              </w:rPr>
              <w:t>—</w:t>
            </w:r>
          </w:p>
        </w:tc>
      </w:tr>
      <w:tr>
        <w:trPr>
          <w:trHeight w:val="193"/>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Non-GAAP gross profit </w:t>
            </w:r>
            <w:r>
              <w:rPr>
                <w:rFonts w:ascii="Times New Roman" w:cs="Times New Roman" w:eastAsia="Times New Roman" w:hAnsi="Times New Roman"/>
                <w:sz w:val="12"/>
                <w:szCs w:val="12"/>
                <w:color w:val="B4B4B4"/>
              </w:rPr>
              <w:t>....................................</w:t>
            </w:r>
          </w:p>
        </w:tc>
        <w:tc>
          <w:tcPr>
            <w:tcW w:w="860" w:type="dxa"/>
            <w:vAlign w:val="bottom"/>
          </w:tcPr>
          <w:p>
            <w:pPr>
              <w:jc w:val="right"/>
              <w:ind w:right="138"/>
              <w:spacing w:after="0"/>
              <w:rPr>
                <w:sz w:val="20"/>
                <w:szCs w:val="20"/>
                <w:color w:val="auto"/>
              </w:rPr>
            </w:pPr>
            <w:r>
              <w:rPr>
                <w:rFonts w:ascii="Arial" w:cs="Arial" w:eastAsia="Arial" w:hAnsi="Arial"/>
                <w:sz w:val="12"/>
                <w:szCs w:val="12"/>
                <w:color w:val="auto"/>
              </w:rPr>
              <w:t>$  371,855</w:t>
            </w:r>
          </w:p>
        </w:tc>
        <w:tc>
          <w:tcPr>
            <w:tcW w:w="860" w:type="dxa"/>
            <w:vAlign w:val="bottom"/>
          </w:tcPr>
          <w:p>
            <w:pPr>
              <w:jc w:val="right"/>
              <w:ind w:right="138"/>
              <w:spacing w:after="0"/>
              <w:rPr>
                <w:sz w:val="20"/>
                <w:szCs w:val="20"/>
                <w:color w:val="auto"/>
              </w:rPr>
            </w:pPr>
            <w:r>
              <w:rPr>
                <w:rFonts w:ascii="Arial" w:cs="Arial" w:eastAsia="Arial" w:hAnsi="Arial"/>
                <w:sz w:val="12"/>
                <w:szCs w:val="12"/>
                <w:color w:val="auto"/>
              </w:rPr>
              <w:t>$  249,229</w:t>
            </w:r>
          </w:p>
        </w:tc>
        <w:tc>
          <w:tcPr>
            <w:tcW w:w="880" w:type="dxa"/>
            <w:vAlign w:val="bottom"/>
            <w:gridSpan w:val="2"/>
          </w:tcPr>
          <w:p>
            <w:pPr>
              <w:jc w:val="right"/>
              <w:ind w:right="138"/>
              <w:spacing w:after="0"/>
              <w:rPr>
                <w:sz w:val="20"/>
                <w:szCs w:val="20"/>
                <w:color w:val="auto"/>
              </w:rPr>
            </w:pPr>
            <w:r>
              <w:rPr>
                <w:rFonts w:ascii="Arial" w:cs="Arial" w:eastAsia="Arial" w:hAnsi="Arial"/>
                <w:sz w:val="12"/>
                <w:szCs w:val="12"/>
                <w:color w:val="auto"/>
              </w:rPr>
              <w:t>$  239,025</w:t>
            </w:r>
          </w:p>
        </w:tc>
        <w:tc>
          <w:tcPr>
            <w:tcW w:w="860" w:type="dxa"/>
            <w:vAlign w:val="bottom"/>
          </w:tcPr>
          <w:p>
            <w:pPr>
              <w:jc w:val="right"/>
              <w:ind w:right="118"/>
              <w:spacing w:after="0"/>
              <w:rPr>
                <w:sz w:val="20"/>
                <w:szCs w:val="20"/>
                <w:color w:val="auto"/>
              </w:rPr>
            </w:pPr>
            <w:r>
              <w:rPr>
                <w:rFonts w:ascii="Arial" w:cs="Arial" w:eastAsia="Arial" w:hAnsi="Arial"/>
                <w:sz w:val="12"/>
                <w:szCs w:val="12"/>
                <w:color w:val="auto"/>
              </w:rPr>
              <w:t>$  173,152</w:t>
            </w:r>
          </w:p>
        </w:tc>
      </w:tr>
      <w:tr>
        <w:trPr>
          <w:trHeight w:val="182"/>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Non-GAAP gross margin </w:t>
            </w:r>
            <w:r>
              <w:rPr>
                <w:rFonts w:ascii="Times New Roman" w:cs="Times New Roman" w:eastAsia="Times New Roman" w:hAnsi="Times New Roman"/>
                <w:sz w:val="12"/>
                <w:szCs w:val="12"/>
                <w:color w:val="B4B4B4"/>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69 %</w:t>
            </w:r>
          </w:p>
        </w:tc>
        <w:tc>
          <w:tcPr>
            <w:tcW w:w="860" w:type="dxa"/>
            <w:vAlign w:val="bottom"/>
          </w:tcPr>
          <w:p>
            <w:pPr>
              <w:jc w:val="right"/>
              <w:spacing w:after="0"/>
              <w:rPr>
                <w:sz w:val="20"/>
                <w:szCs w:val="20"/>
                <w:color w:val="auto"/>
              </w:rPr>
            </w:pPr>
            <w:r>
              <w:rPr>
                <w:rFonts w:ascii="Arial" w:cs="Arial" w:eastAsia="Arial" w:hAnsi="Arial"/>
                <w:sz w:val="12"/>
                <w:szCs w:val="12"/>
                <w:color w:val="auto"/>
              </w:rPr>
              <w:t>62 %</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73 %</w:t>
            </w:r>
          </w:p>
        </w:tc>
        <w:tc>
          <w:tcPr>
            <w:tcW w:w="860" w:type="dxa"/>
            <w:vAlign w:val="bottom"/>
          </w:tcPr>
          <w:p>
            <w:pPr>
              <w:jc w:val="right"/>
              <w:spacing w:after="0"/>
              <w:rPr>
                <w:sz w:val="20"/>
                <w:szCs w:val="20"/>
                <w:color w:val="auto"/>
              </w:rPr>
            </w:pPr>
            <w:r>
              <w:rPr>
                <w:rFonts w:ascii="Arial" w:cs="Arial" w:eastAsia="Arial" w:hAnsi="Arial"/>
                <w:sz w:val="12"/>
                <w:szCs w:val="12"/>
                <w:color w:val="auto"/>
              </w:rPr>
              <w:t>68 %</w:t>
            </w:r>
          </w:p>
        </w:tc>
      </w:tr>
    </w:tbl>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760"/>
        <w:spacing w:after="0"/>
        <w:rPr>
          <w:sz w:val="20"/>
          <w:szCs w:val="20"/>
          <w:color w:val="auto"/>
        </w:rPr>
      </w:pPr>
      <w:r>
        <w:rPr>
          <w:rFonts w:ascii="Arial" w:cs="Arial" w:eastAsia="Arial" w:hAnsi="Arial"/>
          <w:sz w:val="12"/>
          <w:szCs w:val="12"/>
          <w:b w:val="1"/>
          <w:bCs w:val="1"/>
          <w:i w:val="1"/>
          <w:iCs w:val="1"/>
          <w:color w:val="auto"/>
        </w:rPr>
        <w:t>Non-GAAP Income (Loss) from Operations</w:t>
      </w:r>
    </w:p>
    <w:p>
      <w:pPr>
        <w:spacing w:after="0" w:line="128" w:lineRule="exact"/>
        <w:rPr>
          <w:sz w:val="20"/>
          <w:szCs w:val="20"/>
          <w:color w:val="auto"/>
        </w:rPr>
      </w:pPr>
    </w:p>
    <w:p>
      <w:pPr>
        <w:ind w:left="1520" w:right="1760" w:firstLine="230"/>
        <w:spacing w:after="0" w:line="289" w:lineRule="auto"/>
        <w:rPr>
          <w:sz w:val="20"/>
          <w:szCs w:val="20"/>
          <w:color w:val="auto"/>
        </w:rPr>
      </w:pPr>
      <w:r>
        <w:rPr>
          <w:rFonts w:ascii="Arial" w:cs="Arial" w:eastAsia="Arial" w:hAnsi="Arial"/>
          <w:sz w:val="12"/>
          <w:szCs w:val="12"/>
          <w:color w:val="auto"/>
        </w:rPr>
        <w:t xml:space="preserve">We define non-GAAP income (loss) from </w:t>
      </w:r>
      <w:r>
        <w:rPr>
          <w:rFonts w:ascii="Arial" w:cs="Arial" w:eastAsia="Arial" w:hAnsi="Arial"/>
          <w:sz w:val="12"/>
          <w:szCs w:val="12"/>
          <w:color w:val="auto"/>
          <w:strike w:val="1"/>
        </w:rPr>
        <w:t>operations as GAAP loss from</w:t>
      </w:r>
      <w:r>
        <w:rPr>
          <w:rFonts w:ascii="Arial" w:cs="Arial" w:eastAsia="Arial" w:hAnsi="Arial"/>
          <w:sz w:val="12"/>
          <w:szCs w:val="12"/>
          <w:color w:val="auto"/>
        </w:rPr>
        <w:t xml:space="preserve"> o</w:t>
      </w:r>
      <w:r>
        <w:rPr>
          <w:rFonts w:ascii="Arial" w:cs="Arial" w:eastAsia="Arial" w:hAnsi="Arial"/>
          <w:sz w:val="12"/>
          <w:szCs w:val="12"/>
          <w:color w:val="auto"/>
          <w:strike w:val="1"/>
        </w:rPr>
        <w:t>perations, excl</w:t>
      </w:r>
      <w:r>
        <w:rPr>
          <w:rFonts w:ascii="Arial" w:cs="Arial" w:eastAsia="Arial" w:hAnsi="Arial"/>
          <w:sz w:val="12"/>
          <w:szCs w:val="12"/>
          <w:color w:val="auto"/>
        </w:rPr>
        <w:t>uding stock-based compensation-related charges, amortization of intangible assets, write-off of deferred offering costs, restructuring and facility exit costs, and the reversal of the tax contingency.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960" w:firstLine="230"/>
        <w:spacing w:after="0" w:line="312" w:lineRule="auto"/>
        <w:rPr>
          <w:sz w:val="20"/>
          <w:szCs w:val="20"/>
          <w:color w:val="auto"/>
        </w:rPr>
      </w:pPr>
      <w:r>
        <w:rPr>
          <w:rFonts w:ascii="Arial" w:cs="Arial" w:eastAsia="Arial" w:hAnsi="Arial"/>
          <w:sz w:val="12"/>
          <w:szCs w:val="12"/>
          <w:color w:val="auto"/>
        </w:rPr>
        <w:t>The following table reflects the reconciliation of GAAP loss from operations to non-GAAP income (loss) from operations for the periods presented:</w:t>
      </w:r>
    </w:p>
    <w:p>
      <w:pPr>
        <w:spacing w:after="0" w:line="79"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2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4"/>
          </w:tcPr>
          <w:p>
            <w:pPr>
              <w:jc w:val="right"/>
              <w:ind w:right="203"/>
              <w:spacing w:after="0"/>
              <w:rPr>
                <w:sz w:val="20"/>
                <w:szCs w:val="20"/>
                <w:color w:val="auto"/>
              </w:rPr>
            </w:pPr>
            <w:r>
              <w:rPr>
                <w:rFonts w:ascii="Arial" w:cs="Arial" w:eastAsia="Arial" w:hAnsi="Arial"/>
                <w:sz w:val="11"/>
                <w:szCs w:val="11"/>
                <w:b w:val="1"/>
                <w:bCs w:val="1"/>
                <w:color w:val="auto"/>
                <w:w w:val="99"/>
              </w:rPr>
              <w:t>Year Ended January 31,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4"/>
          </w:tcPr>
          <w:p>
            <w:pPr>
              <w:ind w:left="6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57"/>
        </w:trPr>
        <w:tc>
          <w:tcPr>
            <w:tcW w:w="25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ind w:left="60"/>
              <w:spacing w:after="0" w:line="47" w:lineRule="exact"/>
              <w:rPr>
                <w:sz w:val="20"/>
                <w:szCs w:val="20"/>
                <w:color w:val="auto"/>
              </w:rPr>
            </w:pPr>
            <w:r>
              <w:rPr>
                <w:rFonts w:ascii="Arial" w:cs="Arial" w:eastAsia="Arial" w:hAnsi="Arial"/>
                <w:sz w:val="5"/>
                <w:szCs w:val="5"/>
                <w:b w:val="1"/>
                <w:bCs w:val="1"/>
                <w:color w:val="auto"/>
              </w:rPr>
              <w:t>,</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38"/>
        </w:trPr>
        <w:tc>
          <w:tcPr>
            <w:tcW w:w="25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2024</w:t>
            </w: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gridSpan w:val="4"/>
          </w:tcPr>
          <w:p>
            <w:pPr>
              <w:jc w:val="right"/>
              <w:ind w:right="463"/>
              <w:spacing w:after="0" w:line="91" w:lineRule="exact"/>
              <w:rPr>
                <w:sz w:val="20"/>
                <w:szCs w:val="20"/>
                <w:color w:val="auto"/>
              </w:rPr>
            </w:pPr>
            <w:r>
              <w:rPr>
                <w:rFonts w:ascii="Arial" w:cs="Arial" w:eastAsia="Arial" w:hAnsi="Arial"/>
                <w:sz w:val="9"/>
                <w:szCs w:val="9"/>
                <w:b w:val="1"/>
                <w:bCs w:val="1"/>
                <w:color w:val="auto"/>
              </w:rPr>
              <w:t>(in thousands</w:t>
            </w: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520" w:type="dxa"/>
            <w:vAlign w:val="bottom"/>
            <w:vMerge w:val="restart"/>
          </w:tcPr>
          <w:p>
            <w:pPr>
              <w:ind w:left="40"/>
              <w:spacing w:after="0"/>
              <w:rPr>
                <w:sz w:val="20"/>
                <w:szCs w:val="20"/>
                <w:color w:val="auto"/>
              </w:rPr>
            </w:pPr>
            <w:r>
              <w:rPr>
                <w:rFonts w:ascii="Arial" w:cs="Arial" w:eastAsia="Arial" w:hAnsi="Arial"/>
                <w:sz w:val="12"/>
                <w:szCs w:val="12"/>
                <w:color w:val="auto"/>
              </w:rPr>
              <w:t xml:space="preserve">GAAP loss from operations </w:t>
            </w:r>
            <w:r>
              <w:rPr>
                <w:rFonts w:ascii="Times New Roman" w:cs="Times New Roman" w:eastAsia="Times New Roman" w:hAnsi="Times New Roman"/>
                <w:sz w:val="12"/>
                <w:szCs w:val="12"/>
                <w:color w:val="B4B4B4"/>
              </w:rPr>
              <w:t>............................</w:t>
            </w:r>
          </w:p>
        </w:tc>
        <w:tc>
          <w:tcPr>
            <w:tcW w:w="200" w:type="dxa"/>
            <w:vAlign w:val="bottom"/>
            <w:vMerge w:val="restart"/>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(107,638)</w:t>
            </w:r>
          </w:p>
        </w:tc>
        <w:tc>
          <w:tcPr>
            <w:tcW w:w="220" w:type="dxa"/>
            <w:vAlign w:val="bottom"/>
            <w:gridSpan w:val="2"/>
            <w:vMerge w:val="restart"/>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43"/>
              <w:spacing w:after="0" w:line="67" w:lineRule="exact"/>
              <w:rPr>
                <w:sz w:val="20"/>
                <w:szCs w:val="20"/>
                <w:color w:val="auto"/>
              </w:rPr>
            </w:pPr>
            <w:r>
              <w:rPr>
                <w:rFonts w:ascii="Arial" w:cs="Arial" w:eastAsia="Arial" w:hAnsi="Arial"/>
                <w:sz w:val="7"/>
                <w:szCs w:val="7"/>
                <w:b w:val="1"/>
                <w:bCs w:val="1"/>
                <w:color w:val="auto"/>
              </w:rPr>
              <w:t>)</w:t>
            </w:r>
          </w:p>
        </w:tc>
        <w:tc>
          <w:tcPr>
            <w:tcW w:w="18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(28,151)</w:t>
            </w:r>
          </w:p>
        </w:tc>
        <w:tc>
          <w:tcPr>
            <w:tcW w:w="240" w:type="dxa"/>
            <w:vAlign w:val="bottom"/>
            <w:gridSpan w:val="2"/>
            <w:vMerge w:val="restart"/>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(55,370)</w:t>
            </w:r>
          </w:p>
        </w:tc>
        <w:tc>
          <w:tcPr>
            <w:tcW w:w="0" w:type="dxa"/>
            <w:vAlign w:val="bottom"/>
          </w:tcPr>
          <w:p>
            <w:pPr>
              <w:spacing w:after="0"/>
              <w:rPr>
                <w:sz w:val="1"/>
                <w:szCs w:val="1"/>
                <w:color w:val="auto"/>
              </w:rPr>
            </w:pPr>
          </w:p>
        </w:tc>
      </w:tr>
      <w:tr>
        <w:trPr>
          <w:trHeight w:val="168"/>
        </w:trPr>
        <w:tc>
          <w:tcPr>
            <w:tcW w:w="25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(246,342)</w:t>
            </w:r>
          </w:p>
        </w:tc>
        <w:tc>
          <w:tcPr>
            <w:tcW w:w="18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520" w:type="dxa"/>
            <w:vAlign w:val="bottom"/>
          </w:tcPr>
          <w:p>
            <w:pPr>
              <w:ind w:left="40"/>
              <w:spacing w:after="0" w:line="129" w:lineRule="exact"/>
              <w:rPr>
                <w:sz w:val="20"/>
                <w:szCs w:val="20"/>
                <w:color w:val="auto"/>
              </w:rPr>
            </w:pPr>
            <w:r>
              <w:rPr>
                <w:rFonts w:ascii="Arial" w:cs="Arial" w:eastAsia="Arial" w:hAnsi="Arial"/>
                <w:sz w:val="12"/>
                <w:szCs w:val="12"/>
                <w:color w:val="auto"/>
              </w:rPr>
              <w:t>Stock-based compensation expense-</w:t>
            </w: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77,379</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23"/>
              <w:spacing w:after="0"/>
              <w:rPr>
                <w:sz w:val="20"/>
                <w:szCs w:val="20"/>
                <w:color w:val="auto"/>
              </w:rPr>
            </w:pPr>
            <w:r>
              <w:rPr>
                <w:rFonts w:ascii="Arial" w:cs="Arial" w:eastAsia="Arial" w:hAnsi="Arial"/>
                <w:sz w:val="12"/>
                <w:szCs w:val="12"/>
                <w:color w:val="auto"/>
              </w:rPr>
              <w:t>75,851</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ind w:right="3"/>
              <w:spacing w:after="0"/>
              <w:rPr>
                <w:sz w:val="20"/>
                <w:szCs w:val="20"/>
                <w:color w:val="auto"/>
              </w:rPr>
            </w:pPr>
            <w:r>
              <w:rPr>
                <w:rFonts w:ascii="Arial" w:cs="Arial" w:eastAsia="Arial" w:hAnsi="Arial"/>
                <w:sz w:val="12"/>
                <w:szCs w:val="12"/>
                <w:color w:val="auto"/>
              </w:rPr>
              <w:t>36,597</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2"/>
                <w:szCs w:val="12"/>
                <w:color w:val="auto"/>
              </w:rPr>
              <w:t>35,292</w:t>
            </w:r>
          </w:p>
        </w:tc>
        <w:tc>
          <w:tcPr>
            <w:tcW w:w="0" w:type="dxa"/>
            <w:vAlign w:val="bottom"/>
          </w:tcPr>
          <w:p>
            <w:pPr>
              <w:spacing w:after="0"/>
              <w:rPr>
                <w:sz w:val="1"/>
                <w:szCs w:val="1"/>
                <w:color w:val="auto"/>
              </w:rPr>
            </w:pPr>
          </w:p>
        </w:tc>
      </w:tr>
      <w:tr>
        <w:trPr>
          <w:trHeight w:val="165"/>
        </w:trPr>
        <w:tc>
          <w:tcPr>
            <w:tcW w:w="2520" w:type="dxa"/>
            <w:vAlign w:val="bottom"/>
          </w:tcPr>
          <w:p>
            <w:pPr>
              <w:ind w:left="140"/>
              <w:spacing w:after="0"/>
              <w:rPr>
                <w:sz w:val="20"/>
                <w:szCs w:val="20"/>
                <w:color w:val="auto"/>
              </w:rPr>
            </w:pPr>
            <w:r>
              <w:rPr>
                <w:rFonts w:ascii="Arial" w:cs="Arial" w:eastAsia="Arial" w:hAnsi="Arial"/>
                <w:sz w:val="12"/>
                <w:szCs w:val="12"/>
                <w:color w:val="auto"/>
              </w:rPr>
              <w:t xml:space="preserve">related charges </w:t>
            </w:r>
            <w:r>
              <w:rPr>
                <w:rFonts w:ascii="Times New Roman" w:cs="Times New Roman" w:eastAsia="Times New Roman" w:hAnsi="Times New Roman"/>
                <w:sz w:val="12"/>
                <w:szCs w:val="12"/>
                <w:color w:val="B4B4B4"/>
              </w:rPr>
              <w:t>.............................................</w:t>
            </w: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Amortization of intangible assets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5,217</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6,364</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2,630</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2,593</w:t>
            </w:r>
          </w:p>
        </w:tc>
        <w:tc>
          <w:tcPr>
            <w:tcW w:w="0" w:type="dxa"/>
            <w:vAlign w:val="bottom"/>
          </w:tcPr>
          <w:p>
            <w:pPr>
              <w:spacing w:after="0"/>
              <w:rPr>
                <w:sz w:val="1"/>
                <w:szCs w:val="1"/>
                <w:color w:val="auto"/>
              </w:rPr>
            </w:pPr>
          </w:p>
        </w:tc>
      </w:tr>
      <w:tr>
        <w:trPr>
          <w:trHeight w:val="173"/>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Deferred offering costs write-off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Arial" w:cs="Arial" w:eastAsia="Arial" w:hAnsi="Arial"/>
                <w:sz w:val="12"/>
                <w:szCs w:val="12"/>
                <w:color w:val="auto"/>
              </w:rPr>
              <w:t>3,749</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0"/>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Restructuring and facility exit costs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8,577</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Reversal of tax contingency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(22,952)</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Non-GAAPincome(loss)fromoperations</w:t>
            </w: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(25,042)</w:t>
            </w:r>
          </w:p>
        </w:tc>
        <w:tc>
          <w:tcPr>
            <w:tcW w:w="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(174,753)</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11,076</w:t>
            </w:r>
          </w:p>
        </w:tc>
        <w:tc>
          <w:tcPr>
            <w:tcW w:w="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(17,485)</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Non-GAAP Net Loss</w:t>
      </w:r>
    </w:p>
    <w:p>
      <w:pPr>
        <w:spacing w:after="0" w:line="128" w:lineRule="exact"/>
        <w:rPr>
          <w:sz w:val="20"/>
          <w:szCs w:val="20"/>
          <w:color w:val="auto"/>
        </w:rPr>
      </w:pPr>
    </w:p>
    <w:p>
      <w:pPr>
        <w:ind w:left="1520" w:right="1700" w:firstLine="230"/>
        <w:spacing w:after="0" w:line="277" w:lineRule="auto"/>
        <w:rPr>
          <w:sz w:val="20"/>
          <w:szCs w:val="20"/>
          <w:color w:val="auto"/>
        </w:rPr>
      </w:pPr>
      <w:r>
        <w:rPr>
          <w:rFonts w:ascii="Arial" w:cs="Arial" w:eastAsia="Arial" w:hAnsi="Arial"/>
          <w:sz w:val="12"/>
          <w:szCs w:val="12"/>
          <w:color w:val="auto"/>
        </w:rPr>
        <w:t>We define non-GAAP net loss as GAAP net loss, excluding stock-based compensation-related charges, amortization of intangible assets, amortization of debt discount and debt issuance costs, write-off of deferred offering costs, gain (loss) on fair value adjustments, restructuring and facility exit costs, reversal of the tax contingency, SAFE debt issuance costs expensed, loss on extinguishment of debt, and non-GAAP provision for income taxes.</w:t>
      </w:r>
    </w:p>
    <w:p>
      <w:pPr>
        <w:spacing w:after="0" w:line="84" w:lineRule="exact"/>
        <w:rPr>
          <w:sz w:val="20"/>
          <w:szCs w:val="20"/>
          <w:color w:val="auto"/>
        </w:rPr>
      </w:pPr>
    </w:p>
    <w:p>
      <w:pPr>
        <w:jc w:val="both"/>
        <w:ind w:left="1520" w:right="1800" w:firstLine="230"/>
        <w:spacing w:after="0" w:line="312" w:lineRule="auto"/>
        <w:rPr>
          <w:sz w:val="20"/>
          <w:szCs w:val="20"/>
          <w:color w:val="auto"/>
        </w:rPr>
      </w:pPr>
      <w:r>
        <w:rPr>
          <w:rFonts w:ascii="Arial" w:cs="Arial" w:eastAsia="Arial" w:hAnsi="Arial"/>
          <w:sz w:val="12"/>
          <w:szCs w:val="12"/>
          <w:color w:val="auto"/>
        </w:rPr>
        <w:t>The following table reflects the reconciliation of GAAP net loss to non-GAAP net loss for the periods presented:</w:t>
      </w:r>
    </w:p>
    <w:p>
      <w:pPr>
        <w:spacing w:after="0" w:line="79"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2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4"/>
          </w:tcPr>
          <w:p>
            <w:pPr>
              <w:jc w:val="right"/>
              <w:ind w:right="201"/>
              <w:spacing w:after="0"/>
              <w:rPr>
                <w:sz w:val="20"/>
                <w:szCs w:val="20"/>
                <w:color w:val="auto"/>
              </w:rPr>
            </w:pPr>
            <w:r>
              <w:rPr>
                <w:rFonts w:ascii="Arial" w:cs="Arial" w:eastAsia="Arial" w:hAnsi="Arial"/>
                <w:sz w:val="11"/>
                <w:szCs w:val="11"/>
                <w:b w:val="1"/>
                <w:bCs w:val="1"/>
                <w:color w:val="auto"/>
                <w:w w:val="99"/>
              </w:rPr>
              <w:t>Year Ended January 31,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4"/>
          </w:tcPr>
          <w:p>
            <w:pPr>
              <w:ind w:left="6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57"/>
        </w:trPr>
        <w:tc>
          <w:tcPr>
            <w:tcW w:w="25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ind w:left="60"/>
              <w:spacing w:after="0" w:line="47" w:lineRule="exact"/>
              <w:rPr>
                <w:sz w:val="20"/>
                <w:szCs w:val="20"/>
                <w:color w:val="auto"/>
              </w:rPr>
            </w:pPr>
            <w:r>
              <w:rPr>
                <w:rFonts w:ascii="Arial" w:cs="Arial" w:eastAsia="Arial" w:hAnsi="Arial"/>
                <w:sz w:val="5"/>
                <w:szCs w:val="5"/>
                <w:b w:val="1"/>
                <w:bCs w:val="1"/>
                <w:color w:val="auto"/>
              </w:rPr>
              <w:t>,</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38"/>
        </w:trPr>
        <w:tc>
          <w:tcPr>
            <w:tcW w:w="25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b w:val="1"/>
                <w:bCs w:val="1"/>
                <w:color w:val="auto"/>
              </w:rPr>
              <w:t>2024</w:t>
            </w: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gridSpan w:val="4"/>
          </w:tcPr>
          <w:p>
            <w:pPr>
              <w:jc w:val="right"/>
              <w:ind w:right="461"/>
              <w:spacing w:after="0" w:line="91" w:lineRule="exact"/>
              <w:rPr>
                <w:sz w:val="20"/>
                <w:szCs w:val="20"/>
                <w:color w:val="auto"/>
              </w:rPr>
            </w:pPr>
            <w:r>
              <w:rPr>
                <w:rFonts w:ascii="Arial" w:cs="Arial" w:eastAsia="Arial" w:hAnsi="Arial"/>
                <w:sz w:val="9"/>
                <w:szCs w:val="9"/>
                <w:b w:val="1"/>
                <w:bCs w:val="1"/>
                <w:color w:val="auto"/>
              </w:rPr>
              <w:t>(in thousands</w:t>
            </w: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520" w:type="dxa"/>
            <w:vAlign w:val="bottom"/>
            <w:vMerge w:val="restart"/>
          </w:tcPr>
          <w:p>
            <w:pPr>
              <w:ind w:left="40"/>
              <w:spacing w:after="0"/>
              <w:rPr>
                <w:sz w:val="20"/>
                <w:szCs w:val="20"/>
                <w:color w:val="auto"/>
              </w:rPr>
            </w:pPr>
            <w:r>
              <w:rPr>
                <w:rFonts w:ascii="Arial" w:cs="Arial" w:eastAsia="Arial" w:hAnsi="Arial"/>
                <w:sz w:val="12"/>
                <w:szCs w:val="12"/>
                <w:color w:val="auto"/>
              </w:rPr>
              <w:t xml:space="preserve">GAAP net loss </w:t>
            </w:r>
            <w:r>
              <w:rPr>
                <w:rFonts w:ascii="Times New Roman" w:cs="Times New Roman" w:eastAsia="Times New Roman" w:hAnsi="Times New Roman"/>
                <w:sz w:val="12"/>
                <w:szCs w:val="12"/>
                <w:color w:val="B4B4B4"/>
              </w:rPr>
              <w:t>...................................................</w:t>
            </w:r>
          </w:p>
        </w:tc>
        <w:tc>
          <w:tcPr>
            <w:tcW w:w="200" w:type="dxa"/>
            <w:vAlign w:val="bottom"/>
            <w:vMerge w:val="restart"/>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(181,078)</w:t>
            </w:r>
          </w:p>
        </w:tc>
        <w:tc>
          <w:tcPr>
            <w:tcW w:w="220" w:type="dxa"/>
            <w:vAlign w:val="bottom"/>
            <w:gridSpan w:val="2"/>
            <w:vMerge w:val="restart"/>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41"/>
              <w:spacing w:after="0" w:line="67" w:lineRule="exact"/>
              <w:rPr>
                <w:sz w:val="20"/>
                <w:szCs w:val="20"/>
                <w:color w:val="auto"/>
              </w:rPr>
            </w:pPr>
            <w:r>
              <w:rPr>
                <w:rFonts w:ascii="Arial" w:cs="Arial" w:eastAsia="Arial" w:hAnsi="Arial"/>
                <w:sz w:val="7"/>
                <w:szCs w:val="7"/>
                <w:b w:val="1"/>
                <w:bCs w:val="1"/>
                <w:color w:val="auto"/>
              </w:rPr>
              <w:t>)</w:t>
            </w:r>
          </w:p>
        </w:tc>
        <w:tc>
          <w:tcPr>
            <w:tcW w:w="18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(99,880)</w:t>
            </w:r>
          </w:p>
        </w:tc>
        <w:tc>
          <w:tcPr>
            <w:tcW w:w="240" w:type="dxa"/>
            <w:vAlign w:val="bottom"/>
            <w:gridSpan w:val="2"/>
            <w:vMerge w:val="restart"/>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(92,544)</w:t>
            </w:r>
          </w:p>
        </w:tc>
        <w:tc>
          <w:tcPr>
            <w:tcW w:w="0" w:type="dxa"/>
            <w:vAlign w:val="bottom"/>
          </w:tcPr>
          <w:p>
            <w:pPr>
              <w:spacing w:after="0"/>
              <w:rPr>
                <w:sz w:val="1"/>
                <w:szCs w:val="1"/>
                <w:color w:val="auto"/>
              </w:rPr>
            </w:pPr>
          </w:p>
        </w:tc>
      </w:tr>
      <w:tr>
        <w:trPr>
          <w:trHeight w:val="168"/>
        </w:trPr>
        <w:tc>
          <w:tcPr>
            <w:tcW w:w="25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(331,552)</w:t>
            </w:r>
          </w:p>
        </w:tc>
        <w:tc>
          <w:tcPr>
            <w:tcW w:w="18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520" w:type="dxa"/>
            <w:vAlign w:val="bottom"/>
          </w:tcPr>
          <w:p>
            <w:pPr>
              <w:ind w:left="40"/>
              <w:spacing w:after="0" w:line="129" w:lineRule="exact"/>
              <w:rPr>
                <w:sz w:val="20"/>
                <w:szCs w:val="20"/>
                <w:color w:val="auto"/>
              </w:rPr>
            </w:pPr>
            <w:r>
              <w:rPr>
                <w:rFonts w:ascii="Arial" w:cs="Arial" w:eastAsia="Arial" w:hAnsi="Arial"/>
                <w:sz w:val="12"/>
                <w:szCs w:val="12"/>
                <w:color w:val="auto"/>
              </w:rPr>
              <w:t>Stock-based compensation expense-</w:t>
            </w: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77,379</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21"/>
              <w:spacing w:after="0"/>
              <w:rPr>
                <w:sz w:val="20"/>
                <w:szCs w:val="20"/>
                <w:color w:val="auto"/>
              </w:rPr>
            </w:pPr>
            <w:r>
              <w:rPr>
                <w:rFonts w:ascii="Arial" w:cs="Arial" w:eastAsia="Arial" w:hAnsi="Arial"/>
                <w:sz w:val="12"/>
                <w:szCs w:val="12"/>
                <w:color w:val="auto"/>
              </w:rPr>
              <w:t>75,851</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ind w:right="1"/>
              <w:spacing w:after="0"/>
              <w:rPr>
                <w:sz w:val="20"/>
                <w:szCs w:val="20"/>
                <w:color w:val="auto"/>
              </w:rPr>
            </w:pPr>
            <w:r>
              <w:rPr>
                <w:rFonts w:ascii="Arial" w:cs="Arial" w:eastAsia="Arial" w:hAnsi="Arial"/>
                <w:sz w:val="12"/>
                <w:szCs w:val="12"/>
                <w:color w:val="auto"/>
              </w:rPr>
              <w:t>36,597</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2"/>
                <w:szCs w:val="12"/>
                <w:color w:val="auto"/>
              </w:rPr>
              <w:t>35,292</w:t>
            </w:r>
          </w:p>
        </w:tc>
        <w:tc>
          <w:tcPr>
            <w:tcW w:w="0" w:type="dxa"/>
            <w:vAlign w:val="bottom"/>
          </w:tcPr>
          <w:p>
            <w:pPr>
              <w:spacing w:after="0"/>
              <w:rPr>
                <w:sz w:val="1"/>
                <w:szCs w:val="1"/>
                <w:color w:val="auto"/>
              </w:rPr>
            </w:pPr>
          </w:p>
        </w:tc>
      </w:tr>
      <w:tr>
        <w:trPr>
          <w:trHeight w:val="165"/>
        </w:trPr>
        <w:tc>
          <w:tcPr>
            <w:tcW w:w="2520" w:type="dxa"/>
            <w:vAlign w:val="bottom"/>
          </w:tcPr>
          <w:p>
            <w:pPr>
              <w:jc w:val="right"/>
              <w:spacing w:after="0"/>
              <w:rPr>
                <w:sz w:val="20"/>
                <w:szCs w:val="20"/>
                <w:color w:val="auto"/>
              </w:rPr>
            </w:pPr>
            <w:r>
              <w:rPr>
                <w:rFonts w:ascii="Arial" w:cs="Arial" w:eastAsia="Arial" w:hAnsi="Arial"/>
                <w:sz w:val="12"/>
                <w:szCs w:val="12"/>
                <w:color w:val="auto"/>
              </w:rPr>
              <w:t xml:space="preserve">related charges </w:t>
            </w:r>
            <w:r>
              <w:rPr>
                <w:rFonts w:ascii="Times New Roman" w:cs="Times New Roman" w:eastAsia="Times New Roman" w:hAnsi="Times New Roman"/>
                <w:sz w:val="12"/>
                <w:szCs w:val="12"/>
                <w:color w:val="B4B4B4"/>
              </w:rPr>
              <w:t>.............................................</w:t>
            </w: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Amortization of intangible assets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5,217</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6,364</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2,630</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2,593</w:t>
            </w:r>
          </w:p>
        </w:tc>
        <w:tc>
          <w:tcPr>
            <w:tcW w:w="0" w:type="dxa"/>
            <w:vAlign w:val="bottom"/>
          </w:tcPr>
          <w:p>
            <w:pPr>
              <w:spacing w:after="0"/>
              <w:rPr>
                <w:sz w:val="1"/>
                <w:szCs w:val="1"/>
                <w:color w:val="auto"/>
              </w:rPr>
            </w:pPr>
          </w:p>
        </w:tc>
      </w:tr>
      <w:tr>
        <w:trPr>
          <w:trHeight w:val="124"/>
        </w:trPr>
        <w:tc>
          <w:tcPr>
            <w:tcW w:w="2520" w:type="dxa"/>
            <w:vAlign w:val="bottom"/>
          </w:tcPr>
          <w:p>
            <w:pPr>
              <w:ind w:left="40"/>
              <w:spacing w:after="0" w:line="125" w:lineRule="exact"/>
              <w:rPr>
                <w:sz w:val="20"/>
                <w:szCs w:val="20"/>
                <w:color w:val="auto"/>
              </w:rPr>
            </w:pPr>
            <w:r>
              <w:rPr>
                <w:rFonts w:ascii="Arial" w:cs="Arial" w:eastAsia="Arial" w:hAnsi="Arial"/>
                <w:sz w:val="12"/>
                <w:szCs w:val="12"/>
                <w:color w:val="auto"/>
              </w:rPr>
              <w:t>Amortization of debt discount and debt</w:t>
            </w:r>
          </w:p>
        </w:tc>
        <w:tc>
          <w:tcPr>
            <w:tcW w:w="2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12,211</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1"/>
              <w:spacing w:after="0"/>
              <w:rPr>
                <w:sz w:val="20"/>
                <w:szCs w:val="20"/>
                <w:color w:val="auto"/>
              </w:rPr>
            </w:pPr>
            <w:r>
              <w:rPr>
                <w:rFonts w:ascii="Arial" w:cs="Arial" w:eastAsia="Arial" w:hAnsi="Arial"/>
                <w:sz w:val="12"/>
                <w:szCs w:val="12"/>
                <w:color w:val="auto"/>
              </w:rPr>
              <w:t>14,736</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ind w:right="1"/>
              <w:spacing w:after="0"/>
              <w:rPr>
                <w:sz w:val="20"/>
                <w:szCs w:val="20"/>
                <w:color w:val="auto"/>
              </w:rPr>
            </w:pPr>
            <w:r>
              <w:rPr>
                <w:rFonts w:ascii="Arial" w:cs="Arial" w:eastAsia="Arial" w:hAnsi="Arial"/>
                <w:sz w:val="12"/>
                <w:szCs w:val="12"/>
                <w:color w:val="auto"/>
              </w:rPr>
              <w:t>2,984</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7,510</w:t>
            </w:r>
          </w:p>
        </w:tc>
        <w:tc>
          <w:tcPr>
            <w:tcW w:w="0" w:type="dxa"/>
            <w:vAlign w:val="bottom"/>
          </w:tcPr>
          <w:p>
            <w:pPr>
              <w:spacing w:after="0"/>
              <w:rPr>
                <w:sz w:val="1"/>
                <w:szCs w:val="1"/>
                <w:color w:val="auto"/>
              </w:rPr>
            </w:pPr>
          </w:p>
        </w:tc>
      </w:tr>
      <w:tr>
        <w:trPr>
          <w:trHeight w:val="165"/>
        </w:trPr>
        <w:tc>
          <w:tcPr>
            <w:tcW w:w="2520" w:type="dxa"/>
            <w:vAlign w:val="bottom"/>
          </w:tcPr>
          <w:p>
            <w:pPr>
              <w:jc w:val="right"/>
              <w:ind w:right="18"/>
              <w:spacing w:after="0"/>
              <w:rPr>
                <w:sz w:val="20"/>
                <w:szCs w:val="20"/>
                <w:color w:val="auto"/>
              </w:rPr>
            </w:pPr>
            <w:r>
              <w:rPr>
                <w:rFonts w:ascii="Arial" w:cs="Arial" w:eastAsia="Arial" w:hAnsi="Arial"/>
                <w:sz w:val="12"/>
                <w:szCs w:val="12"/>
                <w:color w:val="auto"/>
              </w:rPr>
              <w:t xml:space="preserve">issuance costs </w:t>
            </w:r>
            <w:r>
              <w:rPr>
                <w:rFonts w:ascii="Times New Roman" w:cs="Times New Roman" w:eastAsia="Times New Roman" w:hAnsi="Times New Roman"/>
                <w:sz w:val="12"/>
                <w:szCs w:val="12"/>
                <w:color w:val="B4B4B4"/>
              </w:rPr>
              <w:t>...............................................</w:t>
            </w: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Deferred offering costs write-off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3,749</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Gain (loss) on fair value adjustments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(12,200)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Arial" w:cs="Arial" w:eastAsia="Arial" w:hAnsi="Arial"/>
                <w:sz w:val="12"/>
                <w:szCs w:val="12"/>
                <w:color w:val="auto"/>
              </w:rPr>
              <w:t>26,594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17,886</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(3,020)</w:t>
            </w:r>
          </w:p>
        </w:tc>
        <w:tc>
          <w:tcPr>
            <w:tcW w:w="0" w:type="dxa"/>
            <w:vAlign w:val="bottom"/>
          </w:tcPr>
          <w:p>
            <w:pPr>
              <w:spacing w:after="0"/>
              <w:rPr>
                <w:sz w:val="1"/>
                <w:szCs w:val="1"/>
                <w:color w:val="auto"/>
              </w:rPr>
            </w:pPr>
          </w:p>
        </w:tc>
      </w:tr>
      <w:tr>
        <w:trPr>
          <w:trHeight w:val="190"/>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Restructuring and facility exit costs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8,577</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Reversal of tax contingency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(29,652)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0"/>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SAFE debt issuance costs expensed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2,913</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Loss on extinguishment of debt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20,528</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0"/>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Non-GAAP provision for income taxes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2,084</w:t>
            </w: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980</w:t>
            </w: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1,567</w:t>
            </w: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756</w:t>
            </w:r>
          </w:p>
        </w:tc>
        <w:tc>
          <w:tcPr>
            <w:tcW w:w="0" w:type="dxa"/>
            <w:vAlign w:val="bottom"/>
          </w:tcPr>
          <w:p>
            <w:pPr>
              <w:spacing w:after="0"/>
              <w:rPr>
                <w:sz w:val="1"/>
                <w:szCs w:val="1"/>
                <w:color w:val="auto"/>
              </w:rPr>
            </w:pPr>
          </w:p>
        </w:tc>
      </w:tr>
      <w:tr>
        <w:trPr>
          <w:trHeight w:val="161"/>
        </w:trPr>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Non-GAAPnetloss</w:t>
            </w: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(96,387)</w:t>
            </w:r>
          </w:p>
        </w:tc>
        <w:tc>
          <w:tcPr>
            <w:tcW w:w="40" w:type="dxa"/>
            <w:vAlign w:val="bottom"/>
          </w:tcPr>
          <w:p>
            <w:pPr>
              <w:spacing w:after="0"/>
              <w:rPr>
                <w:sz w:val="13"/>
                <w:szCs w:val="13"/>
                <w:color w:val="auto"/>
              </w:rPr>
            </w:pPr>
          </w:p>
        </w:tc>
        <w:tc>
          <w:tcPr>
            <w:tcW w:w="1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(224,353)</w:t>
            </w:r>
          </w:p>
        </w:tc>
        <w:tc>
          <w:tcPr>
            <w:tcW w:w="20" w:type="dxa"/>
            <w:vAlign w:val="bottom"/>
          </w:tcPr>
          <w:p>
            <w:pPr>
              <w:spacing w:after="0"/>
              <w:rPr>
                <w:sz w:val="13"/>
                <w:szCs w:val="1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(14,775)</w:t>
            </w:r>
          </w:p>
        </w:tc>
        <w:tc>
          <w:tcPr>
            <w:tcW w:w="40" w:type="dxa"/>
            <w:vAlign w:val="bottom"/>
          </w:tcPr>
          <w:p>
            <w:pPr>
              <w:spacing w:after="0"/>
              <w:rPr>
                <w:sz w:val="13"/>
                <w:szCs w:val="13"/>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(49,413)</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Quarterly Results of Operations</w:t>
      </w:r>
    </w:p>
    <w:p>
      <w:pPr>
        <w:spacing w:after="0" w:line="130" w:lineRule="exact"/>
        <w:rPr>
          <w:sz w:val="20"/>
          <w:szCs w:val="20"/>
          <w:color w:val="auto"/>
        </w:rPr>
      </w:pPr>
    </w:p>
    <w:p>
      <w:pPr>
        <w:jc w:val="both"/>
        <w:ind w:left="1520" w:right="1800" w:firstLine="230"/>
        <w:spacing w:after="0" w:line="277" w:lineRule="auto"/>
        <w:rPr>
          <w:sz w:val="20"/>
          <w:szCs w:val="20"/>
          <w:color w:val="auto"/>
        </w:rPr>
      </w:pPr>
      <w:r>
        <w:rPr>
          <w:rFonts w:ascii="Arial" w:cs="Arial" w:eastAsia="Arial" w:hAnsi="Arial"/>
          <w:sz w:val="12"/>
          <w:szCs w:val="12"/>
          <w:color w:val="auto"/>
        </w:rPr>
        <w:t>The following table sets forth our unaudited quarterly consolidated statements of operations data for each of the quarters indicated. In our opinion, the unaudited quarterly statements of operations data set forth below have been prepared on a basis consistent with our audited financial statements and contain all adjustments, consisting only of normal and recurring adjustments, necessary for the fair statement of such data. Our historical results are not necessarily indicative of the results that may be expected in the</w:t>
      </w: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20"/>
        <w:spacing w:after="0" w:line="289" w:lineRule="auto"/>
        <w:rPr>
          <w:sz w:val="20"/>
          <w:szCs w:val="20"/>
          <w:color w:val="auto"/>
        </w:rPr>
      </w:pPr>
      <w:r>
        <w:rPr>
          <w:rFonts w:ascii="Arial" w:cs="Arial" w:eastAsia="Arial" w:hAnsi="Arial"/>
          <w:sz w:val="12"/>
          <w:szCs w:val="12"/>
          <w:color w:val="auto"/>
        </w:rPr>
        <w:t>future, and the results for any particular quarter are not necessarily indicative of results to be expected for a full year or any other period. The following unaudited quarterly financial data should be read together with our consolidated financial statements and the related notes included elsewhere in this prospectus.</w:t>
      </w:r>
    </w:p>
    <w:p>
      <w:pPr>
        <w:sectPr>
          <w:pgSz w:w="11900" w:h="16840" w:orient="portrait"/>
          <w:cols w:equalWidth="0" w:num="1">
            <w:col w:w="9020"/>
          </w:cols>
          <w:pgMar w:left="1440" w:top="588" w:right="1440" w:bottom="17" w:gutter="0" w:footer="0" w:header="0"/>
        </w:sectPr>
      </w:pP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Quarterly Consolidated Statements of Operations</w:t>
      </w:r>
    </w:p>
    <w:p>
      <w:pPr>
        <w:sectPr>
          <w:pgSz w:w="11900" w:h="16840" w:orient="portrait"/>
          <w:cols w:equalWidth="0" w:num="1">
            <w:col w:w="9020"/>
          </w:cols>
          <w:pgMar w:left="1440" w:top="588" w:right="1440" w:bottom="17" w:gutter="0" w:footer="0" w:header="0"/>
          <w:type w:val="continuous"/>
        </w:sectPr>
      </w:pPr>
    </w:p>
    <w:bookmarkStart w:id="80" w:name="page81"/>
    <w:bookmarkEnd w:id="80"/>
    <w:tbl>
      <w:tblPr>
        <w:tblLayout w:type="fixed"/>
        <w:tblInd w:w="1520" w:type="dxa"/>
        <w:tblCellMar>
          <w:top w:w="0" w:type="dxa"/>
          <w:left w:w="0" w:type="dxa"/>
          <w:bottom w:w="0" w:type="dxa"/>
          <w:right w:w="0" w:type="dxa"/>
        </w:tblCellMar>
      </w:tblPr>
      <w:tr>
        <w:trPr>
          <w:trHeight w:val="110"/>
        </w:trPr>
        <w:tc>
          <w:tcPr>
            <w:tcW w:w="9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8"/>
                <w:szCs w:val="8"/>
                <w:b w:val="1"/>
                <w:bCs w:val="1"/>
                <w:color w:val="auto"/>
              </w:rPr>
              <w:t>Three Months Ended</w:t>
            </w: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940" w:type="dxa"/>
            <w:vAlign w:val="bottom"/>
          </w:tcPr>
          <w:p>
            <w:pPr>
              <w:spacing w:after="0"/>
              <w:rPr>
                <w:sz w:val="7"/>
                <w:szCs w:val="7"/>
                <w:color w:val="auto"/>
              </w:rPr>
            </w:pPr>
          </w:p>
        </w:tc>
        <w:tc>
          <w:tcPr>
            <w:tcW w:w="460" w:type="dxa"/>
            <w:vAlign w:val="bottom"/>
            <w:gridSpan w:val="2"/>
            <w:vMerge w:val="restart"/>
          </w:tcPr>
          <w:p>
            <w:pPr>
              <w:jc w:val="right"/>
              <w:ind w:right="33"/>
              <w:spacing w:after="0"/>
              <w:rPr>
                <w:sz w:val="20"/>
                <w:szCs w:val="20"/>
                <w:color w:val="auto"/>
              </w:rPr>
            </w:pPr>
            <w:r>
              <w:rPr>
                <w:rFonts w:ascii="Arial" w:cs="Arial" w:eastAsia="Arial" w:hAnsi="Arial"/>
                <w:sz w:val="8"/>
                <w:szCs w:val="8"/>
                <w:b w:val="1"/>
                <w:bCs w:val="1"/>
                <w:color w:val="auto"/>
              </w:rPr>
              <w:t>April 30,</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restart"/>
          </w:tcPr>
          <w:p>
            <w:pPr>
              <w:jc w:val="right"/>
              <w:ind w:right="53"/>
              <w:spacing w:after="0"/>
              <w:rPr>
                <w:sz w:val="20"/>
                <w:szCs w:val="20"/>
                <w:color w:val="auto"/>
              </w:rPr>
            </w:pPr>
            <w:r>
              <w:rPr>
                <w:rFonts w:ascii="Arial" w:cs="Arial" w:eastAsia="Arial" w:hAnsi="Arial"/>
                <w:sz w:val="8"/>
                <w:szCs w:val="8"/>
                <w:b w:val="1"/>
                <w:bCs w:val="1"/>
                <w:color w:val="auto"/>
                <w:w w:val="88"/>
              </w:rPr>
              <w:t>July 31,</w:t>
            </w:r>
          </w:p>
        </w:tc>
        <w:tc>
          <w:tcPr>
            <w:tcW w:w="40" w:type="dxa"/>
            <w:vAlign w:val="bottom"/>
          </w:tcPr>
          <w:p>
            <w:pPr>
              <w:spacing w:after="0"/>
              <w:rPr>
                <w:sz w:val="7"/>
                <w:szCs w:val="7"/>
                <w:color w:val="auto"/>
              </w:rPr>
            </w:pPr>
          </w:p>
        </w:tc>
        <w:tc>
          <w:tcPr>
            <w:tcW w:w="460" w:type="dxa"/>
            <w:vAlign w:val="bottom"/>
          </w:tcPr>
          <w:p>
            <w:pPr>
              <w:jc w:val="right"/>
              <w:ind w:right="33"/>
              <w:spacing w:after="0" w:line="91" w:lineRule="exact"/>
              <w:rPr>
                <w:sz w:val="20"/>
                <w:szCs w:val="20"/>
                <w:color w:val="auto"/>
              </w:rPr>
            </w:pPr>
            <w:r>
              <w:rPr>
                <w:rFonts w:ascii="Arial" w:cs="Arial" w:eastAsia="Arial" w:hAnsi="Arial"/>
                <w:sz w:val="8"/>
                <w:szCs w:val="8"/>
                <w:b w:val="1"/>
                <w:bCs w:val="1"/>
                <w:color w:val="auto"/>
              </w:rPr>
              <w:t>October</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jc w:val="center"/>
              <w:ind w:right="54"/>
              <w:spacing w:after="0" w:line="91" w:lineRule="exact"/>
              <w:rPr>
                <w:sz w:val="20"/>
                <w:szCs w:val="20"/>
                <w:color w:val="auto"/>
              </w:rPr>
            </w:pPr>
            <w:r>
              <w:rPr>
                <w:rFonts w:ascii="Arial" w:cs="Arial" w:eastAsia="Arial" w:hAnsi="Arial"/>
                <w:sz w:val="8"/>
                <w:szCs w:val="8"/>
                <w:b w:val="1"/>
                <w:bCs w:val="1"/>
                <w:color w:val="auto"/>
                <w:w w:val="97"/>
              </w:rPr>
              <w:t>January</w:t>
            </w:r>
          </w:p>
        </w:tc>
        <w:tc>
          <w:tcPr>
            <w:tcW w:w="20" w:type="dxa"/>
            <w:vAlign w:val="bottom"/>
          </w:tcPr>
          <w:p>
            <w:pPr>
              <w:spacing w:after="0"/>
              <w:rPr>
                <w:sz w:val="7"/>
                <w:szCs w:val="7"/>
                <w:color w:val="auto"/>
              </w:rPr>
            </w:pPr>
          </w:p>
        </w:tc>
        <w:tc>
          <w:tcPr>
            <w:tcW w:w="480" w:type="dxa"/>
            <w:vAlign w:val="bottom"/>
            <w:vMerge w:val="restart"/>
          </w:tcPr>
          <w:p>
            <w:pPr>
              <w:jc w:val="right"/>
              <w:ind w:right="55"/>
              <w:spacing w:after="0"/>
              <w:rPr>
                <w:sz w:val="20"/>
                <w:szCs w:val="20"/>
                <w:color w:val="auto"/>
              </w:rPr>
            </w:pPr>
            <w:r>
              <w:rPr>
                <w:rFonts w:ascii="Arial" w:cs="Arial" w:eastAsia="Arial" w:hAnsi="Arial"/>
                <w:sz w:val="8"/>
                <w:szCs w:val="8"/>
                <w:b w:val="1"/>
                <w:bCs w:val="1"/>
                <w:color w:val="auto"/>
              </w:rPr>
              <w:t>April 30,</w:t>
            </w:r>
          </w:p>
        </w:tc>
        <w:tc>
          <w:tcPr>
            <w:tcW w:w="40" w:type="dxa"/>
            <w:vAlign w:val="bottom"/>
          </w:tcPr>
          <w:p>
            <w:pPr>
              <w:spacing w:after="0"/>
              <w:rPr>
                <w:sz w:val="7"/>
                <w:szCs w:val="7"/>
                <w:color w:val="auto"/>
              </w:rPr>
            </w:pPr>
          </w:p>
        </w:tc>
        <w:tc>
          <w:tcPr>
            <w:tcW w:w="460" w:type="dxa"/>
            <w:vAlign w:val="bottom"/>
            <w:vMerge w:val="restart"/>
          </w:tcPr>
          <w:p>
            <w:pPr>
              <w:jc w:val="right"/>
              <w:ind w:right="53"/>
              <w:spacing w:after="0"/>
              <w:rPr>
                <w:sz w:val="20"/>
                <w:szCs w:val="20"/>
                <w:color w:val="auto"/>
              </w:rPr>
            </w:pPr>
            <w:r>
              <w:rPr>
                <w:rFonts w:ascii="Arial" w:cs="Arial" w:eastAsia="Arial" w:hAnsi="Arial"/>
                <w:sz w:val="8"/>
                <w:szCs w:val="8"/>
                <w:b w:val="1"/>
                <w:bCs w:val="1"/>
                <w:color w:val="auto"/>
              </w:rPr>
              <w:t>July 31,</w:t>
            </w:r>
          </w:p>
        </w:tc>
        <w:tc>
          <w:tcPr>
            <w:tcW w:w="40" w:type="dxa"/>
            <w:vAlign w:val="bottom"/>
          </w:tcPr>
          <w:p>
            <w:pPr>
              <w:spacing w:after="0"/>
              <w:rPr>
                <w:sz w:val="7"/>
                <w:szCs w:val="7"/>
                <w:color w:val="auto"/>
              </w:rPr>
            </w:pPr>
          </w:p>
        </w:tc>
        <w:tc>
          <w:tcPr>
            <w:tcW w:w="480" w:type="dxa"/>
            <w:vAlign w:val="bottom"/>
          </w:tcPr>
          <w:p>
            <w:pPr>
              <w:jc w:val="right"/>
              <w:ind w:right="53"/>
              <w:spacing w:after="0" w:line="91" w:lineRule="exact"/>
              <w:rPr>
                <w:sz w:val="20"/>
                <w:szCs w:val="20"/>
                <w:color w:val="auto"/>
              </w:rPr>
            </w:pPr>
            <w:r>
              <w:rPr>
                <w:rFonts w:ascii="Arial" w:cs="Arial" w:eastAsia="Arial" w:hAnsi="Arial"/>
                <w:sz w:val="8"/>
                <w:szCs w:val="8"/>
                <w:b w:val="1"/>
                <w:bCs w:val="1"/>
                <w:color w:val="auto"/>
              </w:rPr>
              <w:t>October</w:t>
            </w:r>
          </w:p>
        </w:tc>
        <w:tc>
          <w:tcPr>
            <w:tcW w:w="20" w:type="dxa"/>
            <w:vAlign w:val="bottom"/>
          </w:tcPr>
          <w:p>
            <w:pPr>
              <w:spacing w:after="0"/>
              <w:rPr>
                <w:sz w:val="7"/>
                <w:szCs w:val="7"/>
                <w:color w:val="auto"/>
              </w:rPr>
            </w:pPr>
          </w:p>
        </w:tc>
        <w:tc>
          <w:tcPr>
            <w:tcW w:w="48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1"/>
              </w:rPr>
              <w:t>January</w:t>
            </w:r>
          </w:p>
        </w:tc>
        <w:tc>
          <w:tcPr>
            <w:tcW w:w="40" w:type="dxa"/>
            <w:vAlign w:val="bottom"/>
          </w:tcPr>
          <w:p>
            <w:pPr>
              <w:spacing w:after="0"/>
              <w:rPr>
                <w:sz w:val="7"/>
                <w:szCs w:val="7"/>
                <w:color w:val="auto"/>
              </w:rPr>
            </w:pPr>
          </w:p>
        </w:tc>
        <w:tc>
          <w:tcPr>
            <w:tcW w:w="460" w:type="dxa"/>
            <w:vAlign w:val="bottom"/>
            <w:vMerge w:val="restart"/>
          </w:tcPr>
          <w:p>
            <w:pPr>
              <w:jc w:val="right"/>
              <w:ind w:right="34"/>
              <w:spacing w:after="0"/>
              <w:rPr>
                <w:sz w:val="20"/>
                <w:szCs w:val="20"/>
                <w:color w:val="auto"/>
              </w:rPr>
            </w:pPr>
            <w:r>
              <w:rPr>
                <w:rFonts w:ascii="Arial" w:cs="Arial" w:eastAsia="Arial" w:hAnsi="Arial"/>
                <w:sz w:val="8"/>
                <w:szCs w:val="8"/>
                <w:b w:val="1"/>
                <w:bCs w:val="1"/>
                <w:color w:val="auto"/>
              </w:rPr>
              <w:t>April 30,</w:t>
            </w:r>
          </w:p>
        </w:tc>
        <w:tc>
          <w:tcPr>
            <w:tcW w:w="40" w:type="dxa"/>
            <w:vAlign w:val="bottom"/>
          </w:tcPr>
          <w:p>
            <w:pPr>
              <w:spacing w:after="0"/>
              <w:rPr>
                <w:sz w:val="7"/>
                <w:szCs w:val="7"/>
                <w:color w:val="auto"/>
              </w:rPr>
            </w:pPr>
          </w:p>
        </w:tc>
        <w:tc>
          <w:tcPr>
            <w:tcW w:w="480" w:type="dxa"/>
            <w:vAlign w:val="bottom"/>
            <w:vMerge w:val="restart"/>
          </w:tcPr>
          <w:p>
            <w:pPr>
              <w:jc w:val="right"/>
              <w:ind w:right="53"/>
              <w:spacing w:after="0"/>
              <w:rPr>
                <w:sz w:val="20"/>
                <w:szCs w:val="20"/>
                <w:color w:val="auto"/>
              </w:rPr>
            </w:pPr>
            <w:r>
              <w:rPr>
                <w:rFonts w:ascii="Arial" w:cs="Arial" w:eastAsia="Arial" w:hAnsi="Arial"/>
                <w:sz w:val="8"/>
                <w:szCs w:val="8"/>
                <w:b w:val="1"/>
                <w:bCs w:val="1"/>
                <w:color w:val="auto"/>
              </w:rPr>
              <w:t>July 31,</w:t>
            </w: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500" w:type="dxa"/>
            <w:vAlign w:val="bottom"/>
            <w:gridSpan w:val="2"/>
          </w:tcPr>
          <w:p>
            <w:pPr>
              <w:jc w:val="right"/>
              <w:ind w:right="133"/>
              <w:spacing w:after="0"/>
              <w:rPr>
                <w:sz w:val="20"/>
                <w:szCs w:val="20"/>
                <w:color w:val="auto"/>
              </w:rPr>
            </w:pPr>
            <w:r>
              <w:rPr>
                <w:rFonts w:ascii="Arial" w:cs="Arial" w:eastAsia="Arial" w:hAnsi="Arial"/>
                <w:sz w:val="8"/>
                <w:szCs w:val="8"/>
                <w:b w:val="1"/>
                <w:bCs w:val="1"/>
                <w:color w:val="auto"/>
              </w:rPr>
              <w:t>31,</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center"/>
              <w:ind w:right="54"/>
              <w:spacing w:after="0"/>
              <w:rPr>
                <w:sz w:val="20"/>
                <w:szCs w:val="20"/>
                <w:color w:val="auto"/>
              </w:rPr>
            </w:pPr>
            <w:r>
              <w:rPr>
                <w:rFonts w:ascii="Arial" w:cs="Arial" w:eastAsia="Arial" w:hAnsi="Arial"/>
                <w:sz w:val="8"/>
                <w:szCs w:val="8"/>
                <w:b w:val="1"/>
                <w:bCs w:val="1"/>
                <w:color w:val="auto"/>
                <w:w w:val="89"/>
              </w:rPr>
              <w:t>31,</w:t>
            </w:r>
          </w:p>
        </w:tc>
        <w:tc>
          <w:tcPr>
            <w:tcW w:w="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520" w:type="dxa"/>
            <w:vAlign w:val="bottom"/>
            <w:gridSpan w:val="2"/>
          </w:tcPr>
          <w:p>
            <w:pPr>
              <w:jc w:val="right"/>
              <w:ind w:right="153"/>
              <w:spacing w:after="0"/>
              <w:rPr>
                <w:sz w:val="20"/>
                <w:szCs w:val="20"/>
                <w:color w:val="auto"/>
              </w:rPr>
            </w:pPr>
            <w:r>
              <w:rPr>
                <w:rFonts w:ascii="Arial" w:cs="Arial" w:eastAsia="Arial" w:hAnsi="Arial"/>
                <w:sz w:val="8"/>
                <w:szCs w:val="8"/>
                <w:b w:val="1"/>
                <w:bCs w:val="1"/>
                <w:color w:val="auto"/>
              </w:rPr>
              <w:t>31,</w:t>
            </w:r>
          </w:p>
        </w:tc>
        <w:tc>
          <w:tcPr>
            <w:tcW w:w="500" w:type="dxa"/>
            <w:vAlign w:val="bottom"/>
            <w:gridSpan w:val="2"/>
          </w:tcPr>
          <w:p>
            <w:pPr>
              <w:jc w:val="center"/>
              <w:spacing w:after="0"/>
              <w:rPr>
                <w:sz w:val="20"/>
                <w:szCs w:val="20"/>
                <w:color w:val="auto"/>
              </w:rPr>
            </w:pPr>
            <w:r>
              <w:rPr>
                <w:rFonts w:ascii="Arial" w:cs="Arial" w:eastAsia="Arial" w:hAnsi="Arial"/>
                <w:sz w:val="8"/>
                <w:szCs w:val="8"/>
                <w:b w:val="1"/>
                <w:bCs w:val="1"/>
                <w:color w:val="auto"/>
                <w:w w:val="89"/>
              </w:rPr>
              <w:t>31,</w:t>
            </w:r>
          </w:p>
        </w:tc>
        <w:tc>
          <w:tcPr>
            <w:tcW w:w="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93"/>
              <w:spacing w:after="0"/>
              <w:rPr>
                <w:sz w:val="20"/>
                <w:szCs w:val="20"/>
                <w:color w:val="auto"/>
              </w:rPr>
            </w:pPr>
            <w:r>
              <w:rPr>
                <w:rFonts w:ascii="Arial" w:cs="Arial" w:eastAsia="Arial" w:hAnsi="Arial"/>
                <w:sz w:val="8"/>
                <w:szCs w:val="8"/>
                <w:b w:val="1"/>
                <w:bCs w:val="1"/>
                <w:color w:val="auto"/>
              </w:rPr>
              <w:t>2023</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13"/>
              <w:spacing w:after="0"/>
              <w:rPr>
                <w:sz w:val="20"/>
                <w:szCs w:val="20"/>
                <w:color w:val="auto"/>
              </w:rPr>
            </w:pPr>
            <w:r>
              <w:rPr>
                <w:rFonts w:ascii="Arial" w:cs="Arial" w:eastAsia="Arial" w:hAnsi="Arial"/>
                <w:sz w:val="8"/>
                <w:szCs w:val="8"/>
                <w:b w:val="1"/>
                <w:bCs w:val="1"/>
                <w:color w:val="auto"/>
              </w:rPr>
              <w:t>2023</w:t>
            </w:r>
          </w:p>
        </w:tc>
        <w:tc>
          <w:tcPr>
            <w:tcW w:w="50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8"/>
                <w:szCs w:val="8"/>
                <w:b w:val="1"/>
                <w:bCs w:val="1"/>
                <w:color w:val="auto"/>
              </w:rPr>
              <w:t>2023</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54"/>
              <w:spacing w:after="0"/>
              <w:rPr>
                <w:sz w:val="20"/>
                <w:szCs w:val="20"/>
                <w:color w:val="auto"/>
              </w:rPr>
            </w:pPr>
            <w:r>
              <w:rPr>
                <w:rFonts w:ascii="Arial" w:cs="Arial" w:eastAsia="Arial" w:hAnsi="Arial"/>
                <w:sz w:val="8"/>
                <w:szCs w:val="8"/>
                <w:b w:val="1"/>
                <w:bCs w:val="1"/>
                <w:color w:val="auto"/>
              </w:rPr>
              <w:t>2024</w:t>
            </w:r>
          </w:p>
        </w:tc>
        <w:tc>
          <w:tcPr>
            <w:tcW w:w="50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8"/>
                <w:szCs w:val="8"/>
                <w:b w:val="1"/>
                <w:bCs w:val="1"/>
                <w:color w:val="auto"/>
              </w:rPr>
              <w:t>2024</w:t>
            </w:r>
          </w:p>
        </w:tc>
        <w:tc>
          <w:tcPr>
            <w:tcW w:w="50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8"/>
                <w:szCs w:val="8"/>
                <w:b w:val="1"/>
                <w:bCs w:val="1"/>
                <w:color w:val="auto"/>
              </w:rPr>
              <w:t>2024</w:t>
            </w:r>
          </w:p>
        </w:tc>
        <w:tc>
          <w:tcPr>
            <w:tcW w:w="52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8"/>
                <w:szCs w:val="8"/>
                <w:b w:val="1"/>
                <w:bCs w:val="1"/>
                <w:color w:val="auto"/>
              </w:rPr>
              <w:t>2024</w:t>
            </w: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w w:val="89"/>
              </w:rPr>
              <w:t>2025</w:t>
            </w:r>
          </w:p>
        </w:tc>
        <w:tc>
          <w:tcPr>
            <w:tcW w:w="50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8"/>
                <w:szCs w:val="8"/>
                <w:b w:val="1"/>
                <w:bCs w:val="1"/>
                <w:color w:val="auto"/>
              </w:rPr>
              <w:t>2025</w:t>
            </w:r>
          </w:p>
        </w:tc>
        <w:tc>
          <w:tcPr>
            <w:tcW w:w="52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8"/>
                <w:szCs w:val="8"/>
                <w:b w:val="1"/>
                <w:bCs w:val="1"/>
                <w:color w:val="auto"/>
              </w:rPr>
              <w:t>2025</w:t>
            </w:r>
          </w:p>
        </w:tc>
        <w:tc>
          <w:tcPr>
            <w:tcW w:w="0" w:type="dxa"/>
            <w:vAlign w:val="bottom"/>
          </w:tcPr>
          <w:p>
            <w:pPr>
              <w:spacing w:after="0"/>
              <w:rPr>
                <w:sz w:val="1"/>
                <w:szCs w:val="1"/>
                <w:color w:val="auto"/>
              </w:rPr>
            </w:pPr>
          </w:p>
        </w:tc>
      </w:tr>
      <w:tr>
        <w:trPr>
          <w:trHeight w:val="124"/>
        </w:trPr>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tcPr>
          <w:p>
            <w:pPr>
              <w:jc w:val="right"/>
              <w:ind w:right="173"/>
              <w:spacing w:after="0"/>
              <w:rPr>
                <w:sz w:val="20"/>
                <w:szCs w:val="20"/>
                <w:color w:val="auto"/>
              </w:rPr>
            </w:pPr>
            <w:r>
              <w:rPr>
                <w:rFonts w:ascii="Arial" w:cs="Arial" w:eastAsia="Arial" w:hAnsi="Arial"/>
                <w:sz w:val="8"/>
                <w:szCs w:val="8"/>
                <w:b w:val="1"/>
                <w:bCs w:val="1"/>
                <w:color w:val="auto"/>
              </w:rPr>
              <w:t>(in thousands)</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940" w:type="dxa"/>
            <w:vAlign w:val="bottom"/>
            <w:shd w:val="clear" w:color="auto" w:fill="CCEEFF"/>
          </w:tcPr>
          <w:p>
            <w:pPr>
              <w:ind w:left="40"/>
              <w:spacing w:after="0"/>
              <w:rPr>
                <w:sz w:val="20"/>
                <w:szCs w:val="20"/>
                <w:color w:val="auto"/>
              </w:rPr>
            </w:pPr>
            <w:r>
              <w:rPr>
                <w:rFonts w:ascii="Arial" w:cs="Arial" w:eastAsia="Arial" w:hAnsi="Arial"/>
                <w:sz w:val="10"/>
                <w:szCs w:val="10"/>
                <w:color w:val="auto"/>
                <w:w w:val="94"/>
                <w:shd w:val="clear" w:color="auto" w:fill="CCEEFF"/>
              </w:rPr>
              <w:t xml:space="preserve">Revenue </w:t>
            </w:r>
            <w:r>
              <w:rPr>
                <w:rFonts w:ascii="Times New Roman" w:cs="Times New Roman" w:eastAsia="Times New Roman" w:hAnsi="Times New Roman"/>
                <w:sz w:val="10"/>
                <w:szCs w:val="10"/>
                <w:color w:val="B4B4B4"/>
                <w:w w:val="94"/>
                <w:shd w:val="clear" w:color="auto" w:fill="CCEEFF"/>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94,184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99,373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$110,300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shd w:val="clear" w:color="auto" w:fill="CCEEFF"/>
              </w:rPr>
              <w:t>98,399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$120,942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$132,785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$151,118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$131,992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$157,461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$171,952</w:t>
            </w:r>
          </w:p>
        </w:tc>
        <w:tc>
          <w:tcPr>
            <w:tcW w:w="0" w:type="dxa"/>
            <w:vAlign w:val="bottom"/>
          </w:tcPr>
          <w:p>
            <w:pPr>
              <w:spacing w:after="0"/>
              <w:rPr>
                <w:sz w:val="1"/>
                <w:szCs w:val="1"/>
                <w:color w:val="auto"/>
              </w:rPr>
            </w:pPr>
          </w:p>
        </w:tc>
      </w:tr>
      <w:tr>
        <w:trPr>
          <w:trHeight w:val="144"/>
        </w:trPr>
        <w:tc>
          <w:tcPr>
            <w:tcW w:w="940" w:type="dxa"/>
            <w:vAlign w:val="bottom"/>
            <w:tcBorders>
              <w:bottom w:val="single" w:sz="8" w:color="CCEEFF"/>
            </w:tcBorders>
          </w:tcPr>
          <w:p>
            <w:pPr>
              <w:ind w:left="40"/>
              <w:spacing w:after="0"/>
              <w:rPr>
                <w:sz w:val="20"/>
                <w:szCs w:val="20"/>
                <w:color w:val="auto"/>
              </w:rPr>
            </w:pPr>
            <w:r>
              <w:rPr>
                <w:rFonts w:ascii="Arial" w:cs="Arial" w:eastAsia="Arial" w:hAnsi="Arial"/>
                <w:sz w:val="10"/>
                <w:szCs w:val="10"/>
                <w:color w:val="auto"/>
                <w:w w:val="97"/>
              </w:rPr>
              <w:t>Cost of revenue</w:t>
            </w:r>
            <w:r>
              <w:rPr>
                <w:rFonts w:ascii="Times New Roman" w:cs="Times New Roman" w:eastAsia="Times New Roman" w:hAnsi="Times New Roman"/>
                <w:sz w:val="10"/>
                <w:szCs w:val="10"/>
                <w:color w:val="B4B4B4"/>
                <w:w w:val="97"/>
              </w:rPr>
              <w:t>........</w:t>
            </w: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41,541</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39,655</w:t>
            </w:r>
          </w:p>
        </w:tc>
        <w:tc>
          <w:tcPr>
            <w:tcW w:w="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40,702</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0"/>
                <w:szCs w:val="10"/>
                <w:color w:val="auto"/>
              </w:rPr>
              <w:t>40,724</w:t>
            </w: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41,162</w:t>
            </w:r>
          </w:p>
        </w:tc>
        <w:tc>
          <w:tcPr>
            <w:tcW w:w="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41,383</w:t>
            </w:r>
          </w:p>
        </w:tc>
        <w:tc>
          <w:tcPr>
            <w:tcW w:w="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rPr>
              <w:t>44,522</w:t>
            </w: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42,748</w:t>
            </w:r>
          </w:p>
        </w:tc>
        <w:tc>
          <w:tcPr>
            <w:tcW w:w="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45,668</w:t>
            </w:r>
          </w:p>
        </w:tc>
        <w:tc>
          <w:tcPr>
            <w:tcW w:w="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rPr>
              <w:t>46,915</w:t>
            </w:r>
          </w:p>
        </w:tc>
        <w:tc>
          <w:tcPr>
            <w:tcW w:w="0" w:type="dxa"/>
            <w:vAlign w:val="bottom"/>
          </w:tcPr>
          <w:p>
            <w:pPr>
              <w:spacing w:after="0"/>
              <w:rPr>
                <w:sz w:val="1"/>
                <w:szCs w:val="1"/>
                <w:color w:val="auto"/>
              </w:rPr>
            </w:pPr>
          </w:p>
        </w:tc>
      </w:tr>
      <w:tr>
        <w:trPr>
          <w:trHeight w:val="142"/>
        </w:trPr>
        <w:tc>
          <w:tcPr>
            <w:tcW w:w="940" w:type="dxa"/>
            <w:vAlign w:val="bottom"/>
            <w:shd w:val="clear" w:color="auto" w:fill="CCEEFF"/>
          </w:tcPr>
          <w:p>
            <w:pPr>
              <w:ind w:left="180"/>
              <w:spacing w:after="0"/>
              <w:rPr>
                <w:sz w:val="20"/>
                <w:szCs w:val="20"/>
                <w:color w:val="auto"/>
              </w:rPr>
            </w:pPr>
            <w:r>
              <w:rPr>
                <w:rFonts w:ascii="Arial" w:cs="Arial" w:eastAsia="Arial" w:hAnsi="Arial"/>
                <w:sz w:val="10"/>
                <w:szCs w:val="10"/>
                <w:color w:val="auto"/>
                <w:w w:val="99"/>
              </w:rPr>
              <w:t>Gross profit</w:t>
            </w:r>
            <w:r>
              <w:rPr>
                <w:rFonts w:ascii="Times New Roman" w:cs="Times New Roman" w:eastAsia="Times New Roman" w:hAnsi="Times New Roman"/>
                <w:sz w:val="10"/>
                <w:szCs w:val="10"/>
                <w:color w:val="B4B4B4"/>
                <w:w w:val="99"/>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52,643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59,718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69,598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rPr>
              <w:t>57,675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79,780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91,402</w:t>
            </w:r>
          </w:p>
        </w:tc>
        <w:tc>
          <w:tcPr>
            <w:tcW w:w="520" w:type="dxa"/>
            <w:vAlign w:val="bottom"/>
            <w:gridSpan w:val="2"/>
            <w:shd w:val="clear" w:color="auto" w:fill="CCEEFF"/>
          </w:tcPr>
          <w:p>
            <w:pPr>
              <w:jc w:val="right"/>
              <w:ind w:right="13"/>
              <w:spacing w:after="0"/>
              <w:rPr>
                <w:sz w:val="20"/>
                <w:szCs w:val="20"/>
                <w:color w:val="auto"/>
              </w:rPr>
            </w:pPr>
            <w:r>
              <w:rPr>
                <w:rFonts w:ascii="Arial" w:cs="Arial" w:eastAsia="Arial" w:hAnsi="Arial"/>
                <w:sz w:val="10"/>
                <w:szCs w:val="10"/>
                <w:color w:val="auto"/>
              </w:rPr>
              <w:t>106,596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89,244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111,793</w:t>
            </w:r>
          </w:p>
        </w:tc>
        <w:tc>
          <w:tcPr>
            <w:tcW w:w="520" w:type="dxa"/>
            <w:vAlign w:val="bottom"/>
            <w:gridSpan w:val="2"/>
            <w:shd w:val="clear" w:color="auto" w:fill="CCEEFF"/>
          </w:tcPr>
          <w:p>
            <w:pPr>
              <w:jc w:val="right"/>
              <w:ind w:right="13"/>
              <w:spacing w:after="0"/>
              <w:rPr>
                <w:sz w:val="20"/>
                <w:szCs w:val="20"/>
                <w:color w:val="auto"/>
              </w:rPr>
            </w:pPr>
            <w:r>
              <w:rPr>
                <w:rFonts w:ascii="Arial" w:cs="Arial" w:eastAsia="Arial" w:hAnsi="Arial"/>
                <w:sz w:val="10"/>
                <w:szCs w:val="10"/>
                <w:color w:val="auto"/>
              </w:rPr>
              <w:t>125,037</w:t>
            </w:r>
          </w:p>
        </w:tc>
        <w:tc>
          <w:tcPr>
            <w:tcW w:w="0" w:type="dxa"/>
            <w:vAlign w:val="bottom"/>
          </w:tcPr>
          <w:p>
            <w:pPr>
              <w:spacing w:after="0"/>
              <w:rPr>
                <w:sz w:val="1"/>
                <w:szCs w:val="1"/>
                <w:color w:val="auto"/>
              </w:rPr>
            </w:pPr>
          </w:p>
        </w:tc>
      </w:tr>
      <w:tr>
        <w:trPr>
          <w:trHeight w:val="144"/>
        </w:trPr>
        <w:tc>
          <w:tcPr>
            <w:tcW w:w="940" w:type="dxa"/>
            <w:vAlign w:val="bottom"/>
          </w:tcPr>
          <w:p>
            <w:pPr>
              <w:ind w:left="40"/>
              <w:spacing w:after="0"/>
              <w:rPr>
                <w:sz w:val="20"/>
                <w:szCs w:val="20"/>
                <w:color w:val="auto"/>
              </w:rPr>
            </w:pPr>
            <w:r>
              <w:rPr>
                <w:rFonts w:ascii="Arial" w:cs="Arial" w:eastAsia="Arial" w:hAnsi="Arial"/>
                <w:sz w:val="10"/>
                <w:szCs w:val="10"/>
                <w:color w:val="auto"/>
                <w:w w:val="98"/>
              </w:rPr>
              <w:t>Operating expenses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9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Research and</w:t>
            </w: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33,388</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34,350</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32,709</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ind w:right="14"/>
              <w:spacing w:after="0"/>
              <w:rPr>
                <w:sz w:val="20"/>
                <w:szCs w:val="20"/>
                <w:color w:val="auto"/>
              </w:rPr>
            </w:pPr>
            <w:r>
              <w:rPr>
                <w:rFonts w:ascii="Arial" w:cs="Arial" w:eastAsia="Arial" w:hAnsi="Arial"/>
                <w:sz w:val="10"/>
                <w:szCs w:val="10"/>
                <w:color w:val="auto"/>
              </w:rPr>
              <w:t>31,995</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28,796</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28,988</w:t>
            </w:r>
          </w:p>
        </w:tc>
        <w:tc>
          <w:tcPr>
            <w:tcW w:w="52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0"/>
                <w:szCs w:val="10"/>
                <w:color w:val="auto"/>
              </w:rPr>
              <w:t>33,000</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31,602</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31,402</w:t>
            </w:r>
          </w:p>
        </w:tc>
        <w:tc>
          <w:tcPr>
            <w:tcW w:w="52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0"/>
                <w:szCs w:val="10"/>
                <w:color w:val="auto"/>
              </w:rPr>
              <w:t>33,358</w:t>
            </w:r>
          </w:p>
        </w:tc>
        <w:tc>
          <w:tcPr>
            <w:tcW w:w="0" w:type="dxa"/>
            <w:vAlign w:val="bottom"/>
          </w:tcPr>
          <w:p>
            <w:pPr>
              <w:spacing w:after="0"/>
              <w:rPr>
                <w:sz w:val="1"/>
                <w:szCs w:val="1"/>
                <w:color w:val="auto"/>
              </w:rPr>
            </w:pPr>
          </w:p>
        </w:tc>
      </w:tr>
      <w:tr>
        <w:trPr>
          <w:trHeight w:val="143"/>
        </w:trPr>
        <w:tc>
          <w:tcPr>
            <w:tcW w:w="940" w:type="dxa"/>
            <w:vAlign w:val="bottom"/>
            <w:shd w:val="clear" w:color="auto" w:fill="CCEEFF"/>
          </w:tcPr>
          <w:p>
            <w:pPr>
              <w:ind w:left="300"/>
              <w:spacing w:after="0"/>
              <w:rPr>
                <w:sz w:val="20"/>
                <w:szCs w:val="20"/>
                <w:color w:val="auto"/>
              </w:rPr>
            </w:pPr>
            <w:r>
              <w:rPr>
                <w:rFonts w:ascii="Arial" w:cs="Arial" w:eastAsia="Arial" w:hAnsi="Arial"/>
                <w:sz w:val="10"/>
                <w:szCs w:val="10"/>
                <w:color w:val="auto"/>
                <w:w w:val="99"/>
              </w:rPr>
              <w:t>development</w:t>
            </w:r>
            <w:r>
              <w:rPr>
                <w:rFonts w:ascii="Times New Roman" w:cs="Times New Roman" w:eastAsia="Times New Roman" w:hAnsi="Times New Roman"/>
                <w:sz w:val="10"/>
                <w:szCs w:val="10"/>
                <w:color w:val="B4B4B4"/>
                <w:w w:val="99"/>
              </w:rPr>
              <w:t>..</w:t>
            </w: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940" w:type="dxa"/>
            <w:vAlign w:val="bottom"/>
          </w:tcPr>
          <w:p>
            <w:pPr>
              <w:ind w:left="180"/>
              <w:spacing w:after="0"/>
              <w:rPr>
                <w:sz w:val="20"/>
                <w:szCs w:val="20"/>
                <w:color w:val="auto"/>
              </w:rPr>
            </w:pPr>
            <w:r>
              <w:rPr>
                <w:rFonts w:ascii="Arial" w:cs="Arial" w:eastAsia="Arial" w:hAnsi="Arial"/>
                <w:sz w:val="10"/>
                <w:szCs w:val="10"/>
                <w:color w:val="auto"/>
              </w:rPr>
              <w:t>Sales and</w:t>
            </w:r>
          </w:p>
        </w:tc>
        <w:tc>
          <w:tcPr>
            <w:tcW w:w="8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color w:val="auto"/>
              </w:rPr>
              <w:t>52,967</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color w:val="auto"/>
              </w:rPr>
              <w:t>52,514</w:t>
            </w: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color w:val="auto"/>
              </w:rPr>
              <w:t>57,061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restart"/>
          </w:tcPr>
          <w:p>
            <w:pPr>
              <w:jc w:val="right"/>
              <w:ind w:right="14"/>
              <w:spacing w:after="0"/>
              <w:rPr>
                <w:sz w:val="20"/>
                <w:szCs w:val="20"/>
                <w:color w:val="auto"/>
              </w:rPr>
            </w:pPr>
            <w:r>
              <w:rPr>
                <w:rFonts w:ascii="Arial" w:cs="Arial" w:eastAsia="Arial" w:hAnsi="Arial"/>
                <w:sz w:val="10"/>
                <w:szCs w:val="10"/>
                <w:color w:val="auto"/>
              </w:rPr>
              <w:t>57,969</w:t>
            </w: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color w:val="auto"/>
              </w:rPr>
              <w:t>49,364</w:t>
            </w: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color w:val="auto"/>
              </w:rPr>
              <w:t>54,166</w:t>
            </w:r>
          </w:p>
        </w:tc>
        <w:tc>
          <w:tcPr>
            <w:tcW w:w="520" w:type="dxa"/>
            <w:vAlign w:val="bottom"/>
            <w:gridSpan w:val="2"/>
            <w:vMerge w:val="restart"/>
          </w:tcPr>
          <w:p>
            <w:pPr>
              <w:jc w:val="right"/>
              <w:ind w:right="13"/>
              <w:spacing w:after="0"/>
              <w:rPr>
                <w:sz w:val="20"/>
                <w:szCs w:val="20"/>
                <w:color w:val="auto"/>
              </w:rPr>
            </w:pPr>
            <w:r>
              <w:rPr>
                <w:rFonts w:ascii="Arial" w:cs="Arial" w:eastAsia="Arial" w:hAnsi="Arial"/>
                <w:sz w:val="10"/>
                <w:szCs w:val="10"/>
                <w:color w:val="auto"/>
              </w:rPr>
              <w:t>58,086</w:t>
            </w: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color w:val="auto"/>
              </w:rPr>
              <w:t>57,106</w:t>
            </w: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color w:val="auto"/>
              </w:rPr>
              <w:t>61,880</w:t>
            </w:r>
          </w:p>
        </w:tc>
        <w:tc>
          <w:tcPr>
            <w:tcW w:w="520" w:type="dxa"/>
            <w:vAlign w:val="bottom"/>
            <w:gridSpan w:val="2"/>
            <w:vMerge w:val="restart"/>
          </w:tcPr>
          <w:p>
            <w:pPr>
              <w:jc w:val="right"/>
              <w:ind w:right="13"/>
              <w:spacing w:after="0"/>
              <w:rPr>
                <w:sz w:val="20"/>
                <w:szCs w:val="20"/>
                <w:color w:val="auto"/>
              </w:rPr>
            </w:pPr>
            <w:r>
              <w:rPr>
                <w:rFonts w:ascii="Arial" w:cs="Arial" w:eastAsia="Arial" w:hAnsi="Arial"/>
                <w:sz w:val="10"/>
                <w:szCs w:val="10"/>
                <w:color w:val="auto"/>
              </w:rPr>
              <w:t>68,496</w:t>
            </w:r>
          </w:p>
        </w:tc>
        <w:tc>
          <w:tcPr>
            <w:tcW w:w="0" w:type="dxa"/>
            <w:vAlign w:val="bottom"/>
          </w:tcPr>
          <w:p>
            <w:pPr>
              <w:spacing w:after="0"/>
              <w:rPr>
                <w:sz w:val="1"/>
                <w:szCs w:val="1"/>
                <w:color w:val="auto"/>
              </w:rPr>
            </w:pPr>
          </w:p>
        </w:tc>
      </w:tr>
      <w:tr>
        <w:trPr>
          <w:trHeight w:val="134"/>
        </w:trPr>
        <w:tc>
          <w:tcPr>
            <w:tcW w:w="940" w:type="dxa"/>
            <w:vAlign w:val="bottom"/>
          </w:tcPr>
          <w:p>
            <w:pPr>
              <w:ind w:left="300"/>
              <w:spacing w:after="0"/>
              <w:rPr>
                <w:sz w:val="20"/>
                <w:szCs w:val="20"/>
                <w:color w:val="auto"/>
              </w:rPr>
            </w:pPr>
            <w:r>
              <w:rPr>
                <w:rFonts w:ascii="Arial" w:cs="Arial" w:eastAsia="Arial" w:hAnsi="Arial"/>
                <w:sz w:val="10"/>
                <w:szCs w:val="10"/>
                <w:color w:val="auto"/>
                <w:w w:val="96"/>
              </w:rPr>
              <w:t xml:space="preserve">marketing </w:t>
            </w:r>
            <w:r>
              <w:rPr>
                <w:rFonts w:ascii="Times New Roman" w:cs="Times New Roman" w:eastAsia="Times New Roman" w:hAnsi="Times New Roman"/>
                <w:sz w:val="10"/>
                <w:szCs w:val="10"/>
                <w:color w:val="B4B4B4"/>
                <w:w w:val="96"/>
              </w:rPr>
              <w:t>.......</w:t>
            </w: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9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General and</w:t>
            </w: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17,510</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39,583</w:t>
            </w:r>
          </w:p>
        </w:tc>
        <w:tc>
          <w:tcPr>
            <w:tcW w:w="40" w:type="dxa"/>
            <w:vAlign w:val="bottom"/>
            <w:vMerge w:val="restart"/>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41,245</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ind w:right="14"/>
              <w:spacing w:after="0"/>
              <w:rPr>
                <w:sz w:val="20"/>
                <w:szCs w:val="20"/>
                <w:color w:val="auto"/>
              </w:rPr>
            </w:pPr>
            <w:r>
              <w:rPr>
                <w:rFonts w:ascii="Arial" w:cs="Arial" w:eastAsia="Arial" w:hAnsi="Arial"/>
                <w:sz w:val="10"/>
                <w:szCs w:val="10"/>
                <w:color w:val="auto"/>
              </w:rPr>
              <w:t>34,685</w:t>
            </w:r>
          </w:p>
        </w:tc>
        <w:tc>
          <w:tcPr>
            <w:tcW w:w="20" w:type="dxa"/>
            <w:vAlign w:val="bottom"/>
            <w:vMerge w:val="restart"/>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32,590</w:t>
            </w:r>
          </w:p>
        </w:tc>
        <w:tc>
          <w:tcPr>
            <w:tcW w:w="40" w:type="dxa"/>
            <w:vAlign w:val="bottom"/>
            <w:vMerge w:val="restart"/>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32,648</w:t>
            </w:r>
          </w:p>
        </w:tc>
        <w:tc>
          <w:tcPr>
            <w:tcW w:w="40" w:type="dxa"/>
            <w:vAlign w:val="bottom"/>
            <w:vMerge w:val="restart"/>
            <w:shd w:val="clear" w:color="auto" w:fill="CCEEFF"/>
          </w:tcPr>
          <w:p>
            <w:pPr>
              <w:spacing w:after="0"/>
              <w:rPr>
                <w:sz w:val="10"/>
                <w:szCs w:val="10"/>
                <w:color w:val="auto"/>
              </w:rPr>
            </w:pPr>
          </w:p>
        </w:tc>
        <w:tc>
          <w:tcPr>
            <w:tcW w:w="480" w:type="dxa"/>
            <w:vAlign w:val="bottom"/>
            <w:vMerge w:val="restart"/>
            <w:shd w:val="clear" w:color="auto" w:fill="CCEEFF"/>
          </w:tcPr>
          <w:p>
            <w:pPr>
              <w:jc w:val="right"/>
              <w:ind w:right="13"/>
              <w:spacing w:after="0"/>
              <w:rPr>
                <w:sz w:val="20"/>
                <w:szCs w:val="20"/>
                <w:color w:val="auto"/>
              </w:rPr>
            </w:pPr>
            <w:r>
              <w:rPr>
                <w:rFonts w:ascii="Arial" w:cs="Arial" w:eastAsia="Arial" w:hAnsi="Arial"/>
                <w:sz w:val="10"/>
                <w:szCs w:val="10"/>
                <w:color w:val="auto"/>
              </w:rPr>
              <w:t>34,968</w:t>
            </w:r>
          </w:p>
        </w:tc>
        <w:tc>
          <w:tcPr>
            <w:tcW w:w="20" w:type="dxa"/>
            <w:vAlign w:val="bottom"/>
            <w:vMerge w:val="restart"/>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33,346</w:t>
            </w:r>
          </w:p>
        </w:tc>
        <w:tc>
          <w:tcPr>
            <w:tcW w:w="40" w:type="dxa"/>
            <w:vAlign w:val="bottom"/>
            <w:vMerge w:val="restart"/>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34,405</w:t>
            </w:r>
          </w:p>
        </w:tc>
        <w:tc>
          <w:tcPr>
            <w:tcW w:w="40" w:type="dxa"/>
            <w:vAlign w:val="bottom"/>
            <w:vMerge w:val="restart"/>
            <w:shd w:val="clear" w:color="auto" w:fill="CCEEFF"/>
          </w:tcPr>
          <w:p>
            <w:pPr>
              <w:spacing w:after="0"/>
              <w:rPr>
                <w:sz w:val="10"/>
                <w:szCs w:val="10"/>
                <w:color w:val="auto"/>
              </w:rPr>
            </w:pPr>
          </w:p>
        </w:tc>
        <w:tc>
          <w:tcPr>
            <w:tcW w:w="480" w:type="dxa"/>
            <w:vAlign w:val="bottom"/>
            <w:vMerge w:val="restart"/>
            <w:shd w:val="clear" w:color="auto" w:fill="CCEEFF"/>
          </w:tcPr>
          <w:p>
            <w:pPr>
              <w:jc w:val="right"/>
              <w:ind w:right="13"/>
              <w:spacing w:after="0"/>
              <w:rPr>
                <w:sz w:val="20"/>
                <w:szCs w:val="20"/>
                <w:color w:val="auto"/>
              </w:rPr>
            </w:pPr>
            <w:r>
              <w:rPr>
                <w:rFonts w:ascii="Arial" w:cs="Arial" w:eastAsia="Arial" w:hAnsi="Arial"/>
                <w:sz w:val="10"/>
                <w:szCs w:val="10"/>
                <w:color w:val="auto"/>
              </w:rPr>
              <w:t>35,440</w:t>
            </w:r>
          </w:p>
        </w:tc>
        <w:tc>
          <w:tcPr>
            <w:tcW w:w="0" w:type="dxa"/>
            <w:vAlign w:val="bottom"/>
          </w:tcPr>
          <w:p>
            <w:pPr>
              <w:spacing w:after="0"/>
              <w:rPr>
                <w:sz w:val="1"/>
                <w:szCs w:val="1"/>
                <w:color w:val="auto"/>
              </w:rPr>
            </w:pPr>
          </w:p>
        </w:tc>
      </w:tr>
      <w:tr>
        <w:trPr>
          <w:trHeight w:val="142"/>
        </w:trPr>
        <w:tc>
          <w:tcPr>
            <w:tcW w:w="940" w:type="dxa"/>
            <w:vAlign w:val="bottom"/>
            <w:shd w:val="clear" w:color="auto" w:fill="CCEEFF"/>
          </w:tcPr>
          <w:p>
            <w:pPr>
              <w:ind w:left="300"/>
              <w:spacing w:after="0"/>
              <w:rPr>
                <w:sz w:val="20"/>
                <w:szCs w:val="20"/>
                <w:color w:val="auto"/>
              </w:rPr>
            </w:pPr>
            <w:r>
              <w:rPr>
                <w:rFonts w:ascii="Arial" w:cs="Arial" w:eastAsia="Arial" w:hAnsi="Arial"/>
                <w:sz w:val="10"/>
                <w:szCs w:val="10"/>
                <w:color w:val="auto"/>
              </w:rPr>
              <w:t>administrative</w:t>
            </w: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vMerge w:val="continue"/>
            <w:shd w:val="clear" w:color="auto" w:fill="CCEEFF"/>
          </w:tcPr>
          <w:p>
            <w:pPr>
              <w:spacing w:after="0"/>
              <w:rPr>
                <w:sz w:val="12"/>
                <w:szCs w:val="12"/>
                <w:color w:val="auto"/>
              </w:rPr>
            </w:pPr>
          </w:p>
        </w:tc>
        <w:tc>
          <w:tcPr>
            <w:tcW w:w="20" w:type="dxa"/>
            <w:vAlign w:val="bottom"/>
            <w:vMerge w:val="continue"/>
            <w:shd w:val="clear" w:color="auto" w:fill="CCEEFF"/>
          </w:tcPr>
          <w:p>
            <w:pPr>
              <w:spacing w:after="0"/>
              <w:rPr>
                <w:sz w:val="12"/>
                <w:szCs w:val="12"/>
                <w:color w:val="auto"/>
              </w:rPr>
            </w:pPr>
          </w:p>
        </w:tc>
        <w:tc>
          <w:tcPr>
            <w:tcW w:w="48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480" w:type="dxa"/>
            <w:vAlign w:val="bottom"/>
            <w:tcBorders>
              <w:bottom w:val="single" w:sz="8" w:color="auto"/>
            </w:tcBorders>
            <w:vMerge w:val="continue"/>
            <w:shd w:val="clear" w:color="auto" w:fill="CCEEFF"/>
          </w:tcPr>
          <w:p>
            <w:pPr>
              <w:spacing w:after="0"/>
              <w:rPr>
                <w:sz w:val="12"/>
                <w:szCs w:val="12"/>
                <w:color w:val="auto"/>
              </w:rPr>
            </w:pPr>
          </w:p>
        </w:tc>
        <w:tc>
          <w:tcPr>
            <w:tcW w:w="20" w:type="dxa"/>
            <w:vAlign w:val="bottom"/>
            <w:vMerge w:val="continue"/>
            <w:shd w:val="clear" w:color="auto" w:fill="CCEEFF"/>
          </w:tcPr>
          <w:p>
            <w:pPr>
              <w:spacing w:after="0"/>
              <w:rPr>
                <w:sz w:val="12"/>
                <w:szCs w:val="12"/>
                <w:color w:val="auto"/>
              </w:rPr>
            </w:pPr>
          </w:p>
        </w:tc>
        <w:tc>
          <w:tcPr>
            <w:tcW w:w="48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4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940" w:type="dxa"/>
            <w:vAlign w:val="bottom"/>
          </w:tcPr>
          <w:p>
            <w:pPr>
              <w:ind w:left="40"/>
              <w:spacing w:after="0" w:line="95" w:lineRule="exact"/>
              <w:rPr>
                <w:sz w:val="20"/>
                <w:szCs w:val="20"/>
                <w:color w:val="auto"/>
              </w:rPr>
            </w:pPr>
            <w:r>
              <w:rPr>
                <w:rFonts w:ascii="Arial" w:cs="Arial" w:eastAsia="Arial" w:hAnsi="Arial"/>
                <w:sz w:val="10"/>
                <w:szCs w:val="10"/>
                <w:color w:val="auto"/>
              </w:rPr>
              <w:t>Total operating</w:t>
            </w:r>
          </w:p>
        </w:tc>
        <w:tc>
          <w:tcPr>
            <w:tcW w:w="460" w:type="dxa"/>
            <w:vAlign w:val="bottom"/>
            <w:gridSpan w:val="2"/>
            <w:vMerge w:val="restart"/>
          </w:tcPr>
          <w:p>
            <w:pPr>
              <w:jc w:val="right"/>
              <w:spacing w:after="0"/>
              <w:rPr>
                <w:sz w:val="20"/>
                <w:szCs w:val="20"/>
                <w:color w:val="auto"/>
              </w:rPr>
            </w:pPr>
            <w:r>
              <w:rPr>
                <w:rFonts w:ascii="Arial" w:cs="Arial" w:eastAsia="Arial" w:hAnsi="Arial"/>
                <w:sz w:val="10"/>
                <w:szCs w:val="10"/>
                <w:color w:val="auto"/>
              </w:rPr>
              <w:t>103,865</w:t>
            </w:r>
          </w:p>
        </w:tc>
        <w:tc>
          <w:tcPr>
            <w:tcW w:w="40" w:type="dxa"/>
            <w:vAlign w:val="bottom"/>
            <w:vMerge w:val="restart"/>
          </w:tcPr>
          <w:p>
            <w:pPr>
              <w:spacing w:after="0"/>
              <w:rPr>
                <w:sz w:val="8"/>
                <w:szCs w:val="8"/>
                <w:color w:val="auto"/>
              </w:rPr>
            </w:pPr>
          </w:p>
        </w:tc>
        <w:tc>
          <w:tcPr>
            <w:tcW w:w="480" w:type="dxa"/>
            <w:vAlign w:val="bottom"/>
            <w:gridSpan w:val="2"/>
            <w:vMerge w:val="restart"/>
          </w:tcPr>
          <w:p>
            <w:pPr>
              <w:jc w:val="right"/>
              <w:ind w:right="13"/>
              <w:spacing w:after="0"/>
              <w:rPr>
                <w:sz w:val="20"/>
                <w:szCs w:val="20"/>
                <w:color w:val="auto"/>
              </w:rPr>
            </w:pPr>
            <w:r>
              <w:rPr>
                <w:rFonts w:ascii="Arial" w:cs="Arial" w:eastAsia="Arial" w:hAnsi="Arial"/>
                <w:sz w:val="10"/>
                <w:szCs w:val="10"/>
                <w:color w:val="auto"/>
              </w:rPr>
              <w:t>126,447</w:t>
            </w:r>
          </w:p>
        </w:tc>
        <w:tc>
          <w:tcPr>
            <w:tcW w:w="40" w:type="dxa"/>
            <w:vAlign w:val="bottom"/>
            <w:vMerge w:val="restart"/>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131,015</w:t>
            </w:r>
          </w:p>
        </w:tc>
        <w:tc>
          <w:tcPr>
            <w:tcW w:w="40" w:type="dxa"/>
            <w:vAlign w:val="bottom"/>
            <w:vMerge w:val="restart"/>
          </w:tcPr>
          <w:p>
            <w:pPr>
              <w:spacing w:after="0"/>
              <w:rPr>
                <w:sz w:val="8"/>
                <w:szCs w:val="8"/>
                <w:color w:val="auto"/>
              </w:rPr>
            </w:pPr>
          </w:p>
        </w:tc>
        <w:tc>
          <w:tcPr>
            <w:tcW w:w="480" w:type="dxa"/>
            <w:vAlign w:val="bottom"/>
            <w:gridSpan w:val="2"/>
            <w:vMerge w:val="restart"/>
          </w:tcPr>
          <w:p>
            <w:pPr>
              <w:jc w:val="right"/>
              <w:ind w:right="14"/>
              <w:spacing w:after="0"/>
              <w:rPr>
                <w:sz w:val="20"/>
                <w:szCs w:val="20"/>
                <w:color w:val="auto"/>
              </w:rPr>
            </w:pPr>
            <w:r>
              <w:rPr>
                <w:rFonts w:ascii="Arial" w:cs="Arial" w:eastAsia="Arial" w:hAnsi="Arial"/>
                <w:sz w:val="10"/>
                <w:szCs w:val="10"/>
                <w:color w:val="auto"/>
              </w:rPr>
              <w:t>124,649</w:t>
            </w:r>
          </w:p>
        </w:tc>
        <w:tc>
          <w:tcPr>
            <w:tcW w:w="20" w:type="dxa"/>
            <w:vAlign w:val="bottom"/>
            <w:vMerge w:val="restart"/>
          </w:tcPr>
          <w:p>
            <w:pPr>
              <w:spacing w:after="0"/>
              <w:rPr>
                <w:sz w:val="8"/>
                <w:szCs w:val="8"/>
                <w:color w:val="auto"/>
              </w:rPr>
            </w:pPr>
          </w:p>
        </w:tc>
        <w:tc>
          <w:tcPr>
            <w:tcW w:w="480" w:type="dxa"/>
            <w:vAlign w:val="bottom"/>
            <w:vMerge w:val="restart"/>
          </w:tcPr>
          <w:p>
            <w:pPr>
              <w:jc w:val="right"/>
              <w:ind w:right="15"/>
              <w:spacing w:after="0"/>
              <w:rPr>
                <w:sz w:val="20"/>
                <w:szCs w:val="20"/>
                <w:color w:val="auto"/>
              </w:rPr>
            </w:pPr>
            <w:r>
              <w:rPr>
                <w:rFonts w:ascii="Arial" w:cs="Arial" w:eastAsia="Arial" w:hAnsi="Arial"/>
                <w:sz w:val="10"/>
                <w:szCs w:val="10"/>
                <w:color w:val="auto"/>
              </w:rPr>
              <w:t>110,750</w:t>
            </w:r>
          </w:p>
        </w:tc>
        <w:tc>
          <w:tcPr>
            <w:tcW w:w="40" w:type="dxa"/>
            <w:vAlign w:val="bottom"/>
            <w:vMerge w:val="restart"/>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115,802</w:t>
            </w:r>
          </w:p>
        </w:tc>
        <w:tc>
          <w:tcPr>
            <w:tcW w:w="40" w:type="dxa"/>
            <w:vAlign w:val="bottom"/>
            <w:vMerge w:val="restart"/>
          </w:tcPr>
          <w:p>
            <w:pPr>
              <w:spacing w:after="0"/>
              <w:rPr>
                <w:sz w:val="8"/>
                <w:szCs w:val="8"/>
                <w:color w:val="auto"/>
              </w:rPr>
            </w:pPr>
          </w:p>
        </w:tc>
        <w:tc>
          <w:tcPr>
            <w:tcW w:w="480" w:type="dxa"/>
            <w:vAlign w:val="bottom"/>
            <w:vMerge w:val="restart"/>
          </w:tcPr>
          <w:p>
            <w:pPr>
              <w:jc w:val="right"/>
              <w:ind w:right="13"/>
              <w:spacing w:after="0"/>
              <w:rPr>
                <w:sz w:val="20"/>
                <w:szCs w:val="20"/>
                <w:color w:val="auto"/>
              </w:rPr>
            </w:pPr>
            <w:r>
              <w:rPr>
                <w:rFonts w:ascii="Arial" w:cs="Arial" w:eastAsia="Arial" w:hAnsi="Arial"/>
                <w:sz w:val="10"/>
                <w:szCs w:val="10"/>
                <w:color w:val="auto"/>
              </w:rPr>
              <w:t>126,054</w:t>
            </w:r>
          </w:p>
        </w:tc>
        <w:tc>
          <w:tcPr>
            <w:tcW w:w="20" w:type="dxa"/>
            <w:vAlign w:val="bottom"/>
            <w:vMerge w:val="restart"/>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122,054</w:t>
            </w:r>
          </w:p>
        </w:tc>
        <w:tc>
          <w:tcPr>
            <w:tcW w:w="40" w:type="dxa"/>
            <w:vAlign w:val="bottom"/>
            <w:vMerge w:val="restart"/>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127,687</w:t>
            </w:r>
          </w:p>
        </w:tc>
        <w:tc>
          <w:tcPr>
            <w:tcW w:w="40" w:type="dxa"/>
            <w:vAlign w:val="bottom"/>
            <w:vMerge w:val="restart"/>
          </w:tcPr>
          <w:p>
            <w:pPr>
              <w:spacing w:after="0"/>
              <w:rPr>
                <w:sz w:val="8"/>
                <w:szCs w:val="8"/>
                <w:color w:val="auto"/>
              </w:rPr>
            </w:pPr>
          </w:p>
        </w:tc>
        <w:tc>
          <w:tcPr>
            <w:tcW w:w="480" w:type="dxa"/>
            <w:vAlign w:val="bottom"/>
            <w:vMerge w:val="restart"/>
          </w:tcPr>
          <w:p>
            <w:pPr>
              <w:jc w:val="right"/>
              <w:ind w:right="13"/>
              <w:spacing w:after="0"/>
              <w:rPr>
                <w:sz w:val="20"/>
                <w:szCs w:val="20"/>
                <w:color w:val="auto"/>
              </w:rPr>
            </w:pPr>
            <w:r>
              <w:rPr>
                <w:rFonts w:ascii="Arial" w:cs="Arial" w:eastAsia="Arial" w:hAnsi="Arial"/>
                <w:sz w:val="10"/>
                <w:szCs w:val="10"/>
                <w:color w:val="auto"/>
              </w:rPr>
              <w:t>137,294</w:t>
            </w:r>
          </w:p>
        </w:tc>
        <w:tc>
          <w:tcPr>
            <w:tcW w:w="0" w:type="dxa"/>
            <w:vAlign w:val="bottom"/>
          </w:tcPr>
          <w:p>
            <w:pPr>
              <w:spacing w:after="0"/>
              <w:rPr>
                <w:sz w:val="1"/>
                <w:szCs w:val="1"/>
                <w:color w:val="auto"/>
              </w:rPr>
            </w:pPr>
          </w:p>
        </w:tc>
      </w:tr>
      <w:tr>
        <w:trPr>
          <w:trHeight w:val="134"/>
        </w:trPr>
        <w:tc>
          <w:tcPr>
            <w:tcW w:w="94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w w:val="96"/>
              </w:rPr>
              <w:t xml:space="preserve">expense </w:t>
            </w:r>
            <w:r>
              <w:rPr>
                <w:rFonts w:ascii="Times New Roman" w:cs="Times New Roman" w:eastAsia="Times New Roman" w:hAnsi="Times New Roman"/>
                <w:sz w:val="10"/>
                <w:szCs w:val="10"/>
                <w:color w:val="B4B4B4"/>
                <w:w w:val="96"/>
              </w:rPr>
              <w:t>................</w:t>
            </w:r>
          </w:p>
        </w:tc>
        <w:tc>
          <w:tcPr>
            <w:tcW w:w="460" w:type="dxa"/>
            <w:vAlign w:val="bottom"/>
            <w:tcBorders>
              <w:bottom w:val="single" w:sz="8" w:color="auto"/>
            </w:tcBorders>
            <w:gridSpan w:val="2"/>
            <w:vMerge w:val="continue"/>
          </w:tcPr>
          <w:p>
            <w:pPr>
              <w:spacing w:after="0"/>
              <w:rPr>
                <w:sz w:val="11"/>
                <w:szCs w:val="11"/>
                <w:color w:val="auto"/>
              </w:rPr>
            </w:pPr>
          </w:p>
        </w:tc>
        <w:tc>
          <w:tcPr>
            <w:tcW w:w="40" w:type="dxa"/>
            <w:vAlign w:val="bottom"/>
            <w:tcBorders>
              <w:bottom w:val="single" w:sz="8" w:color="CCEEFF"/>
            </w:tcBorders>
            <w:vMerge w:val="continue"/>
          </w:tcPr>
          <w:p>
            <w:pPr>
              <w:spacing w:after="0"/>
              <w:rPr>
                <w:sz w:val="11"/>
                <w:szCs w:val="11"/>
                <w:color w:val="auto"/>
              </w:rPr>
            </w:pPr>
          </w:p>
        </w:tc>
        <w:tc>
          <w:tcPr>
            <w:tcW w:w="480" w:type="dxa"/>
            <w:vAlign w:val="bottom"/>
            <w:tcBorders>
              <w:bottom w:val="single" w:sz="8" w:color="auto"/>
            </w:tcBorders>
            <w:gridSpan w:val="2"/>
            <w:vMerge w:val="continue"/>
          </w:tcPr>
          <w:p>
            <w:pPr>
              <w:spacing w:after="0"/>
              <w:rPr>
                <w:sz w:val="11"/>
                <w:szCs w:val="11"/>
                <w:color w:val="auto"/>
              </w:rPr>
            </w:pPr>
          </w:p>
        </w:tc>
        <w:tc>
          <w:tcPr>
            <w:tcW w:w="40" w:type="dxa"/>
            <w:vAlign w:val="bottom"/>
            <w:tcBorders>
              <w:bottom w:val="single" w:sz="8" w:color="CCEEFF"/>
            </w:tcBorders>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vMerge w:val="continue"/>
          </w:tcPr>
          <w:p>
            <w:pPr>
              <w:spacing w:after="0"/>
              <w:rPr>
                <w:sz w:val="11"/>
                <w:szCs w:val="11"/>
                <w:color w:val="auto"/>
              </w:rPr>
            </w:pPr>
          </w:p>
        </w:tc>
        <w:tc>
          <w:tcPr>
            <w:tcW w:w="480" w:type="dxa"/>
            <w:vAlign w:val="bottom"/>
            <w:tcBorders>
              <w:bottom w:val="single" w:sz="8" w:color="auto"/>
            </w:tcBorders>
            <w:gridSpan w:val="2"/>
            <w:vMerge w:val="continue"/>
          </w:tcPr>
          <w:p>
            <w:pPr>
              <w:spacing w:after="0"/>
              <w:rPr>
                <w:sz w:val="11"/>
                <w:szCs w:val="11"/>
                <w:color w:val="auto"/>
              </w:rPr>
            </w:pPr>
          </w:p>
        </w:tc>
        <w:tc>
          <w:tcPr>
            <w:tcW w:w="20" w:type="dxa"/>
            <w:vAlign w:val="bottom"/>
            <w:tcBorders>
              <w:bottom w:val="single" w:sz="8" w:color="CCEEFF"/>
            </w:tcBorders>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CCEEFF"/>
            </w:tcBorders>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940" w:type="dxa"/>
            <w:vAlign w:val="bottom"/>
            <w:shd w:val="clear" w:color="auto" w:fill="CCEEFF"/>
          </w:tcPr>
          <w:p>
            <w:pPr>
              <w:ind w:left="40"/>
              <w:spacing w:after="0" w:line="104" w:lineRule="exact"/>
              <w:rPr>
                <w:sz w:val="20"/>
                <w:szCs w:val="20"/>
                <w:color w:val="auto"/>
              </w:rPr>
            </w:pPr>
            <w:r>
              <w:rPr>
                <w:rFonts w:ascii="Arial" w:cs="Arial" w:eastAsia="Arial" w:hAnsi="Arial"/>
                <w:sz w:val="10"/>
                <w:szCs w:val="10"/>
                <w:color w:val="auto"/>
              </w:rPr>
              <w:t>Loss from</w:t>
            </w: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96"/>
              </w:rPr>
              <w:t>(51,222)</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91"/>
              </w:rPr>
              <w:t>(66,729)</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(61,417)</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96"/>
              </w:rPr>
              <w:t>(66,974)</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(30,970)</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(24,400)</w:t>
            </w: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(19,458)</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(32,810)</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(15,894)</w:t>
            </w: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(12,257)</w:t>
            </w:r>
          </w:p>
        </w:tc>
        <w:tc>
          <w:tcPr>
            <w:tcW w:w="0" w:type="dxa"/>
            <w:vAlign w:val="bottom"/>
          </w:tcPr>
          <w:p>
            <w:pPr>
              <w:spacing w:after="0"/>
              <w:rPr>
                <w:sz w:val="1"/>
                <w:szCs w:val="1"/>
                <w:color w:val="auto"/>
              </w:rPr>
            </w:pPr>
          </w:p>
        </w:tc>
      </w:tr>
      <w:tr>
        <w:trPr>
          <w:trHeight w:val="143"/>
        </w:trPr>
        <w:tc>
          <w:tcPr>
            <w:tcW w:w="940" w:type="dxa"/>
            <w:vAlign w:val="bottom"/>
            <w:shd w:val="clear" w:color="auto" w:fill="CCEEFF"/>
          </w:tcPr>
          <w:p>
            <w:pPr>
              <w:ind w:left="140"/>
              <w:spacing w:after="0"/>
              <w:rPr>
                <w:sz w:val="20"/>
                <w:szCs w:val="20"/>
                <w:color w:val="auto"/>
              </w:rPr>
            </w:pPr>
            <w:r>
              <w:rPr>
                <w:rFonts w:ascii="Arial" w:cs="Arial" w:eastAsia="Arial" w:hAnsi="Arial"/>
                <w:sz w:val="10"/>
                <w:szCs w:val="10"/>
                <w:color w:val="auto"/>
                <w:w w:val="98"/>
              </w:rPr>
              <w:t xml:space="preserve">operations </w:t>
            </w:r>
            <w:r>
              <w:rPr>
                <w:rFonts w:ascii="Times New Roman" w:cs="Times New Roman" w:eastAsia="Times New Roman" w:hAnsi="Times New Roman"/>
                <w:sz w:val="10"/>
                <w:szCs w:val="10"/>
                <w:color w:val="B4B4B4"/>
                <w:w w:val="98"/>
              </w:rPr>
              <w:t>............</w:t>
            </w: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180"/>
              <w:spacing w:after="0"/>
              <w:rPr>
                <w:sz w:val="20"/>
                <w:szCs w:val="20"/>
                <w:color w:val="auto"/>
              </w:rPr>
            </w:pPr>
            <w:r>
              <w:rPr>
                <w:rFonts w:ascii="Arial" w:cs="Arial" w:eastAsia="Arial" w:hAnsi="Arial"/>
                <w:sz w:val="10"/>
                <w:szCs w:val="10"/>
                <w:color w:val="auto"/>
              </w:rPr>
              <w:t>Interest expense</w:t>
            </w: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w w:val="96"/>
              </w:rPr>
              <w:t>(12,480)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w w:val="91"/>
              </w:rPr>
              <w:t>(15,650)</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(16,604)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w w:val="96"/>
              </w:rPr>
              <w:t>(18,547)</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(18,097)</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(19,754)</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(19,658)</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(18,488)</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(16,336)</w:t>
            </w: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(15,635)</w:t>
            </w:r>
          </w:p>
        </w:tc>
        <w:tc>
          <w:tcPr>
            <w:tcW w:w="0" w:type="dxa"/>
            <w:vAlign w:val="bottom"/>
          </w:tcPr>
          <w:p>
            <w:pPr>
              <w:spacing w:after="0"/>
              <w:rPr>
                <w:sz w:val="1"/>
                <w:szCs w:val="1"/>
                <w:color w:val="auto"/>
              </w:rPr>
            </w:pPr>
          </w:p>
        </w:tc>
      </w:tr>
      <w:tr>
        <w:trPr>
          <w:trHeight w:val="115"/>
        </w:trPr>
        <w:tc>
          <w:tcPr>
            <w:tcW w:w="9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Other income</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40" w:type="dxa"/>
            <w:vAlign w:val="bottom"/>
            <w:shd w:val="clear" w:color="auto" w:fill="CCEEFF"/>
          </w:tcPr>
          <w:p>
            <w:pPr>
              <w:ind w:left="300"/>
              <w:spacing w:after="0" w:line="95" w:lineRule="exact"/>
              <w:rPr>
                <w:sz w:val="20"/>
                <w:szCs w:val="20"/>
                <w:color w:val="auto"/>
              </w:rPr>
            </w:pPr>
            <w:r>
              <w:rPr>
                <w:rFonts w:ascii="Arial" w:cs="Arial" w:eastAsia="Arial" w:hAnsi="Arial"/>
                <w:sz w:val="10"/>
                <w:szCs w:val="10"/>
                <w:color w:val="auto"/>
              </w:rPr>
              <w:t>(expense),</w:t>
            </w:r>
          </w:p>
        </w:tc>
        <w:tc>
          <w:tcPr>
            <w:tcW w:w="8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7,869</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(95)</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(608)</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vMerge w:val="restart"/>
            <w:shd w:val="clear" w:color="auto" w:fill="CCEEFF"/>
          </w:tcPr>
          <w:p>
            <w:pPr>
              <w:jc w:val="right"/>
              <w:ind w:right="14"/>
              <w:spacing w:after="0"/>
              <w:rPr>
                <w:sz w:val="20"/>
                <w:szCs w:val="20"/>
                <w:color w:val="auto"/>
              </w:rPr>
            </w:pPr>
            <w:r>
              <w:rPr>
                <w:rFonts w:ascii="Arial" w:cs="Arial" w:eastAsia="Arial" w:hAnsi="Arial"/>
                <w:sz w:val="10"/>
                <w:szCs w:val="10"/>
                <w:color w:val="auto"/>
              </w:rPr>
              <w:t>2,927</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129</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1,824</w:t>
            </w:r>
          </w:p>
        </w:tc>
        <w:tc>
          <w:tcPr>
            <w:tcW w:w="52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0"/>
                <w:szCs w:val="10"/>
                <w:color w:val="auto"/>
              </w:rPr>
              <w:t>1,022</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(3,048)</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6,119</w:t>
            </w: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580</w:t>
            </w:r>
          </w:p>
        </w:tc>
        <w:tc>
          <w:tcPr>
            <w:tcW w:w="0" w:type="dxa"/>
            <w:vAlign w:val="bottom"/>
          </w:tcPr>
          <w:p>
            <w:pPr>
              <w:spacing w:after="0"/>
              <w:rPr>
                <w:sz w:val="1"/>
                <w:szCs w:val="1"/>
                <w:color w:val="auto"/>
              </w:rPr>
            </w:pPr>
          </w:p>
        </w:tc>
      </w:tr>
      <w:tr>
        <w:trPr>
          <w:trHeight w:val="143"/>
        </w:trPr>
        <w:tc>
          <w:tcPr>
            <w:tcW w:w="940" w:type="dxa"/>
            <w:vAlign w:val="bottom"/>
            <w:shd w:val="clear" w:color="auto" w:fill="CCEEFF"/>
          </w:tcPr>
          <w:p>
            <w:pPr>
              <w:ind w:left="300"/>
              <w:spacing w:after="0"/>
              <w:rPr>
                <w:sz w:val="20"/>
                <w:szCs w:val="20"/>
                <w:color w:val="auto"/>
              </w:rPr>
            </w:pPr>
            <w:r>
              <w:rPr>
                <w:rFonts w:ascii="Arial" w:cs="Arial" w:eastAsia="Arial" w:hAnsi="Arial"/>
                <w:sz w:val="10"/>
                <w:szCs w:val="10"/>
                <w:color w:val="auto"/>
                <w:w w:val="96"/>
              </w:rPr>
              <w:t xml:space="preserve">net </w:t>
            </w:r>
            <w:r>
              <w:rPr>
                <w:rFonts w:ascii="Times New Roman" w:cs="Times New Roman" w:eastAsia="Times New Roman" w:hAnsi="Times New Roman"/>
                <w:sz w:val="10"/>
                <w:szCs w:val="10"/>
                <w:color w:val="B4B4B4"/>
                <w:w w:val="96"/>
              </w:rPr>
              <w:t>...................</w:t>
            </w: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940" w:type="dxa"/>
            <w:vAlign w:val="bottom"/>
          </w:tcPr>
          <w:p>
            <w:pPr>
              <w:ind w:left="180"/>
              <w:spacing w:after="0" w:line="106" w:lineRule="exact"/>
              <w:rPr>
                <w:sz w:val="20"/>
                <w:szCs w:val="20"/>
                <w:color w:val="auto"/>
              </w:rPr>
            </w:pPr>
            <w:r>
              <w:rPr>
                <w:rFonts w:ascii="Arial" w:cs="Arial" w:eastAsia="Arial" w:hAnsi="Arial"/>
                <w:sz w:val="10"/>
                <w:szCs w:val="10"/>
                <w:color w:val="auto"/>
              </w:rPr>
              <w:t>Loss on</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940" w:type="dxa"/>
            <w:vAlign w:val="bottom"/>
          </w:tcPr>
          <w:p>
            <w:pPr>
              <w:ind w:left="300"/>
              <w:spacing w:after="0" w:line="95" w:lineRule="exact"/>
              <w:rPr>
                <w:sz w:val="20"/>
                <w:szCs w:val="20"/>
                <w:color w:val="auto"/>
              </w:rPr>
            </w:pPr>
            <w:r>
              <w:rPr>
                <w:rFonts w:ascii="Arial" w:cs="Arial" w:eastAsia="Arial" w:hAnsi="Arial"/>
                <w:sz w:val="10"/>
                <w:szCs w:val="10"/>
                <w:color w:val="auto"/>
              </w:rPr>
              <w:t>extinguishme</w:t>
            </w:r>
          </w:p>
        </w:tc>
        <w:tc>
          <w:tcPr>
            <w:tcW w:w="8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vMerge w:val="restart"/>
          </w:tcPr>
          <w:p>
            <w:pPr>
              <w:jc w:val="right"/>
              <w:ind w:right="13"/>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vMerge w:val="restart"/>
          </w:tcPr>
          <w:p>
            <w:pPr>
              <w:jc w:val="right"/>
              <w:ind w:right="14"/>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480" w:type="dxa"/>
            <w:vAlign w:val="bottom"/>
            <w:vMerge w:val="restart"/>
          </w:tcPr>
          <w:p>
            <w:pPr>
              <w:jc w:val="right"/>
              <w:ind w:right="15"/>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8"/>
                <w:szCs w:val="8"/>
                <w:color w:val="auto"/>
              </w:rPr>
            </w:pPr>
          </w:p>
        </w:tc>
        <w:tc>
          <w:tcPr>
            <w:tcW w:w="480" w:type="dxa"/>
            <w:vAlign w:val="bottom"/>
            <w:vMerge w:val="restart"/>
          </w:tcPr>
          <w:p>
            <w:pPr>
              <w:jc w:val="right"/>
              <w:ind w:right="13"/>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color w:val="auto"/>
              </w:rPr>
              <w:t>(20,528)</w:t>
            </w:r>
          </w:p>
        </w:tc>
        <w:tc>
          <w:tcPr>
            <w:tcW w:w="40" w:type="dxa"/>
            <w:vAlign w:val="bottom"/>
          </w:tcPr>
          <w:p>
            <w:pPr>
              <w:spacing w:after="0"/>
              <w:rPr>
                <w:sz w:val="8"/>
                <w:szCs w:val="8"/>
                <w:color w:val="auto"/>
              </w:rPr>
            </w:pPr>
          </w:p>
        </w:tc>
        <w:tc>
          <w:tcPr>
            <w:tcW w:w="480" w:type="dxa"/>
            <w:vAlign w:val="bottom"/>
            <w:vMerge w:val="restart"/>
          </w:tcPr>
          <w:p>
            <w:pPr>
              <w:jc w:val="right"/>
              <w:ind w:right="1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940" w:type="dxa"/>
            <w:vAlign w:val="bottom"/>
          </w:tcPr>
          <w:p>
            <w:pPr>
              <w:ind w:left="300"/>
              <w:spacing w:after="0" w:line="96" w:lineRule="exact"/>
              <w:rPr>
                <w:sz w:val="20"/>
                <w:szCs w:val="20"/>
                <w:color w:val="auto"/>
              </w:rPr>
            </w:pPr>
            <w:r>
              <w:rPr>
                <w:rFonts w:ascii="Arial" w:cs="Arial" w:eastAsia="Arial" w:hAnsi="Arial"/>
                <w:sz w:val="10"/>
                <w:szCs w:val="10"/>
                <w:color w:val="auto"/>
              </w:rPr>
              <w:t xml:space="preserve">nt of deb </w:t>
            </w:r>
            <w:r>
              <w:rPr>
                <w:rFonts w:ascii="Times New Roman" w:cs="Times New Roman" w:eastAsia="Times New Roman" w:hAnsi="Times New Roman"/>
                <w:sz w:val="10"/>
                <w:szCs w:val="10"/>
                <w:color w:val="B4B4B4"/>
              </w:rPr>
              <w:t>........</w:t>
            </w:r>
          </w:p>
        </w:tc>
        <w:tc>
          <w:tcPr>
            <w:tcW w:w="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940" w:type="dxa"/>
            <w:vAlign w:val="bottom"/>
          </w:tcPr>
          <w:p>
            <w:pPr>
              <w:ind w:left="300"/>
              <w:spacing w:after="0" w:line="67" w:lineRule="exact"/>
              <w:rPr>
                <w:sz w:val="20"/>
                <w:szCs w:val="20"/>
                <w:color w:val="auto"/>
              </w:rPr>
            </w:pPr>
            <w:r>
              <w:rPr>
                <w:rFonts w:ascii="Arial" w:cs="Arial" w:eastAsia="Arial" w:hAnsi="Arial"/>
                <w:sz w:val="7"/>
                <w:szCs w:val="7"/>
                <w:color w:val="auto"/>
              </w:rPr>
              <w:t>t</w:t>
            </w: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940" w:type="dxa"/>
            <w:vAlign w:val="bottom"/>
          </w:tcPr>
          <w:p>
            <w:pPr>
              <w:ind w:left="180"/>
              <w:spacing w:after="0" w:line="88" w:lineRule="exact"/>
              <w:rPr>
                <w:sz w:val="20"/>
                <w:szCs w:val="20"/>
                <w:color w:val="auto"/>
              </w:rPr>
            </w:pPr>
            <w:r>
              <w:rPr>
                <w:rFonts w:ascii="Arial" w:cs="Arial" w:eastAsia="Arial" w:hAnsi="Arial"/>
                <w:sz w:val="10"/>
                <w:szCs w:val="10"/>
                <w:color w:val="auto"/>
              </w:rPr>
              <w:t>Gain (loss) on</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940" w:type="dxa"/>
            <w:vAlign w:val="bottom"/>
          </w:tcPr>
          <w:p>
            <w:pPr>
              <w:ind w:left="300"/>
              <w:spacing w:after="0" w:line="95" w:lineRule="exact"/>
              <w:rPr>
                <w:sz w:val="20"/>
                <w:szCs w:val="20"/>
                <w:color w:val="auto"/>
              </w:rPr>
            </w:pPr>
            <w:r>
              <w:rPr>
                <w:rFonts w:ascii="Arial" w:cs="Arial" w:eastAsia="Arial" w:hAnsi="Arial"/>
                <w:sz w:val="10"/>
                <w:szCs w:val="10"/>
                <w:color w:val="auto"/>
              </w:rPr>
              <w:t>fair value</w:t>
            </w:r>
          </w:p>
        </w:tc>
        <w:tc>
          <w:tcPr>
            <w:tcW w:w="8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color w:val="auto"/>
                <w:w w:val="96"/>
              </w:rPr>
              <w:t>(13,562)</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vMerge w:val="restart"/>
          </w:tcPr>
          <w:p>
            <w:pPr>
              <w:jc w:val="right"/>
              <w:ind w:right="13"/>
              <w:spacing w:after="0"/>
              <w:rPr>
                <w:sz w:val="20"/>
                <w:szCs w:val="20"/>
                <w:color w:val="auto"/>
              </w:rPr>
            </w:pPr>
            <w:r>
              <w:rPr>
                <w:rFonts w:ascii="Arial" w:cs="Arial" w:eastAsia="Arial" w:hAnsi="Arial"/>
                <w:sz w:val="10"/>
                <w:szCs w:val="10"/>
                <w:color w:val="auto"/>
              </w:rPr>
              <w:t>1,353</w:t>
            </w:r>
          </w:p>
        </w:tc>
        <w:tc>
          <w:tcPr>
            <w:tcW w:w="40" w:type="dxa"/>
            <w:vAlign w:val="bottom"/>
            <w:vMerge w:val="restart"/>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(12,625)</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Arial" w:cs="Arial" w:eastAsia="Arial" w:hAnsi="Arial"/>
                <w:sz w:val="10"/>
                <w:szCs w:val="10"/>
                <w:color w:val="auto"/>
              </w:rPr>
              <w:t>(1,760)</w:t>
            </w:r>
          </w:p>
        </w:tc>
        <w:tc>
          <w:tcPr>
            <w:tcW w:w="20" w:type="dxa"/>
            <w:vAlign w:val="bottom"/>
            <w:vMerge w:val="restart"/>
          </w:tcPr>
          <w:p>
            <w:pPr>
              <w:spacing w:after="0"/>
              <w:rPr>
                <w:sz w:val="8"/>
                <w:szCs w:val="8"/>
                <w:color w:val="auto"/>
              </w:rPr>
            </w:pPr>
          </w:p>
        </w:tc>
        <w:tc>
          <w:tcPr>
            <w:tcW w:w="480" w:type="dxa"/>
            <w:vAlign w:val="bottom"/>
            <w:vMerge w:val="restart"/>
          </w:tcPr>
          <w:p>
            <w:pPr>
              <w:jc w:val="right"/>
              <w:ind w:right="15"/>
              <w:spacing w:after="0"/>
              <w:rPr>
                <w:sz w:val="20"/>
                <w:szCs w:val="20"/>
                <w:color w:val="auto"/>
              </w:rPr>
            </w:pPr>
            <w:r>
              <w:rPr>
                <w:rFonts w:ascii="Arial" w:cs="Arial" w:eastAsia="Arial" w:hAnsi="Arial"/>
                <w:sz w:val="10"/>
                <w:szCs w:val="10"/>
                <w:color w:val="auto"/>
              </w:rPr>
              <w:t>1,510</w:t>
            </w:r>
          </w:p>
        </w:tc>
        <w:tc>
          <w:tcPr>
            <w:tcW w:w="40" w:type="dxa"/>
            <w:vAlign w:val="bottom"/>
            <w:vMerge w:val="restart"/>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1,510</w:t>
            </w:r>
          </w:p>
        </w:tc>
        <w:tc>
          <w:tcPr>
            <w:tcW w:w="40" w:type="dxa"/>
            <w:vAlign w:val="bottom"/>
            <w:vMerge w:val="restart"/>
          </w:tcPr>
          <w:p>
            <w:pPr>
              <w:spacing w:after="0"/>
              <w:rPr>
                <w:sz w:val="8"/>
                <w:szCs w:val="8"/>
                <w:color w:val="auto"/>
              </w:rPr>
            </w:pPr>
          </w:p>
        </w:tc>
        <w:tc>
          <w:tcPr>
            <w:tcW w:w="480" w:type="dxa"/>
            <w:vAlign w:val="bottom"/>
            <w:vMerge w:val="restart"/>
          </w:tcPr>
          <w:p>
            <w:pPr>
              <w:jc w:val="right"/>
              <w:ind w:right="13"/>
              <w:spacing w:after="0"/>
              <w:rPr>
                <w:sz w:val="20"/>
                <w:szCs w:val="20"/>
                <w:color w:val="auto"/>
              </w:rPr>
            </w:pPr>
            <w:r>
              <w:rPr>
                <w:rFonts w:ascii="Arial" w:cs="Arial" w:eastAsia="Arial" w:hAnsi="Arial"/>
                <w:sz w:val="10"/>
                <w:szCs w:val="10"/>
                <w:color w:val="auto"/>
              </w:rPr>
              <w:t>1,381</w:t>
            </w:r>
          </w:p>
        </w:tc>
        <w:tc>
          <w:tcPr>
            <w:tcW w:w="20" w:type="dxa"/>
            <w:vAlign w:val="bottom"/>
            <w:vMerge w:val="restart"/>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7,799</w:t>
            </w:r>
          </w:p>
        </w:tc>
        <w:tc>
          <w:tcPr>
            <w:tcW w:w="40" w:type="dxa"/>
            <w:vAlign w:val="bottom"/>
            <w:vMerge w:val="restart"/>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(10,136)</w:t>
            </w:r>
          </w:p>
        </w:tc>
        <w:tc>
          <w:tcPr>
            <w:tcW w:w="40" w:type="dxa"/>
            <w:vAlign w:val="bottom"/>
            <w:vMerge w:val="restart"/>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(7,750)</w:t>
            </w:r>
          </w:p>
        </w:tc>
        <w:tc>
          <w:tcPr>
            <w:tcW w:w="0" w:type="dxa"/>
            <w:vAlign w:val="bottom"/>
          </w:tcPr>
          <w:p>
            <w:pPr>
              <w:spacing w:after="0"/>
              <w:rPr>
                <w:sz w:val="1"/>
                <w:szCs w:val="1"/>
                <w:color w:val="auto"/>
              </w:rPr>
            </w:pPr>
          </w:p>
        </w:tc>
      </w:tr>
      <w:tr>
        <w:trPr>
          <w:trHeight w:val="134"/>
        </w:trPr>
        <w:tc>
          <w:tcPr>
            <w:tcW w:w="940" w:type="dxa"/>
            <w:vAlign w:val="bottom"/>
          </w:tcPr>
          <w:p>
            <w:pPr>
              <w:ind w:left="300"/>
              <w:spacing w:after="0"/>
              <w:rPr>
                <w:sz w:val="20"/>
                <w:szCs w:val="20"/>
                <w:color w:val="auto"/>
              </w:rPr>
            </w:pPr>
            <w:r>
              <w:rPr>
                <w:rFonts w:ascii="Arial" w:cs="Arial" w:eastAsia="Arial" w:hAnsi="Arial"/>
                <w:sz w:val="10"/>
                <w:szCs w:val="10"/>
                <w:color w:val="auto"/>
                <w:w w:val="96"/>
              </w:rPr>
              <w:t xml:space="preserve">adjustments </w:t>
            </w:r>
            <w:r>
              <w:rPr>
                <w:rFonts w:ascii="Times New Roman" w:cs="Times New Roman" w:eastAsia="Times New Roman" w:hAnsi="Times New Roman"/>
                <w:sz w:val="10"/>
                <w:szCs w:val="10"/>
                <w:color w:val="B4B4B4"/>
                <w:w w:val="96"/>
              </w:rPr>
              <w:t>...</w:t>
            </w: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940" w:type="dxa"/>
            <w:vAlign w:val="bottom"/>
          </w:tcPr>
          <w:p>
            <w:pPr>
              <w:ind w:left="40"/>
              <w:spacing w:after="0" w:line="104" w:lineRule="exact"/>
              <w:rPr>
                <w:sz w:val="20"/>
                <w:szCs w:val="20"/>
                <w:color w:val="auto"/>
              </w:rPr>
            </w:pPr>
            <w:r>
              <w:rPr>
                <w:rFonts w:ascii="Arial" w:cs="Arial" w:eastAsia="Arial" w:hAnsi="Arial"/>
                <w:sz w:val="10"/>
                <w:szCs w:val="10"/>
                <w:color w:val="auto"/>
              </w:rPr>
              <w:t>Loss before income</w:t>
            </w:r>
          </w:p>
        </w:tc>
        <w:tc>
          <w:tcPr>
            <w:tcW w:w="8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color w:val="auto"/>
                <w:w w:val="96"/>
              </w:rPr>
              <w:t>(69,395)</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color w:val="auto"/>
                <w:w w:val="91"/>
              </w:rPr>
              <w:t>(81,121)</w:t>
            </w: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color w:val="auto"/>
              </w:rPr>
              <w:t>(91,254)</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0"/>
                <w:szCs w:val="10"/>
                <w:color w:val="auto"/>
                <w:w w:val="96"/>
              </w:rPr>
              <w:t>(84,354)</w:t>
            </w: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color w:val="auto"/>
              </w:rPr>
              <w:t>(47,428)</w:t>
            </w: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color w:val="auto"/>
              </w:rPr>
              <w:t>(40,820)</w:t>
            </w:r>
          </w:p>
        </w:tc>
        <w:tc>
          <w:tcPr>
            <w:tcW w:w="520" w:type="dxa"/>
            <w:vAlign w:val="bottom"/>
            <w:gridSpan w:val="2"/>
            <w:vMerge w:val="restart"/>
          </w:tcPr>
          <w:p>
            <w:pPr>
              <w:jc w:val="right"/>
              <w:spacing w:after="0"/>
              <w:rPr>
                <w:sz w:val="20"/>
                <w:szCs w:val="20"/>
                <w:color w:val="auto"/>
              </w:rPr>
            </w:pPr>
            <w:r>
              <w:rPr>
                <w:rFonts w:ascii="Arial" w:cs="Arial" w:eastAsia="Arial" w:hAnsi="Arial"/>
                <w:sz w:val="10"/>
                <w:szCs w:val="10"/>
                <w:color w:val="auto"/>
              </w:rPr>
              <w:t>(36,713)</w:t>
            </w: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color w:val="auto"/>
              </w:rPr>
              <w:t>(46,547)</w:t>
            </w: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color w:val="auto"/>
              </w:rPr>
              <w:t>(56,775)</w:t>
            </w:r>
          </w:p>
        </w:tc>
        <w:tc>
          <w:tcPr>
            <w:tcW w:w="520" w:type="dxa"/>
            <w:vAlign w:val="bottom"/>
            <w:gridSpan w:val="2"/>
            <w:vMerge w:val="restart"/>
          </w:tcPr>
          <w:p>
            <w:pPr>
              <w:jc w:val="right"/>
              <w:spacing w:after="0"/>
              <w:rPr>
                <w:sz w:val="20"/>
                <w:szCs w:val="20"/>
                <w:color w:val="auto"/>
              </w:rPr>
            </w:pPr>
            <w:r>
              <w:rPr>
                <w:rFonts w:ascii="Arial" w:cs="Arial" w:eastAsia="Arial" w:hAnsi="Arial"/>
                <w:sz w:val="10"/>
                <w:szCs w:val="10"/>
                <w:color w:val="auto"/>
              </w:rPr>
              <w:t>(35,062)</w:t>
            </w:r>
          </w:p>
        </w:tc>
        <w:tc>
          <w:tcPr>
            <w:tcW w:w="0" w:type="dxa"/>
            <w:vAlign w:val="bottom"/>
          </w:tcPr>
          <w:p>
            <w:pPr>
              <w:spacing w:after="0"/>
              <w:rPr>
                <w:sz w:val="1"/>
                <w:szCs w:val="1"/>
                <w:color w:val="auto"/>
              </w:rPr>
            </w:pPr>
          </w:p>
        </w:tc>
      </w:tr>
      <w:tr>
        <w:trPr>
          <w:trHeight w:val="134"/>
        </w:trPr>
        <w:tc>
          <w:tcPr>
            <w:tcW w:w="940" w:type="dxa"/>
            <w:vAlign w:val="bottom"/>
          </w:tcPr>
          <w:p>
            <w:pPr>
              <w:ind w:left="140"/>
              <w:spacing w:after="0"/>
              <w:rPr>
                <w:sz w:val="20"/>
                <w:szCs w:val="20"/>
                <w:color w:val="auto"/>
              </w:rPr>
            </w:pPr>
            <w:r>
              <w:rPr>
                <w:rFonts w:ascii="Arial" w:cs="Arial" w:eastAsia="Arial" w:hAnsi="Arial"/>
                <w:sz w:val="10"/>
                <w:szCs w:val="10"/>
                <w:color w:val="auto"/>
                <w:w w:val="98"/>
              </w:rPr>
              <w:t>tax expense</w:t>
            </w:r>
            <w:r>
              <w:rPr>
                <w:rFonts w:ascii="Times New Roman" w:cs="Times New Roman" w:eastAsia="Times New Roman" w:hAnsi="Times New Roman"/>
                <w:sz w:val="10"/>
                <w:szCs w:val="10"/>
                <w:color w:val="B4B4B4"/>
                <w:w w:val="98"/>
              </w:rPr>
              <w:t>..........</w:t>
            </w: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40" w:type="dxa"/>
            <w:vAlign w:val="bottom"/>
            <w:shd w:val="clear" w:color="auto" w:fill="CCEEFF"/>
          </w:tcPr>
          <w:p>
            <w:pPr>
              <w:ind w:left="40"/>
              <w:spacing w:after="0"/>
              <w:rPr>
                <w:sz w:val="20"/>
                <w:szCs w:val="20"/>
                <w:color w:val="auto"/>
              </w:rPr>
            </w:pPr>
            <w:r>
              <w:rPr>
                <w:rFonts w:ascii="Arial" w:cs="Arial" w:eastAsia="Arial" w:hAnsi="Arial"/>
                <w:sz w:val="10"/>
                <w:szCs w:val="10"/>
                <w:color w:val="auto"/>
                <w:w w:val="98"/>
              </w:rPr>
              <w:t>Income tax expense</w:t>
            </w:r>
          </w:p>
        </w:tc>
        <w:tc>
          <w:tcPr>
            <w:tcW w:w="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688</w:t>
            </w: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color w:val="auto"/>
              </w:rPr>
              <w:t>1,700</w:t>
            </w:r>
          </w:p>
        </w:tc>
        <w:tc>
          <w:tcPr>
            <w:tcW w:w="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1,562</w:t>
            </w: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0"/>
                <w:szCs w:val="10"/>
                <w:color w:val="auto"/>
              </w:rPr>
              <w:t>1,478</w:t>
            </w:r>
          </w:p>
        </w:tc>
        <w:tc>
          <w:tcPr>
            <w:tcW w:w="2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0"/>
                <w:szCs w:val="10"/>
                <w:color w:val="auto"/>
              </w:rPr>
              <w:t>2,202</w:t>
            </w:r>
          </w:p>
        </w:tc>
        <w:tc>
          <w:tcPr>
            <w:tcW w:w="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2,094</w:t>
            </w:r>
          </w:p>
        </w:tc>
        <w:tc>
          <w:tcPr>
            <w:tcW w:w="4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color w:val="auto"/>
              </w:rPr>
              <w:t>5,169</w:t>
            </w:r>
          </w:p>
        </w:tc>
        <w:tc>
          <w:tcPr>
            <w:tcW w:w="2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105</w:t>
            </w:r>
          </w:p>
        </w:tc>
        <w:tc>
          <w:tcPr>
            <w:tcW w:w="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4,482</w:t>
            </w:r>
          </w:p>
        </w:tc>
        <w:tc>
          <w:tcPr>
            <w:tcW w:w="4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color w:val="auto"/>
              </w:rPr>
              <w:t>3,561</w:t>
            </w:r>
          </w:p>
        </w:tc>
        <w:tc>
          <w:tcPr>
            <w:tcW w:w="0" w:type="dxa"/>
            <w:vAlign w:val="bottom"/>
          </w:tcPr>
          <w:p>
            <w:pPr>
              <w:spacing w:after="0"/>
              <w:rPr>
                <w:sz w:val="1"/>
                <w:szCs w:val="1"/>
                <w:color w:val="auto"/>
              </w:rPr>
            </w:pPr>
          </w:p>
        </w:tc>
      </w:tr>
      <w:tr>
        <w:trPr>
          <w:trHeight w:val="132"/>
        </w:trPr>
        <w:tc>
          <w:tcPr>
            <w:tcW w:w="940" w:type="dxa"/>
            <w:vAlign w:val="bottom"/>
          </w:tcPr>
          <w:p>
            <w:pPr>
              <w:ind w:left="40"/>
              <w:spacing w:after="0" w:line="114" w:lineRule="exact"/>
              <w:rPr>
                <w:sz w:val="20"/>
                <w:szCs w:val="20"/>
                <w:color w:val="auto"/>
              </w:rPr>
            </w:pPr>
            <w:r>
              <w:rPr>
                <w:rFonts w:ascii="Arial" w:cs="Arial" w:eastAsia="Arial" w:hAnsi="Arial"/>
                <w:sz w:val="10"/>
                <w:szCs w:val="10"/>
                <w:color w:val="auto"/>
                <w:w w:val="96"/>
              </w:rPr>
              <w:t>Net loss</w:t>
            </w:r>
            <w:r>
              <w:rPr>
                <w:rFonts w:ascii="Times New Roman" w:cs="Times New Roman" w:eastAsia="Times New Roman" w:hAnsi="Times New Roman"/>
                <w:sz w:val="10"/>
                <w:szCs w:val="10"/>
                <w:color w:val="B4B4B4"/>
                <w:w w:val="96"/>
              </w:rPr>
              <w:t>......................</w:t>
            </w:r>
          </w:p>
        </w:tc>
        <w:tc>
          <w:tcPr>
            <w:tcW w:w="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3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w w:val="96"/>
              </w:rPr>
              <w:t>(70,083)</w:t>
            </w:r>
          </w:p>
        </w:tc>
        <w:tc>
          <w:tcPr>
            <w:tcW w:w="4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3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w w:val="91"/>
              </w:rPr>
              <w:t>(82,821)</w:t>
            </w:r>
          </w:p>
        </w:tc>
        <w:tc>
          <w:tcPr>
            <w:tcW w:w="40" w:type="dxa"/>
            <w:vAlign w:val="bottom"/>
          </w:tcPr>
          <w:p>
            <w:pPr>
              <w:spacing w:after="0"/>
              <w:rPr>
                <w:sz w:val="11"/>
                <w:szCs w:val="11"/>
                <w:color w:val="auto"/>
              </w:rPr>
            </w:pPr>
          </w:p>
        </w:tc>
        <w:tc>
          <w:tcPr>
            <w:tcW w:w="4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w w:val="92"/>
              </w:rPr>
              <w:t>$ (92,816)</w:t>
            </w:r>
          </w:p>
        </w:tc>
        <w:tc>
          <w:tcPr>
            <w:tcW w:w="40" w:type="dxa"/>
            <w:vAlign w:val="bottom"/>
          </w:tcPr>
          <w:p>
            <w:pPr>
              <w:spacing w:after="0"/>
              <w:rPr>
                <w:sz w:val="11"/>
                <w:szCs w:val="11"/>
                <w:color w:val="auto"/>
              </w:rPr>
            </w:pPr>
          </w:p>
        </w:tc>
        <w:tc>
          <w:tcPr>
            <w:tcW w:w="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4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w w:val="96"/>
              </w:rPr>
              <w:t>(85,832)</w:t>
            </w:r>
          </w:p>
        </w:tc>
        <w:tc>
          <w:tcPr>
            <w:tcW w:w="20" w:type="dxa"/>
            <w:vAlign w:val="bottom"/>
          </w:tcPr>
          <w:p>
            <w:pPr>
              <w:spacing w:after="0"/>
              <w:rPr>
                <w:sz w:val="11"/>
                <w:szCs w:val="11"/>
                <w:color w:val="auto"/>
              </w:rPr>
            </w:pPr>
          </w:p>
        </w:tc>
        <w:tc>
          <w:tcPr>
            <w:tcW w:w="4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w w:val="96"/>
              </w:rPr>
              <w:t>$ (49,630)</w:t>
            </w:r>
          </w:p>
        </w:tc>
        <w:tc>
          <w:tcPr>
            <w:tcW w:w="40" w:type="dxa"/>
            <w:vAlign w:val="bottom"/>
          </w:tcPr>
          <w:p>
            <w:pPr>
              <w:spacing w:after="0"/>
              <w:rPr>
                <w:sz w:val="11"/>
                <w:szCs w:val="11"/>
                <w:color w:val="auto"/>
              </w:rPr>
            </w:pPr>
          </w:p>
        </w:tc>
        <w:tc>
          <w:tcPr>
            <w:tcW w:w="4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w w:val="92"/>
              </w:rPr>
              <w:t>$ (42,914)</w:t>
            </w:r>
          </w:p>
        </w:tc>
        <w:tc>
          <w:tcPr>
            <w:tcW w:w="40" w:type="dxa"/>
            <w:vAlign w:val="bottom"/>
          </w:tcPr>
          <w:p>
            <w:pPr>
              <w:spacing w:after="0"/>
              <w:rPr>
                <w:sz w:val="11"/>
                <w:szCs w:val="11"/>
                <w:color w:val="auto"/>
              </w:rPr>
            </w:pPr>
          </w:p>
        </w:tc>
        <w:tc>
          <w:tcPr>
            <w:tcW w:w="4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w w:val="96"/>
              </w:rPr>
              <w:t>$ (41,882)</w:t>
            </w:r>
          </w:p>
        </w:tc>
        <w:tc>
          <w:tcPr>
            <w:tcW w:w="20" w:type="dxa"/>
            <w:vAlign w:val="bottom"/>
          </w:tcPr>
          <w:p>
            <w:pPr>
              <w:spacing w:after="0"/>
              <w:rPr>
                <w:sz w:val="11"/>
                <w:szCs w:val="11"/>
                <w:color w:val="auto"/>
              </w:rPr>
            </w:pPr>
          </w:p>
        </w:tc>
        <w:tc>
          <w:tcPr>
            <w:tcW w:w="4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w w:val="96"/>
              </w:rPr>
              <w:t>$ (46,652)</w:t>
            </w:r>
          </w:p>
        </w:tc>
        <w:tc>
          <w:tcPr>
            <w:tcW w:w="40" w:type="dxa"/>
            <w:vAlign w:val="bottom"/>
          </w:tcPr>
          <w:p>
            <w:pPr>
              <w:spacing w:after="0"/>
              <w:rPr>
                <w:sz w:val="11"/>
                <w:szCs w:val="11"/>
                <w:color w:val="auto"/>
              </w:rPr>
            </w:pPr>
          </w:p>
        </w:tc>
        <w:tc>
          <w:tcPr>
            <w:tcW w:w="4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w w:val="92"/>
              </w:rPr>
              <w:t>$ (61,257)</w:t>
            </w:r>
          </w:p>
        </w:tc>
        <w:tc>
          <w:tcPr>
            <w:tcW w:w="40" w:type="dxa"/>
            <w:vAlign w:val="bottom"/>
          </w:tcPr>
          <w:p>
            <w:pPr>
              <w:spacing w:after="0"/>
              <w:rPr>
                <w:sz w:val="11"/>
                <w:szCs w:val="11"/>
                <w:color w:val="auto"/>
              </w:rPr>
            </w:pPr>
          </w:p>
        </w:tc>
        <w:tc>
          <w:tcPr>
            <w:tcW w:w="4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w w:val="96"/>
              </w:rPr>
              <w:t>$ (38,623)</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Quarterly Consolidated Statements of Operations, as a Percentage of Revenue</w:t>
      </w:r>
    </w:p>
    <w:p>
      <w:pPr>
        <w:spacing w:after="0" w:line="194" w:lineRule="exact"/>
        <w:rPr>
          <w:sz w:val="20"/>
          <w:szCs w:val="20"/>
          <w:color w:val="auto"/>
        </w:rPr>
      </w:pPr>
    </w:p>
    <w:tbl>
      <w:tblPr>
        <w:tblLayout w:type="fixed"/>
        <w:tblInd w:w="1520" w:type="dxa"/>
        <w:tblCellMar>
          <w:top w:w="0" w:type="dxa"/>
          <w:left w:w="0" w:type="dxa"/>
          <w:bottom w:w="0" w:type="dxa"/>
          <w:right w:w="0" w:type="dxa"/>
        </w:tblCellMar>
      </w:tblPr>
      <w:tr>
        <w:trPr>
          <w:trHeight w:val="110"/>
        </w:trPr>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8"/>
                <w:szCs w:val="8"/>
                <w:b w:val="1"/>
                <w:bCs w:val="1"/>
                <w:color w:val="auto"/>
              </w:rPr>
              <w:t>Three Months Ended</w:t>
            </w: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gridSpan w:val="4"/>
            <w:vMerge w:val="restart"/>
          </w:tcPr>
          <w:p>
            <w:pPr>
              <w:jc w:val="center"/>
              <w:ind w:right="15"/>
              <w:spacing w:after="0"/>
              <w:rPr>
                <w:sz w:val="20"/>
                <w:szCs w:val="20"/>
                <w:color w:val="auto"/>
              </w:rPr>
            </w:pPr>
            <w:r>
              <w:rPr>
                <w:rFonts w:ascii="Arial" w:cs="Arial" w:eastAsia="Arial" w:hAnsi="Arial"/>
                <w:sz w:val="8"/>
                <w:szCs w:val="8"/>
                <w:b w:val="1"/>
                <w:bCs w:val="1"/>
                <w:color w:val="auto"/>
                <w:w w:val="94"/>
              </w:rPr>
              <w:t>April 30,</w:t>
            </w:r>
          </w:p>
        </w:tc>
        <w:tc>
          <w:tcPr>
            <w:tcW w:w="360" w:type="dxa"/>
            <w:vAlign w:val="bottom"/>
            <w:gridSpan w:val="3"/>
            <w:vMerge w:val="restart"/>
          </w:tcPr>
          <w:p>
            <w:pPr>
              <w:jc w:val="right"/>
              <w:spacing w:after="0"/>
              <w:rPr>
                <w:sz w:val="20"/>
                <w:szCs w:val="20"/>
                <w:color w:val="auto"/>
              </w:rPr>
            </w:pPr>
            <w:r>
              <w:rPr>
                <w:rFonts w:ascii="Arial" w:cs="Arial" w:eastAsia="Arial" w:hAnsi="Arial"/>
                <w:sz w:val="8"/>
                <w:szCs w:val="8"/>
                <w:b w:val="1"/>
                <w:bCs w:val="1"/>
                <w:color w:val="auto"/>
              </w:rPr>
              <w:t>July 31,</w:t>
            </w:r>
          </w:p>
        </w:tc>
        <w:tc>
          <w:tcPr>
            <w:tcW w:w="120" w:type="dxa"/>
            <w:vAlign w:val="bottom"/>
          </w:tcPr>
          <w:p>
            <w:pPr>
              <w:spacing w:after="0"/>
              <w:rPr>
                <w:sz w:val="7"/>
                <w:szCs w:val="7"/>
                <w:color w:val="auto"/>
              </w:rPr>
            </w:pPr>
          </w:p>
        </w:tc>
        <w:tc>
          <w:tcPr>
            <w:tcW w:w="380" w:type="dxa"/>
            <w:vAlign w:val="bottom"/>
            <w:gridSpan w:val="3"/>
          </w:tcPr>
          <w:p>
            <w:pPr>
              <w:ind w:left="80"/>
              <w:spacing w:after="0" w:line="91" w:lineRule="exact"/>
              <w:rPr>
                <w:sz w:val="20"/>
                <w:szCs w:val="20"/>
                <w:color w:val="auto"/>
              </w:rPr>
            </w:pPr>
            <w:r>
              <w:rPr>
                <w:rFonts w:ascii="Arial" w:cs="Arial" w:eastAsia="Arial" w:hAnsi="Arial"/>
                <w:sz w:val="8"/>
                <w:szCs w:val="8"/>
                <w:b w:val="1"/>
                <w:bCs w:val="1"/>
                <w:color w:val="auto"/>
                <w:w w:val="91"/>
              </w:rPr>
              <w:t>October</w:t>
            </w:r>
          </w:p>
        </w:tc>
        <w:tc>
          <w:tcPr>
            <w:tcW w:w="120" w:type="dxa"/>
            <w:vAlign w:val="bottom"/>
          </w:tcPr>
          <w:p>
            <w:pPr>
              <w:spacing w:after="0"/>
              <w:rPr>
                <w:sz w:val="7"/>
                <w:szCs w:val="7"/>
                <w:color w:val="auto"/>
              </w:rPr>
            </w:pPr>
          </w:p>
        </w:tc>
        <w:tc>
          <w:tcPr>
            <w:tcW w:w="360" w:type="dxa"/>
            <w:vAlign w:val="bottom"/>
            <w:gridSpan w:val="2"/>
          </w:tcPr>
          <w:p>
            <w:pPr>
              <w:jc w:val="center"/>
              <w:ind w:left="35"/>
              <w:spacing w:after="0" w:line="91" w:lineRule="exact"/>
              <w:rPr>
                <w:sz w:val="20"/>
                <w:szCs w:val="20"/>
                <w:color w:val="auto"/>
              </w:rPr>
            </w:pPr>
            <w:r>
              <w:rPr>
                <w:rFonts w:ascii="Arial" w:cs="Arial" w:eastAsia="Arial" w:hAnsi="Arial"/>
                <w:sz w:val="8"/>
                <w:szCs w:val="8"/>
                <w:b w:val="1"/>
                <w:bCs w:val="1"/>
                <w:color w:val="auto"/>
                <w:w w:val="91"/>
              </w:rPr>
              <w:t>January</w:t>
            </w:r>
          </w:p>
        </w:tc>
        <w:tc>
          <w:tcPr>
            <w:tcW w:w="120" w:type="dxa"/>
            <w:vAlign w:val="bottom"/>
          </w:tcPr>
          <w:p>
            <w:pPr>
              <w:spacing w:after="0"/>
              <w:rPr>
                <w:sz w:val="7"/>
                <w:szCs w:val="7"/>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8"/>
                <w:szCs w:val="8"/>
                <w:b w:val="1"/>
                <w:bCs w:val="1"/>
                <w:color w:val="auto"/>
              </w:rPr>
              <w:t>April 30,</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8"/>
                <w:szCs w:val="8"/>
                <w:b w:val="1"/>
                <w:bCs w:val="1"/>
                <w:color w:val="auto"/>
              </w:rPr>
              <w:t>July 31,</w:t>
            </w:r>
          </w:p>
        </w:tc>
        <w:tc>
          <w:tcPr>
            <w:tcW w:w="480" w:type="dxa"/>
            <w:vAlign w:val="bottom"/>
            <w:gridSpan w:val="2"/>
          </w:tcPr>
          <w:p>
            <w:pPr>
              <w:jc w:val="center"/>
              <w:ind w:right="40"/>
              <w:spacing w:after="0" w:line="91" w:lineRule="exact"/>
              <w:rPr>
                <w:sz w:val="20"/>
                <w:szCs w:val="20"/>
                <w:color w:val="auto"/>
              </w:rPr>
            </w:pPr>
            <w:r>
              <w:rPr>
                <w:rFonts w:ascii="Arial" w:cs="Arial" w:eastAsia="Arial" w:hAnsi="Arial"/>
                <w:sz w:val="8"/>
                <w:szCs w:val="8"/>
                <w:b w:val="1"/>
                <w:bCs w:val="1"/>
                <w:color w:val="auto"/>
                <w:w w:val="91"/>
              </w:rPr>
              <w:t>October</w:t>
            </w:r>
          </w:p>
        </w:tc>
        <w:tc>
          <w:tcPr>
            <w:tcW w:w="50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7"/>
              </w:rPr>
              <w:t>January</w:t>
            </w:r>
          </w:p>
        </w:tc>
        <w:tc>
          <w:tcPr>
            <w:tcW w:w="480" w:type="dxa"/>
            <w:vAlign w:val="bottom"/>
            <w:vMerge w:val="restart"/>
          </w:tcPr>
          <w:p>
            <w:pPr>
              <w:jc w:val="right"/>
              <w:ind w:right="74"/>
              <w:spacing w:after="0"/>
              <w:rPr>
                <w:sz w:val="20"/>
                <w:szCs w:val="20"/>
                <w:color w:val="auto"/>
              </w:rPr>
            </w:pPr>
            <w:r>
              <w:rPr>
                <w:rFonts w:ascii="Arial" w:cs="Arial" w:eastAsia="Arial" w:hAnsi="Arial"/>
                <w:sz w:val="8"/>
                <w:szCs w:val="8"/>
                <w:b w:val="1"/>
                <w:bCs w:val="1"/>
                <w:color w:val="auto"/>
              </w:rPr>
              <w:t>April 30,</w:t>
            </w:r>
          </w:p>
        </w:tc>
        <w:tc>
          <w:tcPr>
            <w:tcW w:w="46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95"/>
              </w:rPr>
              <w:t>July 31,</w:t>
            </w: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3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8"/>
                <w:szCs w:val="8"/>
                <w:b w:val="1"/>
                <w:bCs w:val="1"/>
                <w:color w:val="auto"/>
              </w:rPr>
              <w:t>31,</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jc w:val="center"/>
              <w:ind w:left="35"/>
              <w:spacing w:after="0"/>
              <w:rPr>
                <w:sz w:val="20"/>
                <w:szCs w:val="20"/>
                <w:color w:val="auto"/>
              </w:rPr>
            </w:pPr>
            <w:r>
              <w:rPr>
                <w:rFonts w:ascii="Arial" w:cs="Arial" w:eastAsia="Arial" w:hAnsi="Arial"/>
                <w:sz w:val="8"/>
                <w:szCs w:val="8"/>
                <w:b w:val="1"/>
                <w:bCs w:val="1"/>
                <w:color w:val="auto"/>
                <w:w w:val="89"/>
              </w:rPr>
              <w:t>31,</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400" w:type="dxa"/>
            <w:vAlign w:val="bottom"/>
          </w:tcPr>
          <w:p>
            <w:pPr>
              <w:jc w:val="center"/>
              <w:spacing w:after="0"/>
              <w:rPr>
                <w:sz w:val="20"/>
                <w:szCs w:val="20"/>
                <w:color w:val="auto"/>
              </w:rPr>
            </w:pPr>
            <w:r>
              <w:rPr>
                <w:rFonts w:ascii="Arial" w:cs="Arial" w:eastAsia="Arial" w:hAnsi="Arial"/>
                <w:sz w:val="8"/>
                <w:szCs w:val="8"/>
                <w:b w:val="1"/>
                <w:bCs w:val="1"/>
                <w:color w:val="auto"/>
                <w:w w:val="89"/>
              </w:rPr>
              <w:t>31,</w:t>
            </w:r>
          </w:p>
        </w:tc>
        <w:tc>
          <w:tcPr>
            <w:tcW w:w="80" w:type="dxa"/>
            <w:vAlign w:val="bottom"/>
          </w:tcPr>
          <w:p>
            <w:pPr>
              <w:spacing w:after="0"/>
              <w:rPr>
                <w:sz w:val="9"/>
                <w:szCs w:val="9"/>
                <w:color w:val="auto"/>
              </w:rPr>
            </w:pPr>
          </w:p>
        </w:tc>
        <w:tc>
          <w:tcPr>
            <w:tcW w:w="500" w:type="dxa"/>
            <w:vAlign w:val="bottom"/>
          </w:tcPr>
          <w:p>
            <w:pPr>
              <w:jc w:val="center"/>
              <w:ind w:right="15"/>
              <w:spacing w:after="0"/>
              <w:rPr>
                <w:sz w:val="20"/>
                <w:szCs w:val="20"/>
                <w:color w:val="auto"/>
              </w:rPr>
            </w:pPr>
            <w:r>
              <w:rPr>
                <w:rFonts w:ascii="Arial" w:cs="Arial" w:eastAsia="Arial" w:hAnsi="Arial"/>
                <w:sz w:val="8"/>
                <w:szCs w:val="8"/>
                <w:b w:val="1"/>
                <w:bCs w:val="1"/>
                <w:color w:val="auto"/>
              </w:rPr>
              <w:t>31,</w:t>
            </w:r>
          </w:p>
        </w:tc>
        <w:tc>
          <w:tcPr>
            <w:tcW w:w="4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gridSpan w:val="2"/>
          </w:tcPr>
          <w:p>
            <w:pPr>
              <w:jc w:val="right"/>
              <w:spacing w:after="0"/>
              <w:rPr>
                <w:sz w:val="20"/>
                <w:szCs w:val="20"/>
                <w:color w:val="auto"/>
              </w:rPr>
            </w:pPr>
            <w:r>
              <w:rPr>
                <w:rFonts w:ascii="Arial" w:cs="Arial" w:eastAsia="Arial" w:hAnsi="Arial"/>
                <w:sz w:val="8"/>
                <w:szCs w:val="8"/>
                <w:b w:val="1"/>
                <w:bCs w:val="1"/>
                <w:color w:val="auto"/>
              </w:rPr>
              <w:t>2023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8"/>
                <w:szCs w:val="8"/>
                <w:b w:val="1"/>
                <w:bCs w:val="1"/>
                <w:color w:val="auto"/>
              </w:rPr>
              <w:t>2023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8"/>
                <w:szCs w:val="8"/>
                <w:b w:val="1"/>
                <w:bCs w:val="1"/>
                <w:color w:val="auto"/>
              </w:rPr>
              <w:t>2023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center"/>
              <w:ind w:left="35"/>
              <w:spacing w:after="0"/>
              <w:rPr>
                <w:sz w:val="20"/>
                <w:szCs w:val="20"/>
                <w:color w:val="auto"/>
              </w:rPr>
            </w:pPr>
            <w:r>
              <w:rPr>
                <w:rFonts w:ascii="Arial" w:cs="Arial" w:eastAsia="Arial" w:hAnsi="Arial"/>
                <w:sz w:val="8"/>
                <w:szCs w:val="8"/>
                <w:b w:val="1"/>
                <w:bCs w:val="1"/>
                <w:color w:val="auto"/>
              </w:rPr>
              <w:t>2024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ind w:right="15"/>
              <w:spacing w:after="0"/>
              <w:rPr>
                <w:sz w:val="20"/>
                <w:szCs w:val="20"/>
                <w:color w:val="auto"/>
              </w:rPr>
            </w:pPr>
            <w:r>
              <w:rPr>
                <w:rFonts w:ascii="Arial" w:cs="Arial" w:eastAsia="Arial" w:hAnsi="Arial"/>
                <w:sz w:val="8"/>
                <w:szCs w:val="8"/>
                <w:b w:val="1"/>
                <w:bCs w:val="1"/>
                <w:color w:val="auto"/>
              </w:rPr>
              <w:t>2024</w:t>
            </w:r>
          </w:p>
        </w:tc>
        <w:tc>
          <w:tcPr>
            <w:tcW w:w="140" w:type="dxa"/>
            <w:vAlign w:val="bottom"/>
          </w:tcPr>
          <w:p>
            <w:pPr>
              <w:spacing w:after="0"/>
              <w:rPr>
                <w:sz w:val="12"/>
                <w:szCs w:val="12"/>
                <w:color w:val="auto"/>
              </w:rPr>
            </w:pPr>
          </w:p>
        </w:tc>
        <w:tc>
          <w:tcPr>
            <w:tcW w:w="360" w:type="dxa"/>
            <w:vAlign w:val="bottom"/>
          </w:tcPr>
          <w:p>
            <w:pPr>
              <w:jc w:val="right"/>
              <w:ind w:right="14"/>
              <w:spacing w:after="0"/>
              <w:rPr>
                <w:sz w:val="20"/>
                <w:szCs w:val="20"/>
                <w:color w:val="auto"/>
              </w:rPr>
            </w:pPr>
            <w:r>
              <w:rPr>
                <w:rFonts w:ascii="Arial" w:cs="Arial" w:eastAsia="Arial" w:hAnsi="Arial"/>
                <w:sz w:val="8"/>
                <w:szCs w:val="8"/>
                <w:b w:val="1"/>
                <w:bCs w:val="1"/>
                <w:color w:val="auto"/>
              </w:rPr>
              <w:t>2024</w:t>
            </w:r>
          </w:p>
        </w:tc>
        <w:tc>
          <w:tcPr>
            <w:tcW w:w="120" w:type="dxa"/>
            <w:vAlign w:val="bottom"/>
          </w:tcPr>
          <w:p>
            <w:pPr>
              <w:spacing w:after="0"/>
              <w:rPr>
                <w:sz w:val="12"/>
                <w:szCs w:val="12"/>
                <w:color w:val="auto"/>
              </w:rPr>
            </w:pPr>
          </w:p>
        </w:tc>
        <w:tc>
          <w:tcPr>
            <w:tcW w:w="400" w:type="dxa"/>
            <w:vAlign w:val="bottom"/>
          </w:tcPr>
          <w:p>
            <w:pPr>
              <w:jc w:val="center"/>
              <w:spacing w:after="0"/>
              <w:rPr>
                <w:sz w:val="20"/>
                <w:szCs w:val="20"/>
                <w:color w:val="auto"/>
              </w:rPr>
            </w:pPr>
            <w:r>
              <w:rPr>
                <w:rFonts w:ascii="Arial" w:cs="Arial" w:eastAsia="Arial" w:hAnsi="Arial"/>
                <w:sz w:val="8"/>
                <w:szCs w:val="8"/>
                <w:b w:val="1"/>
                <w:bCs w:val="1"/>
                <w:color w:val="auto"/>
                <w:w w:val="89"/>
              </w:rPr>
              <w:t>2024</w:t>
            </w:r>
          </w:p>
        </w:tc>
        <w:tc>
          <w:tcPr>
            <w:tcW w:w="8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8"/>
                <w:szCs w:val="8"/>
                <w:b w:val="1"/>
                <w:bCs w:val="1"/>
                <w:color w:val="auto"/>
              </w:rPr>
              <w:t>2025</w:t>
            </w:r>
          </w:p>
        </w:tc>
        <w:tc>
          <w:tcPr>
            <w:tcW w:w="480" w:type="dxa"/>
            <w:vAlign w:val="bottom"/>
          </w:tcPr>
          <w:p>
            <w:pPr>
              <w:jc w:val="right"/>
              <w:ind w:right="134"/>
              <w:spacing w:after="0"/>
              <w:rPr>
                <w:sz w:val="20"/>
                <w:szCs w:val="20"/>
                <w:color w:val="auto"/>
              </w:rPr>
            </w:pPr>
            <w:r>
              <w:rPr>
                <w:rFonts w:ascii="Arial" w:cs="Arial" w:eastAsia="Arial" w:hAnsi="Arial"/>
                <w:sz w:val="8"/>
                <w:szCs w:val="8"/>
                <w:b w:val="1"/>
                <w:bCs w:val="1"/>
                <w:color w:val="auto"/>
              </w:rPr>
              <w:t>2025</w:t>
            </w:r>
          </w:p>
        </w:tc>
        <w:tc>
          <w:tcPr>
            <w:tcW w:w="460" w:type="dxa"/>
            <w:vAlign w:val="bottom"/>
          </w:tcPr>
          <w:p>
            <w:pPr>
              <w:jc w:val="center"/>
              <w:spacing w:after="0"/>
              <w:rPr>
                <w:sz w:val="20"/>
                <w:szCs w:val="20"/>
                <w:color w:val="auto"/>
              </w:rPr>
            </w:pPr>
            <w:r>
              <w:rPr>
                <w:rFonts w:ascii="Arial" w:cs="Arial" w:eastAsia="Arial" w:hAnsi="Arial"/>
                <w:sz w:val="8"/>
                <w:szCs w:val="8"/>
                <w:b w:val="1"/>
                <w:bCs w:val="1"/>
                <w:color w:val="auto"/>
                <w:w w:val="89"/>
              </w:rPr>
              <w:t>2025</w:t>
            </w:r>
          </w:p>
        </w:tc>
        <w:tc>
          <w:tcPr>
            <w:tcW w:w="0" w:type="dxa"/>
            <w:vAlign w:val="bottom"/>
          </w:tcPr>
          <w:p>
            <w:pPr>
              <w:spacing w:after="0"/>
              <w:rPr>
                <w:sz w:val="1"/>
                <w:szCs w:val="1"/>
                <w:color w:val="auto"/>
              </w:rPr>
            </w:pPr>
          </w:p>
        </w:tc>
      </w:tr>
      <w:tr>
        <w:trPr>
          <w:trHeight w:val="20"/>
        </w:trPr>
        <w:tc>
          <w:tcPr>
            <w:tcW w:w="1080" w:type="dxa"/>
            <w:vAlign w:val="bottom"/>
            <w:gridSpan w:val="2"/>
            <w:vMerge w:val="restart"/>
            <w:shd w:val="clear" w:color="auto" w:fill="CCEEFF"/>
          </w:tcPr>
          <w:p>
            <w:pPr>
              <w:ind w:left="40"/>
              <w:spacing w:after="0"/>
              <w:rPr>
                <w:sz w:val="20"/>
                <w:szCs w:val="20"/>
                <w:color w:val="auto"/>
              </w:rPr>
            </w:pPr>
            <w:r>
              <w:rPr>
                <w:rFonts w:ascii="Arial" w:cs="Arial" w:eastAsia="Arial" w:hAnsi="Arial"/>
                <w:sz w:val="10"/>
                <w:szCs w:val="10"/>
                <w:color w:val="auto"/>
                <w:w w:val="90"/>
              </w:rPr>
              <w:t xml:space="preserve">Revenue </w:t>
            </w:r>
            <w:r>
              <w:rPr>
                <w:rFonts w:ascii="Times New Roman" w:cs="Times New Roman" w:eastAsia="Times New Roman" w:hAnsi="Times New Roman"/>
                <w:sz w:val="10"/>
                <w:szCs w:val="10"/>
                <w:color w:val="B4B4B4"/>
                <w:w w:val="90"/>
              </w:rPr>
              <w:t>............................</w:t>
            </w: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9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gridSpan w:val="4"/>
            <w:shd w:val="clear" w:color="auto" w:fill="CCEEFF"/>
          </w:tcPr>
          <w:p>
            <w:pPr>
              <w:jc w:val="right"/>
              <w:ind w:right="15"/>
              <w:spacing w:after="0"/>
              <w:rPr>
                <w:sz w:val="20"/>
                <w:szCs w:val="20"/>
                <w:color w:val="auto"/>
              </w:rPr>
            </w:pPr>
            <w:r>
              <w:rPr>
                <w:rFonts w:ascii="Arial" w:cs="Arial" w:eastAsia="Arial" w:hAnsi="Arial"/>
                <w:sz w:val="10"/>
                <w:szCs w:val="10"/>
                <w:color w:val="auto"/>
              </w:rPr>
              <w:t>100 %</w:t>
            </w:r>
          </w:p>
        </w:tc>
        <w:tc>
          <w:tcPr>
            <w:tcW w:w="4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0"/>
                <w:szCs w:val="10"/>
                <w:color w:val="auto"/>
              </w:rPr>
              <w:t>100 %</w:t>
            </w:r>
          </w:p>
        </w:tc>
        <w:tc>
          <w:tcPr>
            <w:tcW w:w="500" w:type="dxa"/>
            <w:vAlign w:val="bottom"/>
            <w:tcBorders>
              <w:right w:val="single" w:sz="8" w:color="CCEEFF"/>
            </w:tcBorders>
            <w:gridSpan w:val="4"/>
            <w:shd w:val="clear" w:color="auto" w:fill="CCEEFF"/>
          </w:tcPr>
          <w:p>
            <w:pPr>
              <w:jc w:val="right"/>
              <w:ind w:right="12"/>
              <w:spacing w:after="0"/>
              <w:rPr>
                <w:sz w:val="20"/>
                <w:szCs w:val="20"/>
                <w:color w:val="auto"/>
              </w:rPr>
            </w:pPr>
            <w:r>
              <w:rPr>
                <w:rFonts w:ascii="Arial" w:cs="Arial" w:eastAsia="Arial" w:hAnsi="Arial"/>
                <w:sz w:val="10"/>
                <w:szCs w:val="10"/>
                <w:color w:val="auto"/>
              </w:rPr>
              <w:t>100 %</w:t>
            </w:r>
          </w:p>
        </w:tc>
        <w:tc>
          <w:tcPr>
            <w:tcW w:w="4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0"/>
                <w:szCs w:val="10"/>
                <w:color w:val="auto"/>
              </w:rPr>
              <w:t>100 %</w:t>
            </w:r>
          </w:p>
        </w:tc>
        <w:tc>
          <w:tcPr>
            <w:tcW w:w="5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100 %</w:t>
            </w:r>
          </w:p>
        </w:tc>
        <w:tc>
          <w:tcPr>
            <w:tcW w:w="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100 %</w:t>
            </w:r>
          </w:p>
        </w:tc>
        <w:tc>
          <w:tcPr>
            <w:tcW w:w="4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100 %</w:t>
            </w:r>
          </w:p>
        </w:tc>
        <w:tc>
          <w:tcPr>
            <w:tcW w:w="50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0"/>
                <w:szCs w:val="10"/>
                <w:color w:val="auto"/>
              </w:rPr>
              <w:t>100 %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100 %</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44"/>
        </w:trPr>
        <w:tc>
          <w:tcPr>
            <w:tcW w:w="1080" w:type="dxa"/>
            <w:vAlign w:val="bottom"/>
            <w:gridSpan w:val="2"/>
          </w:tcPr>
          <w:p>
            <w:pPr>
              <w:ind w:left="40"/>
              <w:spacing w:after="0"/>
              <w:rPr>
                <w:sz w:val="20"/>
                <w:szCs w:val="20"/>
                <w:color w:val="auto"/>
              </w:rPr>
            </w:pPr>
            <w:r>
              <w:rPr>
                <w:rFonts w:ascii="Arial" w:cs="Arial" w:eastAsia="Arial" w:hAnsi="Arial"/>
                <w:sz w:val="10"/>
                <w:szCs w:val="10"/>
                <w:color w:val="auto"/>
                <w:w w:val="92"/>
              </w:rPr>
              <w:t>Cost of revenue</w:t>
            </w:r>
            <w:r>
              <w:rPr>
                <w:rFonts w:ascii="Times New Roman" w:cs="Times New Roman" w:eastAsia="Times New Roman" w:hAnsi="Times New Roman"/>
                <w:sz w:val="10"/>
                <w:szCs w:val="10"/>
                <w:color w:val="B4B4B4"/>
                <w:w w:val="92"/>
              </w:rPr>
              <w:t>................</w:t>
            </w:r>
          </w:p>
        </w:tc>
        <w:tc>
          <w:tcPr>
            <w:tcW w:w="60" w:type="dxa"/>
            <w:vAlign w:val="bottom"/>
          </w:tcPr>
          <w:p>
            <w:pPr>
              <w:spacing w:after="0"/>
              <w:rPr>
                <w:sz w:val="12"/>
                <w:szCs w:val="12"/>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0"/>
                <w:szCs w:val="10"/>
                <w:color w:val="auto"/>
              </w:rPr>
              <w:t>44</w:t>
            </w:r>
          </w:p>
        </w:tc>
        <w:tc>
          <w:tcPr>
            <w:tcW w:w="160" w:type="dxa"/>
            <w:vAlign w:val="bottom"/>
          </w:tcPr>
          <w:p>
            <w:pPr>
              <w:spacing w:after="0"/>
              <w:rPr>
                <w:sz w:val="12"/>
                <w:szCs w:val="12"/>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0"/>
                <w:szCs w:val="10"/>
                <w:color w:val="auto"/>
              </w:rPr>
              <w:t>40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0"/>
                <w:szCs w:val="10"/>
                <w:color w:val="auto"/>
              </w:rPr>
              <w:t>37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41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34</w:t>
            </w:r>
          </w:p>
        </w:tc>
        <w:tc>
          <w:tcPr>
            <w:tcW w:w="140" w:type="dxa"/>
            <w:vAlign w:val="bottom"/>
          </w:tcPr>
          <w:p>
            <w:pPr>
              <w:spacing w:after="0"/>
              <w:rPr>
                <w:sz w:val="12"/>
                <w:szCs w:val="12"/>
                <w:color w:val="auto"/>
              </w:rPr>
            </w:pPr>
          </w:p>
        </w:tc>
        <w:tc>
          <w:tcPr>
            <w:tcW w:w="360" w:type="dxa"/>
            <w:vAlign w:val="bottom"/>
          </w:tcPr>
          <w:p>
            <w:pPr>
              <w:jc w:val="right"/>
              <w:ind w:right="14"/>
              <w:spacing w:after="0"/>
              <w:rPr>
                <w:sz w:val="20"/>
                <w:szCs w:val="20"/>
                <w:color w:val="auto"/>
              </w:rPr>
            </w:pPr>
            <w:r>
              <w:rPr>
                <w:rFonts w:ascii="Arial" w:cs="Arial" w:eastAsia="Arial" w:hAnsi="Arial"/>
                <w:sz w:val="10"/>
                <w:szCs w:val="10"/>
                <w:color w:val="auto"/>
              </w:rPr>
              <w:t>31</w:t>
            </w:r>
          </w:p>
        </w:tc>
        <w:tc>
          <w:tcPr>
            <w:tcW w:w="120" w:type="dxa"/>
            <w:vAlign w:val="bottom"/>
          </w:tcPr>
          <w:p>
            <w:pPr>
              <w:spacing w:after="0"/>
              <w:rPr>
                <w:sz w:val="12"/>
                <w:szCs w:val="12"/>
                <w:color w:val="auto"/>
              </w:rPr>
            </w:pPr>
          </w:p>
        </w:tc>
        <w:tc>
          <w:tcPr>
            <w:tcW w:w="400" w:type="dxa"/>
            <w:vAlign w:val="bottom"/>
          </w:tcPr>
          <w:p>
            <w:pPr>
              <w:jc w:val="right"/>
              <w:ind w:right="35"/>
              <w:spacing w:after="0"/>
              <w:rPr>
                <w:sz w:val="20"/>
                <w:szCs w:val="20"/>
                <w:color w:val="auto"/>
              </w:rPr>
            </w:pPr>
            <w:r>
              <w:rPr>
                <w:rFonts w:ascii="Arial" w:cs="Arial" w:eastAsia="Arial" w:hAnsi="Arial"/>
                <w:sz w:val="10"/>
                <w:szCs w:val="10"/>
                <w:color w:val="auto"/>
              </w:rPr>
              <w:t>29</w:t>
            </w:r>
          </w:p>
        </w:tc>
        <w:tc>
          <w:tcPr>
            <w:tcW w:w="80" w:type="dxa"/>
            <w:vAlign w:val="bottom"/>
          </w:tcPr>
          <w:p>
            <w:pPr>
              <w:spacing w:after="0"/>
              <w:rPr>
                <w:sz w:val="12"/>
                <w:szCs w:val="12"/>
                <w:color w:val="auto"/>
              </w:rPr>
            </w:pPr>
          </w:p>
        </w:tc>
        <w:tc>
          <w:tcPr>
            <w:tcW w:w="500" w:type="dxa"/>
            <w:vAlign w:val="bottom"/>
          </w:tcPr>
          <w:p>
            <w:pPr>
              <w:jc w:val="right"/>
              <w:ind w:right="135"/>
              <w:spacing w:after="0"/>
              <w:rPr>
                <w:sz w:val="20"/>
                <w:szCs w:val="20"/>
                <w:color w:val="auto"/>
              </w:rPr>
            </w:pPr>
            <w:r>
              <w:rPr>
                <w:rFonts w:ascii="Arial" w:cs="Arial" w:eastAsia="Arial" w:hAnsi="Arial"/>
                <w:sz w:val="10"/>
                <w:szCs w:val="10"/>
                <w:color w:val="auto"/>
              </w:rPr>
              <w:t>32</w:t>
            </w:r>
          </w:p>
        </w:tc>
        <w:tc>
          <w:tcPr>
            <w:tcW w:w="480" w:type="dxa"/>
            <w:vAlign w:val="bottom"/>
          </w:tcPr>
          <w:p>
            <w:pPr>
              <w:jc w:val="right"/>
              <w:ind w:right="114"/>
              <w:spacing w:after="0"/>
              <w:rPr>
                <w:sz w:val="20"/>
                <w:szCs w:val="20"/>
                <w:color w:val="auto"/>
              </w:rPr>
            </w:pPr>
            <w:r>
              <w:rPr>
                <w:rFonts w:ascii="Arial" w:cs="Arial" w:eastAsia="Arial" w:hAnsi="Arial"/>
                <w:sz w:val="10"/>
                <w:szCs w:val="10"/>
                <w:color w:val="auto"/>
              </w:rPr>
              <w:t>29</w:t>
            </w:r>
          </w:p>
        </w:tc>
        <w:tc>
          <w:tcPr>
            <w:tcW w:w="460" w:type="dxa"/>
            <w:vAlign w:val="bottom"/>
          </w:tcPr>
          <w:p>
            <w:pPr>
              <w:jc w:val="right"/>
              <w:ind w:right="94"/>
              <w:spacing w:after="0"/>
              <w:rPr>
                <w:sz w:val="20"/>
                <w:szCs w:val="20"/>
                <w:color w:val="auto"/>
              </w:rPr>
            </w:pPr>
            <w:r>
              <w:rPr>
                <w:rFonts w:ascii="Arial" w:cs="Arial" w:eastAsia="Arial" w:hAnsi="Arial"/>
                <w:sz w:val="10"/>
                <w:szCs w:val="10"/>
                <w:color w:val="auto"/>
              </w:rPr>
              <w:t>27</w:t>
            </w:r>
          </w:p>
        </w:tc>
        <w:tc>
          <w:tcPr>
            <w:tcW w:w="0" w:type="dxa"/>
            <w:vAlign w:val="bottom"/>
          </w:tcPr>
          <w:p>
            <w:pPr>
              <w:spacing w:after="0"/>
              <w:rPr>
                <w:sz w:val="1"/>
                <w:szCs w:val="1"/>
                <w:color w:val="auto"/>
              </w:rPr>
            </w:pPr>
          </w:p>
        </w:tc>
      </w:tr>
      <w:tr>
        <w:trPr>
          <w:trHeight w:val="20"/>
        </w:trPr>
        <w:tc>
          <w:tcPr>
            <w:tcW w:w="1080" w:type="dxa"/>
            <w:vAlign w:val="bottom"/>
            <w:gridSpan w:val="2"/>
            <w:vMerge w:val="restart"/>
            <w:shd w:val="clear" w:color="auto" w:fill="CCEEFF"/>
          </w:tcPr>
          <w:p>
            <w:pPr>
              <w:ind w:left="180"/>
              <w:spacing w:after="0"/>
              <w:rPr>
                <w:sz w:val="20"/>
                <w:szCs w:val="20"/>
                <w:color w:val="auto"/>
              </w:rPr>
            </w:pPr>
            <w:r>
              <w:rPr>
                <w:rFonts w:ascii="Arial" w:cs="Arial" w:eastAsia="Arial" w:hAnsi="Arial"/>
                <w:sz w:val="10"/>
                <w:szCs w:val="10"/>
                <w:color w:val="auto"/>
                <w:w w:val="90"/>
              </w:rPr>
              <w:t xml:space="preserve">Gross profit </w:t>
            </w:r>
            <w:r>
              <w:rPr>
                <w:rFonts w:ascii="Times New Roman" w:cs="Times New Roman" w:eastAsia="Times New Roman" w:hAnsi="Times New Roman"/>
                <w:sz w:val="10"/>
                <w:szCs w:val="10"/>
                <w:color w:val="B4B4B4"/>
                <w:w w:val="90"/>
              </w:rPr>
              <w:t>.................</w:t>
            </w: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rPr>
              <w:t>56</w:t>
            </w:r>
          </w:p>
        </w:tc>
        <w:tc>
          <w:tcPr>
            <w:tcW w:w="160" w:type="dxa"/>
            <w:vAlign w:val="bottom"/>
            <w:tcBorders>
              <w:right w:val="single" w:sz="8" w:color="CCEEFF"/>
            </w:tcBorders>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60</w:t>
            </w: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63</w:t>
            </w: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w:t>
            </w: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w:t>
            </w:r>
          </w:p>
        </w:tc>
        <w:tc>
          <w:tcPr>
            <w:tcW w:w="1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rPr>
              <w:t>69</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ind w:right="35"/>
              <w:spacing w:after="0"/>
              <w:rPr>
                <w:sz w:val="20"/>
                <w:szCs w:val="20"/>
                <w:color w:val="auto"/>
              </w:rPr>
            </w:pPr>
            <w:r>
              <w:rPr>
                <w:rFonts w:ascii="Arial" w:cs="Arial" w:eastAsia="Arial" w:hAnsi="Arial"/>
                <w:sz w:val="10"/>
                <w:szCs w:val="10"/>
                <w:color w:val="auto"/>
              </w:rPr>
              <w:t>71</w:t>
            </w:r>
          </w:p>
        </w:tc>
        <w:tc>
          <w:tcPr>
            <w:tcW w:w="8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ind w:right="135"/>
              <w:spacing w:after="0"/>
              <w:rPr>
                <w:sz w:val="20"/>
                <w:szCs w:val="20"/>
                <w:color w:val="auto"/>
              </w:rPr>
            </w:pPr>
            <w:r>
              <w:rPr>
                <w:rFonts w:ascii="Arial" w:cs="Arial" w:eastAsia="Arial" w:hAnsi="Arial"/>
                <w:sz w:val="10"/>
                <w:szCs w:val="10"/>
                <w:color w:val="auto"/>
              </w:rPr>
              <w:t>68</w:t>
            </w:r>
          </w:p>
        </w:tc>
        <w:tc>
          <w:tcPr>
            <w:tcW w:w="480" w:type="dxa"/>
            <w:vAlign w:val="bottom"/>
            <w:tcBorders>
              <w:right w:val="single" w:sz="8" w:color="CCEEFF"/>
            </w:tcBorders>
            <w:shd w:val="clear" w:color="auto" w:fill="CCEEFF"/>
          </w:tcPr>
          <w:p>
            <w:pPr>
              <w:jc w:val="right"/>
              <w:ind w:right="114"/>
              <w:spacing w:after="0"/>
              <w:rPr>
                <w:sz w:val="20"/>
                <w:szCs w:val="20"/>
                <w:color w:val="auto"/>
              </w:rPr>
            </w:pPr>
            <w:r>
              <w:rPr>
                <w:rFonts w:ascii="Arial" w:cs="Arial" w:eastAsia="Arial" w:hAnsi="Arial"/>
                <w:sz w:val="10"/>
                <w:szCs w:val="10"/>
                <w:color w:val="auto"/>
              </w:rPr>
              <w:t>71</w:t>
            </w:r>
          </w:p>
        </w:tc>
        <w:tc>
          <w:tcPr>
            <w:tcW w:w="460" w:type="dxa"/>
            <w:vAlign w:val="bottom"/>
            <w:shd w:val="clear" w:color="auto" w:fill="CCEEFF"/>
          </w:tcPr>
          <w:p>
            <w:pPr>
              <w:jc w:val="right"/>
              <w:ind w:right="94"/>
              <w:spacing w:after="0"/>
              <w:rPr>
                <w:sz w:val="20"/>
                <w:szCs w:val="20"/>
                <w:color w:val="auto"/>
              </w:rPr>
            </w:pPr>
            <w:r>
              <w:rPr>
                <w:rFonts w:ascii="Arial" w:cs="Arial" w:eastAsia="Arial" w:hAnsi="Arial"/>
                <w:sz w:val="10"/>
                <w:szCs w:val="10"/>
                <w:color w:val="auto"/>
              </w:rPr>
              <w:t>73</w:t>
            </w:r>
          </w:p>
        </w:tc>
        <w:tc>
          <w:tcPr>
            <w:tcW w:w="0" w:type="dxa"/>
            <w:vAlign w:val="bottom"/>
          </w:tcPr>
          <w:p>
            <w:pPr>
              <w:spacing w:after="0"/>
              <w:rPr>
                <w:sz w:val="1"/>
                <w:szCs w:val="1"/>
                <w:color w:val="auto"/>
              </w:rPr>
            </w:pPr>
          </w:p>
        </w:tc>
      </w:tr>
      <w:tr>
        <w:trPr>
          <w:trHeight w:val="144"/>
        </w:trPr>
        <w:tc>
          <w:tcPr>
            <w:tcW w:w="940" w:type="dxa"/>
            <w:vAlign w:val="bottom"/>
          </w:tcPr>
          <w:p>
            <w:pPr>
              <w:ind w:left="40"/>
              <w:spacing w:after="0"/>
              <w:rPr>
                <w:sz w:val="20"/>
                <w:szCs w:val="20"/>
                <w:color w:val="auto"/>
              </w:rPr>
            </w:pPr>
            <w:r>
              <w:rPr>
                <w:rFonts w:ascii="Arial" w:cs="Arial" w:eastAsia="Arial" w:hAnsi="Arial"/>
                <w:sz w:val="10"/>
                <w:szCs w:val="10"/>
                <w:color w:val="auto"/>
                <w:w w:val="98"/>
              </w:rPr>
              <w:t>Operating expenses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9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Research and</w:t>
            </w:r>
          </w:p>
        </w:tc>
        <w:tc>
          <w:tcPr>
            <w:tcW w:w="140" w:type="dxa"/>
            <w:vAlign w:val="bottom"/>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0"/>
                <w:szCs w:val="10"/>
                <w:color w:val="auto"/>
              </w:rPr>
              <w:t>35</w:t>
            </w:r>
          </w:p>
        </w:tc>
        <w:tc>
          <w:tcPr>
            <w:tcW w:w="160" w:type="dxa"/>
            <w:vAlign w:val="bottom"/>
            <w:tcBorders>
              <w:right w:val="single" w:sz="8" w:color="CCEEFF"/>
            </w:tcBorders>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0"/>
                <w:szCs w:val="10"/>
                <w:color w:val="auto"/>
              </w:rPr>
              <w:t>35</w:t>
            </w: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0"/>
                <w:szCs w:val="10"/>
                <w:color w:val="auto"/>
              </w:rPr>
              <w:t>30</w:t>
            </w: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33</w:t>
            </w: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24</w:t>
            </w:r>
          </w:p>
        </w:tc>
        <w:tc>
          <w:tcPr>
            <w:tcW w:w="140" w:type="dxa"/>
            <w:vAlign w:val="bottom"/>
            <w:tcBorders>
              <w:right w:val="single" w:sz="8" w:color="CCEEFF"/>
            </w:tcBorders>
            <w:shd w:val="clear" w:color="auto" w:fill="CCEEFF"/>
          </w:tcPr>
          <w:p>
            <w:pPr>
              <w:spacing w:after="0"/>
              <w:rPr>
                <w:sz w:val="10"/>
                <w:szCs w:val="10"/>
                <w:color w:val="auto"/>
              </w:rPr>
            </w:pPr>
          </w:p>
        </w:tc>
        <w:tc>
          <w:tcPr>
            <w:tcW w:w="360" w:type="dxa"/>
            <w:vAlign w:val="bottom"/>
            <w:vMerge w:val="restart"/>
            <w:shd w:val="clear" w:color="auto" w:fill="CCEEFF"/>
          </w:tcPr>
          <w:p>
            <w:pPr>
              <w:jc w:val="right"/>
              <w:ind w:right="14"/>
              <w:spacing w:after="0"/>
              <w:rPr>
                <w:sz w:val="20"/>
                <w:szCs w:val="20"/>
                <w:color w:val="auto"/>
              </w:rPr>
            </w:pPr>
            <w:r>
              <w:rPr>
                <w:rFonts w:ascii="Arial" w:cs="Arial" w:eastAsia="Arial" w:hAnsi="Arial"/>
                <w:sz w:val="10"/>
                <w:szCs w:val="10"/>
                <w:color w:val="auto"/>
              </w:rPr>
              <w:t>22</w:t>
            </w:r>
          </w:p>
        </w:tc>
        <w:tc>
          <w:tcPr>
            <w:tcW w:w="120" w:type="dxa"/>
            <w:vAlign w:val="bottom"/>
            <w:tcBorders>
              <w:right w:val="single" w:sz="8" w:color="CCEEFF"/>
            </w:tcBorders>
            <w:shd w:val="clear" w:color="auto" w:fill="CCEEFF"/>
          </w:tcPr>
          <w:p>
            <w:pPr>
              <w:spacing w:after="0"/>
              <w:rPr>
                <w:sz w:val="10"/>
                <w:szCs w:val="10"/>
                <w:color w:val="auto"/>
              </w:rPr>
            </w:pPr>
          </w:p>
        </w:tc>
        <w:tc>
          <w:tcPr>
            <w:tcW w:w="400" w:type="dxa"/>
            <w:vAlign w:val="bottom"/>
            <w:vMerge w:val="restart"/>
            <w:shd w:val="clear" w:color="auto" w:fill="CCEEFF"/>
          </w:tcPr>
          <w:p>
            <w:pPr>
              <w:jc w:val="right"/>
              <w:ind w:right="35"/>
              <w:spacing w:after="0"/>
              <w:rPr>
                <w:sz w:val="20"/>
                <w:szCs w:val="20"/>
                <w:color w:val="auto"/>
              </w:rPr>
            </w:pPr>
            <w:r>
              <w:rPr>
                <w:rFonts w:ascii="Arial" w:cs="Arial" w:eastAsia="Arial" w:hAnsi="Arial"/>
                <w:sz w:val="10"/>
                <w:szCs w:val="10"/>
                <w:color w:val="auto"/>
              </w:rPr>
              <w:t>22</w:t>
            </w:r>
          </w:p>
        </w:tc>
        <w:tc>
          <w:tcPr>
            <w:tcW w:w="8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CCEEFF"/>
            </w:tcBorders>
            <w:vMerge w:val="restart"/>
            <w:shd w:val="clear" w:color="auto" w:fill="CCEEFF"/>
          </w:tcPr>
          <w:p>
            <w:pPr>
              <w:jc w:val="right"/>
              <w:ind w:right="135"/>
              <w:spacing w:after="0"/>
              <w:rPr>
                <w:sz w:val="20"/>
                <w:szCs w:val="20"/>
                <w:color w:val="auto"/>
              </w:rPr>
            </w:pPr>
            <w:r>
              <w:rPr>
                <w:rFonts w:ascii="Arial" w:cs="Arial" w:eastAsia="Arial" w:hAnsi="Arial"/>
                <w:sz w:val="10"/>
                <w:szCs w:val="10"/>
                <w:color w:val="auto"/>
              </w:rPr>
              <w:t>24</w:t>
            </w:r>
          </w:p>
        </w:tc>
        <w:tc>
          <w:tcPr>
            <w:tcW w:w="480" w:type="dxa"/>
            <w:vAlign w:val="bottom"/>
            <w:tcBorders>
              <w:right w:val="single" w:sz="8" w:color="CCEEFF"/>
            </w:tcBorders>
            <w:vMerge w:val="restart"/>
            <w:shd w:val="clear" w:color="auto" w:fill="CCEEFF"/>
          </w:tcPr>
          <w:p>
            <w:pPr>
              <w:jc w:val="right"/>
              <w:ind w:right="114"/>
              <w:spacing w:after="0"/>
              <w:rPr>
                <w:sz w:val="20"/>
                <w:szCs w:val="20"/>
                <w:color w:val="auto"/>
              </w:rPr>
            </w:pPr>
            <w:r>
              <w:rPr>
                <w:rFonts w:ascii="Arial" w:cs="Arial" w:eastAsia="Arial" w:hAnsi="Arial"/>
                <w:sz w:val="10"/>
                <w:szCs w:val="10"/>
                <w:color w:val="auto"/>
              </w:rPr>
              <w:t>20</w:t>
            </w:r>
          </w:p>
        </w:tc>
        <w:tc>
          <w:tcPr>
            <w:tcW w:w="460" w:type="dxa"/>
            <w:vAlign w:val="bottom"/>
            <w:vMerge w:val="restart"/>
            <w:shd w:val="clear" w:color="auto" w:fill="CCEEFF"/>
          </w:tcPr>
          <w:p>
            <w:pPr>
              <w:jc w:val="right"/>
              <w:ind w:right="94"/>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43"/>
        </w:trPr>
        <w:tc>
          <w:tcPr>
            <w:tcW w:w="108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w w:val="92"/>
              </w:rPr>
              <w:t>development</w:t>
            </w:r>
            <w:r>
              <w:rPr>
                <w:rFonts w:ascii="Times New Roman" w:cs="Times New Roman" w:eastAsia="Times New Roman" w:hAnsi="Times New Roman"/>
                <w:sz w:val="10"/>
                <w:szCs w:val="10"/>
                <w:color w:val="B4B4B4"/>
                <w:w w:val="92"/>
              </w:rPr>
              <w:t>..........</w:t>
            </w:r>
          </w:p>
        </w:tc>
        <w:tc>
          <w:tcPr>
            <w:tcW w:w="60" w:type="dxa"/>
            <w:vAlign w:val="bottom"/>
            <w:tcBorders>
              <w:right w:val="single" w:sz="8" w:color="CCEEFF"/>
            </w:tcBorders>
            <w:shd w:val="clear" w:color="auto" w:fill="CCEEFF"/>
          </w:tcPr>
          <w:p>
            <w:pPr>
              <w:spacing w:after="0"/>
              <w:rPr>
                <w:sz w:val="12"/>
                <w:szCs w:val="12"/>
                <w:color w:val="auto"/>
              </w:rPr>
            </w:pPr>
          </w:p>
        </w:tc>
        <w:tc>
          <w:tcPr>
            <w:tcW w:w="320" w:type="dxa"/>
            <w:vAlign w:val="bottom"/>
            <w:gridSpan w:val="3"/>
            <w:vMerge w:val="continue"/>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right w:val="single" w:sz="8" w:color="CCEEFF"/>
            </w:tcBorders>
            <w:vMerge w:val="continue"/>
            <w:shd w:val="clear" w:color="auto" w:fill="CCEEFF"/>
          </w:tcPr>
          <w:p>
            <w:pPr>
              <w:spacing w:after="0"/>
              <w:rPr>
                <w:sz w:val="12"/>
                <w:szCs w:val="12"/>
                <w:color w:val="auto"/>
              </w:rPr>
            </w:pPr>
          </w:p>
        </w:tc>
        <w:tc>
          <w:tcPr>
            <w:tcW w:w="480" w:type="dxa"/>
            <w:vAlign w:val="bottom"/>
            <w:tcBorders>
              <w:right w:val="single" w:sz="8" w:color="CCEEFF"/>
            </w:tcBorders>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gridSpan w:val="3"/>
          </w:tcPr>
          <w:p>
            <w:pPr>
              <w:ind w:left="180"/>
              <w:spacing w:after="0"/>
              <w:rPr>
                <w:sz w:val="20"/>
                <w:szCs w:val="20"/>
                <w:color w:val="auto"/>
              </w:rPr>
            </w:pPr>
            <w:r>
              <w:rPr>
                <w:rFonts w:ascii="Arial" w:cs="Arial" w:eastAsia="Arial" w:hAnsi="Arial"/>
                <w:sz w:val="10"/>
                <w:szCs w:val="10"/>
                <w:color w:val="auto"/>
                <w:w w:val="95"/>
              </w:rPr>
              <w:t xml:space="preserve">Sales and marketing </w:t>
            </w:r>
            <w:r>
              <w:rPr>
                <w:rFonts w:ascii="Times New Roman" w:cs="Times New Roman" w:eastAsia="Times New Roman" w:hAnsi="Times New Roman"/>
                <w:sz w:val="10"/>
                <w:szCs w:val="10"/>
                <w:color w:val="B4B4B4"/>
                <w:w w:val="95"/>
              </w:rPr>
              <w:t>.</w:t>
            </w:r>
          </w:p>
        </w:tc>
        <w:tc>
          <w:tcPr>
            <w:tcW w:w="320" w:type="dxa"/>
            <w:vAlign w:val="bottom"/>
            <w:gridSpan w:val="3"/>
          </w:tcPr>
          <w:p>
            <w:pPr>
              <w:jc w:val="right"/>
              <w:ind w:right="20"/>
              <w:spacing w:after="0"/>
              <w:rPr>
                <w:sz w:val="20"/>
                <w:szCs w:val="20"/>
                <w:color w:val="auto"/>
              </w:rPr>
            </w:pPr>
            <w:r>
              <w:rPr>
                <w:rFonts w:ascii="Arial" w:cs="Arial" w:eastAsia="Arial" w:hAnsi="Arial"/>
                <w:sz w:val="10"/>
                <w:szCs w:val="10"/>
                <w:color w:val="auto"/>
              </w:rPr>
              <w:t>56</w:t>
            </w:r>
          </w:p>
        </w:tc>
        <w:tc>
          <w:tcPr>
            <w:tcW w:w="160" w:type="dxa"/>
            <w:vAlign w:val="bottom"/>
          </w:tcPr>
          <w:p>
            <w:pPr>
              <w:spacing w:after="0"/>
              <w:rPr>
                <w:sz w:val="12"/>
                <w:szCs w:val="12"/>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0"/>
                <w:szCs w:val="10"/>
                <w:color w:val="auto"/>
              </w:rPr>
              <w:t>53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0"/>
                <w:szCs w:val="10"/>
                <w:color w:val="auto"/>
              </w:rPr>
              <w:t>52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59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41</w:t>
            </w:r>
          </w:p>
        </w:tc>
        <w:tc>
          <w:tcPr>
            <w:tcW w:w="140" w:type="dxa"/>
            <w:vAlign w:val="bottom"/>
          </w:tcPr>
          <w:p>
            <w:pPr>
              <w:spacing w:after="0"/>
              <w:rPr>
                <w:sz w:val="12"/>
                <w:szCs w:val="12"/>
                <w:color w:val="auto"/>
              </w:rPr>
            </w:pPr>
          </w:p>
        </w:tc>
        <w:tc>
          <w:tcPr>
            <w:tcW w:w="360" w:type="dxa"/>
            <w:vAlign w:val="bottom"/>
          </w:tcPr>
          <w:p>
            <w:pPr>
              <w:jc w:val="right"/>
              <w:ind w:right="14"/>
              <w:spacing w:after="0"/>
              <w:rPr>
                <w:sz w:val="20"/>
                <w:szCs w:val="20"/>
                <w:color w:val="auto"/>
              </w:rPr>
            </w:pPr>
            <w:r>
              <w:rPr>
                <w:rFonts w:ascii="Arial" w:cs="Arial" w:eastAsia="Arial" w:hAnsi="Arial"/>
                <w:sz w:val="10"/>
                <w:szCs w:val="10"/>
                <w:color w:val="auto"/>
              </w:rPr>
              <w:t>41</w:t>
            </w:r>
          </w:p>
        </w:tc>
        <w:tc>
          <w:tcPr>
            <w:tcW w:w="120" w:type="dxa"/>
            <w:vAlign w:val="bottom"/>
          </w:tcPr>
          <w:p>
            <w:pPr>
              <w:spacing w:after="0"/>
              <w:rPr>
                <w:sz w:val="12"/>
                <w:szCs w:val="12"/>
                <w:color w:val="auto"/>
              </w:rPr>
            </w:pPr>
          </w:p>
        </w:tc>
        <w:tc>
          <w:tcPr>
            <w:tcW w:w="400" w:type="dxa"/>
            <w:vAlign w:val="bottom"/>
          </w:tcPr>
          <w:p>
            <w:pPr>
              <w:jc w:val="right"/>
              <w:ind w:right="35"/>
              <w:spacing w:after="0"/>
              <w:rPr>
                <w:sz w:val="20"/>
                <w:szCs w:val="20"/>
                <w:color w:val="auto"/>
              </w:rPr>
            </w:pPr>
            <w:r>
              <w:rPr>
                <w:rFonts w:ascii="Arial" w:cs="Arial" w:eastAsia="Arial" w:hAnsi="Arial"/>
                <w:sz w:val="10"/>
                <w:szCs w:val="10"/>
                <w:color w:val="auto"/>
              </w:rPr>
              <w:t>38</w:t>
            </w:r>
          </w:p>
        </w:tc>
        <w:tc>
          <w:tcPr>
            <w:tcW w:w="80" w:type="dxa"/>
            <w:vAlign w:val="bottom"/>
          </w:tcPr>
          <w:p>
            <w:pPr>
              <w:spacing w:after="0"/>
              <w:rPr>
                <w:sz w:val="12"/>
                <w:szCs w:val="12"/>
                <w:color w:val="auto"/>
              </w:rPr>
            </w:pPr>
          </w:p>
        </w:tc>
        <w:tc>
          <w:tcPr>
            <w:tcW w:w="500" w:type="dxa"/>
            <w:vAlign w:val="bottom"/>
          </w:tcPr>
          <w:p>
            <w:pPr>
              <w:jc w:val="right"/>
              <w:ind w:right="135"/>
              <w:spacing w:after="0"/>
              <w:rPr>
                <w:sz w:val="20"/>
                <w:szCs w:val="20"/>
                <w:color w:val="auto"/>
              </w:rPr>
            </w:pPr>
            <w:r>
              <w:rPr>
                <w:rFonts w:ascii="Arial" w:cs="Arial" w:eastAsia="Arial" w:hAnsi="Arial"/>
                <w:sz w:val="10"/>
                <w:szCs w:val="10"/>
                <w:color w:val="auto"/>
              </w:rPr>
              <w:t>43</w:t>
            </w:r>
          </w:p>
        </w:tc>
        <w:tc>
          <w:tcPr>
            <w:tcW w:w="480" w:type="dxa"/>
            <w:vAlign w:val="bottom"/>
          </w:tcPr>
          <w:p>
            <w:pPr>
              <w:jc w:val="right"/>
              <w:ind w:right="114"/>
              <w:spacing w:after="0"/>
              <w:rPr>
                <w:sz w:val="20"/>
                <w:szCs w:val="20"/>
                <w:color w:val="auto"/>
              </w:rPr>
            </w:pPr>
            <w:r>
              <w:rPr>
                <w:rFonts w:ascii="Arial" w:cs="Arial" w:eastAsia="Arial" w:hAnsi="Arial"/>
                <w:sz w:val="10"/>
                <w:szCs w:val="10"/>
                <w:color w:val="auto"/>
              </w:rPr>
              <w:t>39</w:t>
            </w:r>
          </w:p>
        </w:tc>
        <w:tc>
          <w:tcPr>
            <w:tcW w:w="460" w:type="dxa"/>
            <w:vAlign w:val="bottom"/>
          </w:tcPr>
          <w:p>
            <w:pPr>
              <w:jc w:val="right"/>
              <w:ind w:right="94"/>
              <w:spacing w:after="0"/>
              <w:rPr>
                <w:sz w:val="20"/>
                <w:szCs w:val="20"/>
                <w:color w:val="auto"/>
              </w:rPr>
            </w:pPr>
            <w:r>
              <w:rPr>
                <w:rFonts w:ascii="Arial" w:cs="Arial" w:eastAsia="Arial" w:hAnsi="Arial"/>
                <w:sz w:val="10"/>
                <w:szCs w:val="10"/>
                <w:color w:val="auto"/>
              </w:rPr>
              <w:t>40</w:t>
            </w:r>
          </w:p>
        </w:tc>
        <w:tc>
          <w:tcPr>
            <w:tcW w:w="0" w:type="dxa"/>
            <w:vAlign w:val="bottom"/>
          </w:tcPr>
          <w:p>
            <w:pPr>
              <w:spacing w:after="0"/>
              <w:rPr>
                <w:sz w:val="1"/>
                <w:szCs w:val="1"/>
                <w:color w:val="auto"/>
              </w:rPr>
            </w:pPr>
          </w:p>
        </w:tc>
      </w:tr>
      <w:tr>
        <w:trPr>
          <w:trHeight w:val="124"/>
        </w:trPr>
        <w:tc>
          <w:tcPr>
            <w:tcW w:w="9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General and</w:t>
            </w:r>
          </w:p>
        </w:tc>
        <w:tc>
          <w:tcPr>
            <w:tcW w:w="140" w:type="dxa"/>
            <w:vAlign w:val="bottom"/>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0"/>
                <w:szCs w:val="10"/>
                <w:color w:val="auto"/>
              </w:rPr>
              <w:t>19</w:t>
            </w:r>
          </w:p>
        </w:tc>
        <w:tc>
          <w:tcPr>
            <w:tcW w:w="160" w:type="dxa"/>
            <w:vAlign w:val="bottom"/>
            <w:tcBorders>
              <w:right w:val="single" w:sz="8" w:color="CCEEFF"/>
            </w:tcBorders>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0"/>
                <w:szCs w:val="10"/>
                <w:color w:val="auto"/>
              </w:rPr>
              <w:t>40</w:t>
            </w: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0"/>
                <w:szCs w:val="10"/>
                <w:color w:val="auto"/>
              </w:rPr>
              <w:t>37</w:t>
            </w: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35</w:t>
            </w: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27</w:t>
            </w:r>
          </w:p>
        </w:tc>
        <w:tc>
          <w:tcPr>
            <w:tcW w:w="140" w:type="dxa"/>
            <w:vAlign w:val="bottom"/>
            <w:tcBorders>
              <w:right w:val="single" w:sz="8" w:color="CCEEFF"/>
            </w:tcBorders>
            <w:shd w:val="clear" w:color="auto" w:fill="CCEEFF"/>
          </w:tcPr>
          <w:p>
            <w:pPr>
              <w:spacing w:after="0"/>
              <w:rPr>
                <w:sz w:val="10"/>
                <w:szCs w:val="10"/>
                <w:color w:val="auto"/>
              </w:rPr>
            </w:pPr>
          </w:p>
        </w:tc>
        <w:tc>
          <w:tcPr>
            <w:tcW w:w="360" w:type="dxa"/>
            <w:vAlign w:val="bottom"/>
            <w:vMerge w:val="restart"/>
            <w:shd w:val="clear" w:color="auto" w:fill="CCEEFF"/>
          </w:tcPr>
          <w:p>
            <w:pPr>
              <w:jc w:val="right"/>
              <w:ind w:right="14"/>
              <w:spacing w:after="0"/>
              <w:rPr>
                <w:sz w:val="20"/>
                <w:szCs w:val="20"/>
                <w:color w:val="auto"/>
              </w:rPr>
            </w:pPr>
            <w:r>
              <w:rPr>
                <w:rFonts w:ascii="Arial" w:cs="Arial" w:eastAsia="Arial" w:hAnsi="Arial"/>
                <w:sz w:val="10"/>
                <w:szCs w:val="10"/>
                <w:color w:val="auto"/>
              </w:rPr>
              <w:t>25</w:t>
            </w:r>
          </w:p>
        </w:tc>
        <w:tc>
          <w:tcPr>
            <w:tcW w:w="120" w:type="dxa"/>
            <w:vAlign w:val="bottom"/>
            <w:tcBorders>
              <w:right w:val="single" w:sz="8" w:color="CCEEFF"/>
            </w:tcBorders>
            <w:shd w:val="clear" w:color="auto" w:fill="CCEEFF"/>
          </w:tcPr>
          <w:p>
            <w:pPr>
              <w:spacing w:after="0"/>
              <w:rPr>
                <w:sz w:val="10"/>
                <w:szCs w:val="10"/>
                <w:color w:val="auto"/>
              </w:rPr>
            </w:pPr>
          </w:p>
        </w:tc>
        <w:tc>
          <w:tcPr>
            <w:tcW w:w="400" w:type="dxa"/>
            <w:vAlign w:val="bottom"/>
            <w:vMerge w:val="restart"/>
            <w:shd w:val="clear" w:color="auto" w:fill="CCEEFF"/>
          </w:tcPr>
          <w:p>
            <w:pPr>
              <w:jc w:val="right"/>
              <w:ind w:right="35"/>
              <w:spacing w:after="0"/>
              <w:rPr>
                <w:sz w:val="20"/>
                <w:szCs w:val="20"/>
                <w:color w:val="auto"/>
              </w:rPr>
            </w:pPr>
            <w:r>
              <w:rPr>
                <w:rFonts w:ascii="Arial" w:cs="Arial" w:eastAsia="Arial" w:hAnsi="Arial"/>
                <w:sz w:val="10"/>
                <w:szCs w:val="10"/>
                <w:color w:val="auto"/>
              </w:rPr>
              <w:t>23</w:t>
            </w:r>
          </w:p>
        </w:tc>
        <w:tc>
          <w:tcPr>
            <w:tcW w:w="8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CCEEFF"/>
            </w:tcBorders>
            <w:vMerge w:val="restart"/>
            <w:shd w:val="clear" w:color="auto" w:fill="CCEEFF"/>
          </w:tcPr>
          <w:p>
            <w:pPr>
              <w:jc w:val="right"/>
              <w:ind w:right="135"/>
              <w:spacing w:after="0"/>
              <w:rPr>
                <w:sz w:val="20"/>
                <w:szCs w:val="20"/>
                <w:color w:val="auto"/>
              </w:rPr>
            </w:pPr>
            <w:r>
              <w:rPr>
                <w:rFonts w:ascii="Arial" w:cs="Arial" w:eastAsia="Arial" w:hAnsi="Arial"/>
                <w:sz w:val="10"/>
                <w:szCs w:val="10"/>
                <w:color w:val="auto"/>
              </w:rPr>
              <w:t>25</w:t>
            </w:r>
          </w:p>
        </w:tc>
        <w:tc>
          <w:tcPr>
            <w:tcW w:w="480" w:type="dxa"/>
            <w:vAlign w:val="bottom"/>
            <w:tcBorders>
              <w:right w:val="single" w:sz="8" w:color="CCEEFF"/>
            </w:tcBorders>
            <w:vMerge w:val="restart"/>
            <w:shd w:val="clear" w:color="auto" w:fill="CCEEFF"/>
          </w:tcPr>
          <w:p>
            <w:pPr>
              <w:jc w:val="right"/>
              <w:ind w:right="114"/>
              <w:spacing w:after="0"/>
              <w:rPr>
                <w:sz w:val="20"/>
                <w:szCs w:val="20"/>
                <w:color w:val="auto"/>
              </w:rPr>
            </w:pPr>
            <w:r>
              <w:rPr>
                <w:rFonts w:ascii="Arial" w:cs="Arial" w:eastAsia="Arial" w:hAnsi="Arial"/>
                <w:sz w:val="10"/>
                <w:szCs w:val="10"/>
                <w:color w:val="auto"/>
              </w:rPr>
              <w:t>22</w:t>
            </w:r>
          </w:p>
        </w:tc>
        <w:tc>
          <w:tcPr>
            <w:tcW w:w="460" w:type="dxa"/>
            <w:vAlign w:val="bottom"/>
            <w:vMerge w:val="restart"/>
            <w:shd w:val="clear" w:color="auto" w:fill="CCEEFF"/>
          </w:tcPr>
          <w:p>
            <w:pPr>
              <w:jc w:val="right"/>
              <w:ind w:right="94"/>
              <w:spacing w:after="0"/>
              <w:rPr>
                <w:sz w:val="20"/>
                <w:szCs w:val="20"/>
                <w:color w:val="auto"/>
              </w:rPr>
            </w:pPr>
            <w:r>
              <w:rPr>
                <w:rFonts w:ascii="Arial" w:cs="Arial" w:eastAsia="Arial" w:hAnsi="Arial"/>
                <w:sz w:val="10"/>
                <w:szCs w:val="10"/>
                <w:color w:val="auto"/>
              </w:rPr>
              <w:t>21</w:t>
            </w:r>
          </w:p>
        </w:tc>
        <w:tc>
          <w:tcPr>
            <w:tcW w:w="0" w:type="dxa"/>
            <w:vAlign w:val="bottom"/>
          </w:tcPr>
          <w:p>
            <w:pPr>
              <w:spacing w:after="0"/>
              <w:rPr>
                <w:sz w:val="1"/>
                <w:szCs w:val="1"/>
                <w:color w:val="auto"/>
              </w:rPr>
            </w:pPr>
          </w:p>
        </w:tc>
      </w:tr>
      <w:tr>
        <w:trPr>
          <w:trHeight w:val="143"/>
        </w:trPr>
        <w:tc>
          <w:tcPr>
            <w:tcW w:w="108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w w:val="89"/>
              </w:rPr>
              <w:t xml:space="preserve">administrative </w:t>
            </w:r>
            <w:r>
              <w:rPr>
                <w:rFonts w:ascii="Times New Roman" w:cs="Times New Roman" w:eastAsia="Times New Roman" w:hAnsi="Times New Roman"/>
                <w:sz w:val="10"/>
                <w:szCs w:val="10"/>
                <w:color w:val="B4B4B4"/>
                <w:w w:val="89"/>
              </w:rPr>
              <w:t>........</w:t>
            </w:r>
          </w:p>
        </w:tc>
        <w:tc>
          <w:tcPr>
            <w:tcW w:w="60" w:type="dxa"/>
            <w:vAlign w:val="bottom"/>
            <w:tcBorders>
              <w:right w:val="single" w:sz="8" w:color="CCEEFF"/>
            </w:tcBorders>
            <w:shd w:val="clear" w:color="auto" w:fill="CCEEFF"/>
          </w:tcPr>
          <w:p>
            <w:pPr>
              <w:spacing w:after="0"/>
              <w:rPr>
                <w:sz w:val="12"/>
                <w:szCs w:val="12"/>
                <w:color w:val="auto"/>
              </w:rPr>
            </w:pPr>
          </w:p>
        </w:tc>
        <w:tc>
          <w:tcPr>
            <w:tcW w:w="320" w:type="dxa"/>
            <w:vAlign w:val="bottom"/>
            <w:tcBorders>
              <w:bottom w:val="single" w:sz="8" w:color="auto"/>
            </w:tcBorders>
            <w:gridSpan w:val="3"/>
            <w:vMerge w:val="continue"/>
            <w:shd w:val="clear" w:color="auto" w:fill="CCEEFF"/>
          </w:tcPr>
          <w:p>
            <w:pPr>
              <w:spacing w:after="0"/>
              <w:rPr>
                <w:sz w:val="12"/>
                <w:szCs w:val="12"/>
                <w:color w:val="auto"/>
              </w:rPr>
            </w:pPr>
          </w:p>
        </w:tc>
        <w:tc>
          <w:tcPr>
            <w:tcW w:w="160" w:type="dxa"/>
            <w:vAlign w:val="bottom"/>
            <w:tcBorders>
              <w:bottom w:val="single" w:sz="8" w:color="auto"/>
              <w:right w:val="single" w:sz="8" w:color="CCEEFF"/>
            </w:tcBorders>
            <w:shd w:val="clear" w:color="auto" w:fill="CCEEFF"/>
          </w:tcPr>
          <w:p>
            <w:pPr>
              <w:spacing w:after="0"/>
              <w:rPr>
                <w:sz w:val="12"/>
                <w:szCs w:val="12"/>
                <w:color w:val="auto"/>
              </w:rPr>
            </w:pPr>
          </w:p>
        </w:tc>
        <w:tc>
          <w:tcPr>
            <w:tcW w:w="340" w:type="dxa"/>
            <w:vAlign w:val="bottom"/>
            <w:tcBorders>
              <w:bottom w:val="single" w:sz="8" w:color="auto"/>
            </w:tcBorders>
            <w:gridSpan w:val="2"/>
            <w:vMerge w:val="continue"/>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CCEEFF"/>
            </w:tcBorders>
            <w:shd w:val="clear" w:color="auto" w:fill="CCEEFF"/>
          </w:tcPr>
          <w:p>
            <w:pPr>
              <w:spacing w:after="0"/>
              <w:rPr>
                <w:sz w:val="12"/>
                <w:szCs w:val="12"/>
                <w:color w:val="auto"/>
              </w:rPr>
            </w:pPr>
          </w:p>
        </w:tc>
        <w:tc>
          <w:tcPr>
            <w:tcW w:w="360" w:type="dxa"/>
            <w:vAlign w:val="bottom"/>
            <w:tcBorders>
              <w:bottom w:val="single" w:sz="8" w:color="auto"/>
            </w:tcBorders>
            <w:gridSpan w:val="2"/>
            <w:vMerge w:val="continue"/>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CCEEFF"/>
            </w:tcBorders>
            <w:shd w:val="clear" w:color="auto" w:fill="CCEEFF"/>
          </w:tcPr>
          <w:p>
            <w:pPr>
              <w:spacing w:after="0"/>
              <w:rPr>
                <w:sz w:val="12"/>
                <w:szCs w:val="12"/>
                <w:color w:val="auto"/>
              </w:rPr>
            </w:pPr>
          </w:p>
        </w:tc>
        <w:tc>
          <w:tcPr>
            <w:tcW w:w="340" w:type="dxa"/>
            <w:vAlign w:val="bottom"/>
            <w:tcBorders>
              <w:bottom w:val="single" w:sz="8" w:color="auto"/>
            </w:tcBorders>
            <w:vMerge w:val="continue"/>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CCEEFF"/>
            </w:tcBorders>
            <w:shd w:val="clear" w:color="auto" w:fill="CCEEFF"/>
          </w:tcPr>
          <w:p>
            <w:pPr>
              <w:spacing w:after="0"/>
              <w:rPr>
                <w:sz w:val="12"/>
                <w:szCs w:val="12"/>
                <w:color w:val="auto"/>
              </w:rPr>
            </w:pPr>
          </w:p>
        </w:tc>
        <w:tc>
          <w:tcPr>
            <w:tcW w:w="360" w:type="dxa"/>
            <w:vAlign w:val="bottom"/>
            <w:tcBorders>
              <w:bottom w:val="single" w:sz="8" w:color="auto"/>
            </w:tcBorders>
            <w:vMerge w:val="continue"/>
            <w:shd w:val="clear" w:color="auto" w:fill="CCEEFF"/>
          </w:tcPr>
          <w:p>
            <w:pPr>
              <w:spacing w:after="0"/>
              <w:rPr>
                <w:sz w:val="12"/>
                <w:szCs w:val="12"/>
                <w:color w:val="auto"/>
              </w:rPr>
            </w:pPr>
          </w:p>
        </w:tc>
        <w:tc>
          <w:tcPr>
            <w:tcW w:w="140" w:type="dxa"/>
            <w:vAlign w:val="bottom"/>
            <w:tcBorders>
              <w:bottom w:val="single" w:sz="8" w:color="auto"/>
              <w:right w:val="single" w:sz="8" w:color="CCEEFF"/>
            </w:tcBorders>
            <w:shd w:val="clear" w:color="auto" w:fill="CCEEFF"/>
          </w:tcPr>
          <w:p>
            <w:pPr>
              <w:spacing w:after="0"/>
              <w:rPr>
                <w:sz w:val="12"/>
                <w:szCs w:val="12"/>
                <w:color w:val="auto"/>
              </w:rPr>
            </w:pPr>
          </w:p>
        </w:tc>
        <w:tc>
          <w:tcPr>
            <w:tcW w:w="36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auto"/>
              <w:right w:val="single" w:sz="8" w:color="CCEEFF"/>
            </w:tcBorders>
            <w:shd w:val="clear" w:color="auto" w:fill="CCEEFF"/>
          </w:tcPr>
          <w:p>
            <w:pPr>
              <w:spacing w:after="0"/>
              <w:rPr>
                <w:sz w:val="12"/>
                <w:szCs w:val="12"/>
                <w:color w:val="auto"/>
              </w:rPr>
            </w:pPr>
          </w:p>
        </w:tc>
        <w:tc>
          <w:tcPr>
            <w:tcW w:w="4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auto"/>
              <w:right w:val="single" w:sz="8" w:color="CCEEFF"/>
            </w:tcBorders>
            <w:shd w:val="clear" w:color="auto" w:fill="CCEEFF"/>
          </w:tcPr>
          <w:p>
            <w:pPr>
              <w:spacing w:after="0"/>
              <w:rPr>
                <w:sz w:val="12"/>
                <w:szCs w:val="12"/>
                <w:color w:val="auto"/>
              </w:rPr>
            </w:pPr>
          </w:p>
        </w:tc>
        <w:tc>
          <w:tcPr>
            <w:tcW w:w="500" w:type="dxa"/>
            <w:vAlign w:val="bottom"/>
            <w:tcBorders>
              <w:bottom w:val="single" w:sz="8" w:color="auto"/>
              <w:right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auto"/>
              <w:right w:val="single" w:sz="8" w:color="CCEEFF"/>
            </w:tcBorders>
            <w:vMerge w:val="continue"/>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140" w:type="dxa"/>
            <w:vAlign w:val="bottom"/>
            <w:gridSpan w:val="3"/>
          </w:tcPr>
          <w:p>
            <w:pPr>
              <w:ind w:left="40"/>
              <w:spacing w:after="0"/>
              <w:rPr>
                <w:sz w:val="20"/>
                <w:szCs w:val="20"/>
                <w:color w:val="auto"/>
              </w:rPr>
            </w:pPr>
            <w:r>
              <w:rPr>
                <w:rFonts w:ascii="Arial" w:cs="Arial" w:eastAsia="Arial" w:hAnsi="Arial"/>
                <w:sz w:val="10"/>
                <w:szCs w:val="10"/>
                <w:color w:val="auto"/>
                <w:w w:val="94"/>
              </w:rPr>
              <w:t xml:space="preserve">Total operating expense </w:t>
            </w:r>
            <w:r>
              <w:rPr>
                <w:rFonts w:ascii="Times New Roman" w:cs="Times New Roman" w:eastAsia="Times New Roman" w:hAnsi="Times New Roman"/>
                <w:sz w:val="10"/>
                <w:szCs w:val="10"/>
                <w:color w:val="B4B4B4"/>
                <w:w w:val="94"/>
              </w:rPr>
              <w:t>.</w:t>
            </w:r>
          </w:p>
        </w:tc>
        <w:tc>
          <w:tcPr>
            <w:tcW w:w="320" w:type="dxa"/>
            <w:vAlign w:val="bottom"/>
            <w:gridSpan w:val="3"/>
          </w:tcPr>
          <w:p>
            <w:pPr>
              <w:jc w:val="right"/>
              <w:spacing w:after="0"/>
              <w:rPr>
                <w:sz w:val="20"/>
                <w:szCs w:val="20"/>
                <w:color w:val="auto"/>
              </w:rPr>
            </w:pPr>
            <w:r>
              <w:rPr>
                <w:rFonts w:ascii="Arial" w:cs="Arial" w:eastAsia="Arial" w:hAnsi="Arial"/>
                <w:sz w:val="10"/>
                <w:szCs w:val="10"/>
                <w:color w:val="auto"/>
              </w:rPr>
              <w:t>110</w:t>
            </w:r>
          </w:p>
        </w:tc>
        <w:tc>
          <w:tcPr>
            <w:tcW w:w="160" w:type="dxa"/>
            <w:vAlign w:val="bottom"/>
          </w:tcPr>
          <w:p>
            <w:pPr>
              <w:spacing w:after="0"/>
              <w:rPr>
                <w:sz w:val="10"/>
                <w:szCs w:val="1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0"/>
                <w:szCs w:val="10"/>
                <w:color w:val="auto"/>
              </w:rPr>
              <w:t>128</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0"/>
                <w:szCs w:val="10"/>
                <w:color w:val="auto"/>
              </w:rPr>
              <w:t>119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127</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92</w:t>
            </w:r>
          </w:p>
        </w:tc>
        <w:tc>
          <w:tcPr>
            <w:tcW w:w="140" w:type="dxa"/>
            <w:vAlign w:val="bottom"/>
          </w:tcPr>
          <w:p>
            <w:pPr>
              <w:spacing w:after="0"/>
              <w:rPr>
                <w:sz w:val="10"/>
                <w:szCs w:val="10"/>
                <w:color w:val="auto"/>
              </w:rPr>
            </w:pPr>
          </w:p>
        </w:tc>
        <w:tc>
          <w:tcPr>
            <w:tcW w:w="360" w:type="dxa"/>
            <w:vAlign w:val="bottom"/>
          </w:tcPr>
          <w:p>
            <w:pPr>
              <w:jc w:val="right"/>
              <w:ind w:right="14"/>
              <w:spacing w:after="0"/>
              <w:rPr>
                <w:sz w:val="20"/>
                <w:szCs w:val="20"/>
                <w:color w:val="auto"/>
              </w:rPr>
            </w:pPr>
            <w:r>
              <w:rPr>
                <w:rFonts w:ascii="Arial" w:cs="Arial" w:eastAsia="Arial" w:hAnsi="Arial"/>
                <w:sz w:val="10"/>
                <w:szCs w:val="10"/>
                <w:color w:val="auto"/>
              </w:rPr>
              <w:t>88</w:t>
            </w:r>
          </w:p>
        </w:tc>
        <w:tc>
          <w:tcPr>
            <w:tcW w:w="120" w:type="dxa"/>
            <w:vAlign w:val="bottom"/>
          </w:tcPr>
          <w:p>
            <w:pPr>
              <w:spacing w:after="0"/>
              <w:rPr>
                <w:sz w:val="10"/>
                <w:szCs w:val="10"/>
                <w:color w:val="auto"/>
              </w:rPr>
            </w:pPr>
          </w:p>
        </w:tc>
        <w:tc>
          <w:tcPr>
            <w:tcW w:w="400" w:type="dxa"/>
            <w:vAlign w:val="bottom"/>
          </w:tcPr>
          <w:p>
            <w:pPr>
              <w:jc w:val="right"/>
              <w:ind w:right="35"/>
              <w:spacing w:after="0"/>
              <w:rPr>
                <w:sz w:val="20"/>
                <w:szCs w:val="20"/>
                <w:color w:val="auto"/>
              </w:rPr>
            </w:pPr>
            <w:r>
              <w:rPr>
                <w:rFonts w:ascii="Arial" w:cs="Arial" w:eastAsia="Arial" w:hAnsi="Arial"/>
                <w:sz w:val="10"/>
                <w:szCs w:val="10"/>
                <w:color w:val="auto"/>
              </w:rPr>
              <w:t>83</w:t>
            </w:r>
          </w:p>
        </w:tc>
        <w:tc>
          <w:tcPr>
            <w:tcW w:w="80" w:type="dxa"/>
            <w:vAlign w:val="bottom"/>
          </w:tcPr>
          <w:p>
            <w:pPr>
              <w:spacing w:after="0"/>
              <w:rPr>
                <w:sz w:val="10"/>
                <w:szCs w:val="10"/>
                <w:color w:val="auto"/>
              </w:rPr>
            </w:pPr>
          </w:p>
        </w:tc>
        <w:tc>
          <w:tcPr>
            <w:tcW w:w="500" w:type="dxa"/>
            <w:vAlign w:val="bottom"/>
          </w:tcPr>
          <w:p>
            <w:pPr>
              <w:jc w:val="right"/>
              <w:ind w:right="135"/>
              <w:spacing w:after="0"/>
              <w:rPr>
                <w:sz w:val="20"/>
                <w:szCs w:val="20"/>
                <w:color w:val="auto"/>
              </w:rPr>
            </w:pPr>
            <w:r>
              <w:rPr>
                <w:rFonts w:ascii="Arial" w:cs="Arial" w:eastAsia="Arial" w:hAnsi="Arial"/>
                <w:sz w:val="10"/>
                <w:szCs w:val="10"/>
                <w:color w:val="auto"/>
              </w:rPr>
              <w:t>92</w:t>
            </w:r>
          </w:p>
        </w:tc>
        <w:tc>
          <w:tcPr>
            <w:tcW w:w="480" w:type="dxa"/>
            <w:vAlign w:val="bottom"/>
          </w:tcPr>
          <w:p>
            <w:pPr>
              <w:jc w:val="right"/>
              <w:ind w:right="114"/>
              <w:spacing w:after="0"/>
              <w:rPr>
                <w:sz w:val="20"/>
                <w:szCs w:val="20"/>
                <w:color w:val="auto"/>
              </w:rPr>
            </w:pPr>
            <w:r>
              <w:rPr>
                <w:rFonts w:ascii="Arial" w:cs="Arial" w:eastAsia="Arial" w:hAnsi="Arial"/>
                <w:sz w:val="10"/>
                <w:szCs w:val="10"/>
                <w:color w:val="auto"/>
              </w:rPr>
              <w:t>81</w:t>
            </w:r>
          </w:p>
        </w:tc>
        <w:tc>
          <w:tcPr>
            <w:tcW w:w="460" w:type="dxa"/>
            <w:vAlign w:val="bottom"/>
          </w:tcPr>
          <w:p>
            <w:pPr>
              <w:jc w:val="right"/>
              <w:ind w:right="94"/>
              <w:spacing w:after="0"/>
              <w:rPr>
                <w:sz w:val="20"/>
                <w:szCs w:val="20"/>
                <w:color w:val="auto"/>
              </w:rPr>
            </w:pPr>
            <w:r>
              <w:rPr>
                <w:rFonts w:ascii="Arial" w:cs="Arial" w:eastAsia="Arial" w:hAnsi="Arial"/>
                <w:sz w:val="10"/>
                <w:szCs w:val="10"/>
                <w:color w:val="auto"/>
              </w:rPr>
              <w:t>80</w:t>
            </w:r>
          </w:p>
        </w:tc>
        <w:tc>
          <w:tcPr>
            <w:tcW w:w="0" w:type="dxa"/>
            <w:vAlign w:val="bottom"/>
          </w:tcPr>
          <w:p>
            <w:pPr>
              <w:spacing w:after="0"/>
              <w:rPr>
                <w:sz w:val="1"/>
                <w:szCs w:val="1"/>
                <w:color w:val="auto"/>
              </w:rPr>
            </w:pPr>
          </w:p>
        </w:tc>
      </w:tr>
      <w:tr>
        <w:trPr>
          <w:trHeight w:val="20"/>
        </w:trPr>
        <w:tc>
          <w:tcPr>
            <w:tcW w:w="1080" w:type="dxa"/>
            <w:vAlign w:val="bottom"/>
            <w:gridSpan w:val="2"/>
            <w:vMerge w:val="restart"/>
            <w:shd w:val="clear" w:color="auto" w:fill="CCEEFF"/>
          </w:tcPr>
          <w:p>
            <w:pPr>
              <w:ind w:left="40"/>
              <w:spacing w:after="0"/>
              <w:rPr>
                <w:sz w:val="20"/>
                <w:szCs w:val="20"/>
                <w:color w:val="auto"/>
              </w:rPr>
            </w:pPr>
            <w:r>
              <w:rPr>
                <w:rFonts w:ascii="Arial" w:cs="Arial" w:eastAsia="Arial" w:hAnsi="Arial"/>
                <w:sz w:val="10"/>
                <w:szCs w:val="10"/>
                <w:color w:val="auto"/>
                <w:w w:val="91"/>
              </w:rPr>
              <w:t>Loss from operations</w:t>
            </w:r>
            <w:r>
              <w:rPr>
                <w:rFonts w:ascii="Times New Roman" w:cs="Times New Roman" w:eastAsia="Times New Roman" w:hAnsi="Times New Roman"/>
                <w:sz w:val="10"/>
                <w:szCs w:val="10"/>
                <w:color w:val="B4B4B4"/>
                <w:w w:val="91"/>
              </w:rPr>
              <w:t>.......</w:t>
            </w: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gridSpan w:val="4"/>
            <w:shd w:val="clear" w:color="auto" w:fill="CCEEFF"/>
          </w:tcPr>
          <w:p>
            <w:pPr>
              <w:jc w:val="right"/>
              <w:ind w:right="95"/>
              <w:spacing w:after="0"/>
              <w:rPr>
                <w:sz w:val="20"/>
                <w:szCs w:val="20"/>
                <w:color w:val="auto"/>
              </w:rPr>
            </w:pPr>
            <w:r>
              <w:rPr>
                <w:rFonts w:ascii="Arial" w:cs="Arial" w:eastAsia="Arial" w:hAnsi="Arial"/>
                <w:sz w:val="10"/>
                <w:szCs w:val="10"/>
                <w:color w:val="auto"/>
              </w:rPr>
              <w:t>(54)</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(68)</w:t>
            </w: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(56)</w:t>
            </w: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(68)</w:t>
            </w: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1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8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ind w:right="95"/>
              <w:spacing w:after="0"/>
              <w:rPr>
                <w:sz w:val="20"/>
                <w:szCs w:val="20"/>
                <w:color w:val="auto"/>
              </w:rPr>
            </w:pPr>
            <w:r>
              <w:rPr>
                <w:rFonts w:ascii="Arial" w:cs="Arial" w:eastAsia="Arial" w:hAnsi="Arial"/>
                <w:sz w:val="10"/>
                <w:szCs w:val="10"/>
                <w:color w:val="auto"/>
              </w:rPr>
              <w:t>(24)</w:t>
            </w:r>
          </w:p>
        </w:tc>
        <w:tc>
          <w:tcPr>
            <w:tcW w:w="480" w:type="dxa"/>
            <w:vAlign w:val="bottom"/>
            <w:tcBorders>
              <w:right w:val="single" w:sz="8" w:color="CCEEFF"/>
            </w:tcBorders>
            <w:shd w:val="clear" w:color="auto" w:fill="CCEEFF"/>
          </w:tcPr>
          <w:p>
            <w:pPr>
              <w:jc w:val="right"/>
              <w:ind w:right="94"/>
              <w:spacing w:after="0"/>
              <w:rPr>
                <w:sz w:val="20"/>
                <w:szCs w:val="20"/>
                <w:color w:val="auto"/>
              </w:rPr>
            </w:pPr>
            <w:r>
              <w:rPr>
                <w:rFonts w:ascii="Arial" w:cs="Arial" w:eastAsia="Arial" w:hAnsi="Arial"/>
                <w:sz w:val="10"/>
                <w:szCs w:val="10"/>
                <w:color w:val="auto"/>
              </w:rPr>
              <w:t>(10)</w:t>
            </w:r>
          </w:p>
        </w:tc>
        <w:tc>
          <w:tcPr>
            <w:tcW w:w="460" w:type="dxa"/>
            <w:vAlign w:val="bottom"/>
            <w:shd w:val="clear" w:color="auto" w:fill="CCEEFF"/>
          </w:tcPr>
          <w:p>
            <w:pPr>
              <w:jc w:val="right"/>
              <w:ind w:right="74"/>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44"/>
        </w:trPr>
        <w:tc>
          <w:tcPr>
            <w:tcW w:w="1080" w:type="dxa"/>
            <w:vAlign w:val="bottom"/>
            <w:gridSpan w:val="2"/>
          </w:tcPr>
          <w:p>
            <w:pPr>
              <w:ind w:left="180"/>
              <w:spacing w:after="0"/>
              <w:rPr>
                <w:sz w:val="20"/>
                <w:szCs w:val="20"/>
                <w:color w:val="auto"/>
              </w:rPr>
            </w:pPr>
            <w:r>
              <w:rPr>
                <w:rFonts w:ascii="Arial" w:cs="Arial" w:eastAsia="Arial" w:hAnsi="Arial"/>
                <w:sz w:val="10"/>
                <w:szCs w:val="10"/>
                <w:color w:val="auto"/>
                <w:w w:val="90"/>
              </w:rPr>
              <w:t xml:space="preserve">Interest expense </w:t>
            </w:r>
            <w:r>
              <w:rPr>
                <w:rFonts w:ascii="Times New Roman" w:cs="Times New Roman" w:eastAsia="Times New Roman" w:hAnsi="Times New Roman"/>
                <w:sz w:val="10"/>
                <w:szCs w:val="10"/>
                <w:color w:val="B4B4B4"/>
                <w:w w:val="90"/>
              </w:rPr>
              <w:t>........</w:t>
            </w:r>
          </w:p>
        </w:tc>
        <w:tc>
          <w:tcPr>
            <w:tcW w:w="60" w:type="dxa"/>
            <w:vAlign w:val="bottom"/>
          </w:tcPr>
          <w:p>
            <w:pPr>
              <w:spacing w:after="0"/>
              <w:rPr>
                <w:sz w:val="12"/>
                <w:szCs w:val="12"/>
                <w:color w:val="auto"/>
              </w:rPr>
            </w:pPr>
          </w:p>
        </w:tc>
        <w:tc>
          <w:tcPr>
            <w:tcW w:w="480" w:type="dxa"/>
            <w:vAlign w:val="bottom"/>
            <w:gridSpan w:val="4"/>
          </w:tcPr>
          <w:p>
            <w:pPr>
              <w:jc w:val="right"/>
              <w:ind w:right="95"/>
              <w:spacing w:after="0"/>
              <w:rPr>
                <w:sz w:val="20"/>
                <w:szCs w:val="20"/>
                <w:color w:val="auto"/>
              </w:rPr>
            </w:pPr>
            <w:r>
              <w:rPr>
                <w:rFonts w:ascii="Arial" w:cs="Arial" w:eastAsia="Arial" w:hAnsi="Arial"/>
                <w:sz w:val="10"/>
                <w:szCs w:val="10"/>
                <w:color w:val="auto"/>
              </w:rPr>
              <w:t>(13)</w:t>
            </w:r>
          </w:p>
        </w:tc>
        <w:tc>
          <w:tcPr>
            <w:tcW w:w="360" w:type="dxa"/>
            <w:vAlign w:val="bottom"/>
            <w:gridSpan w:val="3"/>
          </w:tcPr>
          <w:p>
            <w:pPr>
              <w:jc w:val="right"/>
              <w:spacing w:after="0"/>
              <w:rPr>
                <w:sz w:val="20"/>
                <w:szCs w:val="20"/>
                <w:color w:val="auto"/>
              </w:rPr>
            </w:pPr>
            <w:r>
              <w:rPr>
                <w:rFonts w:ascii="Arial" w:cs="Arial" w:eastAsia="Arial" w:hAnsi="Arial"/>
                <w:sz w:val="10"/>
                <w:szCs w:val="10"/>
                <w:color w:val="auto"/>
              </w:rPr>
              <w:t>(16)</w:t>
            </w:r>
          </w:p>
        </w:tc>
        <w:tc>
          <w:tcPr>
            <w:tcW w:w="12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Arial" w:cs="Arial" w:eastAsia="Arial" w:hAnsi="Arial"/>
                <w:sz w:val="10"/>
                <w:szCs w:val="10"/>
                <w:color w:val="auto"/>
              </w:rPr>
              <w:t>(15)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0"/>
                <w:szCs w:val="10"/>
                <w:color w:val="auto"/>
              </w:rPr>
              <w:t>(19)</w:t>
            </w: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(15)</w:t>
            </w:r>
          </w:p>
        </w:tc>
        <w:tc>
          <w:tcPr>
            <w:tcW w:w="1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(15)</w:t>
            </w: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(13)</w:t>
            </w:r>
          </w:p>
        </w:tc>
        <w:tc>
          <w:tcPr>
            <w:tcW w:w="80" w:type="dxa"/>
            <w:vAlign w:val="bottom"/>
          </w:tcPr>
          <w:p>
            <w:pPr>
              <w:spacing w:after="0"/>
              <w:rPr>
                <w:sz w:val="12"/>
                <w:szCs w:val="12"/>
                <w:color w:val="auto"/>
              </w:rPr>
            </w:pPr>
          </w:p>
        </w:tc>
        <w:tc>
          <w:tcPr>
            <w:tcW w:w="500" w:type="dxa"/>
            <w:vAlign w:val="bottom"/>
          </w:tcPr>
          <w:p>
            <w:pPr>
              <w:jc w:val="right"/>
              <w:ind w:right="95"/>
              <w:spacing w:after="0"/>
              <w:rPr>
                <w:sz w:val="20"/>
                <w:szCs w:val="20"/>
                <w:color w:val="auto"/>
              </w:rPr>
            </w:pPr>
            <w:r>
              <w:rPr>
                <w:rFonts w:ascii="Arial" w:cs="Arial" w:eastAsia="Arial" w:hAnsi="Arial"/>
                <w:sz w:val="10"/>
                <w:szCs w:val="10"/>
                <w:color w:val="auto"/>
              </w:rPr>
              <w:t>(14)</w:t>
            </w:r>
          </w:p>
        </w:tc>
        <w:tc>
          <w:tcPr>
            <w:tcW w:w="480" w:type="dxa"/>
            <w:vAlign w:val="bottom"/>
          </w:tcPr>
          <w:p>
            <w:pPr>
              <w:jc w:val="right"/>
              <w:ind w:right="94"/>
              <w:spacing w:after="0"/>
              <w:rPr>
                <w:sz w:val="20"/>
                <w:szCs w:val="20"/>
                <w:color w:val="auto"/>
              </w:rPr>
            </w:pPr>
            <w:r>
              <w:rPr>
                <w:rFonts w:ascii="Arial" w:cs="Arial" w:eastAsia="Arial" w:hAnsi="Arial"/>
                <w:sz w:val="10"/>
                <w:szCs w:val="10"/>
                <w:color w:val="auto"/>
              </w:rPr>
              <w:t>(10)</w:t>
            </w:r>
          </w:p>
        </w:tc>
        <w:tc>
          <w:tcPr>
            <w:tcW w:w="460" w:type="dxa"/>
            <w:vAlign w:val="bottom"/>
          </w:tcPr>
          <w:p>
            <w:pPr>
              <w:jc w:val="right"/>
              <w:ind w:right="74"/>
              <w:spacing w:after="0"/>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124"/>
        </w:trPr>
        <w:tc>
          <w:tcPr>
            <w:tcW w:w="9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Other income</w:t>
            </w:r>
          </w:p>
        </w:tc>
        <w:tc>
          <w:tcPr>
            <w:tcW w:w="140" w:type="dxa"/>
            <w:vAlign w:val="bottom"/>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320" w:type="dxa"/>
            <w:vAlign w:val="bottom"/>
            <w:gridSpan w:val="3"/>
            <w:vMerge w:val="restart"/>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160" w:type="dxa"/>
            <w:vAlign w:val="bottom"/>
            <w:tcBorders>
              <w:right w:val="single" w:sz="8" w:color="CCEEFF"/>
            </w:tcBorders>
            <w:shd w:val="clear" w:color="auto" w:fill="CCEEFF"/>
          </w:tcPr>
          <w:p>
            <w:pPr>
              <w:spacing w:after="0"/>
              <w:rPr>
                <w:sz w:val="10"/>
                <w:szCs w:val="10"/>
                <w:color w:val="auto"/>
              </w:rPr>
            </w:pPr>
          </w:p>
        </w:tc>
        <w:tc>
          <w:tcPr>
            <w:tcW w:w="3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20" w:type="dxa"/>
            <w:vAlign w:val="bottom"/>
            <w:tcBorders>
              <w:right w:val="single" w:sz="8" w:color="CCEEFF"/>
            </w:tcBorders>
            <w:shd w:val="clear" w:color="auto" w:fill="CCEEFF"/>
          </w:tcPr>
          <w:p>
            <w:pPr>
              <w:spacing w:after="0"/>
              <w:rPr>
                <w:sz w:val="10"/>
                <w:szCs w:val="10"/>
                <w:color w:val="auto"/>
              </w:rPr>
            </w:pPr>
          </w:p>
        </w:tc>
        <w:tc>
          <w:tcPr>
            <w:tcW w:w="400" w:type="dxa"/>
            <w:vAlign w:val="bottom"/>
            <w:vMerge w:val="restart"/>
            <w:shd w:val="clear" w:color="auto" w:fill="CCEEFF"/>
          </w:tcPr>
          <w:p>
            <w:pPr>
              <w:jc w:val="right"/>
              <w:ind w:right="35"/>
              <w:spacing w:after="0"/>
              <w:rPr>
                <w:sz w:val="20"/>
                <w:szCs w:val="20"/>
                <w:color w:val="auto"/>
              </w:rPr>
            </w:pPr>
            <w:r>
              <w:rPr>
                <w:rFonts w:ascii="Arial" w:cs="Arial" w:eastAsia="Arial" w:hAnsi="Arial"/>
                <w:sz w:val="10"/>
                <w:szCs w:val="10"/>
                <w:color w:val="auto"/>
              </w:rPr>
              <w:t>1</w:t>
            </w:r>
          </w:p>
        </w:tc>
        <w:tc>
          <w:tcPr>
            <w:tcW w:w="8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CCEEFF"/>
            </w:tcBorders>
            <w:vMerge w:val="restart"/>
            <w:shd w:val="clear" w:color="auto" w:fill="CCEEFF"/>
          </w:tcPr>
          <w:p>
            <w:pPr>
              <w:jc w:val="right"/>
              <w:ind w:right="95"/>
              <w:spacing w:after="0"/>
              <w:rPr>
                <w:sz w:val="20"/>
                <w:szCs w:val="20"/>
                <w:color w:val="auto"/>
              </w:rPr>
            </w:pPr>
            <w:r>
              <w:rPr>
                <w:rFonts w:ascii="Arial" w:cs="Arial" w:eastAsia="Arial" w:hAnsi="Arial"/>
                <w:sz w:val="10"/>
                <w:szCs w:val="10"/>
                <w:color w:val="auto"/>
              </w:rPr>
              <w:t>(2)</w:t>
            </w:r>
          </w:p>
        </w:tc>
        <w:tc>
          <w:tcPr>
            <w:tcW w:w="480" w:type="dxa"/>
            <w:vAlign w:val="bottom"/>
            <w:tcBorders>
              <w:right w:val="single" w:sz="8" w:color="CCEEFF"/>
            </w:tcBorders>
            <w:vMerge w:val="restart"/>
            <w:shd w:val="clear" w:color="auto" w:fill="CCEEFF"/>
          </w:tcPr>
          <w:p>
            <w:pPr>
              <w:jc w:val="right"/>
              <w:ind w:right="114"/>
              <w:spacing w:after="0"/>
              <w:rPr>
                <w:sz w:val="20"/>
                <w:szCs w:val="20"/>
                <w:color w:val="auto"/>
              </w:rPr>
            </w:pPr>
            <w:r>
              <w:rPr>
                <w:rFonts w:ascii="Arial" w:cs="Arial" w:eastAsia="Arial" w:hAnsi="Arial"/>
                <w:sz w:val="10"/>
                <w:szCs w:val="10"/>
                <w:color w:val="auto"/>
              </w:rPr>
              <w:t>4</w:t>
            </w:r>
          </w:p>
        </w:tc>
        <w:tc>
          <w:tcPr>
            <w:tcW w:w="460" w:type="dxa"/>
            <w:vAlign w:val="bottom"/>
            <w:vMerge w:val="restart"/>
            <w:shd w:val="clear" w:color="auto" w:fill="CCEEFF"/>
          </w:tcPr>
          <w:p>
            <w:pPr>
              <w:jc w:val="right"/>
              <w:ind w:right="94"/>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3"/>
        </w:trPr>
        <w:tc>
          <w:tcPr>
            <w:tcW w:w="108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w w:val="90"/>
              </w:rPr>
              <w:t xml:space="preserve">(expense), net </w:t>
            </w:r>
            <w:r>
              <w:rPr>
                <w:rFonts w:ascii="Times New Roman" w:cs="Times New Roman" w:eastAsia="Times New Roman" w:hAnsi="Times New Roman"/>
                <w:sz w:val="10"/>
                <w:szCs w:val="10"/>
                <w:color w:val="B4B4B4"/>
                <w:w w:val="90"/>
              </w:rPr>
              <w:t>.......</w:t>
            </w:r>
          </w:p>
        </w:tc>
        <w:tc>
          <w:tcPr>
            <w:tcW w:w="60" w:type="dxa"/>
            <w:vAlign w:val="bottom"/>
            <w:tcBorders>
              <w:right w:val="single" w:sz="8" w:color="CCEEFF"/>
            </w:tcBorders>
            <w:shd w:val="clear" w:color="auto" w:fill="CCEEFF"/>
          </w:tcPr>
          <w:p>
            <w:pPr>
              <w:spacing w:after="0"/>
              <w:rPr>
                <w:sz w:val="12"/>
                <w:szCs w:val="12"/>
                <w:color w:val="auto"/>
              </w:rPr>
            </w:pPr>
          </w:p>
        </w:tc>
        <w:tc>
          <w:tcPr>
            <w:tcW w:w="320" w:type="dxa"/>
            <w:vAlign w:val="bottom"/>
            <w:gridSpan w:val="3"/>
            <w:vMerge w:val="continue"/>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3"/>
            <w:vMerge w:val="continue"/>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right w:val="single" w:sz="8" w:color="CCEEFF"/>
            </w:tcBorders>
            <w:gridSpan w:val="2"/>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right w:val="single" w:sz="8" w:color="CCEEFF"/>
            </w:tcBorders>
            <w:vMerge w:val="continue"/>
            <w:shd w:val="clear" w:color="auto" w:fill="CCEEFF"/>
          </w:tcPr>
          <w:p>
            <w:pPr>
              <w:spacing w:after="0"/>
              <w:rPr>
                <w:sz w:val="12"/>
                <w:szCs w:val="12"/>
                <w:color w:val="auto"/>
              </w:rPr>
            </w:pPr>
          </w:p>
        </w:tc>
        <w:tc>
          <w:tcPr>
            <w:tcW w:w="480" w:type="dxa"/>
            <w:vAlign w:val="bottom"/>
            <w:tcBorders>
              <w:right w:val="single" w:sz="8" w:color="CCEEFF"/>
            </w:tcBorders>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940" w:type="dxa"/>
            <w:vAlign w:val="bottom"/>
          </w:tcPr>
          <w:p>
            <w:pPr>
              <w:ind w:left="180"/>
              <w:spacing w:after="0" w:line="106" w:lineRule="exact"/>
              <w:rPr>
                <w:sz w:val="20"/>
                <w:szCs w:val="20"/>
                <w:color w:val="auto"/>
              </w:rPr>
            </w:pPr>
            <w:r>
              <w:rPr>
                <w:rFonts w:ascii="Arial" w:cs="Arial" w:eastAsia="Arial" w:hAnsi="Arial"/>
                <w:sz w:val="10"/>
                <w:szCs w:val="10"/>
                <w:color w:val="auto"/>
              </w:rPr>
              <w:t>Loss on</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080" w:type="dxa"/>
            <w:vAlign w:val="bottom"/>
            <w:gridSpan w:val="2"/>
          </w:tcPr>
          <w:p>
            <w:pPr>
              <w:ind w:left="300"/>
              <w:spacing w:after="0" w:line="95" w:lineRule="exact"/>
              <w:rPr>
                <w:sz w:val="20"/>
                <w:szCs w:val="20"/>
                <w:color w:val="auto"/>
              </w:rPr>
            </w:pPr>
            <w:r>
              <w:rPr>
                <w:rFonts w:ascii="Arial" w:cs="Arial" w:eastAsia="Arial" w:hAnsi="Arial"/>
                <w:sz w:val="10"/>
                <w:szCs w:val="10"/>
                <w:color w:val="auto"/>
                <w:w w:val="96"/>
              </w:rPr>
              <w:t>extinguishment of</w:t>
            </w:r>
          </w:p>
        </w:tc>
        <w:tc>
          <w:tcPr>
            <w:tcW w:w="60" w:type="dxa"/>
            <w:vAlign w:val="bottom"/>
          </w:tcPr>
          <w:p>
            <w:pPr>
              <w:spacing w:after="0"/>
              <w:rPr>
                <w:sz w:val="8"/>
                <w:szCs w:val="8"/>
                <w:color w:val="auto"/>
              </w:rPr>
            </w:pPr>
          </w:p>
        </w:tc>
        <w:tc>
          <w:tcPr>
            <w:tcW w:w="320" w:type="dxa"/>
            <w:vAlign w:val="bottom"/>
            <w:gridSpan w:val="3"/>
            <w:vMerge w:val="restart"/>
          </w:tcPr>
          <w:p>
            <w:pPr>
              <w:jc w:val="right"/>
              <w:ind w:right="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360" w:type="dxa"/>
            <w:vAlign w:val="bottom"/>
            <w:gridSpan w:val="3"/>
            <w:vMerge w:val="restart"/>
          </w:tcPr>
          <w:p>
            <w:pPr>
              <w:jc w:val="right"/>
              <w:ind w:right="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380" w:type="dxa"/>
            <w:vAlign w:val="bottom"/>
            <w:gridSpan w:val="3"/>
            <w:vMerge w:val="restart"/>
          </w:tcPr>
          <w:p>
            <w:pPr>
              <w:jc w:val="right"/>
              <w:ind w:right="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jc w:val="right"/>
              <w:ind w:right="135"/>
              <w:spacing w:after="0"/>
              <w:rPr>
                <w:sz w:val="20"/>
                <w:szCs w:val="20"/>
                <w:color w:val="auto"/>
              </w:rPr>
            </w:pPr>
            <w:r>
              <w:rPr>
                <w:rFonts w:ascii="Arial" w:cs="Arial" w:eastAsia="Arial" w:hAnsi="Arial"/>
                <w:sz w:val="10"/>
                <w:szCs w:val="10"/>
                <w:color w:val="auto"/>
              </w:rPr>
              <w:t>—</w:t>
            </w:r>
          </w:p>
        </w:tc>
        <w:tc>
          <w:tcPr>
            <w:tcW w:w="480" w:type="dxa"/>
            <w:vAlign w:val="bottom"/>
            <w:vMerge w:val="restart"/>
          </w:tcPr>
          <w:p>
            <w:pPr>
              <w:jc w:val="right"/>
              <w:ind w:right="94"/>
              <w:spacing w:after="0"/>
              <w:rPr>
                <w:sz w:val="20"/>
                <w:szCs w:val="20"/>
                <w:color w:val="auto"/>
              </w:rPr>
            </w:pPr>
            <w:r>
              <w:rPr>
                <w:rFonts w:ascii="Arial" w:cs="Arial" w:eastAsia="Arial" w:hAnsi="Arial"/>
                <w:sz w:val="10"/>
                <w:szCs w:val="10"/>
                <w:color w:val="auto"/>
              </w:rPr>
              <w:t>(13)</w:t>
            </w:r>
          </w:p>
        </w:tc>
        <w:tc>
          <w:tcPr>
            <w:tcW w:w="460" w:type="dxa"/>
            <w:vAlign w:val="bottom"/>
            <w:vMerge w:val="restart"/>
          </w:tcPr>
          <w:p>
            <w:pPr>
              <w:jc w:val="right"/>
              <w:ind w:right="94"/>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1080" w:type="dxa"/>
            <w:vAlign w:val="bottom"/>
            <w:gridSpan w:val="2"/>
          </w:tcPr>
          <w:p>
            <w:pPr>
              <w:ind w:left="300"/>
              <w:spacing w:after="0"/>
              <w:rPr>
                <w:sz w:val="20"/>
                <w:szCs w:val="20"/>
                <w:color w:val="auto"/>
              </w:rPr>
            </w:pPr>
            <w:r>
              <w:rPr>
                <w:rFonts w:ascii="Arial" w:cs="Arial" w:eastAsia="Arial" w:hAnsi="Arial"/>
                <w:sz w:val="10"/>
                <w:szCs w:val="10"/>
                <w:color w:val="auto"/>
                <w:w w:val="89"/>
              </w:rPr>
              <w:t xml:space="preserve">debt </w:t>
            </w:r>
            <w:r>
              <w:rPr>
                <w:rFonts w:ascii="Times New Roman" w:cs="Times New Roman" w:eastAsia="Times New Roman" w:hAnsi="Times New Roman"/>
                <w:sz w:val="10"/>
                <w:szCs w:val="10"/>
                <w:color w:val="B4B4B4"/>
                <w:w w:val="89"/>
              </w:rPr>
              <w:t>.........................</w:t>
            </w:r>
          </w:p>
        </w:tc>
        <w:tc>
          <w:tcPr>
            <w:tcW w:w="60" w:type="dxa"/>
            <w:vAlign w:val="bottom"/>
          </w:tcPr>
          <w:p>
            <w:pPr>
              <w:spacing w:after="0"/>
              <w:rPr>
                <w:sz w:val="11"/>
                <w:szCs w:val="11"/>
                <w:color w:val="auto"/>
              </w:rPr>
            </w:pPr>
          </w:p>
        </w:tc>
        <w:tc>
          <w:tcPr>
            <w:tcW w:w="3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940" w:type="dxa"/>
            <w:vAlign w:val="bottom"/>
            <w:shd w:val="clear" w:color="auto" w:fill="CCEEFF"/>
          </w:tcPr>
          <w:p>
            <w:pPr>
              <w:ind w:left="180"/>
              <w:spacing w:after="0"/>
              <w:rPr>
                <w:sz w:val="20"/>
                <w:szCs w:val="20"/>
                <w:color w:val="auto"/>
              </w:rPr>
            </w:pPr>
            <w:r>
              <w:rPr>
                <w:rFonts w:ascii="Arial" w:cs="Arial" w:eastAsia="Arial" w:hAnsi="Arial"/>
                <w:sz w:val="10"/>
                <w:szCs w:val="10"/>
                <w:color w:val="auto"/>
                <w:w w:val="93"/>
              </w:rPr>
              <w:t>Gain (loss) on fair</w:t>
            </w:r>
          </w:p>
        </w:tc>
        <w:tc>
          <w:tcPr>
            <w:tcW w:w="140" w:type="dxa"/>
            <w:vAlign w:val="bottom"/>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480" w:type="dxa"/>
            <w:vAlign w:val="bottom"/>
            <w:tcBorders>
              <w:right w:val="single" w:sz="8" w:color="CCEEFF"/>
            </w:tcBorders>
            <w:gridSpan w:val="4"/>
            <w:vMerge w:val="restart"/>
            <w:shd w:val="clear" w:color="auto" w:fill="CCEEFF"/>
          </w:tcPr>
          <w:p>
            <w:pPr>
              <w:jc w:val="right"/>
              <w:ind w:right="95"/>
              <w:spacing w:after="0"/>
              <w:rPr>
                <w:sz w:val="20"/>
                <w:szCs w:val="20"/>
                <w:color w:val="auto"/>
              </w:rPr>
            </w:pPr>
            <w:r>
              <w:rPr>
                <w:rFonts w:ascii="Arial" w:cs="Arial" w:eastAsia="Arial" w:hAnsi="Arial"/>
                <w:sz w:val="10"/>
                <w:szCs w:val="10"/>
                <w:color w:val="auto"/>
              </w:rPr>
              <w:t>(14)</w:t>
            </w:r>
          </w:p>
        </w:tc>
        <w:tc>
          <w:tcPr>
            <w:tcW w:w="3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0"/>
                <w:szCs w:val="10"/>
                <w:color w:val="auto"/>
              </w:rPr>
              <w:t>1</w:t>
            </w: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0"/>
                <w:szCs w:val="10"/>
                <w:color w:val="auto"/>
              </w:rPr>
              <w:t>(2)</w:t>
            </w:r>
          </w:p>
        </w:tc>
        <w:tc>
          <w:tcPr>
            <w:tcW w:w="120" w:type="dxa"/>
            <w:vAlign w:val="bottom"/>
            <w:tcBorders>
              <w:right w:val="single" w:sz="8" w:color="CCEEFF"/>
            </w:tcBorders>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40" w:type="dxa"/>
            <w:vAlign w:val="bottom"/>
            <w:tcBorders>
              <w:right w:val="single" w:sz="8" w:color="CCEEFF"/>
            </w:tcBorders>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20" w:type="dxa"/>
            <w:vAlign w:val="bottom"/>
            <w:tcBorders>
              <w:right w:val="single" w:sz="8" w:color="CCEEFF"/>
            </w:tcBorders>
            <w:shd w:val="clear" w:color="auto" w:fill="CCEEFF"/>
          </w:tcPr>
          <w:p>
            <w:pPr>
              <w:spacing w:after="0"/>
              <w:rPr>
                <w:sz w:val="10"/>
                <w:szCs w:val="10"/>
                <w:color w:val="auto"/>
              </w:rPr>
            </w:pPr>
          </w:p>
        </w:tc>
        <w:tc>
          <w:tcPr>
            <w:tcW w:w="400" w:type="dxa"/>
            <w:vAlign w:val="bottom"/>
            <w:vMerge w:val="restart"/>
            <w:shd w:val="clear" w:color="auto" w:fill="CCEEFF"/>
          </w:tcPr>
          <w:p>
            <w:pPr>
              <w:jc w:val="right"/>
              <w:ind w:right="35"/>
              <w:spacing w:after="0"/>
              <w:rPr>
                <w:sz w:val="20"/>
                <w:szCs w:val="20"/>
                <w:color w:val="auto"/>
              </w:rPr>
            </w:pPr>
            <w:r>
              <w:rPr>
                <w:rFonts w:ascii="Arial" w:cs="Arial" w:eastAsia="Arial" w:hAnsi="Arial"/>
                <w:sz w:val="10"/>
                <w:szCs w:val="10"/>
                <w:color w:val="auto"/>
              </w:rPr>
              <w:t>1</w:t>
            </w:r>
          </w:p>
        </w:tc>
        <w:tc>
          <w:tcPr>
            <w:tcW w:w="8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CCEEFF"/>
            </w:tcBorders>
            <w:vMerge w:val="restart"/>
            <w:shd w:val="clear" w:color="auto" w:fill="CCEEFF"/>
          </w:tcPr>
          <w:p>
            <w:pPr>
              <w:jc w:val="right"/>
              <w:ind w:right="135"/>
              <w:spacing w:after="0"/>
              <w:rPr>
                <w:sz w:val="20"/>
                <w:szCs w:val="20"/>
                <w:color w:val="auto"/>
              </w:rPr>
            </w:pPr>
            <w:r>
              <w:rPr>
                <w:rFonts w:ascii="Arial" w:cs="Arial" w:eastAsia="Arial" w:hAnsi="Arial"/>
                <w:sz w:val="10"/>
                <w:szCs w:val="10"/>
                <w:color w:val="auto"/>
              </w:rPr>
              <w:t>6</w:t>
            </w:r>
          </w:p>
        </w:tc>
        <w:tc>
          <w:tcPr>
            <w:tcW w:w="480" w:type="dxa"/>
            <w:vAlign w:val="bottom"/>
            <w:tcBorders>
              <w:right w:val="single" w:sz="8" w:color="CCEEFF"/>
            </w:tcBorders>
            <w:vMerge w:val="restart"/>
            <w:shd w:val="clear" w:color="auto" w:fill="CCEEFF"/>
          </w:tcPr>
          <w:p>
            <w:pPr>
              <w:jc w:val="right"/>
              <w:ind w:right="94"/>
              <w:spacing w:after="0"/>
              <w:rPr>
                <w:sz w:val="20"/>
                <w:szCs w:val="20"/>
                <w:color w:val="auto"/>
              </w:rPr>
            </w:pPr>
            <w:r>
              <w:rPr>
                <w:rFonts w:ascii="Arial" w:cs="Arial" w:eastAsia="Arial" w:hAnsi="Arial"/>
                <w:sz w:val="10"/>
                <w:szCs w:val="10"/>
                <w:color w:val="auto"/>
              </w:rPr>
              <w:t>(6)</w:t>
            </w:r>
          </w:p>
        </w:tc>
        <w:tc>
          <w:tcPr>
            <w:tcW w:w="460" w:type="dxa"/>
            <w:vAlign w:val="bottom"/>
            <w:vMerge w:val="restart"/>
            <w:shd w:val="clear" w:color="auto" w:fill="CCEEFF"/>
          </w:tcPr>
          <w:p>
            <w:pPr>
              <w:jc w:val="right"/>
              <w:ind w:right="74"/>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42"/>
        </w:trPr>
        <w:tc>
          <w:tcPr>
            <w:tcW w:w="108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w w:val="94"/>
              </w:rPr>
              <w:t>value adjustments</w:t>
            </w:r>
          </w:p>
        </w:tc>
        <w:tc>
          <w:tcPr>
            <w:tcW w:w="6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bottom w:val="single" w:sz="8" w:color="auto"/>
              <w:right w:val="single" w:sz="8" w:color="CCEEFF"/>
            </w:tcBorders>
            <w:gridSpan w:val="4"/>
            <w:vMerge w:val="continue"/>
            <w:shd w:val="clear" w:color="auto" w:fill="CCEEFF"/>
          </w:tcPr>
          <w:p>
            <w:pPr>
              <w:spacing w:after="0"/>
              <w:rPr>
                <w:sz w:val="12"/>
                <w:szCs w:val="12"/>
                <w:color w:val="auto"/>
              </w:rPr>
            </w:pPr>
          </w:p>
        </w:tc>
        <w:tc>
          <w:tcPr>
            <w:tcW w:w="340" w:type="dxa"/>
            <w:vAlign w:val="bottom"/>
            <w:tcBorders>
              <w:bottom w:val="single" w:sz="8" w:color="auto"/>
            </w:tcBorders>
            <w:gridSpan w:val="2"/>
            <w:vMerge w:val="continue"/>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CCEEFF"/>
            </w:tcBorders>
            <w:shd w:val="clear" w:color="auto" w:fill="CCEEFF"/>
          </w:tcPr>
          <w:p>
            <w:pPr>
              <w:spacing w:after="0"/>
              <w:rPr>
                <w:sz w:val="12"/>
                <w:szCs w:val="12"/>
                <w:color w:val="auto"/>
              </w:rPr>
            </w:pPr>
          </w:p>
        </w:tc>
        <w:tc>
          <w:tcPr>
            <w:tcW w:w="360" w:type="dxa"/>
            <w:vAlign w:val="bottom"/>
            <w:tcBorders>
              <w:bottom w:val="single" w:sz="8" w:color="auto"/>
            </w:tcBorders>
            <w:gridSpan w:val="2"/>
            <w:vMerge w:val="continue"/>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CCEEFF"/>
            </w:tcBorders>
            <w:shd w:val="clear" w:color="auto" w:fill="CCEEFF"/>
          </w:tcPr>
          <w:p>
            <w:pPr>
              <w:spacing w:after="0"/>
              <w:rPr>
                <w:sz w:val="12"/>
                <w:szCs w:val="12"/>
                <w:color w:val="auto"/>
              </w:rPr>
            </w:pPr>
          </w:p>
        </w:tc>
        <w:tc>
          <w:tcPr>
            <w:tcW w:w="360" w:type="dxa"/>
            <w:vAlign w:val="bottom"/>
            <w:tcBorders>
              <w:bottom w:val="single" w:sz="8" w:color="auto"/>
            </w:tcBorders>
            <w:gridSpan w:val="2"/>
            <w:vMerge w:val="continue"/>
            <w:shd w:val="clear" w:color="auto" w:fill="CCEEFF"/>
          </w:tcPr>
          <w:p>
            <w:pPr>
              <w:spacing w:after="0"/>
              <w:rPr>
                <w:sz w:val="12"/>
                <w:szCs w:val="12"/>
                <w:color w:val="auto"/>
              </w:rPr>
            </w:pPr>
          </w:p>
        </w:tc>
        <w:tc>
          <w:tcPr>
            <w:tcW w:w="120" w:type="dxa"/>
            <w:vAlign w:val="bottom"/>
            <w:tcBorders>
              <w:bottom w:val="single" w:sz="8" w:color="auto"/>
              <w:right w:val="single" w:sz="8" w:color="CCEEFF"/>
            </w:tcBorders>
            <w:shd w:val="clear" w:color="auto" w:fill="CCEEFF"/>
          </w:tcPr>
          <w:p>
            <w:pPr>
              <w:spacing w:after="0"/>
              <w:rPr>
                <w:sz w:val="12"/>
                <w:szCs w:val="12"/>
                <w:color w:val="auto"/>
              </w:rPr>
            </w:pPr>
          </w:p>
        </w:tc>
        <w:tc>
          <w:tcPr>
            <w:tcW w:w="360" w:type="dxa"/>
            <w:vAlign w:val="bottom"/>
            <w:tcBorders>
              <w:bottom w:val="single" w:sz="8" w:color="auto"/>
            </w:tcBorders>
            <w:vMerge w:val="continue"/>
            <w:shd w:val="clear" w:color="auto" w:fill="CCEEFF"/>
          </w:tcPr>
          <w:p>
            <w:pPr>
              <w:spacing w:after="0"/>
              <w:rPr>
                <w:sz w:val="12"/>
                <w:szCs w:val="12"/>
                <w:color w:val="auto"/>
              </w:rPr>
            </w:pPr>
          </w:p>
        </w:tc>
        <w:tc>
          <w:tcPr>
            <w:tcW w:w="140" w:type="dxa"/>
            <w:vAlign w:val="bottom"/>
            <w:tcBorders>
              <w:bottom w:val="single" w:sz="8" w:color="auto"/>
              <w:right w:val="single" w:sz="8" w:color="CCEEFF"/>
            </w:tcBorders>
            <w:shd w:val="clear" w:color="auto" w:fill="CCEEFF"/>
          </w:tcPr>
          <w:p>
            <w:pPr>
              <w:spacing w:after="0"/>
              <w:rPr>
                <w:sz w:val="12"/>
                <w:szCs w:val="12"/>
                <w:color w:val="auto"/>
              </w:rPr>
            </w:pPr>
          </w:p>
        </w:tc>
        <w:tc>
          <w:tcPr>
            <w:tcW w:w="36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auto"/>
              <w:right w:val="single" w:sz="8" w:color="CCEEFF"/>
            </w:tcBorders>
            <w:shd w:val="clear" w:color="auto" w:fill="CCEEFF"/>
          </w:tcPr>
          <w:p>
            <w:pPr>
              <w:spacing w:after="0"/>
              <w:rPr>
                <w:sz w:val="12"/>
                <w:szCs w:val="12"/>
                <w:color w:val="auto"/>
              </w:rPr>
            </w:pPr>
          </w:p>
        </w:tc>
        <w:tc>
          <w:tcPr>
            <w:tcW w:w="4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auto"/>
              <w:right w:val="single" w:sz="8" w:color="CCEEFF"/>
            </w:tcBorders>
            <w:shd w:val="clear" w:color="auto" w:fill="CCEEFF"/>
          </w:tcPr>
          <w:p>
            <w:pPr>
              <w:spacing w:after="0"/>
              <w:rPr>
                <w:sz w:val="12"/>
                <w:szCs w:val="12"/>
                <w:color w:val="auto"/>
              </w:rPr>
            </w:pPr>
          </w:p>
        </w:tc>
        <w:tc>
          <w:tcPr>
            <w:tcW w:w="500" w:type="dxa"/>
            <w:vAlign w:val="bottom"/>
            <w:tcBorders>
              <w:bottom w:val="single" w:sz="8" w:color="auto"/>
              <w:right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auto"/>
              <w:right w:val="single" w:sz="8" w:color="CCEEFF"/>
            </w:tcBorders>
            <w:vMerge w:val="continue"/>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080" w:type="dxa"/>
            <w:vAlign w:val="bottom"/>
            <w:gridSpan w:val="2"/>
          </w:tcPr>
          <w:p>
            <w:pPr>
              <w:ind w:left="40"/>
              <w:spacing w:after="0" w:line="95" w:lineRule="exact"/>
              <w:rPr>
                <w:sz w:val="20"/>
                <w:szCs w:val="20"/>
                <w:color w:val="auto"/>
              </w:rPr>
            </w:pPr>
            <w:r>
              <w:rPr>
                <w:rFonts w:ascii="Arial" w:cs="Arial" w:eastAsia="Arial" w:hAnsi="Arial"/>
                <w:sz w:val="10"/>
                <w:szCs w:val="10"/>
                <w:color w:val="auto"/>
                <w:w w:val="98"/>
              </w:rPr>
              <w:t>Loss before income tax</w:t>
            </w:r>
          </w:p>
        </w:tc>
        <w:tc>
          <w:tcPr>
            <w:tcW w:w="60" w:type="dxa"/>
            <w:vAlign w:val="bottom"/>
          </w:tcPr>
          <w:p>
            <w:pPr>
              <w:spacing w:after="0"/>
              <w:rPr>
                <w:sz w:val="8"/>
                <w:szCs w:val="8"/>
                <w:color w:val="auto"/>
              </w:rPr>
            </w:pPr>
          </w:p>
        </w:tc>
        <w:tc>
          <w:tcPr>
            <w:tcW w:w="480" w:type="dxa"/>
            <w:vAlign w:val="bottom"/>
            <w:gridSpan w:val="4"/>
            <w:vMerge w:val="restart"/>
          </w:tcPr>
          <w:p>
            <w:pPr>
              <w:jc w:val="right"/>
              <w:ind w:right="95"/>
              <w:spacing w:after="0"/>
              <w:rPr>
                <w:sz w:val="20"/>
                <w:szCs w:val="20"/>
                <w:color w:val="auto"/>
              </w:rPr>
            </w:pPr>
            <w:r>
              <w:rPr>
                <w:rFonts w:ascii="Arial" w:cs="Arial" w:eastAsia="Arial" w:hAnsi="Arial"/>
                <w:sz w:val="10"/>
                <w:szCs w:val="10"/>
                <w:color w:val="auto"/>
              </w:rPr>
              <w:t>(73)</w:t>
            </w:r>
          </w:p>
        </w:tc>
        <w:tc>
          <w:tcPr>
            <w:tcW w:w="360" w:type="dxa"/>
            <w:vAlign w:val="bottom"/>
            <w:gridSpan w:val="3"/>
            <w:vMerge w:val="restart"/>
          </w:tcPr>
          <w:p>
            <w:pPr>
              <w:jc w:val="right"/>
              <w:spacing w:after="0"/>
              <w:rPr>
                <w:sz w:val="20"/>
                <w:szCs w:val="20"/>
                <w:color w:val="auto"/>
              </w:rPr>
            </w:pPr>
            <w:r>
              <w:rPr>
                <w:rFonts w:ascii="Arial" w:cs="Arial" w:eastAsia="Arial" w:hAnsi="Arial"/>
                <w:sz w:val="10"/>
                <w:szCs w:val="10"/>
                <w:color w:val="auto"/>
              </w:rPr>
              <w:t>(83)</w:t>
            </w:r>
          </w:p>
        </w:tc>
        <w:tc>
          <w:tcPr>
            <w:tcW w:w="120" w:type="dxa"/>
            <w:vAlign w:val="bottom"/>
          </w:tcPr>
          <w:p>
            <w:pPr>
              <w:spacing w:after="0"/>
              <w:rPr>
                <w:sz w:val="8"/>
                <w:szCs w:val="8"/>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0"/>
                <w:szCs w:val="10"/>
                <w:color w:val="auto"/>
              </w:rPr>
              <w:t>(83)</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0"/>
                <w:szCs w:val="10"/>
                <w:color w:val="auto"/>
              </w:rPr>
              <w:t>(86)</w:t>
            </w:r>
          </w:p>
        </w:tc>
        <w:tc>
          <w:tcPr>
            <w:tcW w:w="12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0"/>
                <w:szCs w:val="10"/>
                <w:color w:val="auto"/>
              </w:rPr>
              <w:t>(40)</w:t>
            </w:r>
          </w:p>
        </w:tc>
        <w:tc>
          <w:tcPr>
            <w:tcW w:w="14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0"/>
                <w:szCs w:val="10"/>
                <w:color w:val="auto"/>
              </w:rPr>
              <w:t>(32)</w:t>
            </w:r>
          </w:p>
        </w:tc>
        <w:tc>
          <w:tcPr>
            <w:tcW w:w="120" w:type="dxa"/>
            <w:vAlign w:val="bottom"/>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Arial" w:cs="Arial" w:eastAsia="Arial" w:hAnsi="Arial"/>
                <w:sz w:val="10"/>
                <w:szCs w:val="10"/>
                <w:color w:val="auto"/>
              </w:rPr>
              <w:t>(23)</w:t>
            </w:r>
          </w:p>
        </w:tc>
        <w:tc>
          <w:tcPr>
            <w:tcW w:w="80" w:type="dxa"/>
            <w:vAlign w:val="bottom"/>
          </w:tcPr>
          <w:p>
            <w:pPr>
              <w:spacing w:after="0"/>
              <w:rPr>
                <w:sz w:val="8"/>
                <w:szCs w:val="8"/>
                <w:color w:val="auto"/>
              </w:rPr>
            </w:pPr>
          </w:p>
        </w:tc>
        <w:tc>
          <w:tcPr>
            <w:tcW w:w="500" w:type="dxa"/>
            <w:vAlign w:val="bottom"/>
            <w:vMerge w:val="restart"/>
          </w:tcPr>
          <w:p>
            <w:pPr>
              <w:jc w:val="right"/>
              <w:ind w:right="95"/>
              <w:spacing w:after="0"/>
              <w:rPr>
                <w:sz w:val="20"/>
                <w:szCs w:val="20"/>
                <w:color w:val="auto"/>
              </w:rPr>
            </w:pPr>
            <w:r>
              <w:rPr>
                <w:rFonts w:ascii="Arial" w:cs="Arial" w:eastAsia="Arial" w:hAnsi="Arial"/>
                <w:sz w:val="10"/>
                <w:szCs w:val="10"/>
                <w:color w:val="auto"/>
              </w:rPr>
              <w:t>(34)</w:t>
            </w:r>
          </w:p>
        </w:tc>
        <w:tc>
          <w:tcPr>
            <w:tcW w:w="480" w:type="dxa"/>
            <w:vAlign w:val="bottom"/>
            <w:vMerge w:val="restart"/>
          </w:tcPr>
          <w:p>
            <w:pPr>
              <w:jc w:val="right"/>
              <w:ind w:right="94"/>
              <w:spacing w:after="0"/>
              <w:rPr>
                <w:sz w:val="20"/>
                <w:szCs w:val="20"/>
                <w:color w:val="auto"/>
              </w:rPr>
            </w:pPr>
            <w:r>
              <w:rPr>
                <w:rFonts w:ascii="Arial" w:cs="Arial" w:eastAsia="Arial" w:hAnsi="Arial"/>
                <w:sz w:val="10"/>
                <w:szCs w:val="10"/>
                <w:color w:val="auto"/>
              </w:rPr>
              <w:t>(35)</w:t>
            </w:r>
          </w:p>
        </w:tc>
        <w:tc>
          <w:tcPr>
            <w:tcW w:w="460" w:type="dxa"/>
            <w:vAlign w:val="bottom"/>
            <w:vMerge w:val="restart"/>
          </w:tcPr>
          <w:p>
            <w:pPr>
              <w:jc w:val="right"/>
              <w:ind w:right="54"/>
              <w:spacing w:after="0"/>
              <w:rPr>
                <w:sz w:val="20"/>
                <w:szCs w:val="20"/>
                <w:color w:val="auto"/>
              </w:rPr>
            </w:pPr>
            <w:r>
              <w:rPr>
                <w:rFonts w:ascii="Arial" w:cs="Arial" w:eastAsia="Arial" w:hAnsi="Arial"/>
                <w:sz w:val="10"/>
                <w:szCs w:val="10"/>
                <w:color w:val="auto"/>
              </w:rPr>
              <w:t>(21)</w:t>
            </w:r>
          </w:p>
        </w:tc>
        <w:tc>
          <w:tcPr>
            <w:tcW w:w="0" w:type="dxa"/>
            <w:vAlign w:val="bottom"/>
          </w:tcPr>
          <w:p>
            <w:pPr>
              <w:spacing w:after="0"/>
              <w:rPr>
                <w:sz w:val="1"/>
                <w:szCs w:val="1"/>
                <w:color w:val="auto"/>
              </w:rPr>
            </w:pPr>
          </w:p>
        </w:tc>
      </w:tr>
      <w:tr>
        <w:trPr>
          <w:trHeight w:val="134"/>
        </w:trPr>
        <w:tc>
          <w:tcPr>
            <w:tcW w:w="1080" w:type="dxa"/>
            <w:vAlign w:val="bottom"/>
            <w:gridSpan w:val="2"/>
          </w:tcPr>
          <w:p>
            <w:pPr>
              <w:ind w:left="140"/>
              <w:spacing w:after="0"/>
              <w:rPr>
                <w:sz w:val="20"/>
                <w:szCs w:val="20"/>
                <w:color w:val="auto"/>
              </w:rPr>
            </w:pPr>
            <w:r>
              <w:rPr>
                <w:rFonts w:ascii="Arial" w:cs="Arial" w:eastAsia="Arial" w:hAnsi="Arial"/>
                <w:sz w:val="10"/>
                <w:szCs w:val="10"/>
                <w:color w:val="auto"/>
                <w:w w:val="91"/>
              </w:rPr>
              <w:t xml:space="preserve">expense </w:t>
            </w:r>
            <w:r>
              <w:rPr>
                <w:rFonts w:ascii="Times New Roman" w:cs="Times New Roman" w:eastAsia="Times New Roman" w:hAnsi="Times New Roman"/>
                <w:sz w:val="10"/>
                <w:szCs w:val="10"/>
                <w:color w:val="B4B4B4"/>
                <w:w w:val="91"/>
              </w:rPr>
              <w:t>........................</w:t>
            </w:r>
          </w:p>
        </w:tc>
        <w:tc>
          <w:tcPr>
            <w:tcW w:w="60" w:type="dxa"/>
            <w:vAlign w:val="bottom"/>
          </w:tcPr>
          <w:p>
            <w:pPr>
              <w:spacing w:after="0"/>
              <w:rPr>
                <w:sz w:val="11"/>
                <w:szCs w:val="11"/>
                <w:color w:val="auto"/>
              </w:rPr>
            </w:pPr>
          </w:p>
        </w:tc>
        <w:tc>
          <w:tcPr>
            <w:tcW w:w="480" w:type="dxa"/>
            <w:vAlign w:val="bottom"/>
            <w:gridSpan w:val="4"/>
            <w:vMerge w:val="continue"/>
          </w:tcPr>
          <w:p>
            <w:pPr>
              <w:spacing w:after="0"/>
              <w:rPr>
                <w:sz w:val="11"/>
                <w:szCs w:val="11"/>
                <w:color w:val="auto"/>
              </w:rPr>
            </w:pPr>
          </w:p>
        </w:tc>
        <w:tc>
          <w:tcPr>
            <w:tcW w:w="3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8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90"/>
              </w:rPr>
              <w:t xml:space="preserve">Income tax expense </w:t>
            </w:r>
            <w:r>
              <w:rPr>
                <w:rFonts w:ascii="Times New Roman" w:cs="Times New Roman" w:eastAsia="Times New Roman" w:hAnsi="Times New Roman"/>
                <w:sz w:val="10"/>
                <w:szCs w:val="10"/>
                <w:color w:val="B4B4B4"/>
                <w:w w:val="90"/>
              </w:rPr>
              <w:t>........</w:t>
            </w:r>
          </w:p>
        </w:tc>
        <w:tc>
          <w:tcPr>
            <w:tcW w:w="60" w:type="dxa"/>
            <w:vAlign w:val="bottom"/>
            <w:tcBorders>
              <w:right w:val="single" w:sz="8" w:color="CCEEFF"/>
            </w:tcBorders>
            <w:shd w:val="clear" w:color="auto" w:fill="CCEEFF"/>
          </w:tcPr>
          <w:p>
            <w:pPr>
              <w:spacing w:after="0"/>
              <w:rPr>
                <w:sz w:val="14"/>
                <w:szCs w:val="14"/>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60" w:type="dxa"/>
            <w:vAlign w:val="bottom"/>
            <w:tcBorders>
              <w:right w:val="single" w:sz="8" w:color="CCEEFF"/>
            </w:tcBorders>
            <w:shd w:val="clear" w:color="auto" w:fill="CCEEFF"/>
          </w:tcPr>
          <w:p>
            <w:pPr>
              <w:spacing w:after="0"/>
              <w:rPr>
                <w:sz w:val="14"/>
                <w:szCs w:val="14"/>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2</w:t>
            </w: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w:t>
            </w: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40" w:type="dxa"/>
            <w:vAlign w:val="bottom"/>
            <w:tcBorders>
              <w:right w:val="single" w:sz="8" w:color="CCEEFF"/>
            </w:tcBorders>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2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jc w:val="right"/>
              <w:ind w:right="35"/>
              <w:spacing w:after="0"/>
              <w:rPr>
                <w:sz w:val="20"/>
                <w:szCs w:val="20"/>
                <w:color w:val="auto"/>
              </w:rPr>
            </w:pPr>
            <w:r>
              <w:rPr>
                <w:rFonts w:ascii="Arial" w:cs="Arial" w:eastAsia="Arial" w:hAnsi="Arial"/>
                <w:sz w:val="10"/>
                <w:szCs w:val="10"/>
                <w:color w:val="auto"/>
              </w:rPr>
              <w:t>3</w:t>
            </w:r>
          </w:p>
        </w:tc>
        <w:tc>
          <w:tcPr>
            <w:tcW w:w="8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jc w:val="right"/>
              <w:ind w:right="135"/>
              <w:spacing w:after="0"/>
              <w:rPr>
                <w:sz w:val="20"/>
                <w:szCs w:val="20"/>
                <w:color w:val="auto"/>
              </w:rPr>
            </w:pPr>
            <w:r>
              <w:rPr>
                <w:rFonts w:ascii="Arial" w:cs="Arial" w:eastAsia="Arial" w:hAnsi="Arial"/>
                <w:sz w:val="10"/>
                <w:szCs w:val="10"/>
                <w:color w:val="auto"/>
              </w:rPr>
              <w:t>—</w:t>
            </w:r>
          </w:p>
        </w:tc>
        <w:tc>
          <w:tcPr>
            <w:tcW w:w="480" w:type="dxa"/>
            <w:vAlign w:val="bottom"/>
            <w:tcBorders>
              <w:right w:val="single" w:sz="8" w:color="CCEEFF"/>
            </w:tcBorders>
            <w:shd w:val="clear" w:color="auto" w:fill="CCEEFF"/>
          </w:tcPr>
          <w:p>
            <w:pPr>
              <w:jc w:val="right"/>
              <w:ind w:right="114"/>
              <w:spacing w:after="0"/>
              <w:rPr>
                <w:sz w:val="20"/>
                <w:szCs w:val="20"/>
                <w:color w:val="auto"/>
              </w:rPr>
            </w:pPr>
            <w:r>
              <w:rPr>
                <w:rFonts w:ascii="Arial" w:cs="Arial" w:eastAsia="Arial" w:hAnsi="Arial"/>
                <w:sz w:val="10"/>
                <w:szCs w:val="10"/>
                <w:color w:val="auto"/>
              </w:rPr>
              <w:t>3</w:t>
            </w:r>
          </w:p>
        </w:tc>
        <w:tc>
          <w:tcPr>
            <w:tcW w:w="460" w:type="dxa"/>
            <w:vAlign w:val="bottom"/>
            <w:shd w:val="clear" w:color="auto" w:fill="CCEEFF"/>
          </w:tcPr>
          <w:p>
            <w:pPr>
              <w:jc w:val="right"/>
              <w:ind w:right="94"/>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ind w:left="40"/>
              <w:spacing w:after="0"/>
              <w:rPr>
                <w:sz w:val="20"/>
                <w:szCs w:val="20"/>
                <w:color w:val="auto"/>
              </w:rPr>
            </w:pPr>
            <w:r>
              <w:rPr>
                <w:rFonts w:ascii="Arial" w:cs="Arial" w:eastAsia="Arial" w:hAnsi="Arial"/>
                <w:sz w:val="10"/>
                <w:szCs w:val="10"/>
                <w:color w:val="auto"/>
                <w:w w:val="91"/>
              </w:rPr>
              <w:t>Net loss</w:t>
            </w:r>
            <w:r>
              <w:rPr>
                <w:rFonts w:ascii="Times New Roman" w:cs="Times New Roman" w:eastAsia="Times New Roman" w:hAnsi="Times New Roman"/>
                <w:sz w:val="10"/>
                <w:szCs w:val="10"/>
                <w:color w:val="B4B4B4"/>
                <w:w w:val="91"/>
              </w:rPr>
              <w:t>..............................</w:t>
            </w: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gridSpan w:val="4"/>
          </w:tcPr>
          <w:p>
            <w:pPr>
              <w:jc w:val="right"/>
              <w:ind w:right="15"/>
              <w:spacing w:after="0" w:line="114" w:lineRule="exact"/>
              <w:rPr>
                <w:sz w:val="20"/>
                <w:szCs w:val="20"/>
                <w:color w:val="auto"/>
              </w:rPr>
            </w:pPr>
            <w:r>
              <w:rPr>
                <w:rFonts w:ascii="Arial" w:cs="Arial" w:eastAsia="Arial" w:hAnsi="Arial"/>
                <w:sz w:val="10"/>
                <w:szCs w:val="10"/>
                <w:color w:val="auto"/>
              </w:rPr>
              <w:t>(74)%</w:t>
            </w:r>
          </w:p>
        </w:tc>
        <w:tc>
          <w:tcPr>
            <w:tcW w:w="480" w:type="dxa"/>
            <w:vAlign w:val="bottom"/>
            <w:tcBorders>
              <w:bottom w:val="single" w:sz="8" w:color="auto"/>
            </w:tcBorders>
            <w:gridSpan w:val="4"/>
          </w:tcPr>
          <w:p>
            <w:pPr>
              <w:jc w:val="right"/>
              <w:spacing w:after="0" w:line="114" w:lineRule="exact"/>
              <w:rPr>
                <w:sz w:val="20"/>
                <w:szCs w:val="20"/>
                <w:color w:val="auto"/>
              </w:rPr>
            </w:pPr>
            <w:r>
              <w:rPr>
                <w:rFonts w:ascii="Arial" w:cs="Arial" w:eastAsia="Arial" w:hAnsi="Arial"/>
                <w:sz w:val="10"/>
                <w:szCs w:val="10"/>
                <w:color w:val="auto"/>
              </w:rPr>
              <w:t>(85)%</w:t>
            </w:r>
          </w:p>
        </w:tc>
        <w:tc>
          <w:tcPr>
            <w:tcW w:w="500" w:type="dxa"/>
            <w:vAlign w:val="bottom"/>
            <w:tcBorders>
              <w:bottom w:val="single" w:sz="8" w:color="auto"/>
            </w:tcBorders>
            <w:gridSpan w:val="4"/>
          </w:tcPr>
          <w:p>
            <w:pPr>
              <w:jc w:val="right"/>
              <w:ind w:right="12"/>
              <w:spacing w:after="0" w:line="114" w:lineRule="exact"/>
              <w:rPr>
                <w:sz w:val="20"/>
                <w:szCs w:val="20"/>
                <w:color w:val="auto"/>
              </w:rPr>
            </w:pPr>
            <w:r>
              <w:rPr>
                <w:rFonts w:ascii="Arial" w:cs="Arial" w:eastAsia="Arial" w:hAnsi="Arial"/>
                <w:sz w:val="10"/>
                <w:szCs w:val="10"/>
                <w:color w:val="auto"/>
              </w:rPr>
              <w:t>(84)%</w:t>
            </w:r>
          </w:p>
        </w:tc>
        <w:tc>
          <w:tcPr>
            <w:tcW w:w="480" w:type="dxa"/>
            <w:vAlign w:val="bottom"/>
            <w:tcBorders>
              <w:bottom w:val="single" w:sz="8" w:color="auto"/>
            </w:tcBorders>
            <w:gridSpan w:val="3"/>
          </w:tcPr>
          <w:p>
            <w:pPr>
              <w:jc w:val="right"/>
              <w:spacing w:after="0" w:line="114" w:lineRule="exact"/>
              <w:rPr>
                <w:sz w:val="20"/>
                <w:szCs w:val="20"/>
                <w:color w:val="auto"/>
              </w:rPr>
            </w:pPr>
            <w:r>
              <w:rPr>
                <w:rFonts w:ascii="Arial" w:cs="Arial" w:eastAsia="Arial" w:hAnsi="Arial"/>
                <w:sz w:val="10"/>
                <w:szCs w:val="10"/>
                <w:color w:val="auto"/>
              </w:rPr>
              <w:t>(88)%</w:t>
            </w:r>
          </w:p>
        </w:tc>
        <w:tc>
          <w:tcPr>
            <w:tcW w:w="500" w:type="dxa"/>
            <w:vAlign w:val="bottom"/>
            <w:tcBorders>
              <w:bottom w:val="single" w:sz="8" w:color="auto"/>
            </w:tcBorders>
            <w:gridSpan w:val="2"/>
          </w:tcPr>
          <w:p>
            <w:pPr>
              <w:jc w:val="right"/>
              <w:ind w:right="60"/>
              <w:spacing w:after="0" w:line="114" w:lineRule="exact"/>
              <w:rPr>
                <w:sz w:val="20"/>
                <w:szCs w:val="20"/>
                <w:color w:val="auto"/>
              </w:rPr>
            </w:pPr>
            <w:r>
              <w:rPr>
                <w:rFonts w:ascii="Arial" w:cs="Arial" w:eastAsia="Arial" w:hAnsi="Arial"/>
                <w:sz w:val="10"/>
                <w:szCs w:val="10"/>
                <w:color w:val="auto"/>
              </w:rPr>
              <w:t>(42)%</w:t>
            </w:r>
          </w:p>
        </w:tc>
        <w:tc>
          <w:tcPr>
            <w:tcW w:w="480" w:type="dxa"/>
            <w:vAlign w:val="bottom"/>
            <w:tcBorders>
              <w:bottom w:val="single" w:sz="8" w:color="auto"/>
            </w:tcBorders>
            <w:gridSpan w:val="2"/>
          </w:tcPr>
          <w:p>
            <w:pPr>
              <w:jc w:val="right"/>
              <w:ind w:right="60"/>
              <w:spacing w:after="0" w:line="114" w:lineRule="exact"/>
              <w:rPr>
                <w:sz w:val="20"/>
                <w:szCs w:val="20"/>
                <w:color w:val="auto"/>
              </w:rPr>
            </w:pPr>
            <w:r>
              <w:rPr>
                <w:rFonts w:ascii="Arial" w:cs="Arial" w:eastAsia="Arial" w:hAnsi="Arial"/>
                <w:sz w:val="10"/>
                <w:szCs w:val="10"/>
                <w:color w:val="auto"/>
              </w:rPr>
              <w:t>(34)%</w:t>
            </w:r>
          </w:p>
        </w:tc>
        <w:tc>
          <w:tcPr>
            <w:tcW w:w="480" w:type="dxa"/>
            <w:vAlign w:val="bottom"/>
            <w:tcBorders>
              <w:bottom w:val="single" w:sz="8" w:color="auto"/>
            </w:tcBorders>
            <w:gridSpan w:val="2"/>
          </w:tcPr>
          <w:p>
            <w:pPr>
              <w:jc w:val="right"/>
              <w:ind w:right="40"/>
              <w:spacing w:after="0" w:line="114" w:lineRule="exact"/>
              <w:rPr>
                <w:sz w:val="20"/>
                <w:szCs w:val="20"/>
                <w:color w:val="auto"/>
              </w:rPr>
            </w:pPr>
            <w:r>
              <w:rPr>
                <w:rFonts w:ascii="Arial" w:cs="Arial" w:eastAsia="Arial" w:hAnsi="Arial"/>
                <w:sz w:val="10"/>
                <w:szCs w:val="10"/>
                <w:color w:val="auto"/>
              </w:rPr>
              <w:t>(26)%</w:t>
            </w:r>
          </w:p>
        </w:tc>
        <w:tc>
          <w:tcPr>
            <w:tcW w:w="500" w:type="dxa"/>
            <w:vAlign w:val="bottom"/>
            <w:tcBorders>
              <w:bottom w:val="single" w:sz="8" w:color="auto"/>
            </w:tcBorders>
          </w:tcPr>
          <w:p>
            <w:pPr>
              <w:jc w:val="right"/>
              <w:ind w:right="15"/>
              <w:spacing w:after="0" w:line="114" w:lineRule="exact"/>
              <w:rPr>
                <w:sz w:val="20"/>
                <w:szCs w:val="20"/>
                <w:color w:val="auto"/>
              </w:rPr>
            </w:pPr>
            <w:r>
              <w:rPr>
                <w:rFonts w:ascii="Arial" w:cs="Arial" w:eastAsia="Arial" w:hAnsi="Arial"/>
                <w:sz w:val="10"/>
                <w:szCs w:val="10"/>
                <w:color w:val="auto"/>
              </w:rPr>
              <w:t>(34)%</w:t>
            </w:r>
          </w:p>
        </w:tc>
        <w:tc>
          <w:tcPr>
            <w:tcW w:w="4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(38)%</w:t>
            </w:r>
          </w:p>
        </w:tc>
        <w:tc>
          <w:tcPr>
            <w:tcW w:w="4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(23)%</w:t>
            </w:r>
          </w:p>
        </w:tc>
        <w:tc>
          <w:tcPr>
            <w:tcW w:w="0" w:type="dxa"/>
            <w:vAlign w:val="bottom"/>
          </w:tcPr>
          <w:p>
            <w:pPr>
              <w:spacing w:after="0"/>
              <w:rPr>
                <w:sz w:val="1"/>
                <w:szCs w:val="1"/>
                <w:color w:val="auto"/>
              </w:rPr>
            </w:pPr>
          </w:p>
        </w:tc>
      </w:tr>
      <w:tr>
        <w:trPr>
          <w:trHeight w:val="275"/>
        </w:trPr>
        <w:tc>
          <w:tcPr>
            <w:tcW w:w="2480" w:type="dxa"/>
            <w:vAlign w:val="bottom"/>
            <w:gridSpan w:val="14"/>
          </w:tcPr>
          <w:p>
            <w:pPr>
              <w:ind w:left="240"/>
              <w:spacing w:after="0"/>
              <w:rPr>
                <w:sz w:val="20"/>
                <w:szCs w:val="20"/>
                <w:color w:val="auto"/>
              </w:rPr>
            </w:pPr>
            <w:r>
              <w:rPr>
                <w:rFonts w:ascii="Arial" w:cs="Arial" w:eastAsia="Arial" w:hAnsi="Arial"/>
                <w:sz w:val="12"/>
                <w:szCs w:val="12"/>
                <w:b w:val="1"/>
                <w:bCs w:val="1"/>
                <w:i w:val="1"/>
                <w:iCs w:val="1"/>
                <w:color w:val="auto"/>
              </w:rPr>
              <w:t>Quarterly Disaggregated Revenue</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9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8"/>
                <w:szCs w:val="8"/>
                <w:b w:val="1"/>
                <w:bCs w:val="1"/>
                <w:color w:val="auto"/>
                <w:w w:val="90"/>
              </w:rPr>
              <w:t>Three Months Ended</w:t>
            </w:r>
          </w:p>
        </w:tc>
        <w:tc>
          <w:tcPr>
            <w:tcW w:w="4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0"/>
        </w:trPr>
        <w:tc>
          <w:tcPr>
            <w:tcW w:w="940" w:type="dxa"/>
            <w:vAlign w:val="bottom"/>
          </w:tcPr>
          <w:p>
            <w:pPr>
              <w:spacing w:after="0"/>
              <w:rPr>
                <w:sz w:val="7"/>
                <w:szCs w:val="7"/>
                <w:color w:val="auto"/>
              </w:rPr>
            </w:pPr>
          </w:p>
        </w:tc>
        <w:tc>
          <w:tcPr>
            <w:tcW w:w="520" w:type="dxa"/>
            <w:vAlign w:val="bottom"/>
            <w:gridSpan w:val="5"/>
            <w:vMerge w:val="restart"/>
          </w:tcPr>
          <w:p>
            <w:pPr>
              <w:jc w:val="right"/>
              <w:ind w:right="140"/>
              <w:spacing w:after="0"/>
              <w:rPr>
                <w:sz w:val="20"/>
                <w:szCs w:val="20"/>
                <w:color w:val="auto"/>
              </w:rPr>
            </w:pPr>
            <w:r>
              <w:rPr>
                <w:rFonts w:ascii="Arial" w:cs="Arial" w:eastAsia="Arial" w:hAnsi="Arial"/>
                <w:sz w:val="8"/>
                <w:szCs w:val="8"/>
                <w:b w:val="1"/>
                <w:bCs w:val="1"/>
                <w:color w:val="auto"/>
              </w:rPr>
              <w:t>April 30,</w:t>
            </w:r>
          </w:p>
        </w:tc>
        <w:tc>
          <w:tcPr>
            <w:tcW w:w="520" w:type="dxa"/>
            <w:vAlign w:val="bottom"/>
            <w:gridSpan w:val="4"/>
            <w:vMerge w:val="restart"/>
          </w:tcPr>
          <w:p>
            <w:pPr>
              <w:jc w:val="right"/>
              <w:ind w:right="160"/>
              <w:spacing w:after="0"/>
              <w:rPr>
                <w:sz w:val="20"/>
                <w:szCs w:val="20"/>
                <w:color w:val="auto"/>
              </w:rPr>
            </w:pPr>
            <w:r>
              <w:rPr>
                <w:rFonts w:ascii="Arial" w:cs="Arial" w:eastAsia="Arial" w:hAnsi="Arial"/>
                <w:sz w:val="8"/>
                <w:szCs w:val="8"/>
                <w:b w:val="1"/>
                <w:bCs w:val="1"/>
                <w:color w:val="auto"/>
              </w:rPr>
              <w:t>July 31,</w:t>
            </w:r>
          </w:p>
        </w:tc>
        <w:tc>
          <w:tcPr>
            <w:tcW w:w="500" w:type="dxa"/>
            <w:vAlign w:val="bottom"/>
            <w:gridSpan w:val="4"/>
          </w:tcPr>
          <w:p>
            <w:pPr>
              <w:ind w:left="60"/>
              <w:spacing w:after="0" w:line="91" w:lineRule="exact"/>
              <w:rPr>
                <w:sz w:val="20"/>
                <w:szCs w:val="20"/>
                <w:color w:val="auto"/>
              </w:rPr>
            </w:pPr>
            <w:r>
              <w:rPr>
                <w:rFonts w:ascii="Arial" w:cs="Arial" w:eastAsia="Arial" w:hAnsi="Arial"/>
                <w:sz w:val="8"/>
                <w:szCs w:val="8"/>
                <w:b w:val="1"/>
                <w:bCs w:val="1"/>
                <w:color w:val="auto"/>
              </w:rPr>
              <w:t>October</w:t>
            </w:r>
          </w:p>
        </w:tc>
        <w:tc>
          <w:tcPr>
            <w:tcW w:w="120" w:type="dxa"/>
            <w:vAlign w:val="bottom"/>
          </w:tcPr>
          <w:p>
            <w:pPr>
              <w:spacing w:after="0"/>
              <w:rPr>
                <w:sz w:val="7"/>
                <w:szCs w:val="7"/>
                <w:color w:val="auto"/>
              </w:rPr>
            </w:pPr>
          </w:p>
        </w:tc>
        <w:tc>
          <w:tcPr>
            <w:tcW w:w="360" w:type="dxa"/>
            <w:vAlign w:val="bottom"/>
            <w:gridSpan w:val="2"/>
          </w:tcPr>
          <w:p>
            <w:pPr>
              <w:jc w:val="center"/>
              <w:ind w:right="120"/>
              <w:spacing w:after="0" w:line="91" w:lineRule="exact"/>
              <w:rPr>
                <w:sz w:val="20"/>
                <w:szCs w:val="20"/>
                <w:color w:val="auto"/>
              </w:rPr>
            </w:pPr>
            <w:r>
              <w:rPr>
                <w:rFonts w:ascii="Arial" w:cs="Arial" w:eastAsia="Arial" w:hAnsi="Arial"/>
                <w:sz w:val="8"/>
                <w:szCs w:val="8"/>
                <w:b w:val="1"/>
                <w:bCs w:val="1"/>
                <w:color w:val="auto"/>
                <w:w w:val="78"/>
              </w:rPr>
              <w:t>January</w:t>
            </w:r>
          </w:p>
        </w:tc>
        <w:tc>
          <w:tcPr>
            <w:tcW w:w="120" w:type="dxa"/>
            <w:vAlign w:val="bottom"/>
          </w:tcPr>
          <w:p>
            <w:pPr>
              <w:spacing w:after="0"/>
              <w:rPr>
                <w:sz w:val="7"/>
                <w:szCs w:val="7"/>
                <w:color w:val="auto"/>
              </w:rPr>
            </w:pPr>
          </w:p>
        </w:tc>
        <w:tc>
          <w:tcPr>
            <w:tcW w:w="500" w:type="dxa"/>
            <w:vAlign w:val="bottom"/>
            <w:gridSpan w:val="2"/>
            <w:vMerge w:val="restart"/>
          </w:tcPr>
          <w:p>
            <w:pPr>
              <w:jc w:val="right"/>
              <w:ind w:right="240"/>
              <w:spacing w:after="0"/>
              <w:rPr>
                <w:sz w:val="20"/>
                <w:szCs w:val="20"/>
                <w:color w:val="auto"/>
              </w:rPr>
            </w:pPr>
            <w:r>
              <w:rPr>
                <w:rFonts w:ascii="Arial" w:cs="Arial" w:eastAsia="Arial" w:hAnsi="Arial"/>
                <w:sz w:val="8"/>
                <w:szCs w:val="8"/>
                <w:b w:val="1"/>
                <w:bCs w:val="1"/>
                <w:color w:val="auto"/>
                <w:w w:val="75"/>
              </w:rPr>
              <w:t>April 30,</w:t>
            </w: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8"/>
                <w:szCs w:val="8"/>
                <w:b w:val="1"/>
                <w:bCs w:val="1"/>
                <w:color w:val="auto"/>
                <w:w w:val="81"/>
              </w:rPr>
              <w:t>July 31,</w:t>
            </w:r>
          </w:p>
        </w:tc>
        <w:tc>
          <w:tcPr>
            <w:tcW w:w="480" w:type="dxa"/>
            <w:vAlign w:val="bottom"/>
            <w:gridSpan w:val="2"/>
          </w:tcPr>
          <w:p>
            <w:pPr>
              <w:jc w:val="center"/>
              <w:ind w:right="180"/>
              <w:spacing w:after="0" w:line="91" w:lineRule="exact"/>
              <w:rPr>
                <w:sz w:val="20"/>
                <w:szCs w:val="20"/>
                <w:color w:val="auto"/>
              </w:rPr>
            </w:pPr>
            <w:r>
              <w:rPr>
                <w:rFonts w:ascii="Arial" w:cs="Arial" w:eastAsia="Arial" w:hAnsi="Arial"/>
                <w:sz w:val="8"/>
                <w:szCs w:val="8"/>
                <w:b w:val="1"/>
                <w:bCs w:val="1"/>
                <w:color w:val="auto"/>
                <w:w w:val="97"/>
              </w:rPr>
              <w:t>October</w:t>
            </w:r>
          </w:p>
        </w:tc>
        <w:tc>
          <w:tcPr>
            <w:tcW w:w="500" w:type="dxa"/>
            <w:vAlign w:val="bottom"/>
          </w:tcPr>
          <w:p>
            <w:pPr>
              <w:jc w:val="right"/>
              <w:ind w:right="135"/>
              <w:spacing w:after="0" w:line="91" w:lineRule="exact"/>
              <w:rPr>
                <w:sz w:val="20"/>
                <w:szCs w:val="20"/>
                <w:color w:val="auto"/>
              </w:rPr>
            </w:pPr>
            <w:r>
              <w:rPr>
                <w:rFonts w:ascii="Arial" w:cs="Arial" w:eastAsia="Arial" w:hAnsi="Arial"/>
                <w:sz w:val="8"/>
                <w:szCs w:val="8"/>
                <w:b w:val="1"/>
                <w:bCs w:val="1"/>
                <w:color w:val="auto"/>
                <w:w w:val="97"/>
              </w:rPr>
              <w:t>January</w:t>
            </w:r>
          </w:p>
        </w:tc>
        <w:tc>
          <w:tcPr>
            <w:tcW w:w="480" w:type="dxa"/>
            <w:vAlign w:val="bottom"/>
            <w:vMerge w:val="restart"/>
          </w:tcPr>
          <w:p>
            <w:pPr>
              <w:jc w:val="right"/>
              <w:ind w:right="94"/>
              <w:spacing w:after="0"/>
              <w:rPr>
                <w:sz w:val="20"/>
                <w:szCs w:val="20"/>
                <w:color w:val="auto"/>
              </w:rPr>
            </w:pPr>
            <w:r>
              <w:rPr>
                <w:rFonts w:ascii="Arial" w:cs="Arial" w:eastAsia="Arial" w:hAnsi="Arial"/>
                <w:sz w:val="8"/>
                <w:szCs w:val="8"/>
                <w:b w:val="1"/>
                <w:bCs w:val="1"/>
                <w:color w:val="auto"/>
              </w:rPr>
              <w:t>April 30,</w:t>
            </w:r>
          </w:p>
        </w:tc>
        <w:tc>
          <w:tcPr>
            <w:tcW w:w="46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95"/>
              </w:rPr>
              <w:t>July 31,</w:t>
            </w: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520" w:type="dxa"/>
            <w:vAlign w:val="bottom"/>
            <w:gridSpan w:val="5"/>
            <w:vMerge w:val="continue"/>
          </w:tcPr>
          <w:p>
            <w:pPr>
              <w:spacing w:after="0"/>
              <w:rPr>
                <w:sz w:val="9"/>
                <w:szCs w:val="9"/>
                <w:color w:val="auto"/>
              </w:rPr>
            </w:pPr>
          </w:p>
        </w:tc>
        <w:tc>
          <w:tcPr>
            <w:tcW w:w="52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jc w:val="center"/>
              <w:ind w:right="114"/>
              <w:spacing w:after="0"/>
              <w:rPr>
                <w:sz w:val="20"/>
                <w:szCs w:val="20"/>
                <w:color w:val="auto"/>
              </w:rPr>
            </w:pPr>
            <w:r>
              <w:rPr>
                <w:rFonts w:ascii="Arial" w:cs="Arial" w:eastAsia="Arial" w:hAnsi="Arial"/>
                <w:sz w:val="8"/>
                <w:szCs w:val="8"/>
                <w:b w:val="1"/>
                <w:bCs w:val="1"/>
                <w:color w:val="auto"/>
              </w:rPr>
              <w:t>31,</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jc w:val="center"/>
              <w:ind w:right="115"/>
              <w:spacing w:after="0"/>
              <w:rPr>
                <w:sz w:val="20"/>
                <w:szCs w:val="20"/>
                <w:color w:val="auto"/>
              </w:rPr>
            </w:pPr>
            <w:r>
              <w:rPr>
                <w:rFonts w:ascii="Arial" w:cs="Arial" w:eastAsia="Arial" w:hAnsi="Arial"/>
                <w:sz w:val="8"/>
                <w:szCs w:val="8"/>
                <w:b w:val="1"/>
                <w:bCs w:val="1"/>
                <w:color w:val="auto"/>
                <w:w w:val="89"/>
              </w:rPr>
              <w:t>31,</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400" w:type="dxa"/>
            <w:vAlign w:val="bottom"/>
          </w:tcPr>
          <w:p>
            <w:pPr>
              <w:jc w:val="center"/>
              <w:ind w:right="55"/>
              <w:spacing w:after="0"/>
              <w:rPr>
                <w:sz w:val="20"/>
                <w:szCs w:val="20"/>
                <w:color w:val="auto"/>
              </w:rPr>
            </w:pPr>
            <w:r>
              <w:rPr>
                <w:rFonts w:ascii="Arial" w:cs="Arial" w:eastAsia="Arial" w:hAnsi="Arial"/>
                <w:sz w:val="8"/>
                <w:szCs w:val="8"/>
                <w:b w:val="1"/>
                <w:bCs w:val="1"/>
                <w:color w:val="auto"/>
                <w:w w:val="89"/>
              </w:rPr>
              <w:t>31,</w:t>
            </w:r>
          </w:p>
        </w:tc>
        <w:tc>
          <w:tcPr>
            <w:tcW w:w="80" w:type="dxa"/>
            <w:vAlign w:val="bottom"/>
          </w:tcPr>
          <w:p>
            <w:pPr>
              <w:spacing w:after="0"/>
              <w:rPr>
                <w:sz w:val="9"/>
                <w:szCs w:val="9"/>
                <w:color w:val="auto"/>
              </w:rPr>
            </w:pPr>
          </w:p>
        </w:tc>
        <w:tc>
          <w:tcPr>
            <w:tcW w:w="500" w:type="dxa"/>
            <w:vAlign w:val="bottom"/>
          </w:tcPr>
          <w:p>
            <w:pPr>
              <w:jc w:val="center"/>
              <w:ind w:right="115"/>
              <w:spacing w:after="0"/>
              <w:rPr>
                <w:sz w:val="20"/>
                <w:szCs w:val="20"/>
                <w:color w:val="auto"/>
              </w:rPr>
            </w:pPr>
            <w:r>
              <w:rPr>
                <w:rFonts w:ascii="Arial" w:cs="Arial" w:eastAsia="Arial" w:hAnsi="Arial"/>
                <w:sz w:val="8"/>
                <w:szCs w:val="8"/>
                <w:b w:val="1"/>
                <w:bCs w:val="1"/>
                <w:color w:val="auto"/>
                <w:w w:val="89"/>
              </w:rPr>
              <w:t>31,</w:t>
            </w:r>
          </w:p>
        </w:tc>
        <w:tc>
          <w:tcPr>
            <w:tcW w:w="4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8"/>
                <w:szCs w:val="8"/>
                <w:b w:val="1"/>
                <w:bCs w:val="1"/>
                <w:color w:val="auto"/>
                <w:w w:val="89"/>
              </w:rPr>
              <w:t>2023</w:t>
            </w: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6"/>
                <w:szCs w:val="6"/>
                <w:b w:val="1"/>
                <w:bCs w:val="1"/>
                <w:color w:val="auto"/>
                <w:w w:val="89"/>
              </w:rPr>
              <w:t>2023</w:t>
            </w: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center"/>
              <w:ind w:right="114"/>
              <w:spacing w:after="0"/>
              <w:rPr>
                <w:sz w:val="20"/>
                <w:szCs w:val="20"/>
                <w:color w:val="auto"/>
              </w:rPr>
            </w:pPr>
            <w:r>
              <w:rPr>
                <w:rFonts w:ascii="Arial" w:cs="Arial" w:eastAsia="Arial" w:hAnsi="Arial"/>
                <w:sz w:val="8"/>
                <w:szCs w:val="8"/>
                <w:b w:val="1"/>
                <w:bCs w:val="1"/>
                <w:color w:val="auto"/>
                <w:w w:val="89"/>
              </w:rPr>
              <w:t>2023</w:t>
            </w: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center"/>
              <w:ind w:right="115"/>
              <w:spacing w:after="0"/>
              <w:rPr>
                <w:sz w:val="20"/>
                <w:szCs w:val="20"/>
                <w:color w:val="auto"/>
              </w:rPr>
            </w:pPr>
            <w:r>
              <w:rPr>
                <w:rFonts w:ascii="Arial" w:cs="Arial" w:eastAsia="Arial" w:hAnsi="Arial"/>
                <w:sz w:val="8"/>
                <w:szCs w:val="8"/>
                <w:b w:val="1"/>
                <w:bCs w:val="1"/>
                <w:color w:val="auto"/>
              </w:rPr>
              <w:t>2024</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8"/>
                <w:szCs w:val="8"/>
                <w:b w:val="1"/>
                <w:bCs w:val="1"/>
                <w:color w:val="auto"/>
              </w:rPr>
              <w:t>2024</w:t>
            </w: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14"/>
              <w:spacing w:after="0"/>
              <w:rPr>
                <w:sz w:val="20"/>
                <w:szCs w:val="20"/>
                <w:color w:val="auto"/>
              </w:rPr>
            </w:pPr>
            <w:r>
              <w:rPr>
                <w:rFonts w:ascii="Arial" w:cs="Arial" w:eastAsia="Arial" w:hAnsi="Arial"/>
                <w:sz w:val="8"/>
                <w:szCs w:val="8"/>
                <w:b w:val="1"/>
                <w:bCs w:val="1"/>
                <w:color w:val="auto"/>
              </w:rPr>
              <w:t>2024</w:t>
            </w: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55"/>
              <w:spacing w:after="0"/>
              <w:rPr>
                <w:sz w:val="20"/>
                <w:szCs w:val="20"/>
                <w:color w:val="auto"/>
              </w:rPr>
            </w:pPr>
            <w:r>
              <w:rPr>
                <w:rFonts w:ascii="Arial" w:cs="Arial" w:eastAsia="Arial" w:hAnsi="Arial"/>
                <w:sz w:val="8"/>
                <w:szCs w:val="8"/>
                <w:b w:val="1"/>
                <w:bCs w:val="1"/>
                <w:color w:val="auto"/>
              </w:rPr>
              <w:t>2024</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95"/>
              <w:spacing w:after="0"/>
              <w:rPr>
                <w:sz w:val="20"/>
                <w:szCs w:val="20"/>
                <w:color w:val="auto"/>
              </w:rPr>
            </w:pPr>
            <w:r>
              <w:rPr>
                <w:rFonts w:ascii="Arial" w:cs="Arial" w:eastAsia="Arial" w:hAnsi="Arial"/>
                <w:sz w:val="8"/>
                <w:szCs w:val="8"/>
                <w:b w:val="1"/>
                <w:bCs w:val="1"/>
                <w:color w:val="auto"/>
                <w:w w:val="89"/>
              </w:rPr>
              <w:t>2025</w:t>
            </w:r>
          </w:p>
        </w:tc>
        <w:tc>
          <w:tcPr>
            <w:tcW w:w="480" w:type="dxa"/>
            <w:vAlign w:val="bottom"/>
            <w:tcBorders>
              <w:bottom w:val="single" w:sz="8" w:color="auto"/>
            </w:tcBorders>
          </w:tcPr>
          <w:p>
            <w:pPr>
              <w:jc w:val="right"/>
              <w:ind w:right="154"/>
              <w:spacing w:after="0"/>
              <w:rPr>
                <w:sz w:val="20"/>
                <w:szCs w:val="20"/>
                <w:color w:val="auto"/>
              </w:rPr>
            </w:pPr>
            <w:r>
              <w:rPr>
                <w:rFonts w:ascii="Arial" w:cs="Arial" w:eastAsia="Arial" w:hAnsi="Arial"/>
                <w:sz w:val="8"/>
                <w:szCs w:val="8"/>
                <w:b w:val="1"/>
                <w:bCs w:val="1"/>
                <w:color w:val="auto"/>
              </w:rPr>
              <w:t>2025</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2025</w:t>
            </w:r>
          </w:p>
        </w:tc>
        <w:tc>
          <w:tcPr>
            <w:tcW w:w="0" w:type="dxa"/>
            <w:vAlign w:val="bottom"/>
          </w:tcPr>
          <w:p>
            <w:pPr>
              <w:spacing w:after="0"/>
              <w:rPr>
                <w:sz w:val="1"/>
                <w:szCs w:val="1"/>
                <w:color w:val="auto"/>
              </w:rPr>
            </w:pPr>
          </w:p>
        </w:tc>
      </w:tr>
      <w:tr>
        <w:trPr>
          <w:trHeight w:val="124"/>
        </w:trPr>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4"/>
          </w:tcPr>
          <w:p>
            <w:pPr>
              <w:jc w:val="right"/>
              <w:ind w:right="340"/>
              <w:spacing w:after="0"/>
              <w:rPr>
                <w:sz w:val="20"/>
                <w:szCs w:val="20"/>
                <w:color w:val="auto"/>
              </w:rPr>
            </w:pPr>
            <w:r>
              <w:rPr>
                <w:rFonts w:ascii="Arial" w:cs="Arial" w:eastAsia="Arial" w:hAnsi="Arial"/>
                <w:sz w:val="8"/>
                <w:szCs w:val="8"/>
                <w:b w:val="1"/>
                <w:bCs w:val="1"/>
                <w:color w:val="auto"/>
              </w:rPr>
              <w:t>(in thousands)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40" w:type="dxa"/>
            <w:vAlign w:val="bottom"/>
            <w:shd w:val="clear" w:color="auto" w:fill="CCEEFF"/>
          </w:tcPr>
          <w:p>
            <w:pPr>
              <w:ind w:left="40"/>
              <w:spacing w:after="0"/>
              <w:rPr>
                <w:sz w:val="20"/>
                <w:szCs w:val="20"/>
                <w:color w:val="auto"/>
              </w:rPr>
            </w:pPr>
            <w:r>
              <w:rPr>
                <w:rFonts w:ascii="Arial" w:cs="Arial" w:eastAsia="Arial" w:hAnsi="Arial"/>
                <w:sz w:val="10"/>
                <w:szCs w:val="10"/>
                <w:color w:val="auto"/>
              </w:rPr>
              <w:t>Usage-based</w:t>
            </w:r>
          </w:p>
        </w:tc>
        <w:tc>
          <w:tcPr>
            <w:tcW w:w="140" w:type="dxa"/>
            <w:vAlign w:val="bottom"/>
            <w:vMerge w:val="restart"/>
            <w:shd w:val="clear" w:color="auto" w:fill="CCEEFF"/>
          </w:tcPr>
          <w:p>
            <w:pPr>
              <w:jc w:val="right"/>
              <w:ind w:right="15"/>
              <w:spacing w:after="0"/>
              <w:rPr>
                <w:sz w:val="20"/>
                <w:szCs w:val="20"/>
                <w:color w:val="auto"/>
              </w:rPr>
            </w:pPr>
            <w:r>
              <w:rPr>
                <w:rFonts w:ascii="Arial" w:cs="Arial" w:eastAsia="Arial" w:hAnsi="Arial"/>
                <w:sz w:val="10"/>
                <w:szCs w:val="10"/>
                <w:color w:val="auto"/>
              </w:rPr>
              <w:t>$</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w w:val="84"/>
              </w:rPr>
              <w:t>87,777</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vMerge w:val="restart"/>
            <w:shd w:val="clear" w:color="auto" w:fill="CCEEFF"/>
          </w:tcPr>
          <w:p>
            <w:pPr>
              <w:jc w:val="right"/>
              <w:ind w:right="55"/>
              <w:spacing w:after="0"/>
              <w:rPr>
                <w:sz w:val="20"/>
                <w:szCs w:val="20"/>
                <w:color w:val="auto"/>
              </w:rPr>
            </w:pPr>
            <w:r>
              <w:rPr>
                <w:rFonts w:ascii="Arial" w:cs="Arial" w:eastAsia="Arial" w:hAnsi="Arial"/>
                <w:sz w:val="10"/>
                <w:szCs w:val="10"/>
                <w:color w:val="auto"/>
                <w:w w:val="71"/>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8"/>
              </w:rPr>
              <w:t>91,895</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center"/>
              <w:spacing w:after="0"/>
              <w:rPr>
                <w:sz w:val="20"/>
                <w:szCs w:val="20"/>
                <w:color w:val="auto"/>
              </w:rPr>
            </w:pPr>
            <w:r>
              <w:rPr>
                <w:rFonts w:ascii="Arial" w:cs="Arial" w:eastAsia="Arial" w:hAnsi="Arial"/>
                <w:sz w:val="10"/>
                <w:szCs w:val="10"/>
                <w:color w:val="auto"/>
                <w:w w:val="95"/>
              </w:rPr>
              <w:t>$102,197</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vMerge w:val="restart"/>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340" w:type="dxa"/>
            <w:vAlign w:val="bottom"/>
            <w:vMerge w:val="restart"/>
            <w:shd w:val="clear" w:color="auto" w:fill="CCEEFF"/>
          </w:tcPr>
          <w:p>
            <w:pPr>
              <w:jc w:val="right"/>
              <w:ind w:right="15"/>
              <w:spacing w:after="0"/>
              <w:rPr>
                <w:sz w:val="20"/>
                <w:szCs w:val="20"/>
                <w:color w:val="auto"/>
              </w:rPr>
            </w:pPr>
            <w:r>
              <w:rPr>
                <w:rFonts w:ascii="Arial" w:cs="Arial" w:eastAsia="Arial" w:hAnsi="Arial"/>
                <w:sz w:val="10"/>
                <w:szCs w:val="10"/>
                <w:color w:val="auto"/>
                <w:w w:val="84"/>
              </w:rPr>
              <w:t>89,859</w:t>
            </w:r>
          </w:p>
        </w:tc>
        <w:tc>
          <w:tcPr>
            <w:tcW w:w="2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$110,996</w:t>
            </w:r>
          </w:p>
        </w:tc>
        <w:tc>
          <w:tcPr>
            <w:tcW w:w="140" w:type="dxa"/>
            <w:vAlign w:val="bottom"/>
            <w:tcBorders>
              <w:right w:val="single" w:sz="8" w:color="CCEEFF"/>
            </w:tcBorders>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$121,452</w:t>
            </w:r>
          </w:p>
        </w:tc>
        <w:tc>
          <w:tcPr>
            <w:tcW w:w="120" w:type="dxa"/>
            <w:vAlign w:val="bottom"/>
            <w:tcBorders>
              <w:right w:val="single" w:sz="8" w:color="CCEEFF"/>
            </w:tcBorders>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81"/>
              </w:rPr>
              <w:t>$139,205</w:t>
            </w:r>
          </w:p>
        </w:tc>
        <w:tc>
          <w:tcPr>
            <w:tcW w:w="8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CCEEFF"/>
            </w:tcBorders>
            <w:vMerge w:val="restart"/>
            <w:shd w:val="clear" w:color="auto" w:fill="CCEEFF"/>
          </w:tcPr>
          <w:p>
            <w:pPr>
              <w:jc w:val="center"/>
              <w:ind w:right="75"/>
              <w:spacing w:after="0"/>
              <w:rPr>
                <w:sz w:val="20"/>
                <w:szCs w:val="20"/>
                <w:color w:val="auto"/>
              </w:rPr>
            </w:pPr>
            <w:r>
              <w:rPr>
                <w:rFonts w:ascii="Arial" w:cs="Arial" w:eastAsia="Arial" w:hAnsi="Arial"/>
                <w:sz w:val="10"/>
                <w:szCs w:val="10"/>
                <w:color w:val="auto"/>
                <w:w w:val="91"/>
              </w:rPr>
              <w:t>$118,703</w:t>
            </w:r>
          </w:p>
        </w:tc>
        <w:tc>
          <w:tcPr>
            <w:tcW w:w="480" w:type="dxa"/>
            <w:vAlign w:val="bottom"/>
            <w:tcBorders>
              <w:right w:val="single" w:sz="8" w:color="CCEEFF"/>
            </w:tcBorders>
            <w:vMerge w:val="restart"/>
            <w:shd w:val="clear" w:color="auto" w:fill="CCEEFF"/>
          </w:tcPr>
          <w:p>
            <w:pPr>
              <w:jc w:val="right"/>
              <w:ind w:right="54"/>
              <w:spacing w:after="0"/>
              <w:rPr>
                <w:sz w:val="20"/>
                <w:szCs w:val="20"/>
                <w:color w:val="auto"/>
              </w:rPr>
            </w:pPr>
            <w:r>
              <w:rPr>
                <w:rFonts w:ascii="Arial" w:cs="Arial" w:eastAsia="Arial" w:hAnsi="Arial"/>
                <w:sz w:val="10"/>
                <w:szCs w:val="10"/>
                <w:color w:val="auto"/>
                <w:w w:val="86"/>
              </w:rPr>
              <w:t>$143,149</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95"/>
              </w:rPr>
              <w:t>$156,549</w:t>
            </w:r>
          </w:p>
        </w:tc>
        <w:tc>
          <w:tcPr>
            <w:tcW w:w="0" w:type="dxa"/>
            <w:vAlign w:val="bottom"/>
          </w:tcPr>
          <w:p>
            <w:pPr>
              <w:spacing w:after="0"/>
              <w:rPr>
                <w:sz w:val="1"/>
                <w:szCs w:val="1"/>
                <w:color w:val="auto"/>
              </w:rPr>
            </w:pPr>
          </w:p>
        </w:tc>
      </w:tr>
      <w:tr>
        <w:trPr>
          <w:trHeight w:val="143"/>
        </w:trPr>
        <w:tc>
          <w:tcPr>
            <w:tcW w:w="940" w:type="dxa"/>
            <w:vAlign w:val="bottom"/>
            <w:shd w:val="clear" w:color="auto" w:fill="CCEEFF"/>
          </w:tcPr>
          <w:p>
            <w:pPr>
              <w:ind w:left="140"/>
              <w:spacing w:after="0"/>
              <w:rPr>
                <w:sz w:val="20"/>
                <w:szCs w:val="20"/>
                <w:color w:val="auto"/>
              </w:rPr>
            </w:pPr>
            <w:r>
              <w:rPr>
                <w:rFonts w:ascii="Arial" w:cs="Arial" w:eastAsia="Arial" w:hAnsi="Arial"/>
                <w:sz w:val="10"/>
                <w:szCs w:val="10"/>
                <w:color w:val="auto"/>
                <w:w w:val="99"/>
              </w:rPr>
              <w:t>revenue</w:t>
            </w:r>
            <w:r>
              <w:rPr>
                <w:rFonts w:ascii="Times New Roman" w:cs="Times New Roman" w:eastAsia="Times New Roman" w:hAnsi="Times New Roman"/>
                <w:sz w:val="10"/>
                <w:szCs w:val="10"/>
                <w:color w:val="B4B4B4"/>
                <w:w w:val="99"/>
              </w:rPr>
              <w:t>.................</w:t>
            </w:r>
          </w:p>
        </w:tc>
        <w:tc>
          <w:tcPr>
            <w:tcW w:w="140" w:type="dxa"/>
            <w:vAlign w:val="bottom"/>
            <w:vMerge w:val="continue"/>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right w:val="single" w:sz="8" w:color="CCEEFF"/>
            </w:tcBorders>
            <w:vMerge w:val="continue"/>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vMerge w:val="continue"/>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right w:val="single" w:sz="8" w:color="CCEEFF"/>
            </w:tcBorders>
            <w:vMerge w:val="continue"/>
            <w:shd w:val="clear" w:color="auto" w:fill="CCEEFF"/>
          </w:tcPr>
          <w:p>
            <w:pPr>
              <w:spacing w:after="0"/>
              <w:rPr>
                <w:sz w:val="12"/>
                <w:szCs w:val="12"/>
                <w:color w:val="auto"/>
              </w:rPr>
            </w:pPr>
          </w:p>
        </w:tc>
        <w:tc>
          <w:tcPr>
            <w:tcW w:w="480" w:type="dxa"/>
            <w:vAlign w:val="bottom"/>
            <w:tcBorders>
              <w:right w:val="single" w:sz="8" w:color="CCEEFF"/>
            </w:tcBorders>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940" w:type="dxa"/>
            <w:vAlign w:val="bottom"/>
          </w:tcPr>
          <w:p>
            <w:pPr>
              <w:ind w:left="40"/>
              <w:spacing w:after="0"/>
              <w:rPr>
                <w:sz w:val="20"/>
                <w:szCs w:val="20"/>
                <w:color w:val="auto"/>
              </w:rPr>
            </w:pPr>
            <w:r>
              <w:rPr>
                <w:rFonts w:ascii="Arial" w:cs="Arial" w:eastAsia="Arial" w:hAnsi="Arial"/>
                <w:sz w:val="10"/>
                <w:szCs w:val="10"/>
                <w:color w:val="auto"/>
              </w:rPr>
              <w:t>Subscription</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Arial" w:cs="Arial" w:eastAsia="Arial" w:hAnsi="Arial"/>
                <w:sz w:val="10"/>
                <w:szCs w:val="10"/>
                <w:color w:val="auto"/>
                <w:w w:val="79"/>
              </w:rPr>
              <w:t>6,407</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vMerge w:val="restart"/>
          </w:tcPr>
          <w:p>
            <w:pPr>
              <w:jc w:val="right"/>
              <w:ind w:right="14"/>
              <w:spacing w:after="0"/>
              <w:rPr>
                <w:sz w:val="20"/>
                <w:szCs w:val="20"/>
                <w:color w:val="auto"/>
              </w:rPr>
            </w:pPr>
            <w:r>
              <w:rPr>
                <w:rFonts w:ascii="Arial" w:cs="Arial" w:eastAsia="Arial" w:hAnsi="Arial"/>
                <w:sz w:val="10"/>
                <w:szCs w:val="10"/>
                <w:color w:val="auto"/>
                <w:w w:val="87"/>
              </w:rPr>
              <w:t>7,478</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8,103</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restart"/>
          </w:tcPr>
          <w:p>
            <w:pPr>
              <w:jc w:val="right"/>
              <w:ind w:right="15"/>
              <w:spacing w:after="0"/>
              <w:rPr>
                <w:sz w:val="20"/>
                <w:szCs w:val="20"/>
                <w:color w:val="auto"/>
              </w:rPr>
            </w:pPr>
            <w:r>
              <w:rPr>
                <w:rFonts w:ascii="Arial" w:cs="Arial" w:eastAsia="Arial" w:hAnsi="Arial"/>
                <w:sz w:val="10"/>
                <w:szCs w:val="10"/>
                <w:color w:val="auto"/>
              </w:rPr>
              <w:t>8,540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vMerge w:val="restart"/>
          </w:tcPr>
          <w:p>
            <w:pPr>
              <w:jc w:val="right"/>
              <w:ind w:right="15"/>
              <w:spacing w:after="0"/>
              <w:rPr>
                <w:sz w:val="20"/>
                <w:szCs w:val="20"/>
                <w:color w:val="auto"/>
              </w:rPr>
            </w:pPr>
            <w:r>
              <w:rPr>
                <w:rFonts w:ascii="Arial" w:cs="Arial" w:eastAsia="Arial" w:hAnsi="Arial"/>
                <w:sz w:val="10"/>
                <w:szCs w:val="10"/>
                <w:color w:val="auto"/>
              </w:rPr>
              <w:t>9,946</w:t>
            </w:r>
          </w:p>
        </w:tc>
        <w:tc>
          <w:tcPr>
            <w:tcW w:w="14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0"/>
                <w:szCs w:val="10"/>
                <w:color w:val="auto"/>
                <w:w w:val="97"/>
              </w:rPr>
              <w:t>11,333</w:t>
            </w:r>
          </w:p>
        </w:tc>
        <w:tc>
          <w:tcPr>
            <w:tcW w:w="120" w:type="dxa"/>
            <w:vAlign w:val="bottom"/>
          </w:tcPr>
          <w:p>
            <w:pPr>
              <w:spacing w:after="0"/>
              <w:rPr>
                <w:sz w:val="10"/>
                <w:szCs w:val="10"/>
                <w:color w:val="auto"/>
              </w:rPr>
            </w:pPr>
          </w:p>
        </w:tc>
        <w:tc>
          <w:tcPr>
            <w:tcW w:w="400" w:type="dxa"/>
            <w:vAlign w:val="bottom"/>
            <w:vMerge w:val="restart"/>
          </w:tcPr>
          <w:p>
            <w:pPr>
              <w:jc w:val="right"/>
              <w:ind w:right="15"/>
              <w:spacing w:after="0"/>
              <w:rPr>
                <w:sz w:val="20"/>
                <w:szCs w:val="20"/>
                <w:color w:val="auto"/>
              </w:rPr>
            </w:pPr>
            <w:r>
              <w:rPr>
                <w:rFonts w:ascii="Arial" w:cs="Arial" w:eastAsia="Arial" w:hAnsi="Arial"/>
                <w:sz w:val="10"/>
                <w:szCs w:val="10"/>
                <w:color w:val="auto"/>
              </w:rPr>
              <w:t>11,913</w:t>
            </w:r>
          </w:p>
        </w:tc>
        <w:tc>
          <w:tcPr>
            <w:tcW w:w="8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0"/>
                <w:szCs w:val="10"/>
                <w:color w:val="auto"/>
                <w:w w:val="97"/>
              </w:rPr>
              <w:t>13,289</w:t>
            </w:r>
          </w:p>
        </w:tc>
        <w:tc>
          <w:tcPr>
            <w:tcW w:w="480" w:type="dxa"/>
            <w:vAlign w:val="bottom"/>
            <w:vMerge w:val="restart"/>
          </w:tcPr>
          <w:p>
            <w:pPr>
              <w:jc w:val="right"/>
              <w:ind w:right="54"/>
              <w:spacing w:after="0"/>
              <w:rPr>
                <w:sz w:val="20"/>
                <w:szCs w:val="20"/>
                <w:color w:val="auto"/>
              </w:rPr>
            </w:pPr>
            <w:r>
              <w:rPr>
                <w:rFonts w:ascii="Arial" w:cs="Arial" w:eastAsia="Arial" w:hAnsi="Arial"/>
                <w:sz w:val="10"/>
                <w:szCs w:val="10"/>
                <w:color w:val="auto"/>
              </w:rPr>
              <w:t>14,312</w:t>
            </w:r>
          </w:p>
        </w:tc>
        <w:tc>
          <w:tcPr>
            <w:tcW w:w="460" w:type="dxa"/>
            <w:vAlign w:val="bottom"/>
            <w:vMerge w:val="restart"/>
          </w:tcPr>
          <w:p>
            <w:pPr>
              <w:jc w:val="right"/>
              <w:ind w:right="14"/>
              <w:spacing w:after="0"/>
              <w:rPr>
                <w:sz w:val="20"/>
                <w:szCs w:val="20"/>
                <w:color w:val="auto"/>
              </w:rPr>
            </w:pPr>
            <w:r>
              <w:rPr>
                <w:rFonts w:ascii="Arial" w:cs="Arial" w:eastAsia="Arial" w:hAnsi="Arial"/>
                <w:sz w:val="10"/>
                <w:szCs w:val="10"/>
                <w:color w:val="auto"/>
              </w:rPr>
              <w:t>15,403</w:t>
            </w:r>
          </w:p>
        </w:tc>
        <w:tc>
          <w:tcPr>
            <w:tcW w:w="0" w:type="dxa"/>
            <w:vAlign w:val="bottom"/>
          </w:tcPr>
          <w:p>
            <w:pPr>
              <w:spacing w:after="0"/>
              <w:rPr>
                <w:sz w:val="1"/>
                <w:szCs w:val="1"/>
                <w:color w:val="auto"/>
              </w:rPr>
            </w:pPr>
          </w:p>
        </w:tc>
      </w:tr>
      <w:tr>
        <w:trPr>
          <w:trHeight w:val="134"/>
        </w:trPr>
        <w:tc>
          <w:tcPr>
            <w:tcW w:w="94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w w:val="99"/>
              </w:rPr>
              <w:t>revenue</w:t>
            </w:r>
            <w:r>
              <w:rPr>
                <w:rFonts w:ascii="Times New Roman" w:cs="Times New Roman" w:eastAsia="Times New Roman" w:hAnsi="Times New Roman"/>
                <w:sz w:val="10"/>
                <w:szCs w:val="10"/>
                <w:color w:val="B4B4B4"/>
                <w:w w:val="99"/>
              </w:rPr>
              <w:t>.................</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940" w:type="dxa"/>
            <w:vAlign w:val="bottom"/>
            <w:shd w:val="clear" w:color="auto" w:fill="CCEEFF"/>
          </w:tcPr>
          <w:p>
            <w:pPr>
              <w:ind w:left="340"/>
              <w:spacing w:after="0" w:line="104" w:lineRule="exact"/>
              <w:rPr>
                <w:sz w:val="20"/>
                <w:szCs w:val="20"/>
                <w:color w:val="auto"/>
              </w:rPr>
            </w:pPr>
            <w:r>
              <w:rPr>
                <w:rFonts w:ascii="Arial" w:cs="Arial" w:eastAsia="Arial" w:hAnsi="Arial"/>
                <w:sz w:val="10"/>
                <w:szCs w:val="10"/>
                <w:color w:val="auto"/>
              </w:rPr>
              <w:t>Total</w:t>
            </w:r>
          </w:p>
        </w:tc>
        <w:tc>
          <w:tcPr>
            <w:tcW w:w="140" w:type="dxa"/>
            <w:vAlign w:val="bottom"/>
            <w:vMerge w:val="restart"/>
            <w:shd w:val="clear" w:color="auto" w:fill="CCEEFF"/>
          </w:tcPr>
          <w:p>
            <w:pPr>
              <w:jc w:val="right"/>
              <w:ind w:right="15"/>
              <w:spacing w:after="0"/>
              <w:rPr>
                <w:sz w:val="20"/>
                <w:szCs w:val="20"/>
                <w:color w:val="auto"/>
              </w:rPr>
            </w:pPr>
            <w:r>
              <w:rPr>
                <w:rFonts w:ascii="Arial" w:cs="Arial" w:eastAsia="Arial" w:hAnsi="Arial"/>
                <w:sz w:val="10"/>
                <w:szCs w:val="10"/>
                <w:color w:val="auto"/>
              </w:rPr>
              <w:t>$</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w w:val="84"/>
              </w:rPr>
              <w:t>94,184</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tcBorders>
              <w:right w:val="single" w:sz="8" w:color="CCEEFF"/>
            </w:tcBorders>
            <w:vMerge w:val="restart"/>
            <w:shd w:val="clear" w:color="auto" w:fill="CCEEFF"/>
          </w:tcPr>
          <w:p>
            <w:pPr>
              <w:jc w:val="right"/>
              <w:ind w:right="55"/>
              <w:spacing w:after="0"/>
              <w:rPr>
                <w:sz w:val="20"/>
                <w:szCs w:val="20"/>
                <w:color w:val="auto"/>
              </w:rPr>
            </w:pPr>
            <w:r>
              <w:rPr>
                <w:rFonts w:ascii="Arial" w:cs="Arial" w:eastAsia="Arial" w:hAnsi="Arial"/>
                <w:sz w:val="10"/>
                <w:szCs w:val="10"/>
                <w:color w:val="auto"/>
                <w:w w:val="71"/>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8"/>
              </w:rPr>
              <w:t>99,373</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40" w:type="dxa"/>
            <w:vAlign w:val="bottom"/>
            <w:gridSpan w:val="2"/>
            <w:vMerge w:val="restart"/>
            <w:shd w:val="clear" w:color="auto" w:fill="CCEEFF"/>
          </w:tcPr>
          <w:p>
            <w:pPr>
              <w:jc w:val="center"/>
              <w:spacing w:after="0"/>
              <w:rPr>
                <w:sz w:val="20"/>
                <w:szCs w:val="20"/>
                <w:color w:val="auto"/>
              </w:rPr>
            </w:pPr>
            <w:r>
              <w:rPr>
                <w:rFonts w:ascii="Arial" w:cs="Arial" w:eastAsia="Arial" w:hAnsi="Arial"/>
                <w:sz w:val="10"/>
                <w:szCs w:val="10"/>
                <w:u w:val="single" w:color="auto"/>
                <w:color w:val="auto"/>
                <w:w w:val="95"/>
              </w:rPr>
              <w:t>$</w:t>
            </w:r>
            <w:r>
              <w:rPr>
                <w:rFonts w:ascii="Arial" w:cs="Arial" w:eastAsia="Arial" w:hAnsi="Arial"/>
                <w:sz w:val="10"/>
                <w:szCs w:val="10"/>
                <w:color w:val="auto"/>
                <w:w w:val="95"/>
              </w:rPr>
              <w:t>110,300</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vMerge w:val="restart"/>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340" w:type="dxa"/>
            <w:vAlign w:val="bottom"/>
            <w:vMerge w:val="restart"/>
            <w:shd w:val="clear" w:color="auto" w:fill="CCEEFF"/>
          </w:tcPr>
          <w:p>
            <w:pPr>
              <w:jc w:val="right"/>
              <w:ind w:right="15"/>
              <w:spacing w:after="0"/>
              <w:rPr>
                <w:sz w:val="20"/>
                <w:szCs w:val="20"/>
                <w:color w:val="auto"/>
              </w:rPr>
            </w:pPr>
            <w:r>
              <w:rPr>
                <w:rFonts w:ascii="Arial" w:cs="Arial" w:eastAsia="Arial" w:hAnsi="Arial"/>
                <w:sz w:val="10"/>
                <w:szCs w:val="10"/>
                <w:color w:val="auto"/>
                <w:w w:val="84"/>
              </w:rPr>
              <w:t>98,399</w:t>
            </w:r>
          </w:p>
        </w:tc>
        <w:tc>
          <w:tcPr>
            <w:tcW w:w="2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u w:val="single" w:color="auto"/>
                <w:color w:val="auto"/>
              </w:rPr>
              <w:t>$</w:t>
            </w:r>
            <w:r>
              <w:rPr>
                <w:rFonts w:ascii="Arial" w:cs="Arial" w:eastAsia="Arial" w:hAnsi="Arial"/>
                <w:sz w:val="10"/>
                <w:szCs w:val="10"/>
                <w:color w:val="auto"/>
              </w:rPr>
              <w:t>120,942</w:t>
            </w:r>
          </w:p>
        </w:tc>
        <w:tc>
          <w:tcPr>
            <w:tcW w:w="140" w:type="dxa"/>
            <w:vAlign w:val="bottom"/>
            <w:tcBorders>
              <w:right w:val="single" w:sz="8" w:color="CCEEFF"/>
            </w:tcBorders>
            <w:shd w:val="clear" w:color="auto" w:fill="CCEEFF"/>
          </w:tcPr>
          <w:p>
            <w:pPr>
              <w:spacing w:after="0"/>
              <w:rPr>
                <w:sz w:val="9"/>
                <w:szCs w:val="9"/>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r>
              <w:rPr>
                <w:rFonts w:ascii="Arial" w:cs="Arial" w:eastAsia="Arial" w:hAnsi="Arial"/>
                <w:sz w:val="10"/>
                <w:szCs w:val="10"/>
                <w:color w:val="auto"/>
                <w:w w:val="71"/>
              </w:rPr>
              <w:t>132,785</w:t>
            </w:r>
          </w:p>
        </w:tc>
        <w:tc>
          <w:tcPr>
            <w:tcW w:w="120" w:type="dxa"/>
            <w:vAlign w:val="bottom"/>
            <w:tcBorders>
              <w:right w:val="single" w:sz="8" w:color="CCEEFF"/>
            </w:tcBorders>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u w:val="single" w:color="auto"/>
                <w:color w:val="auto"/>
                <w:w w:val="81"/>
              </w:rPr>
              <w:t>$</w:t>
            </w:r>
            <w:r>
              <w:rPr>
                <w:rFonts w:ascii="Arial" w:cs="Arial" w:eastAsia="Arial" w:hAnsi="Arial"/>
                <w:sz w:val="10"/>
                <w:szCs w:val="10"/>
                <w:color w:val="auto"/>
                <w:w w:val="81"/>
              </w:rPr>
              <w:t>151,118</w:t>
            </w:r>
          </w:p>
        </w:tc>
        <w:tc>
          <w:tcPr>
            <w:tcW w:w="80" w:type="dxa"/>
            <w:vAlign w:val="bottom"/>
            <w:tcBorders>
              <w:right w:val="single" w:sz="8" w:color="CCEEFF"/>
            </w:tcBorders>
            <w:shd w:val="clear" w:color="auto" w:fill="CCEEFF"/>
          </w:tcPr>
          <w:p>
            <w:pPr>
              <w:spacing w:after="0"/>
              <w:rPr>
                <w:sz w:val="9"/>
                <w:szCs w:val="9"/>
                <w:color w:val="auto"/>
              </w:rPr>
            </w:pPr>
          </w:p>
        </w:tc>
        <w:tc>
          <w:tcPr>
            <w:tcW w:w="500" w:type="dxa"/>
            <w:vAlign w:val="bottom"/>
            <w:tcBorders>
              <w:right w:val="single" w:sz="8" w:color="CCEEFF"/>
            </w:tcBorders>
            <w:vMerge w:val="restart"/>
            <w:shd w:val="clear" w:color="auto" w:fill="CCEEFF"/>
          </w:tcPr>
          <w:p>
            <w:pPr>
              <w:jc w:val="center"/>
              <w:ind w:right="75"/>
              <w:spacing w:after="0"/>
              <w:rPr>
                <w:sz w:val="20"/>
                <w:szCs w:val="20"/>
                <w:color w:val="auto"/>
              </w:rPr>
            </w:pPr>
            <w:r>
              <w:rPr>
                <w:rFonts w:ascii="Arial" w:cs="Arial" w:eastAsia="Arial" w:hAnsi="Arial"/>
                <w:sz w:val="10"/>
                <w:szCs w:val="10"/>
                <w:u w:val="single" w:color="auto"/>
                <w:color w:val="auto"/>
                <w:w w:val="91"/>
              </w:rPr>
              <w:t>$</w:t>
            </w:r>
            <w:r>
              <w:rPr>
                <w:rFonts w:ascii="Arial" w:cs="Arial" w:eastAsia="Arial" w:hAnsi="Arial"/>
                <w:sz w:val="10"/>
                <w:szCs w:val="10"/>
                <w:color w:val="auto"/>
                <w:w w:val="91"/>
              </w:rPr>
              <w:t>131,992</w:t>
            </w:r>
          </w:p>
        </w:tc>
        <w:tc>
          <w:tcPr>
            <w:tcW w:w="480" w:type="dxa"/>
            <w:vAlign w:val="bottom"/>
            <w:tcBorders>
              <w:right w:val="single" w:sz="8" w:color="CCEEFF"/>
            </w:tcBorders>
            <w:vMerge w:val="restart"/>
            <w:shd w:val="clear" w:color="auto" w:fill="CCEEFF"/>
          </w:tcPr>
          <w:p>
            <w:pPr>
              <w:jc w:val="right"/>
              <w:ind w:right="54"/>
              <w:spacing w:after="0"/>
              <w:rPr>
                <w:sz w:val="20"/>
                <w:szCs w:val="20"/>
                <w:color w:val="auto"/>
              </w:rPr>
            </w:pPr>
            <w:r>
              <w:rPr>
                <w:rFonts w:ascii="Arial" w:cs="Arial" w:eastAsia="Arial" w:hAnsi="Arial"/>
                <w:sz w:val="10"/>
                <w:szCs w:val="10"/>
                <w:u w:val="single" w:color="auto"/>
                <w:color w:val="auto"/>
                <w:w w:val="86"/>
              </w:rPr>
              <w:t>$</w:t>
            </w:r>
            <w:r>
              <w:rPr>
                <w:rFonts w:ascii="Arial" w:cs="Arial" w:eastAsia="Arial" w:hAnsi="Arial"/>
                <w:sz w:val="10"/>
                <w:szCs w:val="10"/>
                <w:color w:val="auto"/>
                <w:w w:val="86"/>
              </w:rPr>
              <w:t>157,461</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u w:val="single" w:color="auto"/>
                <w:color w:val="auto"/>
                <w:w w:val="95"/>
              </w:rPr>
              <w:t>$</w:t>
            </w:r>
            <w:r>
              <w:rPr>
                <w:rFonts w:ascii="Arial" w:cs="Arial" w:eastAsia="Arial" w:hAnsi="Arial"/>
                <w:sz w:val="10"/>
                <w:szCs w:val="10"/>
                <w:color w:val="auto"/>
                <w:w w:val="95"/>
              </w:rPr>
              <w:t>171,952</w:t>
            </w:r>
          </w:p>
        </w:tc>
        <w:tc>
          <w:tcPr>
            <w:tcW w:w="0" w:type="dxa"/>
            <w:vAlign w:val="bottom"/>
          </w:tcPr>
          <w:p>
            <w:pPr>
              <w:spacing w:after="0"/>
              <w:rPr>
                <w:sz w:val="1"/>
                <w:szCs w:val="1"/>
                <w:color w:val="auto"/>
              </w:rPr>
            </w:pPr>
          </w:p>
        </w:tc>
      </w:tr>
      <w:tr>
        <w:trPr>
          <w:trHeight w:val="142"/>
        </w:trPr>
        <w:tc>
          <w:tcPr>
            <w:tcW w:w="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0"/>
                <w:szCs w:val="10"/>
                <w:color w:val="auto"/>
                <w:w w:val="99"/>
              </w:rPr>
              <w:t xml:space="preserve">revenue </w:t>
            </w:r>
            <w:r>
              <w:rPr>
                <w:rFonts w:ascii="Times New Roman" w:cs="Times New Roman" w:eastAsia="Times New Roman" w:hAnsi="Times New Roman"/>
                <w:sz w:val="10"/>
                <w:szCs w:val="10"/>
                <w:color w:val="B4B4B4"/>
                <w:w w:val="99"/>
              </w:rPr>
              <w:t>...</w:t>
            </w:r>
          </w:p>
        </w:tc>
        <w:tc>
          <w:tcPr>
            <w:tcW w:w="140" w:type="dxa"/>
            <w:vAlign w:val="bottom"/>
            <w:tcBorders>
              <w:bottom w:val="single" w:sz="8" w:color="auto"/>
            </w:tcBorders>
            <w:vMerge w:val="continue"/>
            <w:shd w:val="clear" w:color="auto" w:fill="CCEEFF"/>
          </w:tcPr>
          <w:p>
            <w:pPr>
              <w:spacing w:after="0"/>
              <w:rPr>
                <w:sz w:val="12"/>
                <w:szCs w:val="12"/>
                <w:color w:val="auto"/>
              </w:rPr>
            </w:pPr>
          </w:p>
        </w:tc>
        <w:tc>
          <w:tcPr>
            <w:tcW w:w="320" w:type="dxa"/>
            <w:vAlign w:val="bottom"/>
            <w:tcBorders>
              <w:bottom w:val="single" w:sz="8" w:color="auto"/>
            </w:tcBorders>
            <w:gridSpan w:val="2"/>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right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gridSpan w:val="2"/>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CCEEFF"/>
            </w:tcBorders>
            <w:vMerge w:val="continue"/>
            <w:shd w:val="clear" w:color="auto" w:fill="CCEEFF"/>
          </w:tcPr>
          <w:p>
            <w:pPr>
              <w:spacing w:after="0"/>
              <w:rPr>
                <w:sz w:val="12"/>
                <w:szCs w:val="12"/>
                <w:color w:val="auto"/>
              </w:rPr>
            </w:pPr>
          </w:p>
        </w:tc>
        <w:tc>
          <w:tcPr>
            <w:tcW w:w="340" w:type="dxa"/>
            <w:vAlign w:val="bottom"/>
            <w:tcBorders>
              <w:bottom w:val="single" w:sz="8" w:color="auto"/>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gridSpan w:val="2"/>
            <w:vMerge w:val="continue"/>
            <w:shd w:val="clear" w:color="auto" w:fill="CCEEFF"/>
          </w:tcPr>
          <w:p>
            <w:pPr>
              <w:spacing w:after="0"/>
              <w:rPr>
                <w:sz w:val="12"/>
                <w:szCs w:val="12"/>
                <w:color w:val="auto"/>
              </w:rPr>
            </w:pP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36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4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right w:val="single" w:sz="8" w:color="CCEEFF"/>
            </w:tcBorders>
            <w:shd w:val="clear" w:color="auto" w:fill="CCEEFF"/>
          </w:tcPr>
          <w:p>
            <w:pPr>
              <w:spacing w:after="0"/>
              <w:rPr>
                <w:sz w:val="12"/>
                <w:szCs w:val="12"/>
                <w:color w:val="auto"/>
              </w:rPr>
            </w:pPr>
          </w:p>
        </w:tc>
        <w:tc>
          <w:tcPr>
            <w:tcW w:w="500" w:type="dxa"/>
            <w:vAlign w:val="bottom"/>
            <w:tcBorders>
              <w:bottom w:val="single" w:sz="8" w:color="auto"/>
              <w:right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auto"/>
              <w:right w:val="single" w:sz="8" w:color="CCEEFF"/>
            </w:tcBorders>
            <w:vMerge w:val="continue"/>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sectPr>
          <w:pgSz w:w="11900" w:h="16840" w:orient="portrait"/>
          <w:cols w:equalWidth="0" w:num="1">
            <w:col w:w="9020"/>
          </w:cols>
          <w:pgMar w:left="1440" w:top="751" w:right="1440" w:bottom="105" w:gutter="0" w:footer="0" w:header="0"/>
        </w:sectPr>
      </w:pPr>
    </w:p>
    <w:p>
      <w:pPr>
        <w:ind w:left="1520"/>
        <w:spacing w:after="0"/>
        <w:rPr>
          <w:sz w:val="20"/>
          <w:szCs w:val="20"/>
          <w:color w:val="auto"/>
        </w:rPr>
      </w:pPr>
      <w:r>
        <w:rPr>
          <w:rFonts w:ascii="Arial" w:cs="Arial" w:eastAsia="Arial" w:hAnsi="Arial"/>
          <w:sz w:val="12"/>
          <w:szCs w:val="12"/>
          <w:b w:val="1"/>
          <w:bCs w:val="1"/>
          <w:color w:val="auto"/>
        </w:rPr>
        <w:t>Quarterly Trends</w:t>
      </w:r>
    </w:p>
    <w:p>
      <w:pPr>
        <w:sectPr>
          <w:pgSz w:w="11900" w:h="16840" w:orient="portrait"/>
          <w:cols w:equalWidth="0" w:num="1">
            <w:col w:w="9020"/>
          </w:cols>
          <w:pgMar w:left="1440" w:top="751" w:right="1440" w:bottom="105" w:gutter="0" w:footer="0" w:header="0"/>
          <w:type w:val="continuous"/>
        </w:sectPr>
      </w:pPr>
    </w:p>
    <w:bookmarkStart w:id="81" w:name="page82"/>
    <w:bookmarkEnd w:id="81"/>
    <w:p>
      <w:pPr>
        <w:ind w:left="1760"/>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Revenue Trends</w:t>
      </w:r>
    </w:p>
    <w:p>
      <w:pPr>
        <w:spacing w:after="0" w:line="128" w:lineRule="exact"/>
        <w:rPr>
          <w:sz w:val="20"/>
          <w:szCs w:val="20"/>
          <w:color w:val="auto"/>
        </w:rPr>
      </w:pPr>
    </w:p>
    <w:p>
      <w:pPr>
        <w:ind w:left="1520" w:right="1720" w:firstLine="230"/>
        <w:spacing w:after="0" w:line="273" w:lineRule="auto"/>
        <w:rPr>
          <w:sz w:val="20"/>
          <w:szCs w:val="20"/>
          <w:color w:val="auto"/>
        </w:rPr>
      </w:pPr>
      <w:r>
        <w:rPr>
          <w:rFonts w:ascii="Arial" w:cs="Arial" w:eastAsia="Arial" w:hAnsi="Arial"/>
          <w:sz w:val="12"/>
          <w:szCs w:val="12"/>
          <w:color w:val="auto"/>
        </w:rPr>
        <w:t>Usage-based revenue has increased in each of the above periods, other than in the fourth quarter of each fiscal year in which travel demand by business travelers has historically been impacted by seasonal travel trends. The overall increases in usage-based revenue were driven by increases in GBV and payment volume as we increased our customer base and expanded engagement with our platform and offerings by existing customers. Our subscription revenue increased sequentially in each of the above periods, primarily driven by increased adoption of our Expense Management offering by new and existing customers on our platform.</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Cost of Revenue Trends</w:t>
      </w:r>
    </w:p>
    <w:p>
      <w:pPr>
        <w:spacing w:after="0" w:line="128" w:lineRule="exact"/>
        <w:rPr>
          <w:sz w:val="20"/>
          <w:szCs w:val="20"/>
          <w:color w:val="auto"/>
        </w:rPr>
      </w:pPr>
    </w:p>
    <w:p>
      <w:pPr>
        <w:ind w:left="1520" w:right="1860" w:firstLine="230"/>
        <w:spacing w:after="0" w:line="312" w:lineRule="auto"/>
        <w:rPr>
          <w:sz w:val="20"/>
          <w:szCs w:val="20"/>
          <w:color w:val="auto"/>
        </w:rPr>
      </w:pPr>
      <w:r>
        <w:rPr>
          <w:rFonts w:ascii="Arial" w:cs="Arial" w:eastAsia="Arial" w:hAnsi="Arial"/>
          <w:sz w:val="12"/>
          <w:szCs w:val="12"/>
          <w:color w:val="auto"/>
        </w:rPr>
        <w:t>Cost of revenue is generally not significantly impacted by seasonal travel trends and has remained relatively consistent across the quarters presented, even as our total revenue has grown on an overall</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40"/>
        <w:spacing w:after="0" w:line="270" w:lineRule="auto"/>
        <w:rPr>
          <w:sz w:val="20"/>
          <w:szCs w:val="20"/>
          <w:color w:val="auto"/>
        </w:rPr>
      </w:pPr>
      <w:r>
        <w:rPr>
          <w:rFonts w:ascii="Arial" w:cs="Arial" w:eastAsia="Arial" w:hAnsi="Arial"/>
          <w:sz w:val="12"/>
          <w:szCs w:val="12"/>
          <w:color w:val="auto"/>
        </w:rPr>
        <w:t>basis over the same periods, primarily as a result of our delivery of AI-powered customer support. The decrease in cost of revenue during the three months ended July 31, 2023 was primarily due to the recognition of costs related to the early termination of an office lease during the three months ended April 30, 2023, partially offset by an increase in salaries and related benefits. The increase in cost of revenue during the three months ended October 31, 2024 was primarily due to an increase in merchant fees and an increase in stock-based compensation expense driven by a modification to the terms of certain stock awards during the period. Refer to Note 10, “Equity Incentive Plan” to the consolidated financial statements included elsewhere in this prospectus for further information related to the stock award modification. The decrease in cost of revenue during the three months ended January 31, 2025 was primarily due to a decrease in merchant fees and stock-based compensation expense. The increase in cost of revenue during the three months ended April 30, 2025 was primarily due to an increase in merchant fees and salaries and related benefits.</w:t>
      </w:r>
    </w:p>
    <w:p>
      <w:pPr>
        <w:spacing w:after="0" w:line="91"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Research and Development Expense Trends</w:t>
      </w:r>
    </w:p>
    <w:p>
      <w:pPr>
        <w:spacing w:after="0" w:line="128" w:lineRule="exact"/>
        <w:rPr>
          <w:sz w:val="20"/>
          <w:szCs w:val="20"/>
          <w:color w:val="auto"/>
        </w:rPr>
      </w:pPr>
    </w:p>
    <w:p>
      <w:pPr>
        <w:ind w:left="1520" w:right="1680" w:firstLine="230"/>
        <w:spacing w:after="0" w:line="271" w:lineRule="auto"/>
        <w:rPr>
          <w:sz w:val="20"/>
          <w:szCs w:val="20"/>
          <w:color w:val="auto"/>
        </w:rPr>
      </w:pPr>
      <w:r>
        <w:rPr>
          <w:rFonts w:ascii="Arial" w:cs="Arial" w:eastAsia="Arial" w:hAnsi="Arial"/>
          <w:sz w:val="12"/>
          <w:szCs w:val="12"/>
          <w:color w:val="auto"/>
        </w:rPr>
        <w:t>Research and development expense has generally decreased as a percentage of revenue primarily due to the increase in revenue and the relative consistency of expenses over the quarters presented. The increase in research and development expense in the three months ended October 31, 2024 was primarily due to an increase in stock-based compensation expense driven by a modification to the terms of certain stock awards during the period. Refer to Note 10, “Equity Incentive Plan” to the consolidated financial statements included elsewhere in this prospectus for further information. As the expense related to the stock award modification recognized in the three months ended October 31, 2024 was non-recurring in nature, research and development expense in the three months ended January 31, 2025 correspondingly decreased. The increase in research and development expense in the three months ended July 31, 2025 was primarily due to an increase in salaries and related benefits driven by an increase in headcount.</w:t>
      </w:r>
    </w:p>
    <w:p>
      <w:pPr>
        <w:spacing w:after="0" w:line="24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Sales and Marketing Expense Trends</w:t>
      </w:r>
    </w:p>
    <w:p>
      <w:pPr>
        <w:spacing w:after="0" w:line="128" w:lineRule="exact"/>
        <w:rPr>
          <w:sz w:val="20"/>
          <w:szCs w:val="20"/>
          <w:color w:val="auto"/>
        </w:rPr>
      </w:pPr>
    </w:p>
    <w:p>
      <w:pPr>
        <w:ind w:left="1520" w:right="1720" w:firstLine="230"/>
        <w:spacing w:after="0" w:line="273" w:lineRule="auto"/>
        <w:rPr>
          <w:sz w:val="20"/>
          <w:szCs w:val="20"/>
          <w:color w:val="auto"/>
        </w:rPr>
      </w:pPr>
      <w:r>
        <w:rPr>
          <w:rFonts w:ascii="Arial" w:cs="Arial" w:eastAsia="Arial" w:hAnsi="Arial"/>
          <w:sz w:val="12"/>
          <w:szCs w:val="12"/>
          <w:color w:val="auto"/>
        </w:rPr>
        <w:t>Sales and marketing expense has generally increased in the quarters presented primarily due to increased advertising expenses, sales commissions expense, and salaries and related benefits, including stock-based compensation, to promote our offerings and support revenue growth. The decrease in sales and marketing expenses in the three months ended April 30, 2024 was primarily due to a decrease in sales commissions expense driven by a decrease in sales commissions earned and a change in our sales compensation plans during the period, which resulted in an increase in the capitalization of certain contract acquisition costs.</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General and Administrative Expense Trends</w:t>
      </w:r>
    </w:p>
    <w:p>
      <w:pPr>
        <w:spacing w:after="0" w:line="128" w:lineRule="exact"/>
        <w:rPr>
          <w:sz w:val="20"/>
          <w:szCs w:val="20"/>
          <w:color w:val="auto"/>
        </w:rPr>
      </w:pPr>
    </w:p>
    <w:p>
      <w:pPr>
        <w:ind w:left="1520" w:right="1680" w:firstLine="230"/>
        <w:spacing w:after="0" w:line="270" w:lineRule="auto"/>
        <w:rPr>
          <w:sz w:val="20"/>
          <w:szCs w:val="20"/>
          <w:color w:val="auto"/>
        </w:rPr>
      </w:pPr>
      <w:r>
        <w:rPr>
          <w:rFonts w:ascii="Arial" w:cs="Arial" w:eastAsia="Arial" w:hAnsi="Arial"/>
          <w:sz w:val="12"/>
          <w:szCs w:val="12"/>
          <w:color w:val="auto"/>
        </w:rPr>
        <w:t>Excluding the impact of the release of a tax contingency reserve on general and administrative expense in the three months ended April 30, 2023, general and administrative expense has generally decreased as a percentage of revenue primarily due to an increase in revenue and the relative consistency of expenses over the quarters presented. The decrease in general and administrative expenses in the three months ended January 31, 2024 was primarily due to a decrease in salaries and related benefits as a result of a restructuring-related reduction in headcount. The increase in general and administrative expense in the three months ended October 31, 2024 was primarily due to an increase in stock-based compensation expense driven by a modification to the terms of certain stock awards during the period. Refer to Note 10, “Equity Incentive Plan” to the consolidated financial statements included elsewhere in this prospectus for further information. As the expense related to the stock award modification recognized in the three months ended October 31, 2024 was non-recurring in nature, general and administrative expense in the three months ended January 31, 2025 correspondingly decreased.</w:t>
      </w:r>
    </w:p>
    <w:p>
      <w:pPr>
        <w:spacing w:after="0" w:line="91"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Interest Expense Trends</w:t>
      </w:r>
    </w:p>
    <w:p>
      <w:pPr>
        <w:spacing w:after="0" w:line="128" w:lineRule="exact"/>
        <w:rPr>
          <w:sz w:val="20"/>
          <w:szCs w:val="20"/>
          <w:color w:val="auto"/>
        </w:rPr>
      </w:pPr>
    </w:p>
    <w:p>
      <w:pPr>
        <w:ind w:left="1520" w:right="1820" w:firstLine="230"/>
        <w:spacing w:after="0" w:line="312" w:lineRule="auto"/>
        <w:rPr>
          <w:sz w:val="20"/>
          <w:szCs w:val="20"/>
          <w:color w:val="auto"/>
        </w:rPr>
      </w:pPr>
      <w:r>
        <w:rPr>
          <w:rFonts w:ascii="Arial" w:cs="Arial" w:eastAsia="Arial" w:hAnsi="Arial"/>
          <w:sz w:val="12"/>
          <w:szCs w:val="12"/>
          <w:color w:val="auto"/>
        </w:rPr>
        <w:t>Interest expense over the quarters presented has generally increased primarily as a result of an increase in the borrowing levels under the Warehouse Credit Facility and Trade Loan Facility over time.</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Other Income (Expense), Net and Gain (Loss) on Fair Value Adjustments Trends</w:t>
      </w:r>
    </w:p>
    <w:p>
      <w:pPr>
        <w:spacing w:after="0" w:line="128" w:lineRule="exact"/>
        <w:rPr>
          <w:sz w:val="20"/>
          <w:szCs w:val="20"/>
          <w:color w:val="auto"/>
        </w:rPr>
      </w:pPr>
    </w:p>
    <w:p>
      <w:pPr>
        <w:jc w:val="both"/>
        <w:ind w:left="1520" w:right="1760" w:firstLine="230"/>
        <w:spacing w:after="0" w:line="281" w:lineRule="auto"/>
        <w:rPr>
          <w:sz w:val="20"/>
          <w:szCs w:val="20"/>
          <w:color w:val="auto"/>
        </w:rPr>
      </w:pPr>
      <w:r>
        <w:rPr>
          <w:rFonts w:ascii="Arial" w:cs="Arial" w:eastAsia="Arial" w:hAnsi="Arial"/>
          <w:sz w:val="12"/>
          <w:szCs w:val="12"/>
          <w:color w:val="auto"/>
        </w:rPr>
        <w:t>Other income (expense), net and gain (loss) on fair value adjustments in the quarters presented are primarily driven by fluctuations foreign currency translation rates and the fair value of the SAFEs and our derivative and warrant liabilities over time, respectively. Other income (expense), net in the three months ended April 30, 2023 includes the impact of the reversal of tax contingency.</w:t>
      </w:r>
    </w:p>
    <w:p>
      <w:pPr>
        <w:spacing w:after="0" w:line="8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Non-GAAP Financial Measures</w:t>
      </w:r>
    </w:p>
    <w:p>
      <w:pPr>
        <w:sectPr>
          <w:pgSz w:w="11900" w:h="16840" w:orient="portrait"/>
          <w:cols w:equalWidth="0" w:num="1">
            <w:col w:w="9020"/>
          </w:cols>
          <w:pgMar w:left="1440" w:top="600" w:right="1440" w:bottom="132" w:gutter="0" w:footer="0" w:header="0"/>
        </w:sectPr>
      </w:pP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Non-GAAP Gross Profit and Non-GAAP Gross Margin</w:t>
      </w:r>
    </w:p>
    <w:p>
      <w:pPr>
        <w:sectPr>
          <w:pgSz w:w="11900" w:h="16840" w:orient="portrait"/>
          <w:cols w:equalWidth="0" w:num="1">
            <w:col w:w="9020"/>
          </w:cols>
          <w:pgMar w:left="1440" w:top="600" w:right="1440" w:bottom="132" w:gutter="0" w:footer="0" w:header="0"/>
          <w:type w:val="continuous"/>
        </w:sectPr>
      </w:pPr>
    </w:p>
    <w:bookmarkStart w:id="82" w:name="page83"/>
    <w:bookmarkEnd w:id="82"/>
    <w:tbl>
      <w:tblPr>
        <w:tblLayout w:type="fixed"/>
        <w:tblInd w:w="1520" w:type="dxa"/>
        <w:tblCellMar>
          <w:top w:w="0" w:type="dxa"/>
          <w:left w:w="0" w:type="dxa"/>
          <w:bottom w:w="0" w:type="dxa"/>
          <w:right w:w="0" w:type="dxa"/>
        </w:tblCellMar>
      </w:tblPr>
      <w:tr>
        <w:trPr>
          <w:trHeight w:val="110"/>
        </w:trPr>
        <w:tc>
          <w:tcPr>
            <w:tcW w:w="10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8"/>
                <w:szCs w:val="8"/>
                <w:b w:val="1"/>
                <w:bCs w:val="1"/>
                <w:color w:val="auto"/>
                <w:w w:val="95"/>
              </w:rPr>
              <w:t>Three Months Ended</w:t>
            </w: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040" w:type="dxa"/>
            <w:vAlign w:val="bottom"/>
          </w:tcPr>
          <w:p>
            <w:pPr>
              <w:spacing w:after="0"/>
              <w:rPr>
                <w:sz w:val="7"/>
                <w:szCs w:val="7"/>
                <w:color w:val="auto"/>
              </w:rPr>
            </w:pPr>
          </w:p>
        </w:tc>
        <w:tc>
          <w:tcPr>
            <w:tcW w:w="460" w:type="dxa"/>
            <w:vAlign w:val="bottom"/>
            <w:vMerge w:val="restart"/>
          </w:tcPr>
          <w:p>
            <w:pPr>
              <w:jc w:val="right"/>
              <w:ind w:right="34"/>
              <w:spacing w:after="0"/>
              <w:rPr>
                <w:sz w:val="20"/>
                <w:szCs w:val="20"/>
                <w:color w:val="auto"/>
              </w:rPr>
            </w:pPr>
            <w:r>
              <w:rPr>
                <w:rFonts w:ascii="Arial" w:cs="Arial" w:eastAsia="Arial" w:hAnsi="Arial"/>
                <w:sz w:val="8"/>
                <w:szCs w:val="8"/>
                <w:b w:val="1"/>
                <w:bCs w:val="1"/>
                <w:color w:val="auto"/>
              </w:rPr>
              <w:t>April 30,</w:t>
            </w:r>
          </w:p>
        </w:tc>
        <w:tc>
          <w:tcPr>
            <w:tcW w:w="40" w:type="dxa"/>
            <w:vAlign w:val="bottom"/>
          </w:tcPr>
          <w:p>
            <w:pPr>
              <w:spacing w:after="0"/>
              <w:rPr>
                <w:sz w:val="7"/>
                <w:szCs w:val="7"/>
                <w:color w:val="auto"/>
              </w:rPr>
            </w:pPr>
          </w:p>
        </w:tc>
        <w:tc>
          <w:tcPr>
            <w:tcW w:w="46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95"/>
              </w:rPr>
              <w:t>July 31,</w:t>
            </w:r>
          </w:p>
        </w:tc>
        <w:tc>
          <w:tcPr>
            <w:tcW w:w="40" w:type="dxa"/>
            <w:vAlign w:val="bottom"/>
          </w:tcPr>
          <w:p>
            <w:pPr>
              <w:spacing w:after="0"/>
              <w:rPr>
                <w:sz w:val="7"/>
                <w:szCs w:val="7"/>
                <w:color w:val="auto"/>
              </w:rPr>
            </w:pPr>
          </w:p>
        </w:tc>
        <w:tc>
          <w:tcPr>
            <w:tcW w:w="44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7"/>
              </w:rPr>
              <w:t>October</w:t>
            </w:r>
          </w:p>
        </w:tc>
        <w:tc>
          <w:tcPr>
            <w:tcW w:w="40" w:type="dxa"/>
            <w:vAlign w:val="bottom"/>
          </w:tcPr>
          <w:p>
            <w:pPr>
              <w:spacing w:after="0"/>
              <w:rPr>
                <w:sz w:val="7"/>
                <w:szCs w:val="7"/>
                <w:color w:val="auto"/>
              </w:rPr>
            </w:pPr>
          </w:p>
        </w:tc>
        <w:tc>
          <w:tcPr>
            <w:tcW w:w="46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7"/>
              </w:rPr>
              <w:t>January</w:t>
            </w:r>
          </w:p>
        </w:tc>
        <w:tc>
          <w:tcPr>
            <w:tcW w:w="40" w:type="dxa"/>
            <w:vAlign w:val="bottom"/>
          </w:tcPr>
          <w:p>
            <w:pPr>
              <w:spacing w:after="0"/>
              <w:rPr>
                <w:sz w:val="7"/>
                <w:szCs w:val="7"/>
                <w:color w:val="auto"/>
              </w:rPr>
            </w:pPr>
          </w:p>
        </w:tc>
        <w:tc>
          <w:tcPr>
            <w:tcW w:w="460" w:type="dxa"/>
            <w:vAlign w:val="bottom"/>
            <w:vMerge w:val="restart"/>
          </w:tcPr>
          <w:p>
            <w:pPr>
              <w:jc w:val="right"/>
              <w:ind w:right="37"/>
              <w:spacing w:after="0"/>
              <w:rPr>
                <w:sz w:val="20"/>
                <w:szCs w:val="20"/>
                <w:color w:val="auto"/>
              </w:rPr>
            </w:pPr>
            <w:r>
              <w:rPr>
                <w:rFonts w:ascii="Arial" w:cs="Arial" w:eastAsia="Arial" w:hAnsi="Arial"/>
                <w:sz w:val="8"/>
                <w:szCs w:val="8"/>
                <w:b w:val="1"/>
                <w:bCs w:val="1"/>
                <w:color w:val="auto"/>
              </w:rPr>
              <w:t>April 30,</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vMerge w:val="restart"/>
          </w:tcPr>
          <w:p>
            <w:pPr>
              <w:jc w:val="center"/>
              <w:ind w:right="54"/>
              <w:spacing w:after="0"/>
              <w:rPr>
                <w:sz w:val="20"/>
                <w:szCs w:val="20"/>
                <w:color w:val="auto"/>
              </w:rPr>
            </w:pPr>
            <w:r>
              <w:rPr>
                <w:rFonts w:ascii="Arial" w:cs="Arial" w:eastAsia="Arial" w:hAnsi="Arial"/>
                <w:sz w:val="8"/>
                <w:szCs w:val="8"/>
                <w:b w:val="1"/>
                <w:bCs w:val="1"/>
                <w:color w:val="auto"/>
                <w:w w:val="95"/>
              </w:rPr>
              <w:t>July 31,</w:t>
            </w:r>
          </w:p>
        </w:tc>
        <w:tc>
          <w:tcPr>
            <w:tcW w:w="40" w:type="dxa"/>
            <w:vAlign w:val="bottom"/>
          </w:tcPr>
          <w:p>
            <w:pPr>
              <w:spacing w:after="0"/>
              <w:rPr>
                <w:sz w:val="7"/>
                <w:szCs w:val="7"/>
                <w:color w:val="auto"/>
              </w:rPr>
            </w:pPr>
          </w:p>
        </w:tc>
        <w:tc>
          <w:tcPr>
            <w:tcW w:w="460" w:type="dxa"/>
            <w:vAlign w:val="bottom"/>
            <w:gridSpan w:val="2"/>
          </w:tcPr>
          <w:p>
            <w:pPr>
              <w:jc w:val="center"/>
              <w:spacing w:after="0" w:line="91" w:lineRule="exact"/>
              <w:rPr>
                <w:sz w:val="20"/>
                <w:szCs w:val="20"/>
                <w:color w:val="auto"/>
              </w:rPr>
            </w:pPr>
            <w:r>
              <w:rPr>
                <w:rFonts w:ascii="Arial" w:cs="Arial" w:eastAsia="Arial" w:hAnsi="Arial"/>
                <w:sz w:val="8"/>
                <w:szCs w:val="8"/>
                <w:b w:val="1"/>
                <w:bCs w:val="1"/>
                <w:color w:val="auto"/>
                <w:w w:val="97"/>
              </w:rPr>
              <w:t>October</w:t>
            </w:r>
          </w:p>
        </w:tc>
        <w:tc>
          <w:tcPr>
            <w:tcW w:w="40" w:type="dxa"/>
            <w:vAlign w:val="bottom"/>
          </w:tcPr>
          <w:p>
            <w:pPr>
              <w:spacing w:after="0"/>
              <w:rPr>
                <w:sz w:val="7"/>
                <w:szCs w:val="7"/>
                <w:color w:val="auto"/>
              </w:rPr>
            </w:pPr>
          </w:p>
        </w:tc>
        <w:tc>
          <w:tcPr>
            <w:tcW w:w="46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1"/>
              </w:rPr>
              <w:t>January</w:t>
            </w:r>
          </w:p>
        </w:tc>
        <w:tc>
          <w:tcPr>
            <w:tcW w:w="40" w:type="dxa"/>
            <w:vAlign w:val="bottom"/>
          </w:tcPr>
          <w:p>
            <w:pPr>
              <w:spacing w:after="0"/>
              <w:rPr>
                <w:sz w:val="7"/>
                <w:szCs w:val="7"/>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April 30,</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vMerge w:val="restart"/>
          </w:tcPr>
          <w:p>
            <w:pPr>
              <w:spacing w:after="0"/>
              <w:rPr>
                <w:sz w:val="20"/>
                <w:szCs w:val="20"/>
                <w:color w:val="auto"/>
              </w:rPr>
            </w:pPr>
            <w:r>
              <w:rPr>
                <w:rFonts w:ascii="Arial" w:cs="Arial" w:eastAsia="Arial" w:hAnsi="Arial"/>
                <w:sz w:val="8"/>
                <w:szCs w:val="8"/>
                <w:b w:val="1"/>
                <w:bCs w:val="1"/>
                <w:color w:val="auto"/>
              </w:rPr>
              <w:t>July 31,</w:t>
            </w:r>
          </w:p>
        </w:tc>
        <w:tc>
          <w:tcPr>
            <w:tcW w:w="0" w:type="dxa"/>
            <w:vAlign w:val="bottom"/>
          </w:tcPr>
          <w:p>
            <w:pPr>
              <w:spacing w:after="0"/>
              <w:rPr>
                <w:sz w:val="1"/>
                <w:szCs w:val="1"/>
                <w:color w:val="auto"/>
              </w:rPr>
            </w:pPr>
          </w:p>
        </w:tc>
      </w:tr>
      <w:tr>
        <w:trPr>
          <w:trHeight w:val="105"/>
        </w:trPr>
        <w:tc>
          <w:tcPr>
            <w:tcW w:w="10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80" w:type="dxa"/>
            <w:vAlign w:val="bottom"/>
            <w:gridSpan w:val="2"/>
          </w:tcPr>
          <w:p>
            <w:pPr>
              <w:jc w:val="center"/>
              <w:spacing w:after="0"/>
              <w:rPr>
                <w:sz w:val="20"/>
                <w:szCs w:val="20"/>
                <w:color w:val="auto"/>
              </w:rPr>
            </w:pPr>
            <w:r>
              <w:rPr>
                <w:rFonts w:ascii="Arial" w:cs="Arial" w:eastAsia="Arial" w:hAnsi="Arial"/>
                <w:sz w:val="8"/>
                <w:szCs w:val="8"/>
                <w:b w:val="1"/>
                <w:bCs w:val="1"/>
                <w:color w:val="auto"/>
                <w:w w:val="89"/>
              </w:rPr>
              <w:t>31,</w:t>
            </w:r>
          </w:p>
        </w:tc>
        <w:tc>
          <w:tcPr>
            <w:tcW w:w="500" w:type="dxa"/>
            <w:vAlign w:val="bottom"/>
            <w:gridSpan w:val="2"/>
          </w:tcPr>
          <w:p>
            <w:pPr>
              <w:jc w:val="center"/>
              <w:spacing w:after="0"/>
              <w:rPr>
                <w:sz w:val="20"/>
                <w:szCs w:val="20"/>
                <w:color w:val="auto"/>
              </w:rPr>
            </w:pPr>
            <w:r>
              <w:rPr>
                <w:rFonts w:ascii="Arial" w:cs="Arial" w:eastAsia="Arial" w:hAnsi="Arial"/>
                <w:sz w:val="8"/>
                <w:szCs w:val="8"/>
                <w:b w:val="1"/>
                <w:bCs w:val="1"/>
                <w:color w:val="auto"/>
                <w:w w:val="89"/>
              </w:rPr>
              <w:t>31,</w:t>
            </w:r>
          </w:p>
        </w:tc>
        <w:tc>
          <w:tcPr>
            <w:tcW w:w="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center"/>
              <w:ind w:right="34"/>
              <w:spacing w:after="0"/>
              <w:rPr>
                <w:sz w:val="20"/>
                <w:szCs w:val="20"/>
                <w:color w:val="auto"/>
              </w:rPr>
            </w:pPr>
            <w:r>
              <w:rPr>
                <w:rFonts w:ascii="Arial" w:cs="Arial" w:eastAsia="Arial" w:hAnsi="Arial"/>
                <w:sz w:val="8"/>
                <w:szCs w:val="8"/>
                <w:b w:val="1"/>
                <w:bCs w:val="1"/>
                <w:color w:val="auto"/>
                <w:w w:val="89"/>
              </w:rPr>
              <w:t>31,</w:t>
            </w:r>
          </w:p>
        </w:tc>
        <w:tc>
          <w:tcPr>
            <w:tcW w:w="500" w:type="dxa"/>
            <w:vAlign w:val="bottom"/>
            <w:gridSpan w:val="2"/>
          </w:tcPr>
          <w:p>
            <w:pPr>
              <w:jc w:val="center"/>
              <w:spacing w:after="0"/>
              <w:rPr>
                <w:sz w:val="20"/>
                <w:szCs w:val="20"/>
                <w:color w:val="auto"/>
              </w:rPr>
            </w:pPr>
            <w:r>
              <w:rPr>
                <w:rFonts w:ascii="Arial" w:cs="Arial" w:eastAsia="Arial" w:hAnsi="Arial"/>
                <w:sz w:val="8"/>
                <w:szCs w:val="8"/>
                <w:b w:val="1"/>
                <w:bCs w:val="1"/>
                <w:color w:val="auto"/>
                <w:w w:val="89"/>
              </w:rPr>
              <w:t>31,</w:t>
            </w:r>
          </w:p>
        </w:tc>
        <w:tc>
          <w:tcPr>
            <w:tcW w:w="4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460" w:type="dxa"/>
            <w:vAlign w:val="bottom"/>
            <w:tcBorders>
              <w:bottom w:val="single" w:sz="8" w:color="auto"/>
            </w:tcBorders>
          </w:tcPr>
          <w:p>
            <w:pPr>
              <w:jc w:val="right"/>
              <w:ind w:right="114"/>
              <w:spacing w:after="0"/>
              <w:rPr>
                <w:sz w:val="20"/>
                <w:szCs w:val="20"/>
                <w:color w:val="auto"/>
              </w:rPr>
            </w:pPr>
            <w:r>
              <w:rPr>
                <w:rFonts w:ascii="Arial" w:cs="Arial" w:eastAsia="Arial" w:hAnsi="Arial"/>
                <w:sz w:val="8"/>
                <w:szCs w:val="8"/>
                <w:b w:val="1"/>
                <w:bCs w:val="1"/>
                <w:color w:val="auto"/>
              </w:rPr>
              <w:t>2023</w:t>
            </w: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w w:val="89"/>
              </w:rPr>
              <w:t>2023</w:t>
            </w: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w w:val="89"/>
              </w:rPr>
              <w:t>2023</w:t>
            </w:r>
          </w:p>
        </w:tc>
        <w:tc>
          <w:tcPr>
            <w:tcW w:w="500" w:type="dxa"/>
            <w:vAlign w:val="bottom"/>
            <w:tcBorders>
              <w:bottom w:val="single" w:sz="8" w:color="auto"/>
            </w:tcBorders>
            <w:gridSpan w:val="2"/>
          </w:tcPr>
          <w:p>
            <w:pPr>
              <w:jc w:val="center"/>
              <w:ind w:left="15"/>
              <w:spacing w:after="0"/>
              <w:rPr>
                <w:sz w:val="20"/>
                <w:szCs w:val="20"/>
                <w:color w:val="auto"/>
              </w:rPr>
            </w:pPr>
            <w:r>
              <w:rPr>
                <w:rFonts w:ascii="Arial" w:cs="Arial" w:eastAsia="Arial" w:hAnsi="Arial"/>
                <w:sz w:val="8"/>
                <w:szCs w:val="8"/>
                <w:b w:val="1"/>
                <w:bCs w:val="1"/>
                <w:color w:val="auto"/>
                <w:w w:val="89"/>
              </w:rPr>
              <w:t>2024</w:t>
            </w:r>
          </w:p>
        </w:tc>
        <w:tc>
          <w:tcPr>
            <w:tcW w:w="50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8"/>
                <w:szCs w:val="8"/>
                <w:b w:val="1"/>
                <w:bCs w:val="1"/>
                <w:color w:val="auto"/>
              </w:rPr>
              <w:t>2024</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ind w:right="34"/>
              <w:spacing w:after="0"/>
              <w:rPr>
                <w:sz w:val="20"/>
                <w:szCs w:val="20"/>
                <w:color w:val="auto"/>
              </w:rPr>
            </w:pPr>
            <w:r>
              <w:rPr>
                <w:rFonts w:ascii="Arial" w:cs="Arial" w:eastAsia="Arial" w:hAnsi="Arial"/>
                <w:sz w:val="8"/>
                <w:szCs w:val="8"/>
                <w:b w:val="1"/>
                <w:bCs w:val="1"/>
                <w:color w:val="auto"/>
              </w:rPr>
              <w:t>2024</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ind w:right="34"/>
              <w:spacing w:after="0"/>
              <w:rPr>
                <w:sz w:val="20"/>
                <w:szCs w:val="20"/>
                <w:color w:val="auto"/>
              </w:rPr>
            </w:pPr>
            <w:r>
              <w:rPr>
                <w:rFonts w:ascii="Arial" w:cs="Arial" w:eastAsia="Arial" w:hAnsi="Arial"/>
                <w:sz w:val="8"/>
                <w:szCs w:val="8"/>
                <w:b w:val="1"/>
                <w:bCs w:val="1"/>
                <w:color w:val="auto"/>
              </w:rPr>
              <w:t>2024</w:t>
            </w: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rPr>
              <w:t>2025</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13"/>
              <w:spacing w:after="0"/>
              <w:rPr>
                <w:sz w:val="20"/>
                <w:szCs w:val="20"/>
                <w:color w:val="auto"/>
              </w:rPr>
            </w:pPr>
            <w:r>
              <w:rPr>
                <w:rFonts w:ascii="Arial" w:cs="Arial" w:eastAsia="Arial" w:hAnsi="Arial"/>
                <w:sz w:val="8"/>
                <w:szCs w:val="8"/>
                <w:b w:val="1"/>
                <w:bCs w:val="1"/>
                <w:color w:val="auto"/>
              </w:rPr>
              <w:t>2025</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14"/>
              <w:spacing w:after="0"/>
              <w:rPr>
                <w:sz w:val="20"/>
                <w:szCs w:val="20"/>
                <w:color w:val="auto"/>
              </w:rPr>
            </w:pPr>
            <w:r>
              <w:rPr>
                <w:rFonts w:ascii="Arial" w:cs="Arial" w:eastAsia="Arial" w:hAnsi="Arial"/>
                <w:sz w:val="8"/>
                <w:szCs w:val="8"/>
                <w:b w:val="1"/>
                <w:bCs w:val="1"/>
                <w:color w:val="auto"/>
              </w:rPr>
              <w:t>2025</w:t>
            </w:r>
          </w:p>
        </w:tc>
        <w:tc>
          <w:tcPr>
            <w:tcW w:w="0" w:type="dxa"/>
            <w:vAlign w:val="bottom"/>
          </w:tcPr>
          <w:p>
            <w:pPr>
              <w:spacing w:after="0"/>
              <w:rPr>
                <w:sz w:val="1"/>
                <w:szCs w:val="1"/>
                <w:color w:val="auto"/>
              </w:rPr>
            </w:pPr>
          </w:p>
        </w:tc>
      </w:tr>
      <w:tr>
        <w:trPr>
          <w:trHeight w:val="124"/>
        </w:trPr>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4"/>
          </w:tcPr>
          <w:p>
            <w:pPr>
              <w:jc w:val="center"/>
              <w:spacing w:after="0"/>
              <w:rPr>
                <w:sz w:val="20"/>
                <w:szCs w:val="20"/>
                <w:color w:val="auto"/>
              </w:rPr>
            </w:pPr>
            <w:r>
              <w:rPr>
                <w:rFonts w:ascii="Arial" w:cs="Arial" w:eastAsia="Arial" w:hAnsi="Arial"/>
                <w:sz w:val="8"/>
                <w:szCs w:val="8"/>
                <w:b w:val="1"/>
                <w:bCs w:val="1"/>
                <w:color w:val="auto"/>
                <w:w w:val="95"/>
              </w:rPr>
              <w:t>(dollars in thousands)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040" w:type="dxa"/>
            <w:vAlign w:val="bottom"/>
            <w:shd w:val="clear" w:color="auto" w:fill="CCEEFF"/>
          </w:tcPr>
          <w:p>
            <w:pPr>
              <w:ind w:left="40"/>
              <w:spacing w:after="0"/>
              <w:rPr>
                <w:sz w:val="20"/>
                <w:szCs w:val="20"/>
                <w:color w:val="auto"/>
              </w:rPr>
            </w:pPr>
            <w:r>
              <w:rPr>
                <w:rFonts w:ascii="Arial" w:cs="Arial" w:eastAsia="Arial" w:hAnsi="Arial"/>
                <w:sz w:val="10"/>
                <w:szCs w:val="10"/>
                <w:color w:val="auto"/>
                <w:w w:val="95"/>
                <w:shd w:val="clear" w:color="auto" w:fill="CCEEFF"/>
              </w:rPr>
              <w:t xml:space="preserve">GAAP gross profit </w:t>
            </w:r>
            <w:r>
              <w:rPr>
                <w:rFonts w:ascii="Times New Roman" w:cs="Times New Roman" w:eastAsia="Times New Roman" w:hAnsi="Times New Roman"/>
                <w:sz w:val="10"/>
                <w:szCs w:val="10"/>
                <w:color w:val="B4B4B4"/>
                <w:w w:val="95"/>
                <w:shd w:val="clear" w:color="auto" w:fill="CCEEFF"/>
              </w:rPr>
              <w:t>........</w:t>
            </w:r>
          </w:p>
        </w:tc>
        <w:tc>
          <w:tcPr>
            <w:tcW w:w="460" w:type="dxa"/>
            <w:vAlign w:val="bottom"/>
            <w:shd w:val="clear" w:color="auto" w:fill="CCEEFF"/>
          </w:tcPr>
          <w:p>
            <w:pPr>
              <w:jc w:val="right"/>
              <w:ind w:right="34"/>
              <w:spacing w:after="0"/>
              <w:rPr>
                <w:sz w:val="20"/>
                <w:szCs w:val="20"/>
                <w:color w:val="auto"/>
              </w:rPr>
            </w:pPr>
            <w:r>
              <w:rPr>
                <w:rFonts w:ascii="Arial" w:cs="Arial" w:eastAsia="Arial" w:hAnsi="Arial"/>
                <w:sz w:val="10"/>
                <w:szCs w:val="10"/>
                <w:color w:val="auto"/>
                <w:w w:val="99"/>
                <w:shd w:val="clear" w:color="auto" w:fill="CCEEFF"/>
              </w:rPr>
              <w:t>$52,643</w:t>
            </w:r>
          </w:p>
        </w:tc>
        <w:tc>
          <w:tcPr>
            <w:tcW w:w="500" w:type="dxa"/>
            <w:vAlign w:val="bottom"/>
            <w:gridSpan w:val="2"/>
            <w:shd w:val="clear" w:color="auto" w:fill="CCEEFF"/>
          </w:tcPr>
          <w:p>
            <w:pPr>
              <w:jc w:val="right"/>
              <w:ind w:right="35"/>
              <w:spacing w:after="0"/>
              <w:rPr>
                <w:sz w:val="20"/>
                <w:szCs w:val="20"/>
                <w:color w:val="auto"/>
              </w:rPr>
            </w:pPr>
            <w:r>
              <w:rPr>
                <w:rFonts w:ascii="Arial" w:cs="Arial" w:eastAsia="Arial" w:hAnsi="Arial"/>
                <w:sz w:val="10"/>
                <w:szCs w:val="10"/>
                <w:color w:val="auto"/>
                <w:shd w:val="clear" w:color="auto" w:fill="CCEEFF"/>
              </w:rPr>
              <w:t>$59,718</w:t>
            </w:r>
          </w:p>
        </w:tc>
        <w:tc>
          <w:tcPr>
            <w:tcW w:w="480" w:type="dxa"/>
            <w:vAlign w:val="bottom"/>
            <w:gridSpan w:val="2"/>
            <w:shd w:val="clear" w:color="auto" w:fill="CCEEFF"/>
          </w:tcPr>
          <w:p>
            <w:pPr>
              <w:jc w:val="right"/>
              <w:ind w:right="35"/>
              <w:spacing w:after="0"/>
              <w:rPr>
                <w:sz w:val="20"/>
                <w:szCs w:val="20"/>
                <w:color w:val="auto"/>
              </w:rPr>
            </w:pPr>
            <w:r>
              <w:rPr>
                <w:rFonts w:ascii="Arial" w:cs="Arial" w:eastAsia="Arial" w:hAnsi="Arial"/>
                <w:sz w:val="10"/>
                <w:szCs w:val="10"/>
                <w:color w:val="auto"/>
                <w:shd w:val="clear" w:color="auto" w:fill="CCEEFF"/>
              </w:rPr>
              <w:t>$69,598</w:t>
            </w:r>
          </w:p>
        </w:tc>
        <w:tc>
          <w:tcPr>
            <w:tcW w:w="500" w:type="dxa"/>
            <w:vAlign w:val="bottom"/>
            <w:gridSpan w:val="2"/>
            <w:shd w:val="clear" w:color="auto" w:fill="CCEEFF"/>
          </w:tcPr>
          <w:p>
            <w:pPr>
              <w:jc w:val="right"/>
              <w:ind w:right="35"/>
              <w:spacing w:after="0"/>
              <w:rPr>
                <w:sz w:val="20"/>
                <w:szCs w:val="20"/>
                <w:color w:val="auto"/>
              </w:rPr>
            </w:pPr>
            <w:r>
              <w:rPr>
                <w:rFonts w:ascii="Arial" w:cs="Arial" w:eastAsia="Arial" w:hAnsi="Arial"/>
                <w:sz w:val="10"/>
                <w:szCs w:val="10"/>
                <w:color w:val="auto"/>
                <w:shd w:val="clear" w:color="auto" w:fill="CCEEFF"/>
              </w:rPr>
              <w:t>$57,675</w:t>
            </w:r>
          </w:p>
        </w:tc>
        <w:tc>
          <w:tcPr>
            <w:tcW w:w="500" w:type="dxa"/>
            <w:vAlign w:val="bottom"/>
            <w:gridSpan w:val="2"/>
            <w:shd w:val="clear" w:color="auto" w:fill="CCEEFF"/>
          </w:tcPr>
          <w:p>
            <w:pPr>
              <w:jc w:val="right"/>
              <w:ind w:right="37"/>
              <w:spacing w:after="0"/>
              <w:rPr>
                <w:sz w:val="20"/>
                <w:szCs w:val="20"/>
                <w:color w:val="auto"/>
              </w:rPr>
            </w:pPr>
            <w:r>
              <w:rPr>
                <w:rFonts w:ascii="Arial" w:cs="Arial" w:eastAsia="Arial" w:hAnsi="Arial"/>
                <w:sz w:val="10"/>
                <w:szCs w:val="10"/>
                <w:color w:val="auto"/>
                <w:shd w:val="clear" w:color="auto" w:fill="CCEEFF"/>
              </w:rPr>
              <w:t>$79,780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380" w:type="dxa"/>
            <w:vAlign w:val="bottom"/>
            <w:shd w:val="clear" w:color="auto" w:fill="CCEEFF"/>
          </w:tcPr>
          <w:p>
            <w:pPr>
              <w:jc w:val="center"/>
              <w:ind w:right="34"/>
              <w:spacing w:after="0"/>
              <w:rPr>
                <w:sz w:val="20"/>
                <w:szCs w:val="20"/>
                <w:color w:val="auto"/>
              </w:rPr>
            </w:pPr>
            <w:r>
              <w:rPr>
                <w:rFonts w:ascii="Arial" w:cs="Arial" w:eastAsia="Arial" w:hAnsi="Arial"/>
                <w:sz w:val="10"/>
                <w:szCs w:val="10"/>
                <w:color w:val="auto"/>
                <w:w w:val="97"/>
                <w:shd w:val="clear" w:color="auto" w:fill="CCEEFF"/>
              </w:rPr>
              <w:t>91,402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3"/>
                <w:shd w:val="clear" w:color="auto" w:fill="CCEEFF"/>
              </w:rPr>
              <w:t>106,596</w:t>
            </w:r>
          </w:p>
        </w:tc>
        <w:tc>
          <w:tcPr>
            <w:tcW w:w="500" w:type="dxa"/>
            <w:vAlign w:val="bottom"/>
            <w:gridSpan w:val="2"/>
            <w:shd w:val="clear" w:color="auto" w:fill="CCEEFF"/>
          </w:tcPr>
          <w:p>
            <w:pPr>
              <w:jc w:val="right"/>
              <w:ind w:right="35"/>
              <w:spacing w:after="0"/>
              <w:rPr>
                <w:sz w:val="20"/>
                <w:szCs w:val="20"/>
                <w:color w:val="auto"/>
              </w:rPr>
            </w:pPr>
            <w:r>
              <w:rPr>
                <w:rFonts w:ascii="Arial" w:cs="Arial" w:eastAsia="Arial" w:hAnsi="Arial"/>
                <w:sz w:val="10"/>
                <w:szCs w:val="10"/>
                <w:color w:val="auto"/>
                <w:shd w:val="clear" w:color="auto" w:fill="CCEEFF"/>
              </w:rPr>
              <w:t>$89,244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380" w:type="dxa"/>
            <w:vAlign w:val="bottom"/>
            <w:shd w:val="clear" w:color="auto" w:fill="CCEEFF"/>
          </w:tcPr>
          <w:p>
            <w:pPr>
              <w:spacing w:after="0"/>
              <w:rPr>
                <w:sz w:val="20"/>
                <w:szCs w:val="20"/>
                <w:color w:val="auto"/>
              </w:rPr>
            </w:pPr>
            <w:r>
              <w:rPr>
                <w:rFonts w:ascii="Arial" w:cs="Arial" w:eastAsia="Arial" w:hAnsi="Arial"/>
                <w:sz w:val="10"/>
                <w:szCs w:val="10"/>
                <w:color w:val="auto"/>
                <w:w w:val="99"/>
                <w:shd w:val="clear" w:color="auto" w:fill="CCEEFF"/>
              </w:rPr>
              <w:t>111,793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shd w:val="clear" w:color="auto" w:fill="CCEEFF"/>
              </w:rPr>
              <w:t>$</w:t>
            </w:r>
          </w:p>
        </w:tc>
        <w:tc>
          <w:tcPr>
            <w:tcW w:w="380" w:type="dxa"/>
            <w:vAlign w:val="bottom"/>
            <w:shd w:val="clear" w:color="auto" w:fill="CCEEFF"/>
          </w:tcPr>
          <w:p>
            <w:pPr>
              <w:spacing w:after="0"/>
              <w:rPr>
                <w:sz w:val="20"/>
                <w:szCs w:val="20"/>
                <w:color w:val="auto"/>
              </w:rPr>
            </w:pPr>
            <w:r>
              <w:rPr>
                <w:rFonts w:ascii="Arial" w:cs="Arial" w:eastAsia="Arial" w:hAnsi="Arial"/>
                <w:sz w:val="10"/>
                <w:szCs w:val="10"/>
                <w:color w:val="auto"/>
                <w:w w:val="99"/>
                <w:shd w:val="clear" w:color="auto" w:fill="CCEEFF"/>
              </w:rPr>
              <w:t>125,037</w:t>
            </w:r>
          </w:p>
        </w:tc>
        <w:tc>
          <w:tcPr>
            <w:tcW w:w="0" w:type="dxa"/>
            <w:vAlign w:val="bottom"/>
          </w:tcPr>
          <w:p>
            <w:pPr>
              <w:spacing w:after="0"/>
              <w:rPr>
                <w:sz w:val="1"/>
                <w:szCs w:val="1"/>
                <w:color w:val="auto"/>
              </w:rPr>
            </w:pPr>
          </w:p>
        </w:tc>
      </w:tr>
      <w:tr>
        <w:trPr>
          <w:trHeight w:val="144"/>
        </w:trPr>
        <w:tc>
          <w:tcPr>
            <w:tcW w:w="1040" w:type="dxa"/>
            <w:vAlign w:val="bottom"/>
          </w:tcPr>
          <w:p>
            <w:pPr>
              <w:ind w:left="40"/>
              <w:spacing w:after="0"/>
              <w:rPr>
                <w:sz w:val="20"/>
                <w:szCs w:val="20"/>
                <w:color w:val="auto"/>
              </w:rPr>
            </w:pPr>
            <w:r>
              <w:rPr>
                <w:rFonts w:ascii="Arial" w:cs="Arial" w:eastAsia="Arial" w:hAnsi="Arial"/>
                <w:sz w:val="10"/>
                <w:szCs w:val="10"/>
                <w:color w:val="auto"/>
                <w:w w:val="97"/>
              </w:rPr>
              <w:t>GAAP gross margin</w:t>
            </w:r>
            <w:r>
              <w:rPr>
                <w:rFonts w:ascii="Times New Roman" w:cs="Times New Roman" w:eastAsia="Times New Roman" w:hAnsi="Times New Roman"/>
                <w:sz w:val="10"/>
                <w:szCs w:val="10"/>
                <w:color w:val="B4B4B4"/>
                <w:w w:val="97"/>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56 %</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60 %</w:t>
            </w:r>
          </w:p>
        </w:tc>
        <w:tc>
          <w:tcPr>
            <w:tcW w:w="480" w:type="dxa"/>
            <w:vAlign w:val="bottom"/>
            <w:gridSpan w:val="2"/>
          </w:tcPr>
          <w:p>
            <w:pPr>
              <w:jc w:val="right"/>
              <w:spacing w:after="0"/>
              <w:rPr>
                <w:sz w:val="20"/>
                <w:szCs w:val="20"/>
                <w:color w:val="auto"/>
              </w:rPr>
            </w:pPr>
            <w:r>
              <w:rPr>
                <w:rFonts w:ascii="Arial" w:cs="Arial" w:eastAsia="Arial" w:hAnsi="Arial"/>
                <w:sz w:val="10"/>
                <w:szCs w:val="10"/>
                <w:color w:val="auto"/>
              </w:rPr>
              <w:t>63 %</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59 %</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66 %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69 %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71 %</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68 %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71 %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73 %</w:t>
            </w:r>
          </w:p>
        </w:tc>
        <w:tc>
          <w:tcPr>
            <w:tcW w:w="0" w:type="dxa"/>
            <w:vAlign w:val="bottom"/>
          </w:tcPr>
          <w:p>
            <w:pPr>
              <w:spacing w:after="0"/>
              <w:rPr>
                <w:sz w:val="1"/>
                <w:szCs w:val="1"/>
                <w:color w:val="auto"/>
              </w:rPr>
            </w:pPr>
          </w:p>
        </w:tc>
      </w:tr>
      <w:tr>
        <w:trPr>
          <w:trHeight w:val="125"/>
        </w:trPr>
        <w:tc>
          <w:tcPr>
            <w:tcW w:w="1040" w:type="dxa"/>
            <w:vAlign w:val="bottom"/>
            <w:shd w:val="clear" w:color="auto" w:fill="CCEEFF"/>
          </w:tcPr>
          <w:p>
            <w:pPr>
              <w:ind w:left="40"/>
              <w:spacing w:after="0"/>
              <w:rPr>
                <w:sz w:val="20"/>
                <w:szCs w:val="20"/>
                <w:color w:val="auto"/>
              </w:rPr>
            </w:pPr>
            <w:r>
              <w:rPr>
                <w:rFonts w:ascii="Arial" w:cs="Arial" w:eastAsia="Arial" w:hAnsi="Arial"/>
                <w:sz w:val="10"/>
                <w:szCs w:val="10"/>
                <w:color w:val="auto"/>
              </w:rPr>
              <w:t>Stock-based</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040" w:type="dxa"/>
            <w:vAlign w:val="bottom"/>
            <w:shd w:val="clear" w:color="auto" w:fill="CCEEFF"/>
          </w:tcPr>
          <w:p>
            <w:pPr>
              <w:ind w:left="140"/>
              <w:spacing w:after="0" w:line="96" w:lineRule="exact"/>
              <w:rPr>
                <w:sz w:val="20"/>
                <w:szCs w:val="20"/>
                <w:color w:val="auto"/>
              </w:rPr>
            </w:pPr>
            <w:r>
              <w:rPr>
                <w:rFonts w:ascii="Arial" w:cs="Arial" w:eastAsia="Arial" w:hAnsi="Arial"/>
                <w:sz w:val="10"/>
                <w:szCs w:val="10"/>
                <w:color w:val="auto"/>
              </w:rPr>
              <w:t>compensation</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40" w:type="dxa"/>
            <w:vAlign w:val="bottom"/>
            <w:shd w:val="clear" w:color="auto" w:fill="CCEEFF"/>
          </w:tcPr>
          <w:p>
            <w:pPr>
              <w:ind w:left="140"/>
              <w:spacing w:after="0" w:line="95" w:lineRule="exact"/>
              <w:rPr>
                <w:sz w:val="20"/>
                <w:szCs w:val="20"/>
                <w:color w:val="auto"/>
              </w:rPr>
            </w:pPr>
            <w:r>
              <w:rPr>
                <w:rFonts w:ascii="Arial" w:cs="Arial" w:eastAsia="Arial" w:hAnsi="Arial"/>
                <w:sz w:val="10"/>
                <w:szCs w:val="10"/>
                <w:color w:val="auto"/>
              </w:rPr>
              <w:t>expense-related</w:t>
            </w:r>
          </w:p>
        </w:tc>
        <w:tc>
          <w:tcPr>
            <w:tcW w:w="460" w:type="dxa"/>
            <w:vAlign w:val="bottom"/>
            <w:vMerge w:val="restart"/>
            <w:shd w:val="clear" w:color="auto" w:fill="CCEEFF"/>
          </w:tcPr>
          <w:p>
            <w:pPr>
              <w:jc w:val="right"/>
              <w:ind w:right="94"/>
              <w:spacing w:after="0"/>
              <w:rPr>
                <w:sz w:val="20"/>
                <w:szCs w:val="20"/>
                <w:color w:val="auto"/>
              </w:rPr>
            </w:pPr>
            <w:r>
              <w:rPr>
                <w:rFonts w:ascii="Arial" w:cs="Arial" w:eastAsia="Arial" w:hAnsi="Arial"/>
                <w:sz w:val="10"/>
                <w:szCs w:val="10"/>
                <w:color w:val="auto"/>
              </w:rPr>
              <w:t>1,379</w:t>
            </w:r>
          </w:p>
        </w:tc>
        <w:tc>
          <w:tcPr>
            <w:tcW w:w="500" w:type="dxa"/>
            <w:vAlign w:val="bottom"/>
            <w:gridSpan w:val="2"/>
            <w:vMerge w:val="restart"/>
            <w:shd w:val="clear" w:color="auto" w:fill="CCEEFF"/>
          </w:tcPr>
          <w:p>
            <w:pPr>
              <w:jc w:val="right"/>
              <w:ind w:right="95"/>
              <w:spacing w:after="0"/>
              <w:rPr>
                <w:sz w:val="20"/>
                <w:szCs w:val="20"/>
                <w:color w:val="auto"/>
              </w:rPr>
            </w:pPr>
            <w:r>
              <w:rPr>
                <w:rFonts w:ascii="Arial" w:cs="Arial" w:eastAsia="Arial" w:hAnsi="Arial"/>
                <w:sz w:val="10"/>
                <w:szCs w:val="10"/>
                <w:color w:val="auto"/>
              </w:rPr>
              <w:t>1,254</w:t>
            </w:r>
          </w:p>
        </w:tc>
        <w:tc>
          <w:tcPr>
            <w:tcW w:w="480" w:type="dxa"/>
            <w:vAlign w:val="bottom"/>
            <w:gridSpan w:val="2"/>
            <w:vMerge w:val="restart"/>
            <w:shd w:val="clear" w:color="auto" w:fill="CCEEFF"/>
          </w:tcPr>
          <w:p>
            <w:pPr>
              <w:jc w:val="right"/>
              <w:ind w:right="75"/>
              <w:spacing w:after="0"/>
              <w:rPr>
                <w:sz w:val="20"/>
                <w:szCs w:val="20"/>
                <w:color w:val="auto"/>
              </w:rPr>
            </w:pPr>
            <w:r>
              <w:rPr>
                <w:rFonts w:ascii="Arial" w:cs="Arial" w:eastAsia="Arial" w:hAnsi="Arial"/>
                <w:sz w:val="10"/>
                <w:szCs w:val="10"/>
                <w:color w:val="auto"/>
              </w:rPr>
              <w:t>921</w:t>
            </w:r>
          </w:p>
        </w:tc>
        <w:tc>
          <w:tcPr>
            <w:tcW w:w="500" w:type="dxa"/>
            <w:vAlign w:val="bottom"/>
            <w:gridSpan w:val="2"/>
            <w:vMerge w:val="restart"/>
            <w:shd w:val="clear" w:color="auto" w:fill="CCEEFF"/>
          </w:tcPr>
          <w:p>
            <w:pPr>
              <w:jc w:val="right"/>
              <w:ind w:right="75"/>
              <w:spacing w:after="0"/>
              <w:rPr>
                <w:sz w:val="20"/>
                <w:szCs w:val="20"/>
                <w:color w:val="auto"/>
              </w:rPr>
            </w:pPr>
            <w:r>
              <w:rPr>
                <w:rFonts w:ascii="Arial" w:cs="Arial" w:eastAsia="Arial" w:hAnsi="Arial"/>
                <w:sz w:val="10"/>
                <w:szCs w:val="10"/>
                <w:color w:val="auto"/>
              </w:rPr>
              <w:t>1,197</w:t>
            </w:r>
          </w:p>
        </w:tc>
        <w:tc>
          <w:tcPr>
            <w:tcW w:w="500" w:type="dxa"/>
            <w:vAlign w:val="bottom"/>
            <w:gridSpan w:val="2"/>
            <w:vMerge w:val="restart"/>
            <w:shd w:val="clear" w:color="auto" w:fill="CCEEFF"/>
          </w:tcPr>
          <w:p>
            <w:pPr>
              <w:jc w:val="right"/>
              <w:ind w:right="77"/>
              <w:spacing w:after="0"/>
              <w:rPr>
                <w:sz w:val="20"/>
                <w:szCs w:val="20"/>
                <w:color w:val="auto"/>
              </w:rPr>
            </w:pPr>
            <w:r>
              <w:rPr>
                <w:rFonts w:ascii="Arial" w:cs="Arial" w:eastAsia="Arial" w:hAnsi="Arial"/>
                <w:sz w:val="10"/>
                <w:szCs w:val="10"/>
                <w:color w:val="auto"/>
              </w:rPr>
              <w:t>911</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ind w:right="74"/>
              <w:spacing w:after="0"/>
              <w:rPr>
                <w:sz w:val="20"/>
                <w:szCs w:val="20"/>
                <w:color w:val="auto"/>
              </w:rPr>
            </w:pPr>
            <w:r>
              <w:rPr>
                <w:rFonts w:ascii="Arial" w:cs="Arial" w:eastAsia="Arial" w:hAnsi="Arial"/>
                <w:sz w:val="10"/>
                <w:szCs w:val="10"/>
                <w:color w:val="auto"/>
              </w:rPr>
              <w:t>931</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ind w:right="94"/>
              <w:spacing w:after="0"/>
              <w:rPr>
                <w:sz w:val="20"/>
                <w:szCs w:val="20"/>
                <w:color w:val="auto"/>
              </w:rPr>
            </w:pPr>
            <w:r>
              <w:rPr>
                <w:rFonts w:ascii="Arial" w:cs="Arial" w:eastAsia="Arial" w:hAnsi="Arial"/>
                <w:sz w:val="10"/>
                <w:szCs w:val="10"/>
                <w:color w:val="auto"/>
                <w:w w:val="87"/>
              </w:rPr>
              <w:t>1,683</w:t>
            </w:r>
          </w:p>
        </w:tc>
        <w:tc>
          <w:tcPr>
            <w:tcW w:w="500" w:type="dxa"/>
            <w:vAlign w:val="bottom"/>
            <w:gridSpan w:val="2"/>
            <w:vMerge w:val="restart"/>
            <w:shd w:val="clear" w:color="auto" w:fill="CCEEFF"/>
          </w:tcPr>
          <w:p>
            <w:pPr>
              <w:jc w:val="right"/>
              <w:ind w:right="95"/>
              <w:spacing w:after="0"/>
              <w:rPr>
                <w:sz w:val="20"/>
                <w:szCs w:val="20"/>
                <w:color w:val="auto"/>
              </w:rPr>
            </w:pPr>
            <w:r>
              <w:rPr>
                <w:rFonts w:ascii="Arial" w:cs="Arial" w:eastAsia="Arial" w:hAnsi="Arial"/>
                <w:sz w:val="10"/>
                <w:szCs w:val="10"/>
                <w:color w:val="auto"/>
              </w:rPr>
              <w:t>1,052</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ind w:right="93"/>
              <w:spacing w:after="0"/>
              <w:rPr>
                <w:sz w:val="20"/>
                <w:szCs w:val="20"/>
                <w:color w:val="auto"/>
              </w:rPr>
            </w:pPr>
            <w:r>
              <w:rPr>
                <w:rFonts w:ascii="Arial" w:cs="Arial" w:eastAsia="Arial" w:hAnsi="Arial"/>
                <w:sz w:val="10"/>
                <w:szCs w:val="10"/>
                <w:color w:val="auto"/>
                <w:w w:val="87"/>
              </w:rPr>
              <w:t>1,047</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ind w:right="94"/>
              <w:spacing w:after="0"/>
              <w:rPr>
                <w:sz w:val="20"/>
                <w:szCs w:val="20"/>
                <w:color w:val="auto"/>
              </w:rPr>
            </w:pPr>
            <w:r>
              <w:rPr>
                <w:rFonts w:ascii="Arial" w:cs="Arial" w:eastAsia="Arial" w:hAnsi="Arial"/>
                <w:sz w:val="10"/>
                <w:szCs w:val="10"/>
                <w:color w:val="auto"/>
                <w:w w:val="87"/>
              </w:rPr>
              <w:t>1,063</w:t>
            </w: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140"/>
              <w:spacing w:after="0"/>
              <w:rPr>
                <w:sz w:val="20"/>
                <w:szCs w:val="20"/>
                <w:color w:val="auto"/>
              </w:rPr>
            </w:pPr>
            <w:r>
              <w:rPr>
                <w:rFonts w:ascii="Arial" w:cs="Arial" w:eastAsia="Arial" w:hAnsi="Arial"/>
                <w:sz w:val="10"/>
                <w:szCs w:val="10"/>
                <w:color w:val="auto"/>
                <w:w w:val="96"/>
              </w:rPr>
              <w:t xml:space="preserve">charges </w:t>
            </w:r>
            <w:r>
              <w:rPr>
                <w:rFonts w:ascii="Times New Roman" w:cs="Times New Roman" w:eastAsia="Times New Roman" w:hAnsi="Times New Roman"/>
                <w:sz w:val="10"/>
                <w:szCs w:val="10"/>
                <w:color w:val="B4B4B4"/>
                <w:w w:val="96"/>
              </w:rPr>
              <w:t>.....................</w:t>
            </w:r>
          </w:p>
        </w:tc>
        <w:tc>
          <w:tcPr>
            <w:tcW w:w="460" w:type="dxa"/>
            <w:vAlign w:val="bottom"/>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040" w:type="dxa"/>
            <w:vAlign w:val="bottom"/>
          </w:tcPr>
          <w:p>
            <w:pPr>
              <w:ind w:left="40"/>
              <w:spacing w:after="0"/>
              <w:rPr>
                <w:sz w:val="20"/>
                <w:szCs w:val="20"/>
                <w:color w:val="auto"/>
              </w:rPr>
            </w:pPr>
            <w:r>
              <w:rPr>
                <w:rFonts w:ascii="Arial" w:cs="Arial" w:eastAsia="Arial" w:hAnsi="Arial"/>
                <w:sz w:val="10"/>
                <w:szCs w:val="10"/>
                <w:color w:val="auto"/>
              </w:rPr>
              <w:t>Amortization of</w:t>
            </w:r>
          </w:p>
        </w:tc>
        <w:tc>
          <w:tcPr>
            <w:tcW w:w="460" w:type="dxa"/>
            <w:vAlign w:val="bottom"/>
            <w:vMerge w:val="restart"/>
          </w:tcPr>
          <w:p>
            <w:pPr>
              <w:jc w:val="right"/>
              <w:ind w:right="94"/>
              <w:spacing w:after="0"/>
              <w:rPr>
                <w:sz w:val="20"/>
                <w:szCs w:val="20"/>
                <w:color w:val="auto"/>
              </w:rPr>
            </w:pPr>
            <w:r>
              <w:rPr>
                <w:rFonts w:ascii="Arial" w:cs="Arial" w:eastAsia="Arial" w:hAnsi="Arial"/>
                <w:sz w:val="10"/>
                <w:szCs w:val="10"/>
                <w:color w:val="auto"/>
              </w:rPr>
              <w:t>1,356</w:t>
            </w:r>
          </w:p>
        </w:tc>
        <w:tc>
          <w:tcPr>
            <w:tcW w:w="500" w:type="dxa"/>
            <w:vAlign w:val="bottom"/>
            <w:gridSpan w:val="2"/>
            <w:vMerge w:val="restart"/>
          </w:tcPr>
          <w:p>
            <w:pPr>
              <w:jc w:val="right"/>
              <w:ind w:right="95"/>
              <w:spacing w:after="0"/>
              <w:rPr>
                <w:sz w:val="20"/>
                <w:szCs w:val="20"/>
                <w:color w:val="auto"/>
              </w:rPr>
            </w:pPr>
            <w:r>
              <w:rPr>
                <w:rFonts w:ascii="Arial" w:cs="Arial" w:eastAsia="Arial" w:hAnsi="Arial"/>
                <w:sz w:val="10"/>
                <w:szCs w:val="10"/>
                <w:color w:val="auto"/>
              </w:rPr>
              <w:t>43</w:t>
            </w:r>
          </w:p>
        </w:tc>
        <w:tc>
          <w:tcPr>
            <w:tcW w:w="480" w:type="dxa"/>
            <w:vAlign w:val="bottom"/>
            <w:gridSpan w:val="2"/>
            <w:vMerge w:val="restart"/>
          </w:tcPr>
          <w:p>
            <w:pPr>
              <w:jc w:val="right"/>
              <w:ind w:right="75"/>
              <w:spacing w:after="0"/>
              <w:rPr>
                <w:sz w:val="20"/>
                <w:szCs w:val="20"/>
                <w:color w:val="auto"/>
              </w:rPr>
            </w:pPr>
            <w:r>
              <w:rPr>
                <w:rFonts w:ascii="Arial" w:cs="Arial" w:eastAsia="Arial" w:hAnsi="Arial"/>
                <w:sz w:val="10"/>
                <w:szCs w:val="10"/>
                <w:color w:val="auto"/>
              </w:rPr>
              <w:t>64</w:t>
            </w:r>
          </w:p>
        </w:tc>
        <w:tc>
          <w:tcPr>
            <w:tcW w:w="500" w:type="dxa"/>
            <w:vAlign w:val="bottom"/>
            <w:gridSpan w:val="2"/>
            <w:vMerge w:val="restart"/>
          </w:tcPr>
          <w:p>
            <w:pPr>
              <w:jc w:val="right"/>
              <w:ind w:right="75"/>
              <w:spacing w:after="0"/>
              <w:rPr>
                <w:sz w:val="20"/>
                <w:szCs w:val="20"/>
                <w:color w:val="auto"/>
              </w:rPr>
            </w:pPr>
            <w:r>
              <w:rPr>
                <w:rFonts w:ascii="Arial" w:cs="Arial" w:eastAsia="Arial" w:hAnsi="Arial"/>
                <w:sz w:val="10"/>
                <w:szCs w:val="10"/>
                <w:color w:val="auto"/>
              </w:rPr>
              <w:t>63</w:t>
            </w:r>
          </w:p>
        </w:tc>
        <w:tc>
          <w:tcPr>
            <w:tcW w:w="500" w:type="dxa"/>
            <w:vAlign w:val="bottom"/>
            <w:gridSpan w:val="2"/>
            <w:vMerge w:val="restart"/>
          </w:tcPr>
          <w:p>
            <w:pPr>
              <w:jc w:val="right"/>
              <w:ind w:right="77"/>
              <w:spacing w:after="0"/>
              <w:rPr>
                <w:sz w:val="20"/>
                <w:szCs w:val="20"/>
                <w:color w:val="auto"/>
              </w:rPr>
            </w:pPr>
            <w:r>
              <w:rPr>
                <w:rFonts w:ascii="Arial" w:cs="Arial" w:eastAsia="Arial" w:hAnsi="Arial"/>
                <w:sz w:val="10"/>
                <w:szCs w:val="10"/>
                <w:color w:val="auto"/>
              </w:rPr>
              <w:t>64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jc w:val="right"/>
              <w:ind w:right="94"/>
              <w:spacing w:after="0"/>
              <w:rPr>
                <w:sz w:val="20"/>
                <w:szCs w:val="20"/>
                <w:color w:val="auto"/>
              </w:rPr>
            </w:pPr>
            <w:r>
              <w:rPr>
                <w:rFonts w:ascii="Arial" w:cs="Arial" w:eastAsia="Arial" w:hAnsi="Arial"/>
                <w:sz w:val="10"/>
                <w:szCs w:val="10"/>
                <w:color w:val="auto"/>
              </w:rPr>
              <w:t>64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jc w:val="right"/>
              <w:ind w:right="94"/>
              <w:spacing w:after="0"/>
              <w:rPr>
                <w:sz w:val="20"/>
                <w:szCs w:val="20"/>
                <w:color w:val="auto"/>
              </w:rPr>
            </w:pPr>
            <w:r>
              <w:rPr>
                <w:rFonts w:ascii="Arial" w:cs="Arial" w:eastAsia="Arial" w:hAnsi="Arial"/>
                <w:sz w:val="10"/>
                <w:szCs w:val="10"/>
                <w:color w:val="auto"/>
              </w:rPr>
              <w:t>64</w:t>
            </w:r>
          </w:p>
        </w:tc>
        <w:tc>
          <w:tcPr>
            <w:tcW w:w="500" w:type="dxa"/>
            <w:vAlign w:val="bottom"/>
            <w:gridSpan w:val="2"/>
            <w:vMerge w:val="restart"/>
          </w:tcPr>
          <w:p>
            <w:pPr>
              <w:jc w:val="right"/>
              <w:ind w:right="95"/>
              <w:spacing w:after="0"/>
              <w:rPr>
                <w:sz w:val="20"/>
                <w:szCs w:val="20"/>
                <w:color w:val="auto"/>
              </w:rPr>
            </w:pPr>
            <w:r>
              <w:rPr>
                <w:rFonts w:ascii="Arial" w:cs="Arial" w:eastAsia="Arial" w:hAnsi="Arial"/>
                <w:sz w:val="10"/>
                <w:szCs w:val="10"/>
                <w:color w:val="auto"/>
              </w:rPr>
              <w:t>64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jc w:val="right"/>
              <w:ind w:right="93"/>
              <w:spacing w:after="0"/>
              <w:rPr>
                <w:sz w:val="20"/>
                <w:szCs w:val="20"/>
                <w:color w:val="auto"/>
              </w:rPr>
            </w:pPr>
            <w:r>
              <w:rPr>
                <w:rFonts w:ascii="Arial" w:cs="Arial" w:eastAsia="Arial" w:hAnsi="Arial"/>
                <w:sz w:val="10"/>
                <w:szCs w:val="10"/>
                <w:color w:val="auto"/>
              </w:rPr>
              <w:t>63</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jc w:val="right"/>
              <w:ind w:right="94"/>
              <w:spacing w:after="0"/>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134"/>
        </w:trPr>
        <w:tc>
          <w:tcPr>
            <w:tcW w:w="1040" w:type="dxa"/>
            <w:vAlign w:val="bottom"/>
          </w:tcPr>
          <w:p>
            <w:pPr>
              <w:ind w:left="140"/>
              <w:spacing w:after="0"/>
              <w:rPr>
                <w:sz w:val="20"/>
                <w:szCs w:val="20"/>
                <w:color w:val="auto"/>
              </w:rPr>
            </w:pPr>
            <w:r>
              <w:rPr>
                <w:rFonts w:ascii="Arial" w:cs="Arial" w:eastAsia="Arial" w:hAnsi="Arial"/>
                <w:sz w:val="10"/>
                <w:szCs w:val="10"/>
                <w:color w:val="auto"/>
                <w:w w:val="97"/>
              </w:rPr>
              <w:t xml:space="preserve">intangible assets </w:t>
            </w:r>
            <w:r>
              <w:rPr>
                <w:rFonts w:ascii="Times New Roman" w:cs="Times New Roman" w:eastAsia="Times New Roman" w:hAnsi="Times New Roman"/>
                <w:sz w:val="10"/>
                <w:szCs w:val="10"/>
                <w:color w:val="B4B4B4"/>
                <w:w w:val="97"/>
              </w:rPr>
              <w:t>.....</w:t>
            </w:r>
          </w:p>
        </w:tc>
        <w:tc>
          <w:tcPr>
            <w:tcW w:w="460" w:type="dxa"/>
            <w:vAlign w:val="bottom"/>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040" w:type="dxa"/>
            <w:vAlign w:val="bottom"/>
            <w:shd w:val="clear" w:color="auto" w:fill="CCEEFF"/>
          </w:tcPr>
          <w:p>
            <w:pPr>
              <w:ind w:left="40"/>
              <w:spacing w:after="0"/>
              <w:rPr>
                <w:sz w:val="20"/>
                <w:szCs w:val="20"/>
                <w:color w:val="auto"/>
              </w:rPr>
            </w:pPr>
            <w:r>
              <w:rPr>
                <w:rFonts w:ascii="Arial" w:cs="Arial" w:eastAsia="Arial" w:hAnsi="Arial"/>
                <w:sz w:val="10"/>
                <w:szCs w:val="10"/>
                <w:color w:val="auto"/>
              </w:rPr>
              <w:t>Restructuring and</w:t>
            </w:r>
          </w:p>
        </w:tc>
        <w:tc>
          <w:tcPr>
            <w:tcW w:w="460" w:type="dxa"/>
            <w:vAlign w:val="bottom"/>
            <w:vMerge w:val="restart"/>
            <w:shd w:val="clear" w:color="auto" w:fill="CCEEFF"/>
          </w:tcPr>
          <w:p>
            <w:pPr>
              <w:jc w:val="right"/>
              <w:ind w:right="94"/>
              <w:spacing w:after="0"/>
              <w:rPr>
                <w:sz w:val="20"/>
                <w:szCs w:val="20"/>
                <w:color w:val="auto"/>
              </w:rPr>
            </w:pPr>
            <w:r>
              <w:rPr>
                <w:rFonts w:ascii="Arial" w:cs="Arial" w:eastAsia="Arial" w:hAnsi="Arial"/>
                <w:sz w:val="10"/>
                <w:szCs w:val="10"/>
                <w:color w:val="auto"/>
              </w:rPr>
              <w:t>3,203</w:t>
            </w:r>
          </w:p>
        </w:tc>
        <w:tc>
          <w:tcPr>
            <w:tcW w:w="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ind w:right="95"/>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ind w:right="75"/>
              <w:spacing w:after="0"/>
              <w:rPr>
                <w:sz w:val="20"/>
                <w:szCs w:val="20"/>
                <w:color w:val="auto"/>
              </w:rPr>
            </w:pPr>
            <w:r>
              <w:rPr>
                <w:rFonts w:ascii="Arial" w:cs="Arial" w:eastAsia="Arial" w:hAnsi="Arial"/>
                <w:sz w:val="10"/>
                <w:szCs w:val="10"/>
                <w:color w:val="auto"/>
              </w:rPr>
              <w:t>—</w:t>
            </w:r>
          </w:p>
        </w:tc>
        <w:tc>
          <w:tcPr>
            <w:tcW w:w="40" w:type="dxa"/>
            <w:vAlign w:val="bottom"/>
            <w:vMerge w:val="restart"/>
            <w:shd w:val="clear" w:color="auto" w:fill="CCEEFF"/>
          </w:tcPr>
          <w:p>
            <w:pPr>
              <w:spacing w:after="0"/>
              <w:rPr>
                <w:sz w:val="10"/>
                <w:szCs w:val="10"/>
                <w:color w:val="auto"/>
              </w:rPr>
            </w:pPr>
          </w:p>
        </w:tc>
        <w:tc>
          <w:tcPr>
            <w:tcW w:w="460" w:type="dxa"/>
            <w:vAlign w:val="bottom"/>
            <w:vMerge w:val="restart"/>
            <w:shd w:val="clear" w:color="auto" w:fill="CCEEFF"/>
          </w:tcPr>
          <w:p>
            <w:pPr>
              <w:jc w:val="right"/>
              <w:ind w:right="75"/>
              <w:spacing w:after="0"/>
              <w:rPr>
                <w:sz w:val="20"/>
                <w:szCs w:val="20"/>
                <w:color w:val="auto"/>
              </w:rPr>
            </w:pPr>
            <w:r>
              <w:rPr>
                <w:rFonts w:ascii="Arial" w:cs="Arial" w:eastAsia="Arial" w:hAnsi="Arial"/>
                <w:sz w:val="10"/>
                <w:szCs w:val="10"/>
                <w:color w:val="auto"/>
              </w:rPr>
              <w:t>115</w:t>
            </w:r>
          </w:p>
        </w:tc>
        <w:tc>
          <w:tcPr>
            <w:tcW w:w="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ind w:right="77"/>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94"/>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94"/>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ind w:right="95"/>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93"/>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94"/>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140"/>
              <w:spacing w:after="0"/>
              <w:rPr>
                <w:sz w:val="20"/>
                <w:szCs w:val="20"/>
                <w:color w:val="auto"/>
              </w:rPr>
            </w:pPr>
            <w:r>
              <w:rPr>
                <w:rFonts w:ascii="Arial" w:cs="Arial" w:eastAsia="Arial" w:hAnsi="Arial"/>
                <w:sz w:val="10"/>
                <w:szCs w:val="10"/>
                <w:color w:val="auto"/>
                <w:w w:val="97"/>
              </w:rPr>
              <w:t xml:space="preserve">facility exit costs </w:t>
            </w:r>
            <w:r>
              <w:rPr>
                <w:rFonts w:ascii="Times New Roman" w:cs="Times New Roman" w:eastAsia="Times New Roman" w:hAnsi="Times New Roman"/>
                <w:sz w:val="10"/>
                <w:szCs w:val="10"/>
                <w:color w:val="B4B4B4"/>
                <w:w w:val="97"/>
              </w:rPr>
              <w:t>......</w:t>
            </w: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040" w:type="dxa"/>
            <w:vAlign w:val="bottom"/>
          </w:tcPr>
          <w:p>
            <w:pPr>
              <w:ind w:left="40"/>
              <w:spacing w:after="0" w:line="95" w:lineRule="exact"/>
              <w:rPr>
                <w:sz w:val="20"/>
                <w:szCs w:val="20"/>
                <w:color w:val="auto"/>
              </w:rPr>
            </w:pPr>
            <w:r>
              <w:rPr>
                <w:rFonts w:ascii="Arial" w:cs="Arial" w:eastAsia="Arial" w:hAnsi="Arial"/>
                <w:sz w:val="10"/>
                <w:szCs w:val="10"/>
                <w:color w:val="auto"/>
              </w:rPr>
              <w:t>Non-GAAP gross</w:t>
            </w:r>
          </w:p>
        </w:tc>
        <w:tc>
          <w:tcPr>
            <w:tcW w:w="460" w:type="dxa"/>
            <w:vAlign w:val="bottom"/>
            <w:vMerge w:val="restart"/>
          </w:tcPr>
          <w:p>
            <w:pPr>
              <w:jc w:val="right"/>
              <w:ind w:right="34"/>
              <w:spacing w:after="0"/>
              <w:rPr>
                <w:sz w:val="20"/>
                <w:szCs w:val="20"/>
                <w:color w:val="auto"/>
              </w:rPr>
            </w:pPr>
            <w:r>
              <w:rPr>
                <w:rFonts w:ascii="Arial" w:cs="Arial" w:eastAsia="Arial" w:hAnsi="Arial"/>
                <w:sz w:val="10"/>
                <w:szCs w:val="10"/>
                <w:color w:val="auto"/>
                <w:w w:val="99"/>
              </w:rPr>
              <w:t>$58,581</w:t>
            </w:r>
          </w:p>
        </w:tc>
        <w:tc>
          <w:tcPr>
            <w:tcW w:w="40" w:type="dxa"/>
            <w:vAlign w:val="bottom"/>
            <w:vMerge w:val="restart"/>
          </w:tcPr>
          <w:p>
            <w:pPr>
              <w:spacing w:after="0"/>
              <w:rPr>
                <w:sz w:val="8"/>
                <w:szCs w:val="8"/>
                <w:color w:val="auto"/>
              </w:rPr>
            </w:pPr>
          </w:p>
        </w:tc>
        <w:tc>
          <w:tcPr>
            <w:tcW w:w="460" w:type="dxa"/>
            <w:vAlign w:val="bottom"/>
            <w:vMerge w:val="restart"/>
          </w:tcPr>
          <w:p>
            <w:pPr>
              <w:jc w:val="right"/>
              <w:ind w:right="35"/>
              <w:spacing w:after="0"/>
              <w:rPr>
                <w:sz w:val="20"/>
                <w:szCs w:val="20"/>
                <w:color w:val="auto"/>
              </w:rPr>
            </w:pPr>
            <w:r>
              <w:rPr>
                <w:rFonts w:ascii="Arial" w:cs="Arial" w:eastAsia="Arial" w:hAnsi="Arial"/>
                <w:sz w:val="10"/>
                <w:szCs w:val="10"/>
                <w:color w:val="auto"/>
                <w:w w:val="99"/>
              </w:rPr>
              <w:t>$61,015</w:t>
            </w:r>
          </w:p>
        </w:tc>
        <w:tc>
          <w:tcPr>
            <w:tcW w:w="40" w:type="dxa"/>
            <w:vAlign w:val="bottom"/>
            <w:vMerge w:val="restart"/>
          </w:tcPr>
          <w:p>
            <w:pPr>
              <w:spacing w:after="0"/>
              <w:rPr>
                <w:sz w:val="8"/>
                <w:szCs w:val="8"/>
                <w:color w:val="auto"/>
              </w:rPr>
            </w:pPr>
          </w:p>
        </w:tc>
        <w:tc>
          <w:tcPr>
            <w:tcW w:w="440" w:type="dxa"/>
            <w:vAlign w:val="bottom"/>
            <w:vMerge w:val="restart"/>
          </w:tcPr>
          <w:p>
            <w:pPr>
              <w:jc w:val="right"/>
              <w:ind w:right="35"/>
              <w:spacing w:after="0"/>
              <w:rPr>
                <w:sz w:val="20"/>
                <w:szCs w:val="20"/>
                <w:color w:val="auto"/>
              </w:rPr>
            </w:pPr>
            <w:r>
              <w:rPr>
                <w:rFonts w:ascii="Arial" w:cs="Arial" w:eastAsia="Arial" w:hAnsi="Arial"/>
                <w:sz w:val="10"/>
                <w:szCs w:val="10"/>
                <w:color w:val="auto"/>
                <w:w w:val="93"/>
              </w:rPr>
              <w:t>$70,583</w:t>
            </w:r>
          </w:p>
        </w:tc>
        <w:tc>
          <w:tcPr>
            <w:tcW w:w="40" w:type="dxa"/>
            <w:vAlign w:val="bottom"/>
            <w:vMerge w:val="restart"/>
          </w:tcPr>
          <w:p>
            <w:pPr>
              <w:spacing w:after="0"/>
              <w:rPr>
                <w:sz w:val="8"/>
                <w:szCs w:val="8"/>
                <w:color w:val="auto"/>
              </w:rPr>
            </w:pPr>
          </w:p>
        </w:tc>
        <w:tc>
          <w:tcPr>
            <w:tcW w:w="460" w:type="dxa"/>
            <w:vAlign w:val="bottom"/>
            <w:vMerge w:val="restart"/>
          </w:tcPr>
          <w:p>
            <w:pPr>
              <w:jc w:val="right"/>
              <w:ind w:right="35"/>
              <w:spacing w:after="0"/>
              <w:rPr>
                <w:sz w:val="20"/>
                <w:szCs w:val="20"/>
                <w:color w:val="auto"/>
              </w:rPr>
            </w:pPr>
            <w:r>
              <w:rPr>
                <w:rFonts w:ascii="Arial" w:cs="Arial" w:eastAsia="Arial" w:hAnsi="Arial"/>
                <w:sz w:val="10"/>
                <w:szCs w:val="10"/>
                <w:color w:val="auto"/>
                <w:w w:val="99"/>
              </w:rPr>
              <w:t>$59,050</w:t>
            </w:r>
          </w:p>
        </w:tc>
        <w:tc>
          <w:tcPr>
            <w:tcW w:w="40" w:type="dxa"/>
            <w:vAlign w:val="bottom"/>
            <w:vMerge w:val="restart"/>
          </w:tcPr>
          <w:p>
            <w:pPr>
              <w:spacing w:after="0"/>
              <w:rPr>
                <w:sz w:val="8"/>
                <w:szCs w:val="8"/>
                <w:color w:val="auto"/>
              </w:rPr>
            </w:pPr>
          </w:p>
        </w:tc>
        <w:tc>
          <w:tcPr>
            <w:tcW w:w="460" w:type="dxa"/>
            <w:vAlign w:val="bottom"/>
            <w:vMerge w:val="restart"/>
          </w:tcPr>
          <w:p>
            <w:pPr>
              <w:jc w:val="right"/>
              <w:ind w:right="37"/>
              <w:spacing w:after="0"/>
              <w:rPr>
                <w:sz w:val="20"/>
                <w:szCs w:val="20"/>
                <w:color w:val="auto"/>
              </w:rPr>
            </w:pPr>
            <w:r>
              <w:rPr>
                <w:rFonts w:ascii="Arial" w:cs="Arial" w:eastAsia="Arial" w:hAnsi="Arial"/>
                <w:sz w:val="10"/>
                <w:szCs w:val="10"/>
                <w:color w:val="auto"/>
                <w:w w:val="99"/>
              </w:rPr>
              <w:t>$80,755</w:t>
            </w:r>
          </w:p>
        </w:tc>
        <w:tc>
          <w:tcPr>
            <w:tcW w:w="40" w:type="dxa"/>
            <w:vAlign w:val="bottom"/>
            <w:vMerge w:val="restart"/>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380" w:type="dxa"/>
            <w:vAlign w:val="bottom"/>
            <w:vMerge w:val="restart"/>
          </w:tcPr>
          <w:p>
            <w:pPr>
              <w:jc w:val="center"/>
              <w:ind w:right="34"/>
              <w:spacing w:after="0"/>
              <w:rPr>
                <w:sz w:val="20"/>
                <w:szCs w:val="20"/>
                <w:color w:val="auto"/>
              </w:rPr>
            </w:pPr>
            <w:r>
              <w:rPr>
                <w:rFonts w:ascii="Arial" w:cs="Arial" w:eastAsia="Arial" w:hAnsi="Arial"/>
                <w:sz w:val="10"/>
                <w:szCs w:val="10"/>
                <w:color w:val="auto"/>
                <w:w w:val="97"/>
              </w:rPr>
              <w:t>92,397</w:t>
            </w:r>
          </w:p>
        </w:tc>
        <w:tc>
          <w:tcPr>
            <w:tcW w:w="40" w:type="dxa"/>
            <w:vAlign w:val="bottom"/>
            <w:vMerge w:val="restart"/>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u w:val="single" w:color="auto"/>
                <w:color w:val="auto"/>
              </w:rPr>
              <w:t>$</w:t>
            </w:r>
          </w:p>
        </w:tc>
        <w:tc>
          <w:tcPr>
            <w:tcW w:w="380" w:type="dxa"/>
            <w:vAlign w:val="bottom"/>
            <w:vMerge w:val="restart"/>
          </w:tcPr>
          <w:p>
            <w:pPr>
              <w:jc w:val="right"/>
              <w:spacing w:after="0"/>
              <w:rPr>
                <w:sz w:val="20"/>
                <w:szCs w:val="20"/>
                <w:color w:val="auto"/>
              </w:rPr>
            </w:pPr>
            <w:r>
              <w:rPr>
                <w:rFonts w:ascii="Arial" w:cs="Arial" w:eastAsia="Arial" w:hAnsi="Arial"/>
                <w:sz w:val="10"/>
                <w:szCs w:val="10"/>
                <w:color w:val="auto"/>
                <w:w w:val="93"/>
              </w:rPr>
              <w:t>108,343</w:t>
            </w:r>
          </w:p>
        </w:tc>
        <w:tc>
          <w:tcPr>
            <w:tcW w:w="40" w:type="dxa"/>
            <w:vAlign w:val="bottom"/>
            <w:vMerge w:val="restart"/>
          </w:tcPr>
          <w:p>
            <w:pPr>
              <w:spacing w:after="0"/>
              <w:rPr>
                <w:sz w:val="8"/>
                <w:szCs w:val="8"/>
                <w:color w:val="auto"/>
              </w:rPr>
            </w:pPr>
          </w:p>
        </w:tc>
        <w:tc>
          <w:tcPr>
            <w:tcW w:w="460" w:type="dxa"/>
            <w:vAlign w:val="bottom"/>
            <w:vMerge w:val="restart"/>
          </w:tcPr>
          <w:p>
            <w:pPr>
              <w:jc w:val="right"/>
              <w:ind w:right="35"/>
              <w:spacing w:after="0"/>
              <w:rPr>
                <w:sz w:val="20"/>
                <w:szCs w:val="20"/>
                <w:color w:val="auto"/>
              </w:rPr>
            </w:pPr>
            <w:r>
              <w:rPr>
                <w:rFonts w:ascii="Arial" w:cs="Arial" w:eastAsia="Arial" w:hAnsi="Arial"/>
                <w:sz w:val="10"/>
                <w:szCs w:val="10"/>
                <w:color w:val="auto"/>
                <w:w w:val="99"/>
              </w:rPr>
              <w:t>$90,360</w:t>
            </w:r>
          </w:p>
        </w:tc>
        <w:tc>
          <w:tcPr>
            <w:tcW w:w="40" w:type="dxa"/>
            <w:vAlign w:val="bottom"/>
            <w:vMerge w:val="restart"/>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u w:val="single" w:color="auto"/>
                <w:color w:val="auto"/>
              </w:rPr>
              <w:t>$</w:t>
            </w:r>
          </w:p>
        </w:tc>
        <w:tc>
          <w:tcPr>
            <w:tcW w:w="380" w:type="dxa"/>
            <w:vAlign w:val="bottom"/>
            <w:vMerge w:val="restart"/>
          </w:tcPr>
          <w:p>
            <w:pPr>
              <w:spacing w:after="0"/>
              <w:rPr>
                <w:sz w:val="20"/>
                <w:szCs w:val="20"/>
                <w:color w:val="auto"/>
              </w:rPr>
            </w:pPr>
            <w:r>
              <w:rPr>
                <w:rFonts w:ascii="Arial" w:cs="Arial" w:eastAsia="Arial" w:hAnsi="Arial"/>
                <w:sz w:val="10"/>
                <w:szCs w:val="10"/>
                <w:color w:val="auto"/>
                <w:w w:val="99"/>
              </w:rPr>
              <w:t>112,903</w:t>
            </w:r>
          </w:p>
        </w:tc>
        <w:tc>
          <w:tcPr>
            <w:tcW w:w="40" w:type="dxa"/>
            <w:vAlign w:val="bottom"/>
            <w:vMerge w:val="restart"/>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u w:val="single" w:color="auto"/>
                <w:color w:val="auto"/>
              </w:rPr>
              <w:t>$</w:t>
            </w:r>
          </w:p>
        </w:tc>
        <w:tc>
          <w:tcPr>
            <w:tcW w:w="380" w:type="dxa"/>
            <w:vAlign w:val="bottom"/>
            <w:vMerge w:val="restart"/>
          </w:tcPr>
          <w:p>
            <w:pPr>
              <w:spacing w:after="0"/>
              <w:rPr>
                <w:sz w:val="20"/>
                <w:szCs w:val="20"/>
                <w:color w:val="auto"/>
              </w:rPr>
            </w:pPr>
            <w:r>
              <w:rPr>
                <w:rFonts w:ascii="Arial" w:cs="Arial" w:eastAsia="Arial" w:hAnsi="Arial"/>
                <w:sz w:val="10"/>
                <w:szCs w:val="10"/>
                <w:color w:val="auto"/>
                <w:w w:val="99"/>
              </w:rPr>
              <w:t>126,122</w:t>
            </w:r>
          </w:p>
        </w:tc>
        <w:tc>
          <w:tcPr>
            <w:tcW w:w="0" w:type="dxa"/>
            <w:vAlign w:val="bottom"/>
          </w:tcPr>
          <w:p>
            <w:pPr>
              <w:spacing w:after="0"/>
              <w:rPr>
                <w:sz w:val="1"/>
                <w:szCs w:val="1"/>
                <w:color w:val="auto"/>
              </w:rPr>
            </w:pPr>
          </w:p>
        </w:tc>
      </w:tr>
      <w:tr>
        <w:trPr>
          <w:trHeight w:val="142"/>
        </w:trPr>
        <w:tc>
          <w:tcPr>
            <w:tcW w:w="104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w w:val="97"/>
              </w:rPr>
              <w:t xml:space="preserve">profit </w:t>
            </w:r>
            <w:r>
              <w:rPr>
                <w:rFonts w:ascii="Times New Roman" w:cs="Times New Roman" w:eastAsia="Times New Roman" w:hAnsi="Times New Roman"/>
                <w:sz w:val="10"/>
                <w:szCs w:val="10"/>
                <w:color w:val="B4B4B4"/>
                <w:w w:val="97"/>
              </w:rPr>
              <w:t>..........................</w:t>
            </w:r>
          </w:p>
        </w:tc>
        <w:tc>
          <w:tcPr>
            <w:tcW w:w="46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040" w:type="dxa"/>
            <w:vAlign w:val="bottom"/>
            <w:shd w:val="clear" w:color="auto" w:fill="CCEEFF"/>
          </w:tcPr>
          <w:p>
            <w:pPr>
              <w:ind w:left="40"/>
              <w:spacing w:after="0" w:line="96" w:lineRule="exact"/>
              <w:rPr>
                <w:sz w:val="20"/>
                <w:szCs w:val="20"/>
                <w:color w:val="auto"/>
              </w:rPr>
            </w:pPr>
            <w:r>
              <w:rPr>
                <w:rFonts w:ascii="Arial" w:cs="Arial" w:eastAsia="Arial" w:hAnsi="Arial"/>
                <w:sz w:val="10"/>
                <w:szCs w:val="10"/>
                <w:color w:val="auto"/>
              </w:rPr>
              <w:t>Non-GAAP gross</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62 %</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61 %</w:t>
            </w: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64 %</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60 %</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67 %</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70 %</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72 %</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68 %</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72 %</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73 %</w:t>
            </w: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140"/>
              <w:spacing w:after="0"/>
              <w:rPr>
                <w:sz w:val="20"/>
                <w:szCs w:val="20"/>
                <w:color w:val="auto"/>
              </w:rPr>
            </w:pPr>
            <w:r>
              <w:rPr>
                <w:rFonts w:ascii="Arial" w:cs="Arial" w:eastAsia="Arial" w:hAnsi="Arial"/>
                <w:sz w:val="10"/>
                <w:szCs w:val="10"/>
                <w:color w:val="auto"/>
                <w:w w:val="96"/>
              </w:rPr>
              <w:t xml:space="preserve">margin </w:t>
            </w:r>
            <w:r>
              <w:rPr>
                <w:rFonts w:ascii="Times New Roman" w:cs="Times New Roman" w:eastAsia="Times New Roman" w:hAnsi="Times New Roman"/>
                <w:sz w:val="10"/>
                <w:szCs w:val="10"/>
                <w:color w:val="B4B4B4"/>
                <w:w w:val="96"/>
              </w:rPr>
              <w:t>.......................</w:t>
            </w:r>
          </w:p>
        </w:tc>
        <w:tc>
          <w:tcPr>
            <w:tcW w:w="460" w:type="dxa"/>
            <w:vAlign w:val="bottom"/>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2980" w:type="dxa"/>
            <w:vAlign w:val="bottom"/>
            <w:gridSpan w:val="8"/>
          </w:tcPr>
          <w:p>
            <w:pPr>
              <w:ind w:left="240"/>
              <w:spacing w:after="0"/>
              <w:rPr>
                <w:sz w:val="20"/>
                <w:szCs w:val="20"/>
                <w:color w:val="auto"/>
              </w:rPr>
            </w:pPr>
            <w:r>
              <w:rPr>
                <w:rFonts w:ascii="Arial" w:cs="Arial" w:eastAsia="Arial" w:hAnsi="Arial"/>
                <w:sz w:val="12"/>
                <w:szCs w:val="12"/>
                <w:b w:val="1"/>
                <w:bCs w:val="1"/>
                <w:i w:val="1"/>
                <w:iCs w:val="1"/>
                <w:color w:val="auto"/>
              </w:rPr>
              <w:t>Non-GAAP Income (Loss) from Operations</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04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8"/>
                <w:szCs w:val="8"/>
                <w:b w:val="1"/>
                <w:bCs w:val="1"/>
                <w:color w:val="auto"/>
                <w:w w:val="95"/>
              </w:rPr>
              <w:t>Three Months Ended</w:t>
            </w: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0"/>
        </w:trPr>
        <w:tc>
          <w:tcPr>
            <w:tcW w:w="1040" w:type="dxa"/>
            <w:vAlign w:val="bottom"/>
          </w:tcPr>
          <w:p>
            <w:pPr>
              <w:spacing w:after="0"/>
              <w:rPr>
                <w:sz w:val="7"/>
                <w:szCs w:val="7"/>
                <w:color w:val="auto"/>
              </w:rPr>
            </w:pPr>
          </w:p>
        </w:tc>
        <w:tc>
          <w:tcPr>
            <w:tcW w:w="460" w:type="dxa"/>
            <w:vAlign w:val="bottom"/>
            <w:vMerge w:val="restart"/>
          </w:tcPr>
          <w:p>
            <w:pPr>
              <w:jc w:val="right"/>
              <w:ind w:right="34"/>
              <w:spacing w:after="0"/>
              <w:rPr>
                <w:sz w:val="20"/>
                <w:szCs w:val="20"/>
                <w:color w:val="auto"/>
              </w:rPr>
            </w:pPr>
            <w:r>
              <w:rPr>
                <w:rFonts w:ascii="Arial" w:cs="Arial" w:eastAsia="Arial" w:hAnsi="Arial"/>
                <w:sz w:val="8"/>
                <w:szCs w:val="8"/>
                <w:b w:val="1"/>
                <w:bCs w:val="1"/>
                <w:color w:val="auto"/>
              </w:rPr>
              <w:t>April 30,</w:t>
            </w:r>
          </w:p>
        </w:tc>
        <w:tc>
          <w:tcPr>
            <w:tcW w:w="40" w:type="dxa"/>
            <w:vAlign w:val="bottom"/>
          </w:tcPr>
          <w:p>
            <w:pPr>
              <w:spacing w:after="0"/>
              <w:rPr>
                <w:sz w:val="7"/>
                <w:szCs w:val="7"/>
                <w:color w:val="auto"/>
              </w:rPr>
            </w:pPr>
          </w:p>
        </w:tc>
        <w:tc>
          <w:tcPr>
            <w:tcW w:w="46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95"/>
              </w:rPr>
              <w:t>July 31,</w:t>
            </w:r>
          </w:p>
        </w:tc>
        <w:tc>
          <w:tcPr>
            <w:tcW w:w="40" w:type="dxa"/>
            <w:vAlign w:val="bottom"/>
          </w:tcPr>
          <w:p>
            <w:pPr>
              <w:spacing w:after="0"/>
              <w:rPr>
                <w:sz w:val="7"/>
                <w:szCs w:val="7"/>
                <w:color w:val="auto"/>
              </w:rPr>
            </w:pPr>
          </w:p>
        </w:tc>
        <w:tc>
          <w:tcPr>
            <w:tcW w:w="44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7"/>
              </w:rPr>
              <w:t>October</w:t>
            </w:r>
          </w:p>
        </w:tc>
        <w:tc>
          <w:tcPr>
            <w:tcW w:w="40" w:type="dxa"/>
            <w:vAlign w:val="bottom"/>
          </w:tcPr>
          <w:p>
            <w:pPr>
              <w:spacing w:after="0"/>
              <w:rPr>
                <w:sz w:val="7"/>
                <w:szCs w:val="7"/>
                <w:color w:val="auto"/>
              </w:rPr>
            </w:pPr>
          </w:p>
        </w:tc>
        <w:tc>
          <w:tcPr>
            <w:tcW w:w="46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7"/>
              </w:rPr>
              <w:t>January</w:t>
            </w:r>
          </w:p>
        </w:tc>
        <w:tc>
          <w:tcPr>
            <w:tcW w:w="40" w:type="dxa"/>
            <w:vAlign w:val="bottom"/>
          </w:tcPr>
          <w:p>
            <w:pPr>
              <w:spacing w:after="0"/>
              <w:rPr>
                <w:sz w:val="7"/>
                <w:szCs w:val="7"/>
                <w:color w:val="auto"/>
              </w:rPr>
            </w:pPr>
          </w:p>
        </w:tc>
        <w:tc>
          <w:tcPr>
            <w:tcW w:w="460" w:type="dxa"/>
            <w:vAlign w:val="bottom"/>
            <w:vMerge w:val="restart"/>
          </w:tcPr>
          <w:p>
            <w:pPr>
              <w:jc w:val="right"/>
              <w:ind w:right="37"/>
              <w:spacing w:after="0"/>
              <w:rPr>
                <w:sz w:val="20"/>
                <w:szCs w:val="20"/>
                <w:color w:val="auto"/>
              </w:rPr>
            </w:pPr>
            <w:r>
              <w:rPr>
                <w:rFonts w:ascii="Arial" w:cs="Arial" w:eastAsia="Arial" w:hAnsi="Arial"/>
                <w:sz w:val="8"/>
                <w:szCs w:val="8"/>
                <w:b w:val="1"/>
                <w:bCs w:val="1"/>
                <w:color w:val="auto"/>
              </w:rPr>
              <w:t>April 30,</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vMerge w:val="restart"/>
          </w:tcPr>
          <w:p>
            <w:pPr>
              <w:jc w:val="center"/>
              <w:ind w:right="54"/>
              <w:spacing w:after="0"/>
              <w:rPr>
                <w:sz w:val="20"/>
                <w:szCs w:val="20"/>
                <w:color w:val="auto"/>
              </w:rPr>
            </w:pPr>
            <w:r>
              <w:rPr>
                <w:rFonts w:ascii="Arial" w:cs="Arial" w:eastAsia="Arial" w:hAnsi="Arial"/>
                <w:sz w:val="8"/>
                <w:szCs w:val="8"/>
                <w:b w:val="1"/>
                <w:bCs w:val="1"/>
                <w:color w:val="auto"/>
                <w:w w:val="95"/>
              </w:rPr>
              <w:t>July 31,</w:t>
            </w:r>
          </w:p>
        </w:tc>
        <w:tc>
          <w:tcPr>
            <w:tcW w:w="40" w:type="dxa"/>
            <w:vAlign w:val="bottom"/>
          </w:tcPr>
          <w:p>
            <w:pPr>
              <w:spacing w:after="0"/>
              <w:rPr>
                <w:sz w:val="7"/>
                <w:szCs w:val="7"/>
                <w:color w:val="auto"/>
              </w:rPr>
            </w:pPr>
          </w:p>
        </w:tc>
        <w:tc>
          <w:tcPr>
            <w:tcW w:w="460" w:type="dxa"/>
            <w:vAlign w:val="bottom"/>
            <w:gridSpan w:val="2"/>
          </w:tcPr>
          <w:p>
            <w:pPr>
              <w:jc w:val="center"/>
              <w:spacing w:after="0" w:line="91" w:lineRule="exact"/>
              <w:rPr>
                <w:sz w:val="20"/>
                <w:szCs w:val="20"/>
                <w:color w:val="auto"/>
              </w:rPr>
            </w:pPr>
            <w:r>
              <w:rPr>
                <w:rFonts w:ascii="Arial" w:cs="Arial" w:eastAsia="Arial" w:hAnsi="Arial"/>
                <w:sz w:val="8"/>
                <w:szCs w:val="8"/>
                <w:b w:val="1"/>
                <w:bCs w:val="1"/>
                <w:color w:val="auto"/>
                <w:w w:val="97"/>
              </w:rPr>
              <w:t>October</w:t>
            </w:r>
          </w:p>
        </w:tc>
        <w:tc>
          <w:tcPr>
            <w:tcW w:w="40" w:type="dxa"/>
            <w:vAlign w:val="bottom"/>
          </w:tcPr>
          <w:p>
            <w:pPr>
              <w:spacing w:after="0"/>
              <w:rPr>
                <w:sz w:val="7"/>
                <w:szCs w:val="7"/>
                <w:color w:val="auto"/>
              </w:rPr>
            </w:pPr>
          </w:p>
        </w:tc>
        <w:tc>
          <w:tcPr>
            <w:tcW w:w="46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1"/>
              </w:rPr>
              <w:t>January</w:t>
            </w:r>
          </w:p>
        </w:tc>
        <w:tc>
          <w:tcPr>
            <w:tcW w:w="40" w:type="dxa"/>
            <w:vAlign w:val="bottom"/>
          </w:tcPr>
          <w:p>
            <w:pPr>
              <w:spacing w:after="0"/>
              <w:rPr>
                <w:sz w:val="7"/>
                <w:szCs w:val="7"/>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April 30,</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vMerge w:val="restart"/>
          </w:tcPr>
          <w:p>
            <w:pPr>
              <w:spacing w:after="0"/>
              <w:rPr>
                <w:sz w:val="20"/>
                <w:szCs w:val="20"/>
                <w:color w:val="auto"/>
              </w:rPr>
            </w:pPr>
            <w:r>
              <w:rPr>
                <w:rFonts w:ascii="Arial" w:cs="Arial" w:eastAsia="Arial" w:hAnsi="Arial"/>
                <w:sz w:val="8"/>
                <w:szCs w:val="8"/>
                <w:b w:val="1"/>
                <w:bCs w:val="1"/>
                <w:color w:val="auto"/>
              </w:rPr>
              <w:t>July 31,</w:t>
            </w:r>
          </w:p>
        </w:tc>
        <w:tc>
          <w:tcPr>
            <w:tcW w:w="0" w:type="dxa"/>
            <w:vAlign w:val="bottom"/>
          </w:tcPr>
          <w:p>
            <w:pPr>
              <w:spacing w:after="0"/>
              <w:rPr>
                <w:sz w:val="1"/>
                <w:szCs w:val="1"/>
                <w:color w:val="auto"/>
              </w:rPr>
            </w:pPr>
          </w:p>
        </w:tc>
      </w:tr>
      <w:tr>
        <w:trPr>
          <w:trHeight w:val="105"/>
        </w:trPr>
        <w:tc>
          <w:tcPr>
            <w:tcW w:w="10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80" w:type="dxa"/>
            <w:vAlign w:val="bottom"/>
            <w:gridSpan w:val="2"/>
          </w:tcPr>
          <w:p>
            <w:pPr>
              <w:jc w:val="center"/>
              <w:spacing w:after="0"/>
              <w:rPr>
                <w:sz w:val="20"/>
                <w:szCs w:val="20"/>
                <w:color w:val="auto"/>
              </w:rPr>
            </w:pPr>
            <w:r>
              <w:rPr>
                <w:rFonts w:ascii="Arial" w:cs="Arial" w:eastAsia="Arial" w:hAnsi="Arial"/>
                <w:sz w:val="8"/>
                <w:szCs w:val="8"/>
                <w:b w:val="1"/>
                <w:bCs w:val="1"/>
                <w:color w:val="auto"/>
                <w:w w:val="89"/>
              </w:rPr>
              <w:t>31,</w:t>
            </w:r>
          </w:p>
        </w:tc>
        <w:tc>
          <w:tcPr>
            <w:tcW w:w="500" w:type="dxa"/>
            <w:vAlign w:val="bottom"/>
            <w:gridSpan w:val="2"/>
          </w:tcPr>
          <w:p>
            <w:pPr>
              <w:jc w:val="center"/>
              <w:spacing w:after="0"/>
              <w:rPr>
                <w:sz w:val="20"/>
                <w:szCs w:val="20"/>
                <w:color w:val="auto"/>
              </w:rPr>
            </w:pPr>
            <w:r>
              <w:rPr>
                <w:rFonts w:ascii="Arial" w:cs="Arial" w:eastAsia="Arial" w:hAnsi="Arial"/>
                <w:sz w:val="8"/>
                <w:szCs w:val="8"/>
                <w:b w:val="1"/>
                <w:bCs w:val="1"/>
                <w:color w:val="auto"/>
                <w:w w:val="89"/>
              </w:rPr>
              <w:t>31,</w:t>
            </w:r>
          </w:p>
        </w:tc>
        <w:tc>
          <w:tcPr>
            <w:tcW w:w="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center"/>
              <w:ind w:right="34"/>
              <w:spacing w:after="0"/>
              <w:rPr>
                <w:sz w:val="20"/>
                <w:szCs w:val="20"/>
                <w:color w:val="auto"/>
              </w:rPr>
            </w:pPr>
            <w:r>
              <w:rPr>
                <w:rFonts w:ascii="Arial" w:cs="Arial" w:eastAsia="Arial" w:hAnsi="Arial"/>
                <w:sz w:val="8"/>
                <w:szCs w:val="8"/>
                <w:b w:val="1"/>
                <w:bCs w:val="1"/>
                <w:color w:val="auto"/>
                <w:w w:val="89"/>
              </w:rPr>
              <w:t>31,</w:t>
            </w:r>
          </w:p>
        </w:tc>
        <w:tc>
          <w:tcPr>
            <w:tcW w:w="500" w:type="dxa"/>
            <w:vAlign w:val="bottom"/>
            <w:gridSpan w:val="2"/>
          </w:tcPr>
          <w:p>
            <w:pPr>
              <w:jc w:val="center"/>
              <w:spacing w:after="0"/>
              <w:rPr>
                <w:sz w:val="20"/>
                <w:szCs w:val="20"/>
                <w:color w:val="auto"/>
              </w:rPr>
            </w:pPr>
            <w:r>
              <w:rPr>
                <w:rFonts w:ascii="Arial" w:cs="Arial" w:eastAsia="Arial" w:hAnsi="Arial"/>
                <w:sz w:val="8"/>
                <w:szCs w:val="8"/>
                <w:b w:val="1"/>
                <w:bCs w:val="1"/>
                <w:color w:val="auto"/>
                <w:w w:val="89"/>
              </w:rPr>
              <w:t>31,</w:t>
            </w:r>
          </w:p>
        </w:tc>
        <w:tc>
          <w:tcPr>
            <w:tcW w:w="4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460" w:type="dxa"/>
            <w:vAlign w:val="bottom"/>
            <w:tcBorders>
              <w:bottom w:val="single" w:sz="8" w:color="auto"/>
            </w:tcBorders>
          </w:tcPr>
          <w:p>
            <w:pPr>
              <w:jc w:val="right"/>
              <w:ind w:right="114"/>
              <w:spacing w:after="0"/>
              <w:rPr>
                <w:sz w:val="20"/>
                <w:szCs w:val="20"/>
                <w:color w:val="auto"/>
              </w:rPr>
            </w:pPr>
            <w:r>
              <w:rPr>
                <w:rFonts w:ascii="Arial" w:cs="Arial" w:eastAsia="Arial" w:hAnsi="Arial"/>
                <w:sz w:val="8"/>
                <w:szCs w:val="8"/>
                <w:b w:val="1"/>
                <w:bCs w:val="1"/>
                <w:color w:val="auto"/>
              </w:rPr>
              <w:t>2023</w:t>
            </w: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w w:val="89"/>
              </w:rPr>
              <w:t>2023</w:t>
            </w: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w w:val="89"/>
              </w:rPr>
              <w:t>2023</w:t>
            </w:r>
          </w:p>
        </w:tc>
        <w:tc>
          <w:tcPr>
            <w:tcW w:w="500" w:type="dxa"/>
            <w:vAlign w:val="bottom"/>
            <w:tcBorders>
              <w:bottom w:val="single" w:sz="8" w:color="auto"/>
            </w:tcBorders>
            <w:gridSpan w:val="2"/>
          </w:tcPr>
          <w:p>
            <w:pPr>
              <w:jc w:val="center"/>
              <w:ind w:left="15"/>
              <w:spacing w:after="0"/>
              <w:rPr>
                <w:sz w:val="20"/>
                <w:szCs w:val="20"/>
                <w:color w:val="auto"/>
              </w:rPr>
            </w:pPr>
            <w:r>
              <w:rPr>
                <w:rFonts w:ascii="Arial" w:cs="Arial" w:eastAsia="Arial" w:hAnsi="Arial"/>
                <w:sz w:val="8"/>
                <w:szCs w:val="8"/>
                <w:b w:val="1"/>
                <w:bCs w:val="1"/>
                <w:color w:val="auto"/>
                <w:w w:val="89"/>
              </w:rPr>
              <w:t>2024</w:t>
            </w:r>
          </w:p>
        </w:tc>
        <w:tc>
          <w:tcPr>
            <w:tcW w:w="50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8"/>
                <w:szCs w:val="8"/>
                <w:b w:val="1"/>
                <w:bCs w:val="1"/>
                <w:color w:val="auto"/>
              </w:rPr>
              <w:t>2024</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ind w:right="34"/>
              <w:spacing w:after="0"/>
              <w:rPr>
                <w:sz w:val="20"/>
                <w:szCs w:val="20"/>
                <w:color w:val="auto"/>
              </w:rPr>
            </w:pPr>
            <w:r>
              <w:rPr>
                <w:rFonts w:ascii="Arial" w:cs="Arial" w:eastAsia="Arial" w:hAnsi="Arial"/>
                <w:sz w:val="8"/>
                <w:szCs w:val="8"/>
                <w:b w:val="1"/>
                <w:bCs w:val="1"/>
                <w:color w:val="auto"/>
              </w:rPr>
              <w:t>2024</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ind w:right="34"/>
              <w:spacing w:after="0"/>
              <w:rPr>
                <w:sz w:val="20"/>
                <w:szCs w:val="20"/>
                <w:color w:val="auto"/>
              </w:rPr>
            </w:pPr>
            <w:r>
              <w:rPr>
                <w:rFonts w:ascii="Arial" w:cs="Arial" w:eastAsia="Arial" w:hAnsi="Arial"/>
                <w:sz w:val="8"/>
                <w:szCs w:val="8"/>
                <w:b w:val="1"/>
                <w:bCs w:val="1"/>
                <w:color w:val="auto"/>
              </w:rPr>
              <w:t>2024</w:t>
            </w: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rPr>
              <w:t>2025</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13"/>
              <w:spacing w:after="0"/>
              <w:rPr>
                <w:sz w:val="20"/>
                <w:szCs w:val="20"/>
                <w:color w:val="auto"/>
              </w:rPr>
            </w:pPr>
            <w:r>
              <w:rPr>
                <w:rFonts w:ascii="Arial" w:cs="Arial" w:eastAsia="Arial" w:hAnsi="Arial"/>
                <w:sz w:val="8"/>
                <w:szCs w:val="8"/>
                <w:b w:val="1"/>
                <w:bCs w:val="1"/>
                <w:color w:val="auto"/>
              </w:rPr>
              <w:t>2025</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14"/>
              <w:spacing w:after="0"/>
              <w:rPr>
                <w:sz w:val="20"/>
                <w:szCs w:val="20"/>
                <w:color w:val="auto"/>
              </w:rPr>
            </w:pPr>
            <w:r>
              <w:rPr>
                <w:rFonts w:ascii="Arial" w:cs="Arial" w:eastAsia="Arial" w:hAnsi="Arial"/>
                <w:sz w:val="8"/>
                <w:szCs w:val="8"/>
                <w:b w:val="1"/>
                <w:bCs w:val="1"/>
                <w:color w:val="auto"/>
              </w:rPr>
              <w:t>2025</w:t>
            </w:r>
          </w:p>
        </w:tc>
        <w:tc>
          <w:tcPr>
            <w:tcW w:w="0" w:type="dxa"/>
            <w:vAlign w:val="bottom"/>
          </w:tcPr>
          <w:p>
            <w:pPr>
              <w:spacing w:after="0"/>
              <w:rPr>
                <w:sz w:val="1"/>
                <w:szCs w:val="1"/>
                <w:color w:val="auto"/>
              </w:rPr>
            </w:pPr>
          </w:p>
        </w:tc>
      </w:tr>
      <w:tr>
        <w:trPr>
          <w:trHeight w:val="124"/>
        </w:trPr>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4"/>
          </w:tcPr>
          <w:p>
            <w:pPr>
              <w:jc w:val="center"/>
              <w:spacing w:after="0"/>
              <w:rPr>
                <w:sz w:val="20"/>
                <w:szCs w:val="20"/>
                <w:color w:val="auto"/>
              </w:rPr>
            </w:pPr>
            <w:r>
              <w:rPr>
                <w:rFonts w:ascii="Arial" w:cs="Arial" w:eastAsia="Arial" w:hAnsi="Arial"/>
                <w:sz w:val="8"/>
                <w:szCs w:val="8"/>
                <w:b w:val="1"/>
                <w:bCs w:val="1"/>
                <w:color w:val="auto"/>
                <w:w w:val="94"/>
              </w:rPr>
              <w:t>(in thousands)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40" w:type="dxa"/>
            <w:vAlign w:val="bottom"/>
            <w:shd w:val="clear" w:color="auto" w:fill="CCEEFF"/>
          </w:tcPr>
          <w:p>
            <w:pPr>
              <w:ind w:left="40"/>
              <w:spacing w:after="0"/>
              <w:rPr>
                <w:sz w:val="20"/>
                <w:szCs w:val="20"/>
                <w:color w:val="auto"/>
              </w:rPr>
            </w:pPr>
            <w:r>
              <w:rPr>
                <w:rFonts w:ascii="Arial" w:cs="Arial" w:eastAsia="Arial" w:hAnsi="Arial"/>
                <w:sz w:val="10"/>
                <w:szCs w:val="10"/>
                <w:color w:val="auto"/>
              </w:rPr>
              <w:t>GAAP loss from</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98"/>
              </w:rPr>
              <w:t>$(51,222)</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$(66,729)</w:t>
            </w: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$(61,417)</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$(66,974)</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$(30,970)</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91"/>
              </w:rPr>
              <w:t>(24,400)</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91"/>
              </w:rPr>
              <w:t>(19,458)</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$(32,810)</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91"/>
              </w:rPr>
              <w:t>(15,894)</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91"/>
              </w:rPr>
              <w:t>(12,257)</w:t>
            </w: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140"/>
              <w:spacing w:after="0"/>
              <w:rPr>
                <w:sz w:val="20"/>
                <w:szCs w:val="20"/>
                <w:color w:val="auto"/>
              </w:rPr>
            </w:pPr>
            <w:r>
              <w:rPr>
                <w:rFonts w:ascii="Arial" w:cs="Arial" w:eastAsia="Arial" w:hAnsi="Arial"/>
                <w:sz w:val="10"/>
                <w:szCs w:val="10"/>
                <w:color w:val="auto"/>
                <w:w w:val="98"/>
              </w:rPr>
              <w:t xml:space="preserve">operations </w:t>
            </w:r>
            <w:r>
              <w:rPr>
                <w:rFonts w:ascii="Times New Roman" w:cs="Times New Roman" w:eastAsia="Times New Roman" w:hAnsi="Times New Roman"/>
                <w:sz w:val="10"/>
                <w:szCs w:val="10"/>
                <w:color w:val="B4B4B4"/>
                <w:w w:val="98"/>
              </w:rPr>
              <w:t>................</w:t>
            </w:r>
          </w:p>
        </w:tc>
        <w:tc>
          <w:tcPr>
            <w:tcW w:w="460" w:type="dxa"/>
            <w:vAlign w:val="bottom"/>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120" w:type="dxa"/>
            <w:vAlign w:val="bottom"/>
            <w:gridSpan w:val="2"/>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20" w:type="dxa"/>
            <w:vAlign w:val="bottom"/>
            <w:gridSpan w:val="2"/>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120" w:type="dxa"/>
            <w:vAlign w:val="bottom"/>
            <w:gridSpan w:val="2"/>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20" w:type="dxa"/>
            <w:vAlign w:val="bottom"/>
            <w:gridSpan w:val="2"/>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040" w:type="dxa"/>
            <w:vAlign w:val="bottom"/>
          </w:tcPr>
          <w:p>
            <w:pPr>
              <w:ind w:left="40"/>
              <w:spacing w:after="0"/>
              <w:rPr>
                <w:sz w:val="20"/>
                <w:szCs w:val="20"/>
                <w:color w:val="auto"/>
              </w:rPr>
            </w:pPr>
            <w:r>
              <w:rPr>
                <w:rFonts w:ascii="Arial" w:cs="Arial" w:eastAsia="Arial" w:hAnsi="Arial"/>
                <w:sz w:val="10"/>
                <w:szCs w:val="10"/>
                <w:color w:val="auto"/>
              </w:rPr>
              <w:t>Stock-based</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040" w:type="dxa"/>
            <w:vAlign w:val="bottom"/>
          </w:tcPr>
          <w:p>
            <w:pPr>
              <w:ind w:left="140"/>
              <w:spacing w:after="0" w:line="96" w:lineRule="exact"/>
              <w:rPr>
                <w:sz w:val="20"/>
                <w:szCs w:val="20"/>
                <w:color w:val="auto"/>
              </w:rPr>
            </w:pPr>
            <w:r>
              <w:rPr>
                <w:rFonts w:ascii="Arial" w:cs="Arial" w:eastAsia="Arial" w:hAnsi="Arial"/>
                <w:sz w:val="10"/>
                <w:szCs w:val="10"/>
                <w:color w:val="auto"/>
              </w:rPr>
              <w:t>compensation</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40" w:type="dxa"/>
            <w:vAlign w:val="bottom"/>
          </w:tcPr>
          <w:p>
            <w:pPr>
              <w:ind w:left="140"/>
              <w:spacing w:after="0" w:line="95" w:lineRule="exact"/>
              <w:rPr>
                <w:sz w:val="20"/>
                <w:szCs w:val="20"/>
                <w:color w:val="auto"/>
              </w:rPr>
            </w:pPr>
            <w:r>
              <w:rPr>
                <w:rFonts w:ascii="Arial" w:cs="Arial" w:eastAsia="Arial" w:hAnsi="Arial"/>
                <w:sz w:val="10"/>
                <w:szCs w:val="10"/>
                <w:color w:val="auto"/>
              </w:rPr>
              <w:t>expense-related</w:t>
            </w: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18,610</w:t>
            </w:r>
          </w:p>
        </w:tc>
        <w:tc>
          <w:tcPr>
            <w:tcW w:w="500" w:type="dxa"/>
            <w:vAlign w:val="bottom"/>
            <w:gridSpan w:val="2"/>
            <w:vMerge w:val="restart"/>
          </w:tcPr>
          <w:p>
            <w:pPr>
              <w:jc w:val="right"/>
              <w:ind w:right="15"/>
              <w:spacing w:after="0"/>
              <w:rPr>
                <w:sz w:val="20"/>
                <w:szCs w:val="20"/>
                <w:color w:val="auto"/>
              </w:rPr>
            </w:pPr>
            <w:r>
              <w:rPr>
                <w:rFonts w:ascii="Arial" w:cs="Arial" w:eastAsia="Arial" w:hAnsi="Arial"/>
                <w:sz w:val="10"/>
                <w:szCs w:val="10"/>
                <w:color w:val="auto"/>
              </w:rPr>
              <w:t>20,993</w:t>
            </w:r>
          </w:p>
        </w:tc>
        <w:tc>
          <w:tcPr>
            <w:tcW w:w="480" w:type="dxa"/>
            <w:vAlign w:val="bottom"/>
            <w:gridSpan w:val="2"/>
            <w:vMerge w:val="restart"/>
          </w:tcPr>
          <w:p>
            <w:pPr>
              <w:jc w:val="right"/>
              <w:spacing w:after="0"/>
              <w:rPr>
                <w:sz w:val="20"/>
                <w:szCs w:val="20"/>
                <w:color w:val="auto"/>
              </w:rPr>
            </w:pPr>
            <w:r>
              <w:rPr>
                <w:rFonts w:ascii="Arial" w:cs="Arial" w:eastAsia="Arial" w:hAnsi="Arial"/>
                <w:sz w:val="10"/>
                <w:szCs w:val="10"/>
                <w:color w:val="auto"/>
              </w:rPr>
              <w:t>19,169</w:t>
            </w: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color w:val="auto"/>
              </w:rPr>
              <w:t>17,079</w:t>
            </w: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color w:val="auto"/>
              </w:rPr>
              <w:t>17,911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color w:val="auto"/>
              </w:rPr>
              <w:t>17,381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color w:val="auto"/>
              </w:rPr>
              <w:t>24,576</w:t>
            </w: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color w:val="auto"/>
              </w:rPr>
              <w:t>17,511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color w:val="auto"/>
              </w:rPr>
              <w:t>17,260</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vMerge w:val="restart"/>
          </w:tcPr>
          <w:p>
            <w:pPr>
              <w:jc w:val="right"/>
              <w:ind w:right="14"/>
              <w:spacing w:after="0"/>
              <w:rPr>
                <w:sz w:val="20"/>
                <w:szCs w:val="20"/>
                <w:color w:val="auto"/>
              </w:rPr>
            </w:pPr>
            <w:r>
              <w:rPr>
                <w:rFonts w:ascii="Arial" w:cs="Arial" w:eastAsia="Arial" w:hAnsi="Arial"/>
                <w:sz w:val="10"/>
                <w:szCs w:val="10"/>
                <w:color w:val="auto"/>
                <w:w w:val="97"/>
              </w:rPr>
              <w:t>19,337</w:t>
            </w:r>
          </w:p>
        </w:tc>
        <w:tc>
          <w:tcPr>
            <w:tcW w:w="0" w:type="dxa"/>
            <w:vAlign w:val="bottom"/>
          </w:tcPr>
          <w:p>
            <w:pPr>
              <w:spacing w:after="0"/>
              <w:rPr>
                <w:sz w:val="1"/>
                <w:szCs w:val="1"/>
                <w:color w:val="auto"/>
              </w:rPr>
            </w:pPr>
          </w:p>
        </w:tc>
      </w:tr>
      <w:tr>
        <w:trPr>
          <w:trHeight w:val="134"/>
        </w:trPr>
        <w:tc>
          <w:tcPr>
            <w:tcW w:w="1040" w:type="dxa"/>
            <w:vAlign w:val="bottom"/>
          </w:tcPr>
          <w:p>
            <w:pPr>
              <w:ind w:left="140"/>
              <w:spacing w:after="0"/>
              <w:rPr>
                <w:sz w:val="20"/>
                <w:szCs w:val="20"/>
                <w:color w:val="auto"/>
              </w:rPr>
            </w:pPr>
            <w:r>
              <w:rPr>
                <w:rFonts w:ascii="Arial" w:cs="Arial" w:eastAsia="Arial" w:hAnsi="Arial"/>
                <w:sz w:val="10"/>
                <w:szCs w:val="10"/>
                <w:color w:val="auto"/>
                <w:w w:val="96"/>
              </w:rPr>
              <w:t xml:space="preserve">charges </w:t>
            </w:r>
            <w:r>
              <w:rPr>
                <w:rFonts w:ascii="Times New Roman" w:cs="Times New Roman" w:eastAsia="Times New Roman" w:hAnsi="Times New Roman"/>
                <w:sz w:val="10"/>
                <w:szCs w:val="10"/>
                <w:color w:val="B4B4B4"/>
                <w:w w:val="96"/>
              </w:rPr>
              <w:t>.....................</w:t>
            </w:r>
          </w:p>
        </w:tc>
        <w:tc>
          <w:tcPr>
            <w:tcW w:w="460" w:type="dxa"/>
            <w:vAlign w:val="bottom"/>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040" w:type="dxa"/>
            <w:vAlign w:val="bottom"/>
            <w:shd w:val="clear" w:color="auto" w:fill="CCEEFF"/>
          </w:tcPr>
          <w:p>
            <w:pPr>
              <w:ind w:left="40"/>
              <w:spacing w:after="0"/>
              <w:rPr>
                <w:sz w:val="20"/>
                <w:szCs w:val="20"/>
                <w:color w:val="auto"/>
              </w:rPr>
            </w:pPr>
            <w:r>
              <w:rPr>
                <w:rFonts w:ascii="Arial" w:cs="Arial" w:eastAsia="Arial" w:hAnsi="Arial"/>
                <w:sz w:val="10"/>
                <w:szCs w:val="10"/>
                <w:color w:val="auto"/>
              </w:rPr>
              <w:t>Amortization of</w:t>
            </w:r>
          </w:p>
        </w:tc>
        <w:tc>
          <w:tcPr>
            <w:tcW w:w="460" w:type="dxa"/>
            <w:vAlign w:val="bottom"/>
            <w:vMerge w:val="restart"/>
            <w:shd w:val="clear" w:color="auto" w:fill="CCEEFF"/>
          </w:tcPr>
          <w:p>
            <w:pPr>
              <w:jc w:val="right"/>
              <w:ind w:right="14"/>
              <w:spacing w:after="0"/>
              <w:rPr>
                <w:sz w:val="20"/>
                <w:szCs w:val="20"/>
                <w:color w:val="auto"/>
              </w:rPr>
            </w:pPr>
            <w:r>
              <w:rPr>
                <w:rFonts w:ascii="Arial" w:cs="Arial" w:eastAsia="Arial" w:hAnsi="Arial"/>
                <w:sz w:val="10"/>
                <w:szCs w:val="10"/>
                <w:color w:val="auto"/>
              </w:rPr>
              <w:t>2,544</w:t>
            </w:r>
          </w:p>
        </w:tc>
        <w:tc>
          <w:tcPr>
            <w:tcW w:w="500" w:type="dxa"/>
            <w:vAlign w:val="bottom"/>
            <w:gridSpan w:val="2"/>
            <w:vMerge w:val="restart"/>
            <w:shd w:val="clear" w:color="auto" w:fill="CCEEFF"/>
          </w:tcPr>
          <w:p>
            <w:pPr>
              <w:jc w:val="right"/>
              <w:ind w:right="15"/>
              <w:spacing w:after="0"/>
              <w:rPr>
                <w:sz w:val="20"/>
                <w:szCs w:val="20"/>
                <w:color w:val="auto"/>
              </w:rPr>
            </w:pPr>
            <w:r>
              <w:rPr>
                <w:rFonts w:ascii="Arial" w:cs="Arial" w:eastAsia="Arial" w:hAnsi="Arial"/>
                <w:sz w:val="10"/>
                <w:szCs w:val="10"/>
                <w:color w:val="auto"/>
              </w:rPr>
              <w:t>1,265</w:t>
            </w: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1,267</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1,288</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1,284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1,309</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1,348</w:t>
            </w:r>
          </w:p>
        </w:tc>
        <w:tc>
          <w:tcPr>
            <w:tcW w:w="500" w:type="dxa"/>
            <w:vAlign w:val="bottom"/>
            <w:gridSpan w:val="2"/>
            <w:vMerge w:val="restart"/>
            <w:shd w:val="clear" w:color="auto" w:fill="CCEEFF"/>
          </w:tcPr>
          <w:p>
            <w:pPr>
              <w:jc w:val="right"/>
              <w:ind w:right="15"/>
              <w:spacing w:after="0"/>
              <w:rPr>
                <w:sz w:val="20"/>
                <w:szCs w:val="20"/>
                <w:color w:val="auto"/>
              </w:rPr>
            </w:pPr>
            <w:r>
              <w:rPr>
                <w:rFonts w:ascii="Arial" w:cs="Arial" w:eastAsia="Arial" w:hAnsi="Arial"/>
                <w:sz w:val="10"/>
                <w:szCs w:val="10"/>
                <w:color w:val="auto"/>
              </w:rPr>
              <w:t>1,276</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13"/>
              <w:spacing w:after="0"/>
              <w:rPr>
                <w:sz w:val="20"/>
                <w:szCs w:val="20"/>
                <w:color w:val="auto"/>
              </w:rPr>
            </w:pPr>
            <w:r>
              <w:rPr>
                <w:rFonts w:ascii="Arial" w:cs="Arial" w:eastAsia="Arial" w:hAnsi="Arial"/>
                <w:sz w:val="10"/>
                <w:szCs w:val="10"/>
                <w:color w:val="auto"/>
              </w:rPr>
              <w:t>1,310</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14"/>
              <w:spacing w:after="0"/>
              <w:rPr>
                <w:sz w:val="20"/>
                <w:szCs w:val="20"/>
                <w:color w:val="auto"/>
              </w:rPr>
            </w:pPr>
            <w:r>
              <w:rPr>
                <w:rFonts w:ascii="Arial" w:cs="Arial" w:eastAsia="Arial" w:hAnsi="Arial"/>
                <w:sz w:val="10"/>
                <w:szCs w:val="10"/>
                <w:color w:val="auto"/>
              </w:rPr>
              <w:t>1,320</w:t>
            </w: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ind w:left="140"/>
              <w:spacing w:after="0"/>
              <w:rPr>
                <w:sz w:val="20"/>
                <w:szCs w:val="20"/>
                <w:color w:val="auto"/>
              </w:rPr>
            </w:pPr>
            <w:r>
              <w:rPr>
                <w:rFonts w:ascii="Arial" w:cs="Arial" w:eastAsia="Arial" w:hAnsi="Arial"/>
                <w:sz w:val="10"/>
                <w:szCs w:val="10"/>
                <w:color w:val="auto"/>
                <w:w w:val="97"/>
              </w:rPr>
              <w:t xml:space="preserve">intangible assets </w:t>
            </w:r>
            <w:r>
              <w:rPr>
                <w:rFonts w:ascii="Times New Roman" w:cs="Times New Roman" w:eastAsia="Times New Roman" w:hAnsi="Times New Roman"/>
                <w:sz w:val="10"/>
                <w:szCs w:val="10"/>
                <w:color w:val="B4B4B4"/>
                <w:w w:val="97"/>
              </w:rPr>
              <w:t>.....</w:t>
            </w:r>
          </w:p>
        </w:tc>
        <w:tc>
          <w:tcPr>
            <w:tcW w:w="460" w:type="dxa"/>
            <w:vAlign w:val="bottom"/>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040" w:type="dxa"/>
            <w:vAlign w:val="bottom"/>
          </w:tcPr>
          <w:p>
            <w:pPr>
              <w:ind w:left="40"/>
              <w:spacing w:after="0"/>
              <w:rPr>
                <w:sz w:val="20"/>
                <w:szCs w:val="20"/>
                <w:color w:val="auto"/>
              </w:rPr>
            </w:pPr>
            <w:r>
              <w:rPr>
                <w:rFonts w:ascii="Arial" w:cs="Arial" w:eastAsia="Arial" w:hAnsi="Arial"/>
                <w:sz w:val="10"/>
                <w:szCs w:val="10"/>
                <w:color w:val="auto"/>
              </w:rPr>
              <w:t>Deferred offering</w:t>
            </w:r>
          </w:p>
        </w:tc>
        <w:tc>
          <w:tcPr>
            <w:tcW w:w="460" w:type="dxa"/>
            <w:vAlign w:val="bottom"/>
            <w:vMerge w:val="restart"/>
          </w:tcPr>
          <w:p>
            <w:pPr>
              <w:jc w:val="right"/>
              <w:ind w:right="14"/>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60" w:type="dxa"/>
            <w:vAlign w:val="bottom"/>
            <w:vMerge w:val="restart"/>
          </w:tcPr>
          <w:p>
            <w:pPr>
              <w:jc w:val="right"/>
              <w:ind w:right="15"/>
              <w:spacing w:after="0"/>
              <w:rPr>
                <w:sz w:val="20"/>
                <w:szCs w:val="20"/>
                <w:color w:val="auto"/>
              </w:rPr>
            </w:pPr>
            <w:r>
              <w:rPr>
                <w:rFonts w:ascii="Arial" w:cs="Arial" w:eastAsia="Arial" w:hAnsi="Arial"/>
                <w:sz w:val="10"/>
                <w:szCs w:val="10"/>
                <w:color w:val="auto"/>
              </w:rPr>
              <w:t>—</w:t>
            </w:r>
          </w:p>
        </w:tc>
        <w:tc>
          <w:tcPr>
            <w:tcW w:w="480" w:type="dxa"/>
            <w:vAlign w:val="bottom"/>
            <w:gridSpan w:val="2"/>
            <w:vMerge w:val="restart"/>
          </w:tcPr>
          <w:p>
            <w:pPr>
              <w:jc w:val="right"/>
              <w:spacing w:after="0"/>
              <w:rPr>
                <w:sz w:val="20"/>
                <w:szCs w:val="20"/>
                <w:color w:val="auto"/>
              </w:rPr>
            </w:pPr>
            <w:r>
              <w:rPr>
                <w:rFonts w:ascii="Arial" w:cs="Arial" w:eastAsia="Arial" w:hAnsi="Arial"/>
                <w:sz w:val="10"/>
                <w:szCs w:val="10"/>
                <w:color w:val="auto"/>
              </w:rPr>
              <w:t>3,749</w:t>
            </w:r>
          </w:p>
        </w:tc>
        <w:tc>
          <w:tcPr>
            <w:tcW w:w="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60" w:type="dxa"/>
            <w:vAlign w:val="bottom"/>
            <w:vMerge w:val="restart"/>
          </w:tcPr>
          <w:p>
            <w:pPr>
              <w:jc w:val="right"/>
              <w:ind w:right="15"/>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jc w:val="right"/>
              <w:ind w:right="13"/>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jc w:val="right"/>
              <w:ind w:right="14"/>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1040" w:type="dxa"/>
            <w:vAlign w:val="bottom"/>
          </w:tcPr>
          <w:p>
            <w:pPr>
              <w:ind w:left="140"/>
              <w:spacing w:after="0" w:line="95" w:lineRule="exact"/>
              <w:rPr>
                <w:sz w:val="20"/>
                <w:szCs w:val="20"/>
                <w:color w:val="auto"/>
              </w:rPr>
            </w:pPr>
            <w:r>
              <w:rPr>
                <w:rFonts w:ascii="Arial" w:cs="Arial" w:eastAsia="Arial" w:hAnsi="Arial"/>
                <w:sz w:val="10"/>
                <w:szCs w:val="10"/>
                <w:color w:val="auto"/>
              </w:rPr>
              <w:t>costs write-of</w:t>
            </w:r>
          </w:p>
        </w:tc>
        <w:tc>
          <w:tcPr>
            <w:tcW w:w="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040" w:type="dxa"/>
            <w:vAlign w:val="bottom"/>
          </w:tcPr>
          <w:p>
            <w:pPr>
              <w:ind w:left="140"/>
              <w:spacing w:after="0" w:line="68" w:lineRule="exact"/>
              <w:rPr>
                <w:sz w:val="20"/>
                <w:szCs w:val="20"/>
                <w:color w:val="auto"/>
              </w:rPr>
            </w:pPr>
            <w:r>
              <w:rPr>
                <w:rFonts w:ascii="Arial" w:cs="Arial" w:eastAsia="Arial" w:hAnsi="Arial"/>
                <w:sz w:val="7"/>
                <w:szCs w:val="7"/>
                <w:color w:val="auto"/>
              </w:rPr>
              <w:t>f</w:t>
            </w: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040" w:type="dxa"/>
            <w:vAlign w:val="bottom"/>
          </w:tcPr>
          <w:p>
            <w:pPr>
              <w:ind w:left="40"/>
              <w:spacing w:after="0" w:line="95" w:lineRule="exact"/>
              <w:rPr>
                <w:sz w:val="20"/>
                <w:szCs w:val="20"/>
                <w:color w:val="auto"/>
              </w:rPr>
            </w:pPr>
            <w:r>
              <w:rPr>
                <w:rFonts w:ascii="Arial" w:cs="Arial" w:eastAsia="Arial" w:hAnsi="Arial"/>
                <w:sz w:val="10"/>
                <w:szCs w:val="10"/>
                <w:color w:val="auto"/>
              </w:rPr>
              <w:t>Restructuring and</w:t>
            </w:r>
          </w:p>
        </w:tc>
        <w:tc>
          <w:tcPr>
            <w:tcW w:w="460" w:type="dxa"/>
            <w:vAlign w:val="bottom"/>
            <w:vMerge w:val="restart"/>
          </w:tcPr>
          <w:p>
            <w:pPr>
              <w:jc w:val="right"/>
              <w:ind w:right="14"/>
              <w:spacing w:after="0"/>
              <w:rPr>
                <w:sz w:val="20"/>
                <w:szCs w:val="20"/>
                <w:color w:val="auto"/>
              </w:rPr>
            </w:pPr>
            <w:r>
              <w:rPr>
                <w:rFonts w:ascii="Arial" w:cs="Arial" w:eastAsia="Arial" w:hAnsi="Arial"/>
                <w:sz w:val="10"/>
                <w:szCs w:val="10"/>
                <w:color w:val="auto"/>
              </w:rPr>
              <w:t>5,713</w:t>
            </w:r>
          </w:p>
        </w:tc>
        <w:tc>
          <w:tcPr>
            <w:tcW w:w="500" w:type="dxa"/>
            <w:vAlign w:val="bottom"/>
            <w:gridSpan w:val="2"/>
            <w:vMerge w:val="restart"/>
          </w:tcPr>
          <w:p>
            <w:pPr>
              <w:jc w:val="right"/>
              <w:ind w:right="15"/>
              <w:spacing w:after="0"/>
              <w:rPr>
                <w:sz w:val="20"/>
                <w:szCs w:val="20"/>
                <w:color w:val="auto"/>
              </w:rPr>
            </w:pPr>
            <w:r>
              <w:rPr>
                <w:rFonts w:ascii="Arial" w:cs="Arial" w:eastAsia="Arial" w:hAnsi="Arial"/>
                <w:sz w:val="10"/>
                <w:szCs w:val="10"/>
                <w:color w:val="auto"/>
              </w:rPr>
              <w:t>40</w:t>
            </w:r>
          </w:p>
        </w:tc>
        <w:tc>
          <w:tcPr>
            <w:tcW w:w="4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color w:val="auto"/>
              </w:rPr>
              <w:t>2,824</w:t>
            </w:r>
          </w:p>
        </w:tc>
        <w:tc>
          <w:tcPr>
            <w:tcW w:w="4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8"/>
                <w:szCs w:val="8"/>
                <w:color w:val="auto"/>
              </w:rPr>
            </w:pPr>
          </w:p>
        </w:tc>
        <w:tc>
          <w:tcPr>
            <w:tcW w:w="460" w:type="dxa"/>
            <w:vAlign w:val="bottom"/>
            <w:vMerge w:val="restart"/>
          </w:tcPr>
          <w:p>
            <w:pPr>
              <w:jc w:val="right"/>
              <w:ind w:right="15"/>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vMerge w:val="restart"/>
          </w:tcPr>
          <w:p>
            <w:pPr>
              <w:jc w:val="right"/>
              <w:ind w:right="13"/>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vMerge w:val="restart"/>
          </w:tcPr>
          <w:p>
            <w:pPr>
              <w:jc w:val="right"/>
              <w:ind w:right="14"/>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1040" w:type="dxa"/>
            <w:vAlign w:val="bottom"/>
          </w:tcPr>
          <w:p>
            <w:pPr>
              <w:ind w:left="140"/>
              <w:spacing w:after="0"/>
              <w:rPr>
                <w:sz w:val="20"/>
                <w:szCs w:val="20"/>
                <w:color w:val="auto"/>
              </w:rPr>
            </w:pPr>
            <w:r>
              <w:rPr>
                <w:rFonts w:ascii="Arial" w:cs="Arial" w:eastAsia="Arial" w:hAnsi="Arial"/>
                <w:sz w:val="10"/>
                <w:szCs w:val="10"/>
                <w:color w:val="auto"/>
                <w:w w:val="97"/>
              </w:rPr>
              <w:t xml:space="preserve">facility exit costs </w:t>
            </w:r>
            <w:r>
              <w:rPr>
                <w:rFonts w:ascii="Times New Roman" w:cs="Times New Roman" w:eastAsia="Times New Roman" w:hAnsi="Times New Roman"/>
                <w:sz w:val="10"/>
                <w:szCs w:val="10"/>
                <w:color w:val="B4B4B4"/>
                <w:w w:val="97"/>
              </w:rPr>
              <w:t>......</w:t>
            </w:r>
          </w:p>
        </w:tc>
        <w:tc>
          <w:tcPr>
            <w:tcW w:w="460" w:type="dxa"/>
            <w:vAlign w:val="bottom"/>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040" w:type="dxa"/>
            <w:vAlign w:val="bottom"/>
          </w:tcPr>
          <w:p>
            <w:pPr>
              <w:ind w:left="40"/>
              <w:spacing w:after="0"/>
              <w:rPr>
                <w:sz w:val="20"/>
                <w:szCs w:val="20"/>
                <w:color w:val="auto"/>
              </w:rPr>
            </w:pPr>
            <w:r>
              <w:rPr>
                <w:rFonts w:ascii="Arial" w:cs="Arial" w:eastAsia="Arial" w:hAnsi="Arial"/>
                <w:sz w:val="10"/>
                <w:szCs w:val="10"/>
                <w:color w:val="auto"/>
              </w:rPr>
              <w:t>Reversal of tax</w:t>
            </w: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(22,952)</w:t>
            </w:r>
          </w:p>
        </w:tc>
        <w:tc>
          <w:tcPr>
            <w:tcW w:w="40" w:type="dxa"/>
            <w:vAlign w:val="bottom"/>
          </w:tcPr>
          <w:p>
            <w:pPr>
              <w:spacing w:after="0"/>
              <w:rPr>
                <w:sz w:val="10"/>
                <w:szCs w:val="10"/>
                <w:color w:val="auto"/>
              </w:rPr>
            </w:pPr>
          </w:p>
        </w:tc>
        <w:tc>
          <w:tcPr>
            <w:tcW w:w="460" w:type="dxa"/>
            <w:vAlign w:val="bottom"/>
            <w:vMerge w:val="restart"/>
          </w:tcPr>
          <w:p>
            <w:pPr>
              <w:jc w:val="right"/>
              <w:ind w:right="15"/>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60" w:type="dxa"/>
            <w:vAlign w:val="bottom"/>
            <w:vMerge w:val="restart"/>
          </w:tcPr>
          <w:p>
            <w:pPr>
              <w:jc w:val="right"/>
              <w:ind w:right="15"/>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jc w:val="right"/>
              <w:ind w:right="13"/>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jc w:val="right"/>
              <w:ind w:right="14"/>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104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w w:val="99"/>
              </w:rPr>
              <w:t>contingency</w:t>
            </w:r>
            <w:r>
              <w:rPr>
                <w:rFonts w:ascii="Times New Roman" w:cs="Times New Roman" w:eastAsia="Times New Roman" w:hAnsi="Times New Roman"/>
                <w:sz w:val="10"/>
                <w:szCs w:val="10"/>
                <w:color w:val="B4B4B4"/>
                <w:w w:val="99"/>
              </w:rPr>
              <w:t>..............</w:t>
            </w:r>
          </w:p>
        </w:tc>
        <w:tc>
          <w:tcPr>
            <w:tcW w:w="46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040" w:type="dxa"/>
            <w:vAlign w:val="bottom"/>
            <w:shd w:val="clear" w:color="auto" w:fill="CCEEFF"/>
          </w:tcPr>
          <w:p>
            <w:pPr>
              <w:ind w:left="40"/>
              <w:spacing w:after="0" w:line="95" w:lineRule="exact"/>
              <w:rPr>
                <w:sz w:val="20"/>
                <w:szCs w:val="20"/>
                <w:color w:val="auto"/>
              </w:rPr>
            </w:pPr>
            <w:r>
              <w:rPr>
                <w:rFonts w:ascii="Arial" w:cs="Arial" w:eastAsia="Arial" w:hAnsi="Arial"/>
                <w:sz w:val="10"/>
                <w:szCs w:val="10"/>
                <w:color w:val="auto"/>
              </w:rPr>
              <w:t>Non-GAAP income</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40" w:type="dxa"/>
            <w:vAlign w:val="bottom"/>
            <w:shd w:val="clear" w:color="auto" w:fill="CCEEFF"/>
          </w:tcPr>
          <w:p>
            <w:pPr>
              <w:ind w:left="140"/>
              <w:spacing w:after="0" w:line="95" w:lineRule="exact"/>
              <w:rPr>
                <w:sz w:val="20"/>
                <w:szCs w:val="20"/>
                <w:color w:val="auto"/>
              </w:rPr>
            </w:pPr>
            <w:r>
              <w:rPr>
                <w:rFonts w:ascii="Arial" w:cs="Arial" w:eastAsia="Arial" w:hAnsi="Arial"/>
                <w:sz w:val="10"/>
                <w:szCs w:val="10"/>
                <w:color w:val="auto"/>
              </w:rPr>
              <w:t>(loss) from</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u w:val="single" w:color="auto"/>
                <w:color w:val="auto"/>
                <w:w w:val="98"/>
              </w:rPr>
              <w:t>$</w:t>
            </w:r>
            <w:r>
              <w:rPr>
                <w:rFonts w:ascii="Arial" w:cs="Arial" w:eastAsia="Arial" w:hAnsi="Arial"/>
                <w:sz w:val="10"/>
                <w:szCs w:val="10"/>
                <w:color w:val="auto"/>
                <w:w w:val="98"/>
              </w:rPr>
              <w:t>(47,307)</w:t>
            </w:r>
          </w:p>
        </w:tc>
        <w:tc>
          <w:tcPr>
            <w:tcW w:w="40" w:type="dxa"/>
            <w:vAlign w:val="bottom"/>
            <w:vMerge w:val="restart"/>
            <w:shd w:val="clear" w:color="auto" w:fill="CCEEFF"/>
          </w:tcPr>
          <w:p>
            <w:pPr>
              <w:spacing w:after="0"/>
              <w:rPr>
                <w:sz w:val="8"/>
                <w:szCs w:val="8"/>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u w:val="single" w:color="auto"/>
                <w:color w:val="auto"/>
                <w:w w:val="98"/>
              </w:rPr>
              <w:t>$</w:t>
            </w:r>
            <w:r>
              <w:rPr>
                <w:rFonts w:ascii="Arial" w:cs="Arial" w:eastAsia="Arial" w:hAnsi="Arial"/>
                <w:sz w:val="10"/>
                <w:szCs w:val="10"/>
                <w:color w:val="auto"/>
                <w:w w:val="98"/>
              </w:rPr>
              <w:t>(44,431)</w:t>
            </w:r>
          </w:p>
        </w:tc>
        <w:tc>
          <w:tcPr>
            <w:tcW w:w="40" w:type="dxa"/>
            <w:vAlign w:val="bottom"/>
            <w:vMerge w:val="restart"/>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0"/>
                <w:szCs w:val="10"/>
                <w:u w:val="single" w:color="auto"/>
                <w:color w:val="auto"/>
                <w:w w:val="98"/>
              </w:rPr>
              <w:t>$</w:t>
            </w:r>
            <w:r>
              <w:rPr>
                <w:rFonts w:ascii="Arial" w:cs="Arial" w:eastAsia="Arial" w:hAnsi="Arial"/>
                <w:sz w:val="10"/>
                <w:szCs w:val="10"/>
                <w:color w:val="auto"/>
                <w:w w:val="98"/>
              </w:rPr>
              <w:t>(37,232)</w:t>
            </w:r>
          </w:p>
        </w:tc>
        <w:tc>
          <w:tcPr>
            <w:tcW w:w="40" w:type="dxa"/>
            <w:vAlign w:val="bottom"/>
            <w:vMerge w:val="restart"/>
            <w:shd w:val="clear" w:color="auto" w:fill="CCEEFF"/>
          </w:tcPr>
          <w:p>
            <w:pPr>
              <w:spacing w:after="0"/>
              <w:rPr>
                <w:sz w:val="8"/>
                <w:szCs w:val="8"/>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u w:val="single" w:color="auto"/>
                <w:color w:val="auto"/>
                <w:w w:val="98"/>
              </w:rPr>
              <w:t>$</w:t>
            </w:r>
            <w:r>
              <w:rPr>
                <w:rFonts w:ascii="Arial" w:cs="Arial" w:eastAsia="Arial" w:hAnsi="Arial"/>
                <w:sz w:val="10"/>
                <w:szCs w:val="10"/>
                <w:color w:val="auto"/>
                <w:w w:val="98"/>
              </w:rPr>
              <w:t>(45,783)</w:t>
            </w:r>
          </w:p>
        </w:tc>
        <w:tc>
          <w:tcPr>
            <w:tcW w:w="40" w:type="dxa"/>
            <w:vAlign w:val="bottom"/>
            <w:vMerge w:val="restart"/>
            <w:shd w:val="clear" w:color="auto" w:fill="CCEEFF"/>
          </w:tcPr>
          <w:p>
            <w:pPr>
              <w:spacing w:after="0"/>
              <w:rPr>
                <w:sz w:val="8"/>
                <w:szCs w:val="8"/>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u w:val="single" w:color="auto"/>
                <w:color w:val="auto"/>
                <w:w w:val="98"/>
              </w:rPr>
              <w:t>$</w:t>
            </w:r>
            <w:r>
              <w:rPr>
                <w:rFonts w:ascii="Arial" w:cs="Arial" w:eastAsia="Arial" w:hAnsi="Arial"/>
                <w:sz w:val="10"/>
                <w:szCs w:val="10"/>
                <w:color w:val="auto"/>
                <w:w w:val="98"/>
              </w:rPr>
              <w:t>(11,775)</w:t>
            </w:r>
          </w:p>
        </w:tc>
        <w:tc>
          <w:tcPr>
            <w:tcW w:w="40" w:type="dxa"/>
            <w:vAlign w:val="bottom"/>
            <w:vMerge w:val="restart"/>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(5,710)</w:t>
            </w:r>
          </w:p>
        </w:tc>
        <w:tc>
          <w:tcPr>
            <w:tcW w:w="40" w:type="dxa"/>
            <w:vAlign w:val="bottom"/>
            <w:vMerge w:val="restart"/>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6,466</w:t>
            </w:r>
          </w:p>
        </w:tc>
        <w:tc>
          <w:tcPr>
            <w:tcW w:w="40" w:type="dxa"/>
            <w:vAlign w:val="bottom"/>
            <w:vMerge w:val="restart"/>
            <w:shd w:val="clear" w:color="auto" w:fill="CCEEFF"/>
          </w:tcPr>
          <w:p>
            <w:pPr>
              <w:spacing w:after="0"/>
              <w:rPr>
                <w:sz w:val="8"/>
                <w:szCs w:val="8"/>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u w:val="single" w:color="auto"/>
                <w:color w:val="auto"/>
                <w:w w:val="98"/>
              </w:rPr>
              <w:t>$</w:t>
            </w:r>
            <w:r>
              <w:rPr>
                <w:rFonts w:ascii="Arial" w:cs="Arial" w:eastAsia="Arial" w:hAnsi="Arial"/>
                <w:sz w:val="10"/>
                <w:szCs w:val="10"/>
                <w:color w:val="auto"/>
                <w:w w:val="98"/>
              </w:rPr>
              <w:t>(14,023)</w:t>
            </w:r>
          </w:p>
        </w:tc>
        <w:tc>
          <w:tcPr>
            <w:tcW w:w="40" w:type="dxa"/>
            <w:vAlign w:val="bottom"/>
            <w:vMerge w:val="restart"/>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80" w:type="dxa"/>
            <w:vAlign w:val="bottom"/>
            <w:vMerge w:val="restart"/>
            <w:shd w:val="clear" w:color="auto" w:fill="CCEEFF"/>
          </w:tcPr>
          <w:p>
            <w:pPr>
              <w:jc w:val="right"/>
              <w:ind w:right="13"/>
              <w:spacing w:after="0"/>
              <w:rPr>
                <w:sz w:val="20"/>
                <w:szCs w:val="20"/>
                <w:color w:val="auto"/>
              </w:rPr>
            </w:pPr>
            <w:r>
              <w:rPr>
                <w:rFonts w:ascii="Arial" w:cs="Arial" w:eastAsia="Arial" w:hAnsi="Arial"/>
                <w:sz w:val="10"/>
                <w:szCs w:val="10"/>
                <w:color w:val="auto"/>
              </w:rPr>
              <w:t>2,676</w:t>
            </w:r>
          </w:p>
        </w:tc>
        <w:tc>
          <w:tcPr>
            <w:tcW w:w="40" w:type="dxa"/>
            <w:vAlign w:val="bottom"/>
            <w:vMerge w:val="restart"/>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80" w:type="dxa"/>
            <w:vAlign w:val="bottom"/>
            <w:vMerge w:val="restart"/>
            <w:shd w:val="clear" w:color="auto" w:fill="CCEEFF"/>
          </w:tcPr>
          <w:p>
            <w:pPr>
              <w:jc w:val="right"/>
              <w:ind w:right="14"/>
              <w:spacing w:after="0"/>
              <w:rPr>
                <w:sz w:val="20"/>
                <w:szCs w:val="20"/>
                <w:color w:val="auto"/>
              </w:rPr>
            </w:pPr>
            <w:r>
              <w:rPr>
                <w:rFonts w:ascii="Arial" w:cs="Arial" w:eastAsia="Arial" w:hAnsi="Arial"/>
                <w:sz w:val="10"/>
                <w:szCs w:val="10"/>
                <w:color w:val="auto"/>
              </w:rPr>
              <w:t>8,400</w:t>
            </w:r>
          </w:p>
        </w:tc>
        <w:tc>
          <w:tcPr>
            <w:tcW w:w="0" w:type="dxa"/>
            <w:vAlign w:val="bottom"/>
          </w:tcPr>
          <w:p>
            <w:pPr>
              <w:spacing w:after="0"/>
              <w:rPr>
                <w:sz w:val="1"/>
                <w:szCs w:val="1"/>
                <w:color w:val="auto"/>
              </w:rPr>
            </w:pPr>
          </w:p>
        </w:tc>
      </w:tr>
      <w:tr>
        <w:trPr>
          <w:trHeight w:val="142"/>
        </w:trPr>
        <w:tc>
          <w:tcPr>
            <w:tcW w:w="1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w w:val="98"/>
              </w:rPr>
              <w:t xml:space="preserve">operations </w:t>
            </w:r>
            <w:r>
              <w:rPr>
                <w:rFonts w:ascii="Times New Roman" w:cs="Times New Roman" w:eastAsia="Times New Roman" w:hAnsi="Times New Roman"/>
                <w:sz w:val="10"/>
                <w:szCs w:val="10"/>
                <w:color w:val="B4B4B4"/>
                <w:w w:val="98"/>
              </w:rPr>
              <w:t>................</w:t>
            </w: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CCEEFF"/>
            </w:tcBorders>
            <w:vMerge w:val="continue"/>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CCEEFF"/>
            </w:tcBorders>
            <w:vMerge w:val="continue"/>
            <w:shd w:val="clear" w:color="auto" w:fill="CCEEFF"/>
          </w:tcPr>
          <w:p>
            <w:pPr>
              <w:spacing w:after="0"/>
              <w:rPr>
                <w:sz w:val="12"/>
                <w:szCs w:val="12"/>
                <w:color w:val="auto"/>
              </w:rPr>
            </w:pPr>
          </w:p>
        </w:tc>
        <w:tc>
          <w:tcPr>
            <w:tcW w:w="44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CCEEFF"/>
            </w:tcBorders>
            <w:vMerge w:val="continue"/>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CCEEFF"/>
            </w:tcBorders>
            <w:vMerge w:val="continue"/>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38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38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CCEEFF"/>
            </w:tcBorders>
            <w:vMerge w:val="continue"/>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38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3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Non-GAAP Net Loss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92"/>
        </w:trPr>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gridSpan w:val="3"/>
          </w:tcPr>
          <w:p>
            <w:pPr>
              <w:jc w:val="right"/>
              <w:ind w:right="18"/>
              <w:spacing w:after="0"/>
              <w:rPr>
                <w:sz w:val="20"/>
                <w:szCs w:val="20"/>
                <w:color w:val="auto"/>
              </w:rPr>
            </w:pPr>
            <w:r>
              <w:rPr>
                <w:rFonts w:ascii="Arial" w:cs="Arial" w:eastAsia="Arial" w:hAnsi="Arial"/>
                <w:sz w:val="8"/>
                <w:szCs w:val="8"/>
                <w:b w:val="1"/>
                <w:bCs w:val="1"/>
                <w:color w:val="auto"/>
              </w:rPr>
              <w:t>Three Months Ended</w:t>
            </w: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jc w:val="center"/>
              <w:ind w:right="39"/>
              <w:spacing w:after="0"/>
              <w:rPr>
                <w:sz w:val="20"/>
                <w:szCs w:val="20"/>
                <w:color w:val="auto"/>
              </w:rPr>
            </w:pPr>
            <w:r>
              <w:rPr>
                <w:rFonts w:ascii="Arial" w:cs="Arial" w:eastAsia="Arial" w:hAnsi="Arial"/>
                <w:sz w:val="8"/>
                <w:szCs w:val="8"/>
                <w:b w:val="1"/>
                <w:bCs w:val="1"/>
                <w:color w:val="auto"/>
                <w:w w:val="97"/>
              </w:rPr>
              <w:t>Twelve</w:t>
            </w:r>
          </w:p>
        </w:tc>
        <w:tc>
          <w:tcPr>
            <w:tcW w:w="0" w:type="dxa"/>
            <w:vAlign w:val="bottom"/>
          </w:tcPr>
          <w:p>
            <w:pPr>
              <w:spacing w:after="0"/>
              <w:rPr>
                <w:sz w:val="1"/>
                <w:szCs w:val="1"/>
                <w:color w:val="auto"/>
              </w:rPr>
            </w:pPr>
          </w:p>
        </w:tc>
      </w:tr>
      <w:tr>
        <w:trPr>
          <w:trHeight w:val="38"/>
        </w:trPr>
        <w:tc>
          <w:tcPr>
            <w:tcW w:w="84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jc w:val="center"/>
              <w:ind w:right="59"/>
              <w:spacing w:after="0" w:line="39" w:lineRule="exact"/>
              <w:rPr>
                <w:sz w:val="20"/>
                <w:szCs w:val="20"/>
                <w:color w:val="auto"/>
              </w:rPr>
            </w:pPr>
            <w:r>
              <w:rPr>
                <w:rFonts w:ascii="Arial" w:cs="Arial" w:eastAsia="Arial" w:hAnsi="Arial"/>
                <w:sz w:val="4"/>
                <w:szCs w:val="4"/>
                <w:b w:val="1"/>
                <w:bCs w:val="1"/>
                <w:color w:val="auto"/>
              </w:rPr>
              <w:t>Months</w:t>
            </w:r>
          </w:p>
        </w:tc>
        <w:tc>
          <w:tcPr>
            <w:tcW w:w="0" w:type="dxa"/>
            <w:vAlign w:val="bottom"/>
          </w:tcPr>
          <w:p>
            <w:pPr>
              <w:spacing w:after="0"/>
              <w:rPr>
                <w:sz w:val="1"/>
                <w:szCs w:val="1"/>
                <w:color w:val="auto"/>
              </w:rPr>
            </w:pPr>
          </w:p>
        </w:tc>
      </w:tr>
      <w:tr>
        <w:trPr>
          <w:trHeight w:val="85"/>
        </w:trPr>
        <w:tc>
          <w:tcPr>
            <w:tcW w:w="840" w:type="dxa"/>
            <w:vAlign w:val="bottom"/>
          </w:tcPr>
          <w:p>
            <w:pPr>
              <w:spacing w:after="0"/>
              <w:rPr>
                <w:sz w:val="7"/>
                <w:szCs w:val="7"/>
                <w:color w:val="auto"/>
              </w:rPr>
            </w:pPr>
          </w:p>
        </w:tc>
        <w:tc>
          <w:tcPr>
            <w:tcW w:w="420" w:type="dxa"/>
            <w:vAlign w:val="bottom"/>
            <w:vMerge w:val="restart"/>
          </w:tcPr>
          <w:p>
            <w:pPr>
              <w:jc w:val="right"/>
              <w:ind w:right="18"/>
              <w:spacing w:after="0"/>
              <w:rPr>
                <w:sz w:val="20"/>
                <w:szCs w:val="20"/>
                <w:color w:val="auto"/>
              </w:rPr>
            </w:pPr>
            <w:r>
              <w:rPr>
                <w:rFonts w:ascii="Arial" w:cs="Arial" w:eastAsia="Arial" w:hAnsi="Arial"/>
                <w:sz w:val="8"/>
                <w:szCs w:val="8"/>
                <w:b w:val="1"/>
                <w:bCs w:val="1"/>
                <w:color w:val="auto"/>
              </w:rPr>
              <w:t>April 30,</w:t>
            </w:r>
          </w:p>
        </w:tc>
        <w:tc>
          <w:tcPr>
            <w:tcW w:w="40" w:type="dxa"/>
            <w:vAlign w:val="bottom"/>
          </w:tcPr>
          <w:p>
            <w:pPr>
              <w:spacing w:after="0"/>
              <w:rPr>
                <w:sz w:val="7"/>
                <w:szCs w:val="7"/>
                <w:color w:val="auto"/>
              </w:rPr>
            </w:pPr>
          </w:p>
        </w:tc>
        <w:tc>
          <w:tcPr>
            <w:tcW w:w="440" w:type="dxa"/>
            <w:vAlign w:val="bottom"/>
            <w:vMerge w:val="restart"/>
          </w:tcPr>
          <w:p>
            <w:pPr>
              <w:jc w:val="right"/>
              <w:ind w:right="38"/>
              <w:spacing w:after="0"/>
              <w:rPr>
                <w:sz w:val="20"/>
                <w:szCs w:val="20"/>
                <w:color w:val="auto"/>
              </w:rPr>
            </w:pPr>
            <w:r>
              <w:rPr>
                <w:rFonts w:ascii="Arial" w:cs="Arial" w:eastAsia="Arial" w:hAnsi="Arial"/>
                <w:sz w:val="8"/>
                <w:szCs w:val="8"/>
                <w:b w:val="1"/>
                <w:bCs w:val="1"/>
                <w:color w:val="auto"/>
              </w:rPr>
              <w:t>July 31,</w:t>
            </w:r>
          </w:p>
        </w:tc>
        <w:tc>
          <w:tcPr>
            <w:tcW w:w="40" w:type="dxa"/>
            <w:vAlign w:val="bottom"/>
          </w:tcPr>
          <w:p>
            <w:pPr>
              <w:spacing w:after="0"/>
              <w:rPr>
                <w:sz w:val="7"/>
                <w:szCs w:val="7"/>
                <w:color w:val="auto"/>
              </w:rPr>
            </w:pPr>
          </w:p>
        </w:tc>
        <w:tc>
          <w:tcPr>
            <w:tcW w:w="42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7"/>
              </w:rPr>
              <w:t>October</w:t>
            </w:r>
          </w:p>
        </w:tc>
        <w:tc>
          <w:tcPr>
            <w:tcW w:w="40" w:type="dxa"/>
            <w:vAlign w:val="bottom"/>
          </w:tcPr>
          <w:p>
            <w:pPr>
              <w:spacing w:after="0"/>
              <w:rPr>
                <w:sz w:val="7"/>
                <w:szCs w:val="7"/>
                <w:color w:val="auto"/>
              </w:rPr>
            </w:pPr>
          </w:p>
        </w:tc>
        <w:tc>
          <w:tcPr>
            <w:tcW w:w="4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7"/>
              </w:rPr>
              <w:t>January</w:t>
            </w:r>
          </w:p>
        </w:tc>
        <w:tc>
          <w:tcPr>
            <w:tcW w:w="40" w:type="dxa"/>
            <w:vAlign w:val="bottom"/>
          </w:tcPr>
          <w:p>
            <w:pPr>
              <w:spacing w:after="0"/>
              <w:rPr>
                <w:sz w:val="7"/>
                <w:szCs w:val="7"/>
                <w:color w:val="auto"/>
              </w:rPr>
            </w:pPr>
          </w:p>
        </w:tc>
        <w:tc>
          <w:tcPr>
            <w:tcW w:w="420" w:type="dxa"/>
            <w:vAlign w:val="bottom"/>
            <w:vMerge w:val="restart"/>
          </w:tcPr>
          <w:p>
            <w:pPr>
              <w:jc w:val="right"/>
              <w:ind w:right="38"/>
              <w:spacing w:after="0"/>
              <w:rPr>
                <w:sz w:val="20"/>
                <w:szCs w:val="20"/>
                <w:color w:val="auto"/>
              </w:rPr>
            </w:pPr>
            <w:r>
              <w:rPr>
                <w:rFonts w:ascii="Arial" w:cs="Arial" w:eastAsia="Arial" w:hAnsi="Arial"/>
                <w:sz w:val="8"/>
                <w:szCs w:val="8"/>
                <w:b w:val="1"/>
                <w:bCs w:val="1"/>
                <w:color w:val="auto"/>
              </w:rPr>
              <w:t>April 30,</w:t>
            </w:r>
          </w:p>
        </w:tc>
        <w:tc>
          <w:tcPr>
            <w:tcW w:w="40" w:type="dxa"/>
            <w:vAlign w:val="bottom"/>
          </w:tcPr>
          <w:p>
            <w:pPr>
              <w:spacing w:after="0"/>
              <w:rPr>
                <w:sz w:val="7"/>
                <w:szCs w:val="7"/>
                <w:color w:val="auto"/>
              </w:rPr>
            </w:pPr>
          </w:p>
        </w:tc>
        <w:tc>
          <w:tcPr>
            <w:tcW w:w="420" w:type="dxa"/>
            <w:vAlign w:val="bottom"/>
            <w:vMerge w:val="restart"/>
          </w:tcPr>
          <w:p>
            <w:pPr>
              <w:jc w:val="right"/>
              <w:ind w:right="38"/>
              <w:spacing w:after="0"/>
              <w:rPr>
                <w:sz w:val="20"/>
                <w:szCs w:val="20"/>
                <w:color w:val="auto"/>
              </w:rPr>
            </w:pPr>
            <w:r>
              <w:rPr>
                <w:rFonts w:ascii="Arial" w:cs="Arial" w:eastAsia="Arial" w:hAnsi="Arial"/>
                <w:sz w:val="8"/>
                <w:szCs w:val="8"/>
                <w:b w:val="1"/>
                <w:bCs w:val="1"/>
                <w:color w:val="auto"/>
              </w:rPr>
              <w:t>July 31,</w:t>
            </w:r>
          </w:p>
        </w:tc>
        <w:tc>
          <w:tcPr>
            <w:tcW w:w="40" w:type="dxa"/>
            <w:vAlign w:val="bottom"/>
          </w:tcPr>
          <w:p>
            <w:pPr>
              <w:spacing w:after="0"/>
              <w:rPr>
                <w:sz w:val="7"/>
                <w:szCs w:val="7"/>
                <w:color w:val="auto"/>
              </w:rPr>
            </w:pPr>
          </w:p>
        </w:tc>
        <w:tc>
          <w:tcPr>
            <w:tcW w:w="4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1"/>
              </w:rPr>
              <w:t>October</w:t>
            </w:r>
          </w:p>
        </w:tc>
        <w:tc>
          <w:tcPr>
            <w:tcW w:w="40" w:type="dxa"/>
            <w:vAlign w:val="bottom"/>
          </w:tcPr>
          <w:p>
            <w:pPr>
              <w:spacing w:after="0"/>
              <w:rPr>
                <w:sz w:val="7"/>
                <w:szCs w:val="7"/>
                <w:color w:val="auto"/>
              </w:rPr>
            </w:pPr>
          </w:p>
        </w:tc>
        <w:tc>
          <w:tcPr>
            <w:tcW w:w="42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7"/>
              </w:rPr>
              <w:t>January</w:t>
            </w:r>
          </w:p>
        </w:tc>
        <w:tc>
          <w:tcPr>
            <w:tcW w:w="40" w:type="dxa"/>
            <w:vAlign w:val="bottom"/>
          </w:tcPr>
          <w:p>
            <w:pPr>
              <w:spacing w:after="0"/>
              <w:rPr>
                <w:sz w:val="7"/>
                <w:szCs w:val="7"/>
                <w:color w:val="auto"/>
              </w:rPr>
            </w:pPr>
          </w:p>
        </w:tc>
        <w:tc>
          <w:tcPr>
            <w:tcW w:w="440" w:type="dxa"/>
            <w:vAlign w:val="bottom"/>
            <w:gridSpan w:val="2"/>
            <w:vMerge w:val="restart"/>
          </w:tcPr>
          <w:p>
            <w:pPr>
              <w:jc w:val="right"/>
              <w:ind w:right="37"/>
              <w:spacing w:after="0"/>
              <w:rPr>
                <w:sz w:val="20"/>
                <w:szCs w:val="20"/>
                <w:color w:val="auto"/>
              </w:rPr>
            </w:pPr>
            <w:r>
              <w:rPr>
                <w:rFonts w:ascii="Arial" w:cs="Arial" w:eastAsia="Arial" w:hAnsi="Arial"/>
                <w:sz w:val="8"/>
                <w:szCs w:val="8"/>
                <w:b w:val="1"/>
                <w:bCs w:val="1"/>
                <w:color w:val="auto"/>
              </w:rPr>
              <w:t>April 30,</w:t>
            </w:r>
          </w:p>
        </w:tc>
        <w:tc>
          <w:tcPr>
            <w:tcW w:w="40" w:type="dxa"/>
            <w:vAlign w:val="bottom"/>
          </w:tcPr>
          <w:p>
            <w:pPr>
              <w:spacing w:after="0"/>
              <w:rPr>
                <w:sz w:val="7"/>
                <w:szCs w:val="7"/>
                <w:color w:val="auto"/>
              </w:rPr>
            </w:pPr>
          </w:p>
        </w:tc>
        <w:tc>
          <w:tcPr>
            <w:tcW w:w="420" w:type="dxa"/>
            <w:vAlign w:val="bottom"/>
            <w:gridSpan w:val="2"/>
            <w:vMerge w:val="restart"/>
          </w:tcPr>
          <w:p>
            <w:pPr>
              <w:jc w:val="right"/>
              <w:ind w:right="37"/>
              <w:spacing w:after="0"/>
              <w:rPr>
                <w:sz w:val="20"/>
                <w:szCs w:val="20"/>
                <w:color w:val="auto"/>
              </w:rPr>
            </w:pPr>
            <w:r>
              <w:rPr>
                <w:rFonts w:ascii="Arial" w:cs="Arial" w:eastAsia="Arial" w:hAnsi="Arial"/>
                <w:sz w:val="8"/>
                <w:szCs w:val="8"/>
                <w:b w:val="1"/>
                <w:bCs w:val="1"/>
                <w:color w:val="auto"/>
              </w:rPr>
              <w:t>July 31,</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jc w:val="center"/>
              <w:ind w:right="59"/>
              <w:spacing w:after="0" w:line="86" w:lineRule="exact"/>
              <w:rPr>
                <w:sz w:val="20"/>
                <w:szCs w:val="20"/>
                <w:color w:val="auto"/>
              </w:rPr>
            </w:pPr>
            <w:r>
              <w:rPr>
                <w:rFonts w:ascii="Arial" w:cs="Arial" w:eastAsia="Arial" w:hAnsi="Arial"/>
                <w:sz w:val="8"/>
                <w:szCs w:val="8"/>
                <w:b w:val="1"/>
                <w:bCs w:val="1"/>
                <w:color w:val="auto"/>
                <w:w w:val="97"/>
              </w:rPr>
              <w:t>Ended</w:t>
            </w:r>
          </w:p>
        </w:tc>
        <w:tc>
          <w:tcPr>
            <w:tcW w:w="0" w:type="dxa"/>
            <w:vAlign w:val="bottom"/>
          </w:tcPr>
          <w:p>
            <w:pPr>
              <w:spacing w:after="0"/>
              <w:rPr>
                <w:sz w:val="1"/>
                <w:szCs w:val="1"/>
                <w:color w:val="auto"/>
              </w:rPr>
            </w:pPr>
          </w:p>
        </w:tc>
      </w:tr>
      <w:tr>
        <w:trPr>
          <w:trHeight w:val="105"/>
        </w:trPr>
        <w:tc>
          <w:tcPr>
            <w:tcW w:w="8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60" w:type="dxa"/>
            <w:vAlign w:val="bottom"/>
            <w:gridSpan w:val="2"/>
          </w:tcPr>
          <w:p>
            <w:pPr>
              <w:jc w:val="center"/>
              <w:spacing w:after="0"/>
              <w:rPr>
                <w:sz w:val="20"/>
                <w:szCs w:val="20"/>
                <w:color w:val="auto"/>
              </w:rPr>
            </w:pPr>
            <w:r>
              <w:rPr>
                <w:rFonts w:ascii="Arial" w:cs="Arial" w:eastAsia="Arial" w:hAnsi="Arial"/>
                <w:sz w:val="8"/>
                <w:szCs w:val="8"/>
                <w:b w:val="1"/>
                <w:bCs w:val="1"/>
                <w:color w:val="auto"/>
              </w:rPr>
              <w:t>31,</w:t>
            </w:r>
          </w:p>
        </w:tc>
        <w:tc>
          <w:tcPr>
            <w:tcW w:w="480" w:type="dxa"/>
            <w:vAlign w:val="bottom"/>
            <w:gridSpan w:val="2"/>
          </w:tcPr>
          <w:p>
            <w:pPr>
              <w:jc w:val="center"/>
              <w:spacing w:after="0"/>
              <w:rPr>
                <w:sz w:val="20"/>
                <w:szCs w:val="20"/>
                <w:color w:val="auto"/>
              </w:rPr>
            </w:pPr>
            <w:r>
              <w:rPr>
                <w:rFonts w:ascii="Arial" w:cs="Arial" w:eastAsia="Arial" w:hAnsi="Arial"/>
                <w:sz w:val="8"/>
                <w:szCs w:val="8"/>
                <w:b w:val="1"/>
                <w:bCs w:val="1"/>
                <w:color w:val="auto"/>
                <w:w w:val="89"/>
              </w:rPr>
              <w:t>31,</w:t>
            </w:r>
          </w:p>
        </w:tc>
        <w:tc>
          <w:tcPr>
            <w:tcW w:w="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80" w:type="dxa"/>
            <w:vAlign w:val="bottom"/>
            <w:gridSpan w:val="2"/>
          </w:tcPr>
          <w:p>
            <w:pPr>
              <w:jc w:val="center"/>
              <w:spacing w:after="0"/>
              <w:rPr>
                <w:sz w:val="20"/>
                <w:szCs w:val="20"/>
                <w:color w:val="auto"/>
              </w:rPr>
            </w:pPr>
            <w:r>
              <w:rPr>
                <w:rFonts w:ascii="Arial" w:cs="Arial" w:eastAsia="Arial" w:hAnsi="Arial"/>
                <w:sz w:val="8"/>
                <w:szCs w:val="8"/>
                <w:b w:val="1"/>
                <w:bCs w:val="1"/>
                <w:color w:val="auto"/>
                <w:w w:val="89"/>
              </w:rPr>
              <w:t>31,</w:t>
            </w:r>
          </w:p>
        </w:tc>
        <w:tc>
          <w:tcPr>
            <w:tcW w:w="460" w:type="dxa"/>
            <w:vAlign w:val="bottom"/>
            <w:gridSpan w:val="2"/>
          </w:tcPr>
          <w:p>
            <w:pPr>
              <w:jc w:val="center"/>
              <w:spacing w:after="0"/>
              <w:rPr>
                <w:sz w:val="20"/>
                <w:szCs w:val="20"/>
                <w:color w:val="auto"/>
              </w:rPr>
            </w:pPr>
            <w:r>
              <w:rPr>
                <w:rFonts w:ascii="Arial" w:cs="Arial" w:eastAsia="Arial" w:hAnsi="Arial"/>
                <w:sz w:val="8"/>
                <w:szCs w:val="8"/>
                <w:b w:val="1"/>
                <w:bCs w:val="1"/>
                <w:color w:val="auto"/>
              </w:rPr>
              <w:t>31,</w:t>
            </w:r>
          </w:p>
        </w:tc>
        <w:tc>
          <w:tcPr>
            <w:tcW w:w="40" w:type="dxa"/>
            <w:vAlign w:val="bottom"/>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center"/>
              <w:ind w:right="59"/>
              <w:spacing w:after="0"/>
              <w:rPr>
                <w:sz w:val="20"/>
                <w:szCs w:val="20"/>
                <w:color w:val="auto"/>
              </w:rPr>
            </w:pPr>
            <w:r>
              <w:rPr>
                <w:rFonts w:ascii="Arial" w:cs="Arial" w:eastAsia="Arial" w:hAnsi="Arial"/>
                <w:sz w:val="8"/>
                <w:szCs w:val="8"/>
                <w:b w:val="1"/>
                <w:bCs w:val="1"/>
                <w:color w:val="auto"/>
                <w:w w:val="95"/>
              </w:rPr>
              <w:t>July 31,</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2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b w:val="1"/>
                <w:bCs w:val="1"/>
                <w:color w:val="auto"/>
              </w:rPr>
              <w:t>2023</w:t>
            </w:r>
          </w:p>
        </w:tc>
        <w:tc>
          <w:tcPr>
            <w:tcW w:w="480" w:type="dxa"/>
            <w:vAlign w:val="bottom"/>
            <w:tcBorders>
              <w:bottom w:val="single" w:sz="8" w:color="auto"/>
            </w:tcBorders>
            <w:gridSpan w:val="2"/>
          </w:tcPr>
          <w:p>
            <w:pPr>
              <w:jc w:val="right"/>
              <w:ind w:right="98"/>
              <w:spacing w:after="0"/>
              <w:rPr>
                <w:sz w:val="20"/>
                <w:szCs w:val="20"/>
                <w:color w:val="auto"/>
              </w:rPr>
            </w:pPr>
            <w:r>
              <w:rPr>
                <w:rFonts w:ascii="Arial" w:cs="Arial" w:eastAsia="Arial" w:hAnsi="Arial"/>
                <w:sz w:val="8"/>
                <w:szCs w:val="8"/>
                <w:b w:val="1"/>
                <w:bCs w:val="1"/>
                <w:color w:val="auto"/>
              </w:rPr>
              <w:t>2023</w:t>
            </w:r>
          </w:p>
        </w:tc>
        <w:tc>
          <w:tcPr>
            <w:tcW w:w="46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w w:val="89"/>
              </w:rPr>
              <w:t>2023</w:t>
            </w: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rPr>
              <w:t>2024</w:t>
            </w:r>
          </w:p>
        </w:tc>
        <w:tc>
          <w:tcPr>
            <w:tcW w:w="460" w:type="dxa"/>
            <w:vAlign w:val="bottom"/>
            <w:tcBorders>
              <w:bottom w:val="single" w:sz="8" w:color="auto"/>
            </w:tcBorders>
            <w:gridSpan w:val="2"/>
          </w:tcPr>
          <w:p>
            <w:pPr>
              <w:jc w:val="right"/>
              <w:ind w:right="98"/>
              <w:spacing w:after="0"/>
              <w:rPr>
                <w:sz w:val="20"/>
                <w:szCs w:val="20"/>
                <w:color w:val="auto"/>
              </w:rPr>
            </w:pPr>
            <w:r>
              <w:rPr>
                <w:rFonts w:ascii="Arial" w:cs="Arial" w:eastAsia="Arial" w:hAnsi="Arial"/>
                <w:sz w:val="8"/>
                <w:szCs w:val="8"/>
                <w:b w:val="1"/>
                <w:bCs w:val="1"/>
                <w:color w:val="auto"/>
              </w:rPr>
              <w:t>2024</w:t>
            </w:r>
          </w:p>
        </w:tc>
        <w:tc>
          <w:tcPr>
            <w:tcW w:w="460" w:type="dxa"/>
            <w:vAlign w:val="bottom"/>
            <w:tcBorders>
              <w:bottom w:val="single" w:sz="8" w:color="auto"/>
            </w:tcBorders>
            <w:gridSpan w:val="2"/>
          </w:tcPr>
          <w:p>
            <w:pPr>
              <w:jc w:val="right"/>
              <w:ind w:right="78"/>
              <w:spacing w:after="0"/>
              <w:rPr>
                <w:sz w:val="20"/>
                <w:szCs w:val="20"/>
                <w:color w:val="auto"/>
              </w:rPr>
            </w:pPr>
            <w:r>
              <w:rPr>
                <w:rFonts w:ascii="Arial" w:cs="Arial" w:eastAsia="Arial" w:hAnsi="Arial"/>
                <w:sz w:val="8"/>
                <w:szCs w:val="8"/>
                <w:b w:val="1"/>
                <w:bCs w:val="1"/>
                <w:color w:val="auto"/>
              </w:rPr>
              <w:t>2024</w:t>
            </w: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w w:val="89"/>
              </w:rPr>
              <w:t>2024</w:t>
            </w:r>
          </w:p>
        </w:tc>
        <w:tc>
          <w:tcPr>
            <w:tcW w:w="46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rPr>
              <w:t>2025</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97"/>
              <w:spacing w:after="0"/>
              <w:rPr>
                <w:sz w:val="20"/>
                <w:szCs w:val="20"/>
                <w:color w:val="auto"/>
              </w:rPr>
            </w:pPr>
            <w:r>
              <w:rPr>
                <w:rFonts w:ascii="Arial" w:cs="Arial" w:eastAsia="Arial" w:hAnsi="Arial"/>
                <w:sz w:val="8"/>
                <w:szCs w:val="8"/>
                <w:b w:val="1"/>
                <w:bCs w:val="1"/>
                <w:color w:val="auto"/>
              </w:rPr>
              <w:t>2025</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97"/>
              <w:spacing w:after="0"/>
              <w:rPr>
                <w:sz w:val="20"/>
                <w:szCs w:val="20"/>
                <w:color w:val="auto"/>
              </w:rPr>
            </w:pPr>
            <w:r>
              <w:rPr>
                <w:rFonts w:ascii="Arial" w:cs="Arial" w:eastAsia="Arial" w:hAnsi="Arial"/>
                <w:sz w:val="8"/>
                <w:szCs w:val="8"/>
                <w:b w:val="1"/>
                <w:bCs w:val="1"/>
                <w:color w:val="auto"/>
              </w:rPr>
              <w:t>2025</w:t>
            </w: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ind w:right="59"/>
              <w:spacing w:after="0"/>
              <w:rPr>
                <w:sz w:val="20"/>
                <w:szCs w:val="20"/>
                <w:color w:val="auto"/>
              </w:rPr>
            </w:pPr>
            <w:r>
              <w:rPr>
                <w:rFonts w:ascii="Arial" w:cs="Arial" w:eastAsia="Arial" w:hAnsi="Arial"/>
                <w:sz w:val="8"/>
                <w:szCs w:val="8"/>
                <w:b w:val="1"/>
                <w:bCs w:val="1"/>
                <w:color w:val="auto"/>
                <w:w w:val="89"/>
              </w:rPr>
              <w:t>2025</w:t>
            </w: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3"/>
          </w:tcPr>
          <w:p>
            <w:pPr>
              <w:jc w:val="right"/>
              <w:ind w:right="138"/>
              <w:spacing w:after="0"/>
              <w:rPr>
                <w:sz w:val="20"/>
                <w:szCs w:val="20"/>
                <w:color w:val="auto"/>
              </w:rPr>
            </w:pPr>
            <w:r>
              <w:rPr>
                <w:rFonts w:ascii="Arial" w:cs="Arial" w:eastAsia="Arial" w:hAnsi="Arial"/>
                <w:sz w:val="8"/>
                <w:szCs w:val="8"/>
                <w:b w:val="1"/>
                <w:bCs w:val="1"/>
                <w:color w:val="auto"/>
              </w:rPr>
              <w:t>(in thousands)</w:t>
            </w: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CEEFF"/>
          </w:tcPr>
          <w:p>
            <w:pPr>
              <w:ind w:left="40"/>
              <w:spacing w:after="0"/>
              <w:rPr>
                <w:sz w:val="20"/>
                <w:szCs w:val="20"/>
                <w:color w:val="auto"/>
              </w:rPr>
            </w:pPr>
            <w:r>
              <w:rPr>
                <w:rFonts w:ascii="Arial" w:cs="Arial" w:eastAsia="Arial" w:hAnsi="Arial"/>
                <w:sz w:val="9"/>
                <w:szCs w:val="9"/>
                <w:color w:val="auto"/>
                <w:w w:val="96"/>
              </w:rPr>
              <w:t>GAAP net loss</w:t>
            </w:r>
            <w:r>
              <w:rPr>
                <w:rFonts w:ascii="Times New Roman" w:cs="Times New Roman" w:eastAsia="Times New Roman" w:hAnsi="Times New Roman"/>
                <w:sz w:val="9"/>
                <w:szCs w:val="9"/>
                <w:color w:val="B4B4B4"/>
                <w:w w:val="9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w w:val="97"/>
              </w:rPr>
              <w:t>$ (70,083)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 (82,821)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 (92,816)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 (85,832)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 (49,630)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 (42,914)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 (41,882)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 (46,652)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w w:val="95"/>
              </w:rPr>
              <w:t>(61,257)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w w:val="95"/>
              </w:rPr>
              <w:t>(38,623)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w w:val="88"/>
              </w:rPr>
              <w:t>(188,414)</w:t>
            </w:r>
          </w:p>
        </w:tc>
        <w:tc>
          <w:tcPr>
            <w:tcW w:w="0" w:type="dxa"/>
            <w:vAlign w:val="bottom"/>
          </w:tcPr>
          <w:p>
            <w:pPr>
              <w:spacing w:after="0"/>
              <w:rPr>
                <w:sz w:val="1"/>
                <w:szCs w:val="1"/>
                <w:color w:val="auto"/>
              </w:rPr>
            </w:pPr>
          </w:p>
        </w:tc>
      </w:tr>
      <w:tr>
        <w:trPr>
          <w:trHeight w:val="105"/>
        </w:trPr>
        <w:tc>
          <w:tcPr>
            <w:tcW w:w="840" w:type="dxa"/>
            <w:vAlign w:val="bottom"/>
          </w:tcPr>
          <w:p>
            <w:pPr>
              <w:ind w:left="40"/>
              <w:spacing w:after="0"/>
              <w:rPr>
                <w:sz w:val="20"/>
                <w:szCs w:val="20"/>
                <w:color w:val="auto"/>
              </w:rPr>
            </w:pPr>
            <w:r>
              <w:rPr>
                <w:rFonts w:ascii="Arial" w:cs="Arial" w:eastAsia="Arial" w:hAnsi="Arial"/>
                <w:sz w:val="9"/>
                <w:szCs w:val="9"/>
                <w:color w:val="auto"/>
              </w:rPr>
              <w:t>Stock-based</w:t>
            </w: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840" w:type="dxa"/>
            <w:vAlign w:val="bottom"/>
          </w:tcPr>
          <w:p>
            <w:pPr>
              <w:ind w:left="140"/>
              <w:spacing w:after="0" w:line="86" w:lineRule="exact"/>
              <w:rPr>
                <w:sz w:val="20"/>
                <w:szCs w:val="20"/>
                <w:color w:val="auto"/>
              </w:rPr>
            </w:pPr>
            <w:r>
              <w:rPr>
                <w:rFonts w:ascii="Arial" w:cs="Arial" w:eastAsia="Arial" w:hAnsi="Arial"/>
                <w:sz w:val="9"/>
                <w:szCs w:val="9"/>
                <w:color w:val="auto"/>
              </w:rPr>
              <w:t>compensation</w:t>
            </w: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840" w:type="dxa"/>
            <w:vAlign w:val="bottom"/>
          </w:tcPr>
          <w:p>
            <w:pPr>
              <w:ind w:left="140"/>
              <w:spacing w:after="0" w:line="77" w:lineRule="exact"/>
              <w:rPr>
                <w:sz w:val="20"/>
                <w:szCs w:val="20"/>
                <w:color w:val="auto"/>
              </w:rPr>
            </w:pPr>
            <w:r>
              <w:rPr>
                <w:rFonts w:ascii="Arial" w:cs="Arial" w:eastAsia="Arial" w:hAnsi="Arial"/>
                <w:sz w:val="8"/>
                <w:szCs w:val="8"/>
                <w:color w:val="auto"/>
              </w:rPr>
              <w:t>expense-related</w:t>
            </w: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18,610</w:t>
            </w:r>
          </w:p>
        </w:tc>
        <w:tc>
          <w:tcPr>
            <w:tcW w:w="480" w:type="dxa"/>
            <w:vAlign w:val="bottom"/>
            <w:gridSpan w:val="2"/>
            <w:vMerge w:val="restart"/>
          </w:tcPr>
          <w:p>
            <w:pPr>
              <w:jc w:val="right"/>
              <w:spacing w:after="0"/>
              <w:rPr>
                <w:sz w:val="20"/>
                <w:szCs w:val="20"/>
                <w:color w:val="auto"/>
              </w:rPr>
            </w:pPr>
            <w:r>
              <w:rPr>
                <w:rFonts w:ascii="Arial" w:cs="Arial" w:eastAsia="Arial" w:hAnsi="Arial"/>
                <w:sz w:val="9"/>
                <w:szCs w:val="9"/>
                <w:color w:val="auto"/>
              </w:rPr>
              <w:t>20,993</w:t>
            </w:r>
          </w:p>
        </w:tc>
        <w:tc>
          <w:tcPr>
            <w:tcW w:w="460" w:type="dxa"/>
            <w:vAlign w:val="bottom"/>
            <w:gridSpan w:val="2"/>
            <w:vMerge w:val="restart"/>
          </w:tcPr>
          <w:p>
            <w:pPr>
              <w:jc w:val="right"/>
              <w:spacing w:after="0"/>
              <w:rPr>
                <w:sz w:val="20"/>
                <w:szCs w:val="20"/>
                <w:color w:val="auto"/>
              </w:rPr>
            </w:pPr>
            <w:r>
              <w:rPr>
                <w:rFonts w:ascii="Arial" w:cs="Arial" w:eastAsia="Arial" w:hAnsi="Arial"/>
                <w:sz w:val="9"/>
                <w:szCs w:val="9"/>
                <w:color w:val="auto"/>
              </w:rPr>
              <w:t>19,169</w:t>
            </w:r>
          </w:p>
        </w:tc>
        <w:tc>
          <w:tcPr>
            <w:tcW w:w="480" w:type="dxa"/>
            <w:vAlign w:val="bottom"/>
            <w:gridSpan w:val="2"/>
            <w:vMerge w:val="restart"/>
          </w:tcPr>
          <w:p>
            <w:pPr>
              <w:jc w:val="right"/>
              <w:spacing w:after="0"/>
              <w:rPr>
                <w:sz w:val="20"/>
                <w:szCs w:val="20"/>
                <w:color w:val="auto"/>
              </w:rPr>
            </w:pPr>
            <w:r>
              <w:rPr>
                <w:rFonts w:ascii="Arial" w:cs="Arial" w:eastAsia="Arial" w:hAnsi="Arial"/>
                <w:sz w:val="9"/>
                <w:szCs w:val="9"/>
                <w:color w:val="auto"/>
              </w:rPr>
              <w:t>17,079</w:t>
            </w:r>
          </w:p>
        </w:tc>
        <w:tc>
          <w:tcPr>
            <w:tcW w:w="460" w:type="dxa"/>
            <w:vAlign w:val="bottom"/>
            <w:gridSpan w:val="2"/>
            <w:vMerge w:val="restart"/>
          </w:tcPr>
          <w:p>
            <w:pPr>
              <w:jc w:val="right"/>
              <w:spacing w:after="0"/>
              <w:rPr>
                <w:sz w:val="20"/>
                <w:szCs w:val="20"/>
                <w:color w:val="auto"/>
              </w:rPr>
            </w:pPr>
            <w:r>
              <w:rPr>
                <w:rFonts w:ascii="Arial" w:cs="Arial" w:eastAsia="Arial" w:hAnsi="Arial"/>
                <w:sz w:val="9"/>
                <w:szCs w:val="9"/>
                <w:color w:val="auto"/>
              </w:rPr>
              <w:t>17,911</w:t>
            </w:r>
          </w:p>
        </w:tc>
        <w:tc>
          <w:tcPr>
            <w:tcW w:w="460" w:type="dxa"/>
            <w:vAlign w:val="bottom"/>
            <w:gridSpan w:val="2"/>
            <w:vMerge w:val="restart"/>
          </w:tcPr>
          <w:p>
            <w:pPr>
              <w:jc w:val="right"/>
              <w:spacing w:after="0"/>
              <w:rPr>
                <w:sz w:val="20"/>
                <w:szCs w:val="20"/>
                <w:color w:val="auto"/>
              </w:rPr>
            </w:pPr>
            <w:r>
              <w:rPr>
                <w:rFonts w:ascii="Arial" w:cs="Arial" w:eastAsia="Arial" w:hAnsi="Arial"/>
                <w:sz w:val="9"/>
                <w:szCs w:val="9"/>
                <w:color w:val="auto"/>
              </w:rPr>
              <w:t>17,381</w:t>
            </w:r>
          </w:p>
        </w:tc>
        <w:tc>
          <w:tcPr>
            <w:tcW w:w="480" w:type="dxa"/>
            <w:vAlign w:val="bottom"/>
            <w:gridSpan w:val="2"/>
            <w:vMerge w:val="restart"/>
          </w:tcPr>
          <w:p>
            <w:pPr>
              <w:jc w:val="right"/>
              <w:spacing w:after="0"/>
              <w:rPr>
                <w:sz w:val="20"/>
                <w:szCs w:val="20"/>
                <w:color w:val="auto"/>
              </w:rPr>
            </w:pPr>
            <w:r>
              <w:rPr>
                <w:rFonts w:ascii="Arial" w:cs="Arial" w:eastAsia="Arial" w:hAnsi="Arial"/>
                <w:sz w:val="9"/>
                <w:szCs w:val="9"/>
                <w:color w:val="auto"/>
              </w:rPr>
              <w:t>24,576</w:t>
            </w:r>
          </w:p>
        </w:tc>
        <w:tc>
          <w:tcPr>
            <w:tcW w:w="460" w:type="dxa"/>
            <w:vAlign w:val="bottom"/>
            <w:gridSpan w:val="2"/>
            <w:vMerge w:val="restart"/>
          </w:tcPr>
          <w:p>
            <w:pPr>
              <w:jc w:val="right"/>
              <w:spacing w:after="0"/>
              <w:rPr>
                <w:sz w:val="20"/>
                <w:szCs w:val="20"/>
                <w:color w:val="auto"/>
              </w:rPr>
            </w:pPr>
            <w:r>
              <w:rPr>
                <w:rFonts w:ascii="Arial" w:cs="Arial" w:eastAsia="Arial" w:hAnsi="Arial"/>
                <w:sz w:val="9"/>
                <w:szCs w:val="9"/>
                <w:color w:val="auto"/>
              </w:rPr>
              <w:t>17,511</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restart"/>
          </w:tcPr>
          <w:p>
            <w:pPr>
              <w:jc w:val="right"/>
              <w:spacing w:after="0"/>
              <w:rPr>
                <w:sz w:val="20"/>
                <w:szCs w:val="20"/>
                <w:color w:val="auto"/>
              </w:rPr>
            </w:pPr>
            <w:r>
              <w:rPr>
                <w:rFonts w:ascii="Arial" w:cs="Arial" w:eastAsia="Arial" w:hAnsi="Arial"/>
                <w:sz w:val="9"/>
                <w:szCs w:val="9"/>
                <w:color w:val="auto"/>
              </w:rPr>
              <w:t>17,260</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restart"/>
          </w:tcPr>
          <w:p>
            <w:pPr>
              <w:jc w:val="right"/>
              <w:spacing w:after="0"/>
              <w:rPr>
                <w:sz w:val="20"/>
                <w:szCs w:val="20"/>
                <w:color w:val="auto"/>
              </w:rPr>
            </w:pPr>
            <w:r>
              <w:rPr>
                <w:rFonts w:ascii="Arial" w:cs="Arial" w:eastAsia="Arial" w:hAnsi="Arial"/>
                <w:sz w:val="9"/>
                <w:szCs w:val="9"/>
                <w:color w:val="auto"/>
              </w:rPr>
              <w:t>19,337</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9"/>
                <w:szCs w:val="9"/>
                <w:color w:val="auto"/>
              </w:rPr>
              <w:t>78,684</w:t>
            </w:r>
          </w:p>
        </w:tc>
        <w:tc>
          <w:tcPr>
            <w:tcW w:w="0" w:type="dxa"/>
            <w:vAlign w:val="bottom"/>
          </w:tcPr>
          <w:p>
            <w:pPr>
              <w:spacing w:after="0"/>
              <w:rPr>
                <w:sz w:val="1"/>
                <w:szCs w:val="1"/>
                <w:color w:val="auto"/>
              </w:rPr>
            </w:pPr>
          </w:p>
        </w:tc>
      </w:tr>
      <w:tr>
        <w:trPr>
          <w:trHeight w:val="118"/>
        </w:trPr>
        <w:tc>
          <w:tcPr>
            <w:tcW w:w="840" w:type="dxa"/>
            <w:vAlign w:val="bottom"/>
          </w:tcPr>
          <w:p>
            <w:pPr>
              <w:ind w:left="140"/>
              <w:spacing w:after="0"/>
              <w:rPr>
                <w:sz w:val="20"/>
                <w:szCs w:val="20"/>
                <w:color w:val="auto"/>
              </w:rPr>
            </w:pPr>
            <w:r>
              <w:rPr>
                <w:rFonts w:ascii="Arial" w:cs="Arial" w:eastAsia="Arial" w:hAnsi="Arial"/>
                <w:sz w:val="9"/>
                <w:szCs w:val="9"/>
                <w:color w:val="auto"/>
                <w:w w:val="96"/>
              </w:rPr>
              <w:t>charges</w:t>
            </w:r>
            <w:r>
              <w:rPr>
                <w:rFonts w:ascii="Times New Roman" w:cs="Times New Roman" w:eastAsia="Times New Roman" w:hAnsi="Times New Roman"/>
                <w:sz w:val="9"/>
                <w:szCs w:val="9"/>
                <w:color w:val="B4B4B4"/>
                <w:w w:val="96"/>
              </w:rPr>
              <w:t>.................</w:t>
            </w:r>
          </w:p>
        </w:tc>
        <w:tc>
          <w:tcPr>
            <w:tcW w:w="420" w:type="dxa"/>
            <w:vAlign w:val="bottom"/>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840" w:type="dxa"/>
            <w:vAlign w:val="bottom"/>
            <w:shd w:val="clear" w:color="auto" w:fill="CCEEFF"/>
          </w:tcPr>
          <w:p>
            <w:pPr>
              <w:ind w:left="40"/>
              <w:spacing w:after="0" w:line="102" w:lineRule="exact"/>
              <w:rPr>
                <w:sz w:val="20"/>
                <w:szCs w:val="20"/>
                <w:color w:val="auto"/>
              </w:rPr>
            </w:pPr>
            <w:r>
              <w:rPr>
                <w:rFonts w:ascii="Arial" w:cs="Arial" w:eastAsia="Arial" w:hAnsi="Arial"/>
                <w:sz w:val="9"/>
                <w:szCs w:val="9"/>
                <w:color w:val="auto"/>
              </w:rPr>
              <w:t>Amortization of</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2,544</w:t>
            </w: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9"/>
                <w:szCs w:val="9"/>
                <w:color w:val="auto"/>
              </w:rPr>
              <w:t>1,265</w:t>
            </w: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9"/>
                <w:szCs w:val="9"/>
                <w:color w:val="auto"/>
              </w:rPr>
              <w:t>1,267</w:t>
            </w: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9"/>
                <w:szCs w:val="9"/>
                <w:color w:val="auto"/>
              </w:rPr>
              <w:t>1,288</w:t>
            </w: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9"/>
                <w:szCs w:val="9"/>
                <w:color w:val="auto"/>
              </w:rPr>
              <w:t>1,284</w:t>
            </w: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9"/>
                <w:szCs w:val="9"/>
                <w:color w:val="auto"/>
              </w:rPr>
              <w:t>1,309</w:t>
            </w: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9"/>
                <w:szCs w:val="9"/>
                <w:color w:val="auto"/>
              </w:rPr>
              <w:t>1,348</w:t>
            </w: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9"/>
                <w:szCs w:val="9"/>
                <w:color w:val="auto"/>
              </w:rPr>
              <w:t>1,276</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1,310</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1,320</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5,254</w:t>
            </w:r>
          </w:p>
        </w:tc>
        <w:tc>
          <w:tcPr>
            <w:tcW w:w="0" w:type="dxa"/>
            <w:vAlign w:val="bottom"/>
          </w:tcPr>
          <w:p>
            <w:pPr>
              <w:spacing w:after="0"/>
              <w:rPr>
                <w:sz w:val="1"/>
                <w:szCs w:val="1"/>
                <w:color w:val="auto"/>
              </w:rPr>
            </w:pPr>
          </w:p>
        </w:tc>
      </w:tr>
      <w:tr>
        <w:trPr>
          <w:trHeight w:val="124"/>
        </w:trPr>
        <w:tc>
          <w:tcPr>
            <w:tcW w:w="840" w:type="dxa"/>
            <w:vAlign w:val="bottom"/>
            <w:shd w:val="clear" w:color="auto" w:fill="CCEEFF"/>
          </w:tcPr>
          <w:p>
            <w:pPr>
              <w:ind w:left="140"/>
              <w:spacing w:after="0"/>
              <w:rPr>
                <w:sz w:val="20"/>
                <w:szCs w:val="20"/>
                <w:color w:val="auto"/>
              </w:rPr>
            </w:pPr>
            <w:r>
              <w:rPr>
                <w:rFonts w:ascii="Arial" w:cs="Arial" w:eastAsia="Arial" w:hAnsi="Arial"/>
                <w:sz w:val="9"/>
                <w:szCs w:val="9"/>
                <w:color w:val="auto"/>
                <w:w w:val="98"/>
              </w:rPr>
              <w:t>intangible assets</w:t>
            </w:r>
            <w:r>
              <w:rPr>
                <w:rFonts w:ascii="Times New Roman" w:cs="Times New Roman" w:eastAsia="Times New Roman" w:hAnsi="Times New Roman"/>
                <w:sz w:val="9"/>
                <w:szCs w:val="9"/>
                <w:color w:val="B4B4B4"/>
                <w:w w:val="98"/>
              </w:rPr>
              <w:t>.</w:t>
            </w:r>
          </w:p>
        </w:tc>
        <w:tc>
          <w:tcPr>
            <w:tcW w:w="420" w:type="dxa"/>
            <w:vAlign w:val="bottom"/>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40" w:type="dxa"/>
            <w:vAlign w:val="bottom"/>
          </w:tcPr>
          <w:p>
            <w:pPr>
              <w:ind w:left="40"/>
              <w:spacing w:after="0"/>
              <w:rPr>
                <w:sz w:val="20"/>
                <w:szCs w:val="20"/>
                <w:color w:val="auto"/>
              </w:rPr>
            </w:pPr>
            <w:r>
              <w:rPr>
                <w:rFonts w:ascii="Arial" w:cs="Arial" w:eastAsia="Arial" w:hAnsi="Arial"/>
                <w:sz w:val="9"/>
                <w:szCs w:val="9"/>
                <w:color w:val="auto"/>
                <w:w w:val="97"/>
              </w:rPr>
              <w:t>Amortization of debt</w:t>
            </w: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840" w:type="dxa"/>
            <w:vAlign w:val="bottom"/>
          </w:tcPr>
          <w:p>
            <w:pPr>
              <w:ind w:left="140"/>
              <w:spacing w:after="0" w:line="86" w:lineRule="exact"/>
              <w:rPr>
                <w:sz w:val="20"/>
                <w:szCs w:val="20"/>
                <w:color w:val="auto"/>
              </w:rPr>
            </w:pPr>
            <w:r>
              <w:rPr>
                <w:rFonts w:ascii="Arial" w:cs="Arial" w:eastAsia="Arial" w:hAnsi="Arial"/>
                <w:sz w:val="9"/>
                <w:szCs w:val="9"/>
                <w:color w:val="auto"/>
              </w:rPr>
              <w:t>discount and</w:t>
            </w: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840" w:type="dxa"/>
            <w:vAlign w:val="bottom"/>
          </w:tcPr>
          <w:p>
            <w:pPr>
              <w:ind w:left="140"/>
              <w:spacing w:after="0" w:line="77" w:lineRule="exact"/>
              <w:rPr>
                <w:sz w:val="20"/>
                <w:szCs w:val="20"/>
                <w:color w:val="auto"/>
              </w:rPr>
            </w:pPr>
            <w:r>
              <w:rPr>
                <w:rFonts w:ascii="Arial" w:cs="Arial" w:eastAsia="Arial" w:hAnsi="Arial"/>
                <w:sz w:val="8"/>
                <w:szCs w:val="8"/>
                <w:color w:val="auto"/>
              </w:rPr>
              <w:t>debt issuance</w:t>
            </w: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3,396</w:t>
            </w:r>
          </w:p>
        </w:tc>
        <w:tc>
          <w:tcPr>
            <w:tcW w:w="480" w:type="dxa"/>
            <w:vAlign w:val="bottom"/>
            <w:gridSpan w:val="2"/>
            <w:vMerge w:val="restart"/>
          </w:tcPr>
          <w:p>
            <w:pPr>
              <w:jc w:val="right"/>
              <w:spacing w:after="0"/>
              <w:rPr>
                <w:sz w:val="20"/>
                <w:szCs w:val="20"/>
                <w:color w:val="auto"/>
              </w:rPr>
            </w:pPr>
            <w:r>
              <w:rPr>
                <w:rFonts w:ascii="Arial" w:cs="Arial" w:eastAsia="Arial" w:hAnsi="Arial"/>
                <w:sz w:val="9"/>
                <w:szCs w:val="9"/>
                <w:color w:val="auto"/>
              </w:rPr>
              <w:t>3,893</w:t>
            </w:r>
          </w:p>
        </w:tc>
        <w:tc>
          <w:tcPr>
            <w:tcW w:w="460" w:type="dxa"/>
            <w:vAlign w:val="bottom"/>
            <w:gridSpan w:val="2"/>
            <w:vMerge w:val="restart"/>
          </w:tcPr>
          <w:p>
            <w:pPr>
              <w:jc w:val="right"/>
              <w:spacing w:after="0"/>
              <w:rPr>
                <w:sz w:val="20"/>
                <w:szCs w:val="20"/>
                <w:color w:val="auto"/>
              </w:rPr>
            </w:pPr>
            <w:r>
              <w:rPr>
                <w:rFonts w:ascii="Arial" w:cs="Arial" w:eastAsia="Arial" w:hAnsi="Arial"/>
                <w:sz w:val="9"/>
                <w:szCs w:val="9"/>
                <w:color w:val="auto"/>
              </w:rPr>
              <w:t>3,718</w:t>
            </w:r>
          </w:p>
        </w:tc>
        <w:tc>
          <w:tcPr>
            <w:tcW w:w="480" w:type="dxa"/>
            <w:vAlign w:val="bottom"/>
            <w:gridSpan w:val="2"/>
            <w:vMerge w:val="restart"/>
          </w:tcPr>
          <w:p>
            <w:pPr>
              <w:jc w:val="right"/>
              <w:spacing w:after="0"/>
              <w:rPr>
                <w:sz w:val="20"/>
                <w:szCs w:val="20"/>
                <w:color w:val="auto"/>
              </w:rPr>
            </w:pPr>
            <w:r>
              <w:rPr>
                <w:rFonts w:ascii="Arial" w:cs="Arial" w:eastAsia="Arial" w:hAnsi="Arial"/>
                <w:sz w:val="9"/>
                <w:szCs w:val="9"/>
                <w:color w:val="auto"/>
              </w:rPr>
              <w:t>3,729</w:t>
            </w:r>
          </w:p>
        </w:tc>
        <w:tc>
          <w:tcPr>
            <w:tcW w:w="460" w:type="dxa"/>
            <w:vAlign w:val="bottom"/>
            <w:gridSpan w:val="2"/>
            <w:vMerge w:val="restart"/>
          </w:tcPr>
          <w:p>
            <w:pPr>
              <w:jc w:val="right"/>
              <w:spacing w:after="0"/>
              <w:rPr>
                <w:sz w:val="20"/>
                <w:szCs w:val="20"/>
                <w:color w:val="auto"/>
              </w:rPr>
            </w:pPr>
            <w:r>
              <w:rPr>
                <w:rFonts w:ascii="Arial" w:cs="Arial" w:eastAsia="Arial" w:hAnsi="Arial"/>
                <w:sz w:val="9"/>
                <w:szCs w:val="9"/>
                <w:color w:val="auto"/>
              </w:rPr>
              <w:t>3,654</w:t>
            </w:r>
          </w:p>
        </w:tc>
        <w:tc>
          <w:tcPr>
            <w:tcW w:w="460" w:type="dxa"/>
            <w:vAlign w:val="bottom"/>
            <w:gridSpan w:val="2"/>
            <w:vMerge w:val="restart"/>
          </w:tcPr>
          <w:p>
            <w:pPr>
              <w:jc w:val="right"/>
              <w:spacing w:after="0"/>
              <w:rPr>
                <w:sz w:val="20"/>
                <w:szCs w:val="20"/>
                <w:color w:val="auto"/>
              </w:rPr>
            </w:pPr>
            <w:r>
              <w:rPr>
                <w:rFonts w:ascii="Arial" w:cs="Arial" w:eastAsia="Arial" w:hAnsi="Arial"/>
                <w:sz w:val="9"/>
                <w:szCs w:val="9"/>
                <w:color w:val="auto"/>
              </w:rPr>
              <w:t>3,856</w:t>
            </w:r>
          </w:p>
        </w:tc>
        <w:tc>
          <w:tcPr>
            <w:tcW w:w="480" w:type="dxa"/>
            <w:vAlign w:val="bottom"/>
            <w:gridSpan w:val="2"/>
            <w:vMerge w:val="restart"/>
          </w:tcPr>
          <w:p>
            <w:pPr>
              <w:jc w:val="right"/>
              <w:spacing w:after="0"/>
              <w:rPr>
                <w:sz w:val="20"/>
                <w:szCs w:val="20"/>
                <w:color w:val="auto"/>
              </w:rPr>
            </w:pPr>
            <w:r>
              <w:rPr>
                <w:rFonts w:ascii="Arial" w:cs="Arial" w:eastAsia="Arial" w:hAnsi="Arial"/>
                <w:sz w:val="9"/>
                <w:szCs w:val="9"/>
                <w:color w:val="auto"/>
              </w:rPr>
              <w:t>2,735</w:t>
            </w:r>
          </w:p>
        </w:tc>
        <w:tc>
          <w:tcPr>
            <w:tcW w:w="460" w:type="dxa"/>
            <w:vAlign w:val="bottom"/>
            <w:gridSpan w:val="2"/>
            <w:vMerge w:val="restart"/>
          </w:tcPr>
          <w:p>
            <w:pPr>
              <w:jc w:val="right"/>
              <w:spacing w:after="0"/>
              <w:rPr>
                <w:sz w:val="20"/>
                <w:szCs w:val="20"/>
                <w:color w:val="auto"/>
              </w:rPr>
            </w:pPr>
            <w:r>
              <w:rPr>
                <w:rFonts w:ascii="Arial" w:cs="Arial" w:eastAsia="Arial" w:hAnsi="Arial"/>
                <w:sz w:val="9"/>
                <w:szCs w:val="9"/>
                <w:color w:val="auto"/>
              </w:rPr>
              <w:t>1,966</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restart"/>
          </w:tcPr>
          <w:p>
            <w:pPr>
              <w:jc w:val="right"/>
              <w:spacing w:after="0"/>
              <w:rPr>
                <w:sz w:val="20"/>
                <w:szCs w:val="20"/>
                <w:color w:val="auto"/>
              </w:rPr>
            </w:pPr>
            <w:r>
              <w:rPr>
                <w:rFonts w:ascii="Arial" w:cs="Arial" w:eastAsia="Arial" w:hAnsi="Arial"/>
                <w:sz w:val="9"/>
                <w:szCs w:val="9"/>
                <w:color w:val="auto"/>
              </w:rPr>
              <w:t>1,434</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restart"/>
          </w:tcPr>
          <w:p>
            <w:pPr>
              <w:jc w:val="right"/>
              <w:spacing w:after="0"/>
              <w:rPr>
                <w:sz w:val="20"/>
                <w:szCs w:val="20"/>
                <w:color w:val="auto"/>
              </w:rPr>
            </w:pPr>
            <w:r>
              <w:rPr>
                <w:rFonts w:ascii="Arial" w:cs="Arial" w:eastAsia="Arial" w:hAnsi="Arial"/>
                <w:sz w:val="9"/>
                <w:szCs w:val="9"/>
                <w:color w:val="auto"/>
              </w:rPr>
              <w:t>1,550</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9"/>
                <w:szCs w:val="9"/>
                <w:color w:val="auto"/>
              </w:rPr>
              <w:t>7,685</w:t>
            </w:r>
          </w:p>
        </w:tc>
        <w:tc>
          <w:tcPr>
            <w:tcW w:w="0" w:type="dxa"/>
            <w:vAlign w:val="bottom"/>
          </w:tcPr>
          <w:p>
            <w:pPr>
              <w:spacing w:after="0"/>
              <w:rPr>
                <w:sz w:val="1"/>
                <w:szCs w:val="1"/>
                <w:color w:val="auto"/>
              </w:rPr>
            </w:pPr>
          </w:p>
        </w:tc>
      </w:tr>
      <w:tr>
        <w:trPr>
          <w:trHeight w:val="118"/>
        </w:trPr>
        <w:tc>
          <w:tcPr>
            <w:tcW w:w="840" w:type="dxa"/>
            <w:vAlign w:val="bottom"/>
          </w:tcPr>
          <w:p>
            <w:pPr>
              <w:ind w:left="140"/>
              <w:spacing w:after="0"/>
              <w:rPr>
                <w:sz w:val="20"/>
                <w:szCs w:val="20"/>
                <w:color w:val="auto"/>
              </w:rPr>
            </w:pPr>
            <w:r>
              <w:rPr>
                <w:rFonts w:ascii="Arial" w:cs="Arial" w:eastAsia="Arial" w:hAnsi="Arial"/>
                <w:sz w:val="9"/>
                <w:szCs w:val="9"/>
                <w:color w:val="auto"/>
              </w:rPr>
              <w:t>costs</w:t>
            </w:r>
          </w:p>
        </w:tc>
        <w:tc>
          <w:tcPr>
            <w:tcW w:w="420" w:type="dxa"/>
            <w:vAlign w:val="bottom"/>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840" w:type="dxa"/>
            <w:vAlign w:val="bottom"/>
            <w:shd w:val="clear" w:color="auto" w:fill="CCEEFF"/>
          </w:tcPr>
          <w:p>
            <w:pPr>
              <w:ind w:left="40"/>
              <w:spacing w:after="0" w:line="102" w:lineRule="exact"/>
              <w:rPr>
                <w:sz w:val="20"/>
                <w:szCs w:val="20"/>
                <w:color w:val="auto"/>
              </w:rPr>
            </w:pPr>
            <w:r>
              <w:rPr>
                <w:rFonts w:ascii="Arial" w:cs="Arial" w:eastAsia="Arial" w:hAnsi="Arial"/>
                <w:sz w:val="9"/>
                <w:szCs w:val="9"/>
                <w:color w:val="auto"/>
              </w:rPr>
              <w:t>Deferred offering</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9"/>
                <w:szCs w:val="9"/>
                <w:color w:val="auto"/>
              </w:rPr>
              <w:t>3,749</w:t>
            </w:r>
          </w:p>
        </w:tc>
        <w:tc>
          <w:tcPr>
            <w:tcW w:w="4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4"/>
        </w:trPr>
        <w:tc>
          <w:tcPr>
            <w:tcW w:w="840" w:type="dxa"/>
            <w:vAlign w:val="bottom"/>
            <w:shd w:val="clear" w:color="auto" w:fill="CCEEFF"/>
          </w:tcPr>
          <w:p>
            <w:pPr>
              <w:ind w:left="140"/>
              <w:spacing w:after="0"/>
              <w:rPr>
                <w:sz w:val="20"/>
                <w:szCs w:val="20"/>
                <w:color w:val="auto"/>
              </w:rPr>
            </w:pPr>
            <w:r>
              <w:rPr>
                <w:rFonts w:ascii="Arial" w:cs="Arial" w:eastAsia="Arial" w:hAnsi="Arial"/>
                <w:sz w:val="9"/>
                <w:szCs w:val="9"/>
                <w:color w:val="auto"/>
                <w:w w:val="98"/>
              </w:rPr>
              <w:t>costs write-off</w:t>
            </w:r>
            <w:r>
              <w:rPr>
                <w:rFonts w:ascii="Times New Roman" w:cs="Times New Roman" w:eastAsia="Times New Roman" w:hAnsi="Times New Roman"/>
                <w:sz w:val="9"/>
                <w:szCs w:val="9"/>
                <w:color w:val="B4B4B4"/>
                <w:w w:val="98"/>
              </w:rPr>
              <w:t>......</w:t>
            </w:r>
          </w:p>
        </w:tc>
        <w:tc>
          <w:tcPr>
            <w:tcW w:w="42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40" w:type="dxa"/>
            <w:vAlign w:val="bottom"/>
          </w:tcPr>
          <w:p>
            <w:pPr>
              <w:ind w:left="40"/>
              <w:spacing w:after="0"/>
              <w:rPr>
                <w:sz w:val="20"/>
                <w:szCs w:val="20"/>
                <w:color w:val="auto"/>
              </w:rPr>
            </w:pPr>
            <w:r>
              <w:rPr>
                <w:rFonts w:ascii="Arial" w:cs="Arial" w:eastAsia="Arial" w:hAnsi="Arial"/>
                <w:sz w:val="9"/>
                <w:szCs w:val="9"/>
                <w:color w:val="auto"/>
              </w:rPr>
              <w:t>Gain (loss) on fair</w:t>
            </w: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840" w:type="dxa"/>
            <w:vAlign w:val="bottom"/>
          </w:tcPr>
          <w:p>
            <w:pPr>
              <w:ind w:left="140"/>
              <w:spacing w:after="0" w:line="77" w:lineRule="exact"/>
              <w:rPr>
                <w:sz w:val="20"/>
                <w:szCs w:val="20"/>
                <w:color w:val="auto"/>
              </w:rPr>
            </w:pPr>
            <w:r>
              <w:rPr>
                <w:rFonts w:ascii="Arial" w:cs="Arial" w:eastAsia="Arial" w:hAnsi="Arial"/>
                <w:sz w:val="8"/>
                <w:szCs w:val="8"/>
                <w:color w:val="auto"/>
              </w:rPr>
              <w:t>value</w:t>
            </w: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13,562</w:t>
            </w:r>
          </w:p>
        </w:tc>
        <w:tc>
          <w:tcPr>
            <w:tcW w:w="480" w:type="dxa"/>
            <w:vAlign w:val="bottom"/>
            <w:gridSpan w:val="2"/>
            <w:vMerge w:val="restart"/>
          </w:tcPr>
          <w:p>
            <w:pPr>
              <w:jc w:val="right"/>
              <w:spacing w:after="0"/>
              <w:rPr>
                <w:sz w:val="20"/>
                <w:szCs w:val="20"/>
                <w:color w:val="auto"/>
              </w:rPr>
            </w:pPr>
            <w:r>
              <w:rPr>
                <w:rFonts w:ascii="Arial" w:cs="Arial" w:eastAsia="Arial" w:hAnsi="Arial"/>
                <w:sz w:val="9"/>
                <w:szCs w:val="9"/>
                <w:color w:val="auto"/>
              </w:rPr>
              <w:t>(1,353)</w:t>
            </w:r>
          </w:p>
        </w:tc>
        <w:tc>
          <w:tcPr>
            <w:tcW w:w="460" w:type="dxa"/>
            <w:vAlign w:val="bottom"/>
            <w:gridSpan w:val="2"/>
            <w:vMerge w:val="restart"/>
          </w:tcPr>
          <w:p>
            <w:pPr>
              <w:jc w:val="right"/>
              <w:spacing w:after="0"/>
              <w:rPr>
                <w:sz w:val="20"/>
                <w:szCs w:val="20"/>
                <w:color w:val="auto"/>
              </w:rPr>
            </w:pPr>
            <w:r>
              <w:rPr>
                <w:rFonts w:ascii="Arial" w:cs="Arial" w:eastAsia="Arial" w:hAnsi="Arial"/>
                <w:sz w:val="9"/>
                <w:szCs w:val="9"/>
                <w:color w:val="auto"/>
              </w:rPr>
              <w:t>12,625</w:t>
            </w:r>
          </w:p>
        </w:tc>
        <w:tc>
          <w:tcPr>
            <w:tcW w:w="480" w:type="dxa"/>
            <w:vAlign w:val="bottom"/>
            <w:gridSpan w:val="2"/>
            <w:vMerge w:val="restart"/>
          </w:tcPr>
          <w:p>
            <w:pPr>
              <w:jc w:val="right"/>
              <w:spacing w:after="0"/>
              <w:rPr>
                <w:sz w:val="20"/>
                <w:szCs w:val="20"/>
                <w:color w:val="auto"/>
              </w:rPr>
            </w:pPr>
            <w:r>
              <w:rPr>
                <w:rFonts w:ascii="Arial" w:cs="Arial" w:eastAsia="Arial" w:hAnsi="Arial"/>
                <w:sz w:val="9"/>
                <w:szCs w:val="9"/>
                <w:color w:val="auto"/>
              </w:rPr>
              <w:t>1,760</w:t>
            </w:r>
          </w:p>
        </w:tc>
        <w:tc>
          <w:tcPr>
            <w:tcW w:w="460" w:type="dxa"/>
            <w:vAlign w:val="bottom"/>
            <w:gridSpan w:val="2"/>
            <w:vMerge w:val="restart"/>
          </w:tcPr>
          <w:p>
            <w:pPr>
              <w:jc w:val="right"/>
              <w:spacing w:after="0"/>
              <w:rPr>
                <w:sz w:val="20"/>
                <w:szCs w:val="20"/>
                <w:color w:val="auto"/>
              </w:rPr>
            </w:pPr>
            <w:r>
              <w:rPr>
                <w:rFonts w:ascii="Arial" w:cs="Arial" w:eastAsia="Arial" w:hAnsi="Arial"/>
                <w:sz w:val="9"/>
                <w:szCs w:val="9"/>
                <w:color w:val="auto"/>
              </w:rPr>
              <w:t>(1,510)</w:t>
            </w:r>
          </w:p>
        </w:tc>
        <w:tc>
          <w:tcPr>
            <w:tcW w:w="460" w:type="dxa"/>
            <w:vAlign w:val="bottom"/>
            <w:gridSpan w:val="2"/>
            <w:vMerge w:val="restart"/>
          </w:tcPr>
          <w:p>
            <w:pPr>
              <w:jc w:val="right"/>
              <w:spacing w:after="0"/>
              <w:rPr>
                <w:sz w:val="20"/>
                <w:szCs w:val="20"/>
                <w:color w:val="auto"/>
              </w:rPr>
            </w:pPr>
            <w:r>
              <w:rPr>
                <w:rFonts w:ascii="Arial" w:cs="Arial" w:eastAsia="Arial" w:hAnsi="Arial"/>
                <w:sz w:val="9"/>
                <w:szCs w:val="9"/>
                <w:color w:val="auto"/>
              </w:rPr>
              <w:t>(1,510)</w:t>
            </w:r>
          </w:p>
        </w:tc>
        <w:tc>
          <w:tcPr>
            <w:tcW w:w="480" w:type="dxa"/>
            <w:vAlign w:val="bottom"/>
            <w:gridSpan w:val="2"/>
            <w:vMerge w:val="restart"/>
          </w:tcPr>
          <w:p>
            <w:pPr>
              <w:jc w:val="right"/>
              <w:spacing w:after="0"/>
              <w:rPr>
                <w:sz w:val="20"/>
                <w:szCs w:val="20"/>
                <w:color w:val="auto"/>
              </w:rPr>
            </w:pPr>
            <w:r>
              <w:rPr>
                <w:rFonts w:ascii="Arial" w:cs="Arial" w:eastAsia="Arial" w:hAnsi="Arial"/>
                <w:sz w:val="9"/>
                <w:szCs w:val="9"/>
                <w:color w:val="auto"/>
              </w:rPr>
              <w:t>(1,381)</w:t>
            </w:r>
          </w:p>
        </w:tc>
        <w:tc>
          <w:tcPr>
            <w:tcW w:w="460" w:type="dxa"/>
            <w:vAlign w:val="bottom"/>
            <w:gridSpan w:val="2"/>
            <w:vMerge w:val="restart"/>
          </w:tcPr>
          <w:p>
            <w:pPr>
              <w:jc w:val="right"/>
              <w:spacing w:after="0"/>
              <w:rPr>
                <w:sz w:val="20"/>
                <w:szCs w:val="20"/>
                <w:color w:val="auto"/>
              </w:rPr>
            </w:pPr>
            <w:r>
              <w:rPr>
                <w:rFonts w:ascii="Arial" w:cs="Arial" w:eastAsia="Arial" w:hAnsi="Arial"/>
                <w:sz w:val="9"/>
                <w:szCs w:val="9"/>
                <w:color w:val="auto"/>
              </w:rPr>
              <w:t>(7,799)</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restart"/>
          </w:tcPr>
          <w:p>
            <w:pPr>
              <w:jc w:val="right"/>
              <w:spacing w:after="0"/>
              <w:rPr>
                <w:sz w:val="20"/>
                <w:szCs w:val="20"/>
                <w:color w:val="auto"/>
              </w:rPr>
            </w:pPr>
            <w:r>
              <w:rPr>
                <w:rFonts w:ascii="Arial" w:cs="Arial" w:eastAsia="Arial" w:hAnsi="Arial"/>
                <w:sz w:val="9"/>
                <w:szCs w:val="9"/>
                <w:color w:val="auto"/>
              </w:rPr>
              <w:t>10,136</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restart"/>
          </w:tcPr>
          <w:p>
            <w:pPr>
              <w:jc w:val="right"/>
              <w:spacing w:after="0"/>
              <w:rPr>
                <w:sz w:val="20"/>
                <w:szCs w:val="20"/>
                <w:color w:val="auto"/>
              </w:rPr>
            </w:pPr>
            <w:r>
              <w:rPr>
                <w:rFonts w:ascii="Arial" w:cs="Arial" w:eastAsia="Arial" w:hAnsi="Arial"/>
                <w:sz w:val="9"/>
                <w:szCs w:val="9"/>
                <w:color w:val="auto"/>
              </w:rPr>
              <w:t>7,750</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9"/>
                <w:szCs w:val="9"/>
                <w:color w:val="auto"/>
              </w:rPr>
              <w:t>8,706</w:t>
            </w:r>
          </w:p>
        </w:tc>
        <w:tc>
          <w:tcPr>
            <w:tcW w:w="0" w:type="dxa"/>
            <w:vAlign w:val="bottom"/>
          </w:tcPr>
          <w:p>
            <w:pPr>
              <w:spacing w:after="0"/>
              <w:rPr>
                <w:sz w:val="1"/>
                <w:szCs w:val="1"/>
                <w:color w:val="auto"/>
              </w:rPr>
            </w:pPr>
          </w:p>
        </w:tc>
      </w:tr>
      <w:tr>
        <w:trPr>
          <w:trHeight w:val="118"/>
        </w:trPr>
        <w:tc>
          <w:tcPr>
            <w:tcW w:w="840" w:type="dxa"/>
            <w:vAlign w:val="bottom"/>
          </w:tcPr>
          <w:p>
            <w:pPr>
              <w:ind w:left="140"/>
              <w:spacing w:after="0"/>
              <w:rPr>
                <w:sz w:val="20"/>
                <w:szCs w:val="20"/>
                <w:color w:val="auto"/>
              </w:rPr>
            </w:pPr>
            <w:r>
              <w:rPr>
                <w:rFonts w:ascii="Arial" w:cs="Arial" w:eastAsia="Arial" w:hAnsi="Arial"/>
                <w:sz w:val="9"/>
                <w:szCs w:val="9"/>
                <w:color w:val="auto"/>
                <w:w w:val="98"/>
              </w:rPr>
              <w:t>adjustments</w:t>
            </w:r>
            <w:r>
              <w:rPr>
                <w:rFonts w:ascii="Times New Roman" w:cs="Times New Roman" w:eastAsia="Times New Roman" w:hAnsi="Times New Roman"/>
                <w:sz w:val="9"/>
                <w:szCs w:val="9"/>
                <w:color w:val="B4B4B4"/>
                <w:w w:val="98"/>
              </w:rPr>
              <w:t>.........</w:t>
            </w:r>
          </w:p>
        </w:tc>
        <w:tc>
          <w:tcPr>
            <w:tcW w:w="420" w:type="dxa"/>
            <w:vAlign w:val="bottom"/>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840" w:type="dxa"/>
            <w:vAlign w:val="bottom"/>
            <w:shd w:val="clear" w:color="auto" w:fill="CCEEFF"/>
          </w:tcPr>
          <w:p>
            <w:pPr>
              <w:ind w:left="40"/>
              <w:spacing w:after="0" w:line="102" w:lineRule="exact"/>
              <w:rPr>
                <w:sz w:val="20"/>
                <w:szCs w:val="20"/>
                <w:color w:val="auto"/>
              </w:rPr>
            </w:pPr>
            <w:r>
              <w:rPr>
                <w:rFonts w:ascii="Arial" w:cs="Arial" w:eastAsia="Arial" w:hAnsi="Arial"/>
                <w:sz w:val="9"/>
                <w:szCs w:val="9"/>
                <w:color w:val="auto"/>
              </w:rPr>
              <w:t>Restructuring and</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5,713</w:t>
            </w: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9"/>
                <w:szCs w:val="9"/>
                <w:color w:val="auto"/>
              </w:rPr>
              <w:t>40</w:t>
            </w:r>
          </w:p>
        </w:tc>
        <w:tc>
          <w:tcPr>
            <w:tcW w:w="4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9"/>
                <w:szCs w:val="9"/>
                <w:color w:val="auto"/>
              </w:rPr>
              <w:t>2,824</w:t>
            </w:r>
          </w:p>
        </w:tc>
        <w:tc>
          <w:tcPr>
            <w:tcW w:w="4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4"/>
        </w:trPr>
        <w:tc>
          <w:tcPr>
            <w:tcW w:w="840" w:type="dxa"/>
            <w:vAlign w:val="bottom"/>
            <w:shd w:val="clear" w:color="auto" w:fill="CCEEFF"/>
          </w:tcPr>
          <w:p>
            <w:pPr>
              <w:ind w:left="140"/>
              <w:spacing w:after="0"/>
              <w:rPr>
                <w:sz w:val="20"/>
                <w:szCs w:val="20"/>
                <w:color w:val="auto"/>
              </w:rPr>
            </w:pPr>
            <w:r>
              <w:rPr>
                <w:rFonts w:ascii="Arial" w:cs="Arial" w:eastAsia="Arial" w:hAnsi="Arial"/>
                <w:sz w:val="9"/>
                <w:szCs w:val="9"/>
                <w:color w:val="auto"/>
                <w:w w:val="97"/>
              </w:rPr>
              <w:t>facility exit costs</w:t>
            </w:r>
            <w:r>
              <w:rPr>
                <w:rFonts w:ascii="Times New Roman" w:cs="Times New Roman" w:eastAsia="Times New Roman" w:hAnsi="Times New Roman"/>
                <w:sz w:val="9"/>
                <w:szCs w:val="9"/>
                <w:color w:val="B4B4B4"/>
                <w:w w:val="97"/>
              </w:rPr>
              <w:t>..</w:t>
            </w:r>
          </w:p>
        </w:tc>
        <w:tc>
          <w:tcPr>
            <w:tcW w:w="420" w:type="dxa"/>
            <w:vAlign w:val="bottom"/>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840" w:type="dxa"/>
            <w:vAlign w:val="bottom"/>
          </w:tcPr>
          <w:p>
            <w:pPr>
              <w:ind w:left="40"/>
              <w:spacing w:after="0" w:line="96" w:lineRule="exact"/>
              <w:rPr>
                <w:sz w:val="20"/>
                <w:szCs w:val="20"/>
                <w:color w:val="auto"/>
              </w:rPr>
            </w:pPr>
            <w:r>
              <w:rPr>
                <w:rFonts w:ascii="Arial" w:cs="Arial" w:eastAsia="Arial" w:hAnsi="Arial"/>
                <w:sz w:val="9"/>
                <w:szCs w:val="9"/>
                <w:color w:val="auto"/>
              </w:rPr>
              <w:t>Reversal of tax</w:t>
            </w: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(29,652)</w:t>
            </w:r>
          </w:p>
        </w:tc>
        <w:tc>
          <w:tcPr>
            <w:tcW w:w="4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8"/>
        </w:trPr>
        <w:tc>
          <w:tcPr>
            <w:tcW w:w="840" w:type="dxa"/>
            <w:vAlign w:val="bottom"/>
          </w:tcPr>
          <w:p>
            <w:pPr>
              <w:ind w:left="140"/>
              <w:spacing w:after="0"/>
              <w:rPr>
                <w:sz w:val="20"/>
                <w:szCs w:val="20"/>
                <w:color w:val="auto"/>
              </w:rPr>
            </w:pPr>
            <w:r>
              <w:rPr>
                <w:rFonts w:ascii="Arial" w:cs="Arial" w:eastAsia="Arial" w:hAnsi="Arial"/>
                <w:sz w:val="9"/>
                <w:szCs w:val="9"/>
                <w:color w:val="auto"/>
                <w:w w:val="96"/>
              </w:rPr>
              <w:t>contingency</w:t>
            </w:r>
            <w:r>
              <w:rPr>
                <w:rFonts w:ascii="Times New Roman" w:cs="Times New Roman" w:eastAsia="Times New Roman" w:hAnsi="Times New Roman"/>
                <w:sz w:val="9"/>
                <w:szCs w:val="9"/>
                <w:color w:val="B4B4B4"/>
                <w:w w:val="96"/>
              </w:rPr>
              <w:t>..........</w:t>
            </w:r>
          </w:p>
        </w:tc>
        <w:tc>
          <w:tcPr>
            <w:tcW w:w="4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840" w:type="dxa"/>
            <w:vAlign w:val="bottom"/>
            <w:shd w:val="clear" w:color="auto" w:fill="CCEEFF"/>
          </w:tcPr>
          <w:p>
            <w:pPr>
              <w:ind w:left="40"/>
              <w:spacing w:after="0" w:line="102" w:lineRule="exact"/>
              <w:rPr>
                <w:sz w:val="20"/>
                <w:szCs w:val="20"/>
                <w:color w:val="auto"/>
              </w:rPr>
            </w:pPr>
            <w:r>
              <w:rPr>
                <w:rFonts w:ascii="Arial" w:cs="Arial" w:eastAsia="Arial" w:hAnsi="Arial"/>
                <w:sz w:val="9"/>
                <w:szCs w:val="9"/>
                <w:color w:val="auto"/>
                <w:w w:val="95"/>
              </w:rPr>
              <w:t>SAFE debt issuance</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2,913</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2,913</w:t>
            </w:r>
          </w:p>
        </w:tc>
        <w:tc>
          <w:tcPr>
            <w:tcW w:w="0" w:type="dxa"/>
            <w:vAlign w:val="bottom"/>
          </w:tcPr>
          <w:p>
            <w:pPr>
              <w:spacing w:after="0"/>
              <w:rPr>
                <w:sz w:val="1"/>
                <w:szCs w:val="1"/>
                <w:color w:val="auto"/>
              </w:rPr>
            </w:pPr>
          </w:p>
        </w:tc>
      </w:tr>
      <w:tr>
        <w:trPr>
          <w:trHeight w:val="124"/>
        </w:trPr>
        <w:tc>
          <w:tcPr>
            <w:tcW w:w="840" w:type="dxa"/>
            <w:vAlign w:val="bottom"/>
            <w:shd w:val="clear" w:color="auto" w:fill="CCEEFF"/>
          </w:tcPr>
          <w:p>
            <w:pPr>
              <w:ind w:left="140"/>
              <w:spacing w:after="0"/>
              <w:rPr>
                <w:sz w:val="20"/>
                <w:szCs w:val="20"/>
                <w:color w:val="auto"/>
              </w:rPr>
            </w:pPr>
            <w:r>
              <w:rPr>
                <w:rFonts w:ascii="Arial" w:cs="Arial" w:eastAsia="Arial" w:hAnsi="Arial"/>
                <w:sz w:val="9"/>
                <w:szCs w:val="9"/>
                <w:color w:val="auto"/>
                <w:w w:val="98"/>
              </w:rPr>
              <w:t>costs expensed</w:t>
            </w:r>
            <w:r>
              <w:rPr>
                <w:rFonts w:ascii="Times New Roman" w:cs="Times New Roman" w:eastAsia="Times New Roman" w:hAnsi="Times New Roman"/>
                <w:sz w:val="9"/>
                <w:szCs w:val="9"/>
                <w:color w:val="B4B4B4"/>
                <w:w w:val="98"/>
              </w:rPr>
              <w:t>...</w:t>
            </w:r>
          </w:p>
        </w:tc>
        <w:tc>
          <w:tcPr>
            <w:tcW w:w="42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40" w:type="dxa"/>
            <w:vAlign w:val="bottom"/>
          </w:tcPr>
          <w:p>
            <w:pPr>
              <w:ind w:left="40"/>
              <w:spacing w:after="0"/>
              <w:rPr>
                <w:sz w:val="20"/>
                <w:szCs w:val="20"/>
                <w:color w:val="auto"/>
              </w:rPr>
            </w:pPr>
            <w:r>
              <w:rPr>
                <w:rFonts w:ascii="Arial" w:cs="Arial" w:eastAsia="Arial" w:hAnsi="Arial"/>
                <w:sz w:val="9"/>
                <w:szCs w:val="9"/>
                <w:color w:val="auto"/>
              </w:rPr>
              <w:t>Loss on</w:t>
            </w: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840" w:type="dxa"/>
            <w:vAlign w:val="bottom"/>
          </w:tcPr>
          <w:p>
            <w:pPr>
              <w:ind w:left="140"/>
              <w:spacing w:after="0" w:line="77" w:lineRule="exact"/>
              <w:rPr>
                <w:sz w:val="20"/>
                <w:szCs w:val="20"/>
                <w:color w:val="auto"/>
              </w:rPr>
            </w:pPr>
            <w:r>
              <w:rPr>
                <w:rFonts w:ascii="Arial" w:cs="Arial" w:eastAsia="Arial" w:hAnsi="Arial"/>
                <w:sz w:val="8"/>
                <w:szCs w:val="8"/>
                <w:color w:val="auto"/>
              </w:rPr>
              <w:t>extinguishment of</w:t>
            </w: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6"/>
                <w:szCs w:val="6"/>
                <w:color w:val="auto"/>
              </w:rPr>
            </w:pPr>
          </w:p>
        </w:tc>
        <w:tc>
          <w:tcPr>
            <w:tcW w:w="4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6"/>
                <w:szCs w:val="6"/>
                <w:color w:val="auto"/>
              </w:rPr>
            </w:pP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6"/>
                <w:szCs w:val="6"/>
                <w:color w:val="auto"/>
              </w:rPr>
            </w:pPr>
          </w:p>
        </w:tc>
        <w:tc>
          <w:tcPr>
            <w:tcW w:w="4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6"/>
                <w:szCs w:val="6"/>
                <w:color w:val="auto"/>
              </w:rPr>
            </w:pP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6"/>
                <w:szCs w:val="6"/>
                <w:color w:val="auto"/>
              </w:rPr>
            </w:pP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6"/>
                <w:szCs w:val="6"/>
                <w:color w:val="auto"/>
              </w:rPr>
            </w:pPr>
          </w:p>
        </w:tc>
        <w:tc>
          <w:tcPr>
            <w:tcW w:w="4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6"/>
                <w:szCs w:val="6"/>
                <w:color w:val="auto"/>
              </w:rPr>
            </w:pP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restart"/>
          </w:tcPr>
          <w:p>
            <w:pPr>
              <w:jc w:val="right"/>
              <w:spacing w:after="0"/>
              <w:rPr>
                <w:sz w:val="20"/>
                <w:szCs w:val="20"/>
                <w:color w:val="auto"/>
              </w:rPr>
            </w:pPr>
            <w:r>
              <w:rPr>
                <w:rFonts w:ascii="Arial" w:cs="Arial" w:eastAsia="Arial" w:hAnsi="Arial"/>
                <w:sz w:val="9"/>
                <w:szCs w:val="9"/>
                <w:color w:val="auto"/>
              </w:rPr>
              <w:t>20,528</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9"/>
                <w:szCs w:val="9"/>
                <w:color w:val="auto"/>
              </w:rPr>
              <w:t>20,528</w:t>
            </w:r>
          </w:p>
        </w:tc>
        <w:tc>
          <w:tcPr>
            <w:tcW w:w="0" w:type="dxa"/>
            <w:vAlign w:val="bottom"/>
          </w:tcPr>
          <w:p>
            <w:pPr>
              <w:spacing w:after="0"/>
              <w:rPr>
                <w:sz w:val="1"/>
                <w:szCs w:val="1"/>
                <w:color w:val="auto"/>
              </w:rPr>
            </w:pPr>
          </w:p>
        </w:tc>
      </w:tr>
      <w:tr>
        <w:trPr>
          <w:trHeight w:val="118"/>
        </w:trPr>
        <w:tc>
          <w:tcPr>
            <w:tcW w:w="840" w:type="dxa"/>
            <w:vAlign w:val="bottom"/>
          </w:tcPr>
          <w:p>
            <w:pPr>
              <w:ind w:left="140"/>
              <w:spacing w:after="0"/>
              <w:rPr>
                <w:sz w:val="20"/>
                <w:szCs w:val="20"/>
                <w:color w:val="auto"/>
              </w:rPr>
            </w:pPr>
            <w:r>
              <w:rPr>
                <w:rFonts w:ascii="Arial" w:cs="Arial" w:eastAsia="Arial" w:hAnsi="Arial"/>
                <w:sz w:val="9"/>
                <w:szCs w:val="9"/>
                <w:color w:val="auto"/>
                <w:w w:val="94"/>
              </w:rPr>
              <w:t xml:space="preserve">debt </w:t>
            </w:r>
            <w:r>
              <w:rPr>
                <w:rFonts w:ascii="Times New Roman" w:cs="Times New Roman" w:eastAsia="Times New Roman" w:hAnsi="Times New Roman"/>
                <w:sz w:val="9"/>
                <w:szCs w:val="9"/>
                <w:color w:val="B4B4B4"/>
                <w:w w:val="94"/>
              </w:rPr>
              <w:t>.......................</w:t>
            </w:r>
          </w:p>
        </w:tc>
        <w:tc>
          <w:tcPr>
            <w:tcW w:w="4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840" w:type="dxa"/>
            <w:vAlign w:val="bottom"/>
            <w:shd w:val="clear" w:color="auto" w:fill="CCEEFF"/>
          </w:tcPr>
          <w:p>
            <w:pPr>
              <w:ind w:left="40"/>
              <w:spacing w:after="0" w:line="102" w:lineRule="exact"/>
              <w:rPr>
                <w:sz w:val="20"/>
                <w:szCs w:val="20"/>
                <w:color w:val="auto"/>
              </w:rPr>
            </w:pPr>
            <w:r>
              <w:rPr>
                <w:rFonts w:ascii="Arial" w:cs="Arial" w:eastAsia="Arial" w:hAnsi="Arial"/>
                <w:sz w:val="9"/>
                <w:szCs w:val="9"/>
                <w:color w:val="auto"/>
                <w:w w:val="93"/>
              </w:rPr>
              <w:t>Non-GAAP provision</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218</w:t>
            </w:r>
          </w:p>
        </w:tc>
        <w:tc>
          <w:tcPr>
            <w:tcW w:w="40" w:type="dxa"/>
            <w:vAlign w:val="bottom"/>
            <w:vMerge w:val="restart"/>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240</w:t>
            </w:r>
          </w:p>
        </w:tc>
        <w:tc>
          <w:tcPr>
            <w:tcW w:w="40" w:type="dxa"/>
            <w:vAlign w:val="bottom"/>
            <w:vMerge w:val="restart"/>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259</w:t>
            </w:r>
          </w:p>
        </w:tc>
        <w:tc>
          <w:tcPr>
            <w:tcW w:w="40" w:type="dxa"/>
            <w:vAlign w:val="bottom"/>
            <w:vMerge w:val="restart"/>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263</w:t>
            </w:r>
          </w:p>
        </w:tc>
        <w:tc>
          <w:tcPr>
            <w:tcW w:w="40" w:type="dxa"/>
            <w:vAlign w:val="bottom"/>
            <w:vMerge w:val="restart"/>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368</w:t>
            </w:r>
          </w:p>
        </w:tc>
        <w:tc>
          <w:tcPr>
            <w:tcW w:w="40" w:type="dxa"/>
            <w:vAlign w:val="bottom"/>
            <w:vMerge w:val="restart"/>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388</w:t>
            </w:r>
          </w:p>
        </w:tc>
        <w:tc>
          <w:tcPr>
            <w:tcW w:w="40" w:type="dxa"/>
            <w:vAlign w:val="bottom"/>
            <w:vMerge w:val="restart"/>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682</w:t>
            </w:r>
          </w:p>
        </w:tc>
        <w:tc>
          <w:tcPr>
            <w:tcW w:w="40" w:type="dxa"/>
            <w:vAlign w:val="bottom"/>
            <w:vMerge w:val="restart"/>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646</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604</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963</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2,895</w:t>
            </w:r>
          </w:p>
        </w:tc>
        <w:tc>
          <w:tcPr>
            <w:tcW w:w="0" w:type="dxa"/>
            <w:vAlign w:val="bottom"/>
          </w:tcPr>
          <w:p>
            <w:pPr>
              <w:spacing w:after="0"/>
              <w:rPr>
                <w:sz w:val="1"/>
                <w:szCs w:val="1"/>
                <w:color w:val="auto"/>
              </w:rPr>
            </w:pPr>
          </w:p>
        </w:tc>
      </w:tr>
      <w:tr>
        <w:trPr>
          <w:trHeight w:val="118"/>
        </w:trPr>
        <w:tc>
          <w:tcPr>
            <w:tcW w:w="840" w:type="dxa"/>
            <w:vAlign w:val="bottom"/>
            <w:shd w:val="clear" w:color="auto" w:fill="CCEEFF"/>
          </w:tcPr>
          <w:p>
            <w:pPr>
              <w:ind w:left="140"/>
              <w:spacing w:after="0"/>
              <w:rPr>
                <w:sz w:val="20"/>
                <w:szCs w:val="20"/>
                <w:color w:val="auto"/>
              </w:rPr>
            </w:pPr>
            <w:r>
              <w:rPr>
                <w:rFonts w:ascii="Arial" w:cs="Arial" w:eastAsia="Arial" w:hAnsi="Arial"/>
                <w:sz w:val="9"/>
                <w:szCs w:val="9"/>
                <w:color w:val="auto"/>
                <w:w w:val="96"/>
              </w:rPr>
              <w:t>for income taxes</w:t>
            </w:r>
            <w:r>
              <w:rPr>
                <w:rFonts w:ascii="Times New Roman" w:cs="Times New Roman" w:eastAsia="Times New Roman" w:hAnsi="Times New Roman"/>
                <w:sz w:val="9"/>
                <w:szCs w:val="9"/>
                <w:color w:val="B4B4B4"/>
                <w:w w:val="96"/>
              </w:rPr>
              <w:t>..</w:t>
            </w:r>
          </w:p>
        </w:tc>
        <w:tc>
          <w:tcPr>
            <w:tcW w:w="420" w:type="dxa"/>
            <w:vAlign w:val="bottom"/>
            <w:tcBorders>
              <w:bottom w:val="single" w:sz="8" w:color="auto"/>
            </w:tcBorders>
            <w:vMerge w:val="continue"/>
            <w:shd w:val="clear" w:color="auto" w:fill="CCEEFF"/>
          </w:tcPr>
          <w:p>
            <w:pPr>
              <w:spacing w:after="0"/>
              <w:rPr>
                <w:sz w:val="10"/>
                <w:szCs w:val="10"/>
                <w:color w:val="auto"/>
              </w:rPr>
            </w:pPr>
          </w:p>
        </w:tc>
        <w:tc>
          <w:tcPr>
            <w:tcW w:w="40" w:type="dxa"/>
            <w:vAlign w:val="bottom"/>
            <w:vMerge w:val="continue"/>
            <w:shd w:val="clear" w:color="auto" w:fill="CCEEFF"/>
          </w:tcPr>
          <w:p>
            <w:pPr>
              <w:spacing w:after="0"/>
              <w:rPr>
                <w:sz w:val="10"/>
                <w:szCs w:val="10"/>
                <w:color w:val="auto"/>
              </w:rPr>
            </w:pPr>
          </w:p>
        </w:tc>
        <w:tc>
          <w:tcPr>
            <w:tcW w:w="440" w:type="dxa"/>
            <w:vAlign w:val="bottom"/>
            <w:tcBorders>
              <w:bottom w:val="single" w:sz="8" w:color="auto"/>
            </w:tcBorders>
            <w:vMerge w:val="continue"/>
            <w:shd w:val="clear" w:color="auto" w:fill="CCEEFF"/>
          </w:tcPr>
          <w:p>
            <w:pPr>
              <w:spacing w:after="0"/>
              <w:rPr>
                <w:sz w:val="10"/>
                <w:szCs w:val="10"/>
                <w:color w:val="auto"/>
              </w:rPr>
            </w:pPr>
          </w:p>
        </w:tc>
        <w:tc>
          <w:tcPr>
            <w:tcW w:w="40" w:type="dxa"/>
            <w:vAlign w:val="bottom"/>
            <w:vMerge w:val="continue"/>
            <w:shd w:val="clear" w:color="auto" w:fill="CCEEFF"/>
          </w:tcPr>
          <w:p>
            <w:pPr>
              <w:spacing w:after="0"/>
              <w:rPr>
                <w:sz w:val="10"/>
                <w:szCs w:val="10"/>
                <w:color w:val="auto"/>
              </w:rPr>
            </w:pPr>
          </w:p>
        </w:tc>
        <w:tc>
          <w:tcPr>
            <w:tcW w:w="420" w:type="dxa"/>
            <w:vAlign w:val="bottom"/>
            <w:tcBorders>
              <w:bottom w:val="single" w:sz="8" w:color="auto"/>
            </w:tcBorders>
            <w:vMerge w:val="continue"/>
            <w:shd w:val="clear" w:color="auto" w:fill="CCEEFF"/>
          </w:tcPr>
          <w:p>
            <w:pPr>
              <w:spacing w:after="0"/>
              <w:rPr>
                <w:sz w:val="10"/>
                <w:szCs w:val="10"/>
                <w:color w:val="auto"/>
              </w:rPr>
            </w:pPr>
          </w:p>
        </w:tc>
        <w:tc>
          <w:tcPr>
            <w:tcW w:w="40" w:type="dxa"/>
            <w:vAlign w:val="bottom"/>
            <w:vMerge w:val="continue"/>
            <w:shd w:val="clear" w:color="auto" w:fill="CCEEFF"/>
          </w:tcPr>
          <w:p>
            <w:pPr>
              <w:spacing w:after="0"/>
              <w:rPr>
                <w:sz w:val="10"/>
                <w:szCs w:val="10"/>
                <w:color w:val="auto"/>
              </w:rPr>
            </w:pPr>
          </w:p>
        </w:tc>
        <w:tc>
          <w:tcPr>
            <w:tcW w:w="440" w:type="dxa"/>
            <w:vAlign w:val="bottom"/>
            <w:tcBorders>
              <w:bottom w:val="single" w:sz="8" w:color="auto"/>
            </w:tcBorders>
            <w:vMerge w:val="continue"/>
            <w:shd w:val="clear" w:color="auto" w:fill="CCEEFF"/>
          </w:tcPr>
          <w:p>
            <w:pPr>
              <w:spacing w:after="0"/>
              <w:rPr>
                <w:sz w:val="10"/>
                <w:szCs w:val="10"/>
                <w:color w:val="auto"/>
              </w:rPr>
            </w:pPr>
          </w:p>
        </w:tc>
        <w:tc>
          <w:tcPr>
            <w:tcW w:w="40" w:type="dxa"/>
            <w:vAlign w:val="bottom"/>
            <w:vMerge w:val="continue"/>
            <w:shd w:val="clear" w:color="auto" w:fill="CCEEFF"/>
          </w:tcPr>
          <w:p>
            <w:pPr>
              <w:spacing w:after="0"/>
              <w:rPr>
                <w:sz w:val="10"/>
                <w:szCs w:val="10"/>
                <w:color w:val="auto"/>
              </w:rPr>
            </w:pPr>
          </w:p>
        </w:tc>
        <w:tc>
          <w:tcPr>
            <w:tcW w:w="420" w:type="dxa"/>
            <w:vAlign w:val="bottom"/>
            <w:tcBorders>
              <w:bottom w:val="single" w:sz="8" w:color="auto"/>
            </w:tcBorders>
            <w:vMerge w:val="continue"/>
            <w:shd w:val="clear" w:color="auto" w:fill="CCEEFF"/>
          </w:tcPr>
          <w:p>
            <w:pPr>
              <w:spacing w:after="0"/>
              <w:rPr>
                <w:sz w:val="10"/>
                <w:szCs w:val="10"/>
                <w:color w:val="auto"/>
              </w:rPr>
            </w:pPr>
          </w:p>
        </w:tc>
        <w:tc>
          <w:tcPr>
            <w:tcW w:w="40" w:type="dxa"/>
            <w:vAlign w:val="bottom"/>
            <w:vMerge w:val="continue"/>
            <w:shd w:val="clear" w:color="auto" w:fill="CCEEFF"/>
          </w:tcPr>
          <w:p>
            <w:pPr>
              <w:spacing w:after="0"/>
              <w:rPr>
                <w:sz w:val="10"/>
                <w:szCs w:val="10"/>
                <w:color w:val="auto"/>
              </w:rPr>
            </w:pPr>
          </w:p>
        </w:tc>
        <w:tc>
          <w:tcPr>
            <w:tcW w:w="420" w:type="dxa"/>
            <w:vAlign w:val="bottom"/>
            <w:tcBorders>
              <w:bottom w:val="single" w:sz="8" w:color="auto"/>
            </w:tcBorders>
            <w:vMerge w:val="continue"/>
            <w:shd w:val="clear" w:color="auto" w:fill="CCEEFF"/>
          </w:tcPr>
          <w:p>
            <w:pPr>
              <w:spacing w:after="0"/>
              <w:rPr>
                <w:sz w:val="10"/>
                <w:szCs w:val="10"/>
                <w:color w:val="auto"/>
              </w:rPr>
            </w:pPr>
          </w:p>
        </w:tc>
        <w:tc>
          <w:tcPr>
            <w:tcW w:w="40" w:type="dxa"/>
            <w:vAlign w:val="bottom"/>
            <w:vMerge w:val="continue"/>
            <w:shd w:val="clear" w:color="auto" w:fill="CCEEFF"/>
          </w:tcPr>
          <w:p>
            <w:pPr>
              <w:spacing w:after="0"/>
              <w:rPr>
                <w:sz w:val="10"/>
                <w:szCs w:val="10"/>
                <w:color w:val="auto"/>
              </w:rPr>
            </w:pPr>
          </w:p>
        </w:tc>
        <w:tc>
          <w:tcPr>
            <w:tcW w:w="440" w:type="dxa"/>
            <w:vAlign w:val="bottom"/>
            <w:tcBorders>
              <w:bottom w:val="single" w:sz="8" w:color="auto"/>
            </w:tcBorders>
            <w:vMerge w:val="continue"/>
            <w:shd w:val="clear" w:color="auto" w:fill="CCEEFF"/>
          </w:tcPr>
          <w:p>
            <w:pPr>
              <w:spacing w:after="0"/>
              <w:rPr>
                <w:sz w:val="10"/>
                <w:szCs w:val="10"/>
                <w:color w:val="auto"/>
              </w:rPr>
            </w:pPr>
          </w:p>
        </w:tc>
        <w:tc>
          <w:tcPr>
            <w:tcW w:w="40" w:type="dxa"/>
            <w:vAlign w:val="bottom"/>
            <w:vMerge w:val="continue"/>
            <w:shd w:val="clear" w:color="auto" w:fill="CCEEFF"/>
          </w:tcPr>
          <w:p>
            <w:pPr>
              <w:spacing w:after="0"/>
              <w:rPr>
                <w:sz w:val="10"/>
                <w:szCs w:val="10"/>
                <w:color w:val="auto"/>
              </w:rPr>
            </w:pPr>
          </w:p>
        </w:tc>
        <w:tc>
          <w:tcPr>
            <w:tcW w:w="420" w:type="dxa"/>
            <w:vAlign w:val="bottom"/>
            <w:tcBorders>
              <w:bottom w:val="single" w:sz="8" w:color="auto"/>
            </w:tcBorders>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40" w:type="dxa"/>
            <w:vAlign w:val="bottom"/>
          </w:tcPr>
          <w:p>
            <w:pPr>
              <w:ind w:left="40"/>
              <w:spacing w:after="0"/>
              <w:rPr>
                <w:sz w:val="20"/>
                <w:szCs w:val="20"/>
                <w:color w:val="auto"/>
              </w:rPr>
            </w:pPr>
            <w:r>
              <w:rPr>
                <w:rFonts w:ascii="Arial" w:cs="Arial" w:eastAsia="Arial" w:hAnsi="Arial"/>
                <w:sz w:val="9"/>
                <w:szCs w:val="9"/>
                <w:color w:val="auto"/>
                <w:w w:val="94"/>
              </w:rPr>
              <w:t>Non-GAAP net loss</w:t>
            </w:r>
            <w:r>
              <w:rPr>
                <w:rFonts w:ascii="Times New Roman" w:cs="Times New Roman" w:eastAsia="Times New Roman" w:hAnsi="Times New Roman"/>
                <w:sz w:val="9"/>
                <w:szCs w:val="9"/>
                <w:color w:val="B4B4B4"/>
                <w:w w:val="9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97"/>
              </w:rPr>
              <w:t>$ (55,692)</w:t>
            </w:r>
          </w:p>
        </w:tc>
        <w:tc>
          <w:tcPr>
            <w:tcW w:w="40" w:type="dxa"/>
            <w:vAlign w:val="bottom"/>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97"/>
              </w:rPr>
              <w:t>$ (57,743)</w:t>
            </w:r>
          </w:p>
        </w:tc>
        <w:tc>
          <w:tcPr>
            <w:tcW w:w="40" w:type="dxa"/>
            <w:vAlign w:val="bottom"/>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97"/>
              </w:rPr>
              <w:t>$ (52,029)</w:t>
            </w:r>
          </w:p>
        </w:tc>
        <w:tc>
          <w:tcPr>
            <w:tcW w:w="40" w:type="dxa"/>
            <w:vAlign w:val="bottom"/>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97"/>
              </w:rPr>
              <w:t>$ (58,889)</w:t>
            </w:r>
          </w:p>
        </w:tc>
        <w:tc>
          <w:tcPr>
            <w:tcW w:w="40" w:type="dxa"/>
            <w:vAlign w:val="bottom"/>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97"/>
              </w:rPr>
              <w:t>$ (27,923)</w:t>
            </w:r>
          </w:p>
        </w:tc>
        <w:tc>
          <w:tcPr>
            <w:tcW w:w="40" w:type="dxa"/>
            <w:vAlign w:val="bottom"/>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97"/>
              </w:rPr>
              <w:t>$ (21,490)</w:t>
            </w:r>
          </w:p>
        </w:tc>
        <w:tc>
          <w:tcPr>
            <w:tcW w:w="40" w:type="dxa"/>
            <w:vAlign w:val="bottom"/>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 (13,922)</w:t>
            </w:r>
          </w:p>
        </w:tc>
        <w:tc>
          <w:tcPr>
            <w:tcW w:w="40" w:type="dxa"/>
            <w:vAlign w:val="bottom"/>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97"/>
              </w:rPr>
              <w:t>$ (33,052)</w:t>
            </w:r>
          </w:p>
        </w:tc>
        <w:tc>
          <w:tcPr>
            <w:tcW w:w="4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(7,072)</w:t>
            </w:r>
          </w:p>
        </w:tc>
        <w:tc>
          <w:tcPr>
            <w:tcW w:w="4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(7,703)</w:t>
            </w:r>
          </w:p>
        </w:tc>
        <w:tc>
          <w:tcPr>
            <w:tcW w:w="4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(61,749)</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Liquidity and Capital Resources</w:t>
      </w:r>
    </w:p>
    <w:p>
      <w:pPr>
        <w:spacing w:after="0" w:line="130" w:lineRule="exact"/>
        <w:rPr>
          <w:sz w:val="20"/>
          <w:szCs w:val="20"/>
          <w:color w:val="auto"/>
        </w:rPr>
      </w:pPr>
    </w:p>
    <w:p>
      <w:pPr>
        <w:ind w:left="1520" w:right="1720" w:firstLine="230"/>
        <w:spacing w:after="0" w:line="270" w:lineRule="auto"/>
        <w:rPr>
          <w:sz w:val="20"/>
          <w:szCs w:val="20"/>
          <w:color w:val="auto"/>
        </w:rPr>
      </w:pPr>
      <w:r>
        <w:rPr>
          <w:rFonts w:ascii="Arial" w:cs="Arial" w:eastAsia="Arial" w:hAnsi="Arial"/>
          <w:sz w:val="12"/>
          <w:szCs w:val="12"/>
          <w:color w:val="auto"/>
        </w:rPr>
        <w:t>Since our inception, we have financed our operations primarily through sales of equity securities and debt, as well as cash generated from operations. Our principal uses of cash in recent periods have been funding our operations, investing in our business, technologies, and platform, capital expenditures, and various business acquisitions. As of July 31, 2025, our principal sources of liquidity were cash and cash equivalents of $223.2 million, which were held primarily for working capital purposes. Cash and cash equivalents consisted of funds deposited with banks, funds available for use held with our corporate card payment processing partner, which are not earmarked to collateralize corporate card spend by our customers, and money market funds with original or remaining maturities of three months or less at the time of purchase. We have generated significant operating losses from our operations as reflected in our accumulated deficit of $1,717.0 million as of July 31, 2025. We expect to continue to incur operating losses, and our operating cash flows may fluctuate between positive and negative amounts for the foreseeable future due to the investments we intend to make as described elsewhere in this section. As a result, we may require additional capital resources to execute strategic initiatives to grow our business.</w:t>
      </w:r>
    </w:p>
    <w:p>
      <w:pPr>
        <w:spacing w:after="0" w:line="87" w:lineRule="exact"/>
        <w:rPr>
          <w:sz w:val="20"/>
          <w:szCs w:val="20"/>
          <w:color w:val="auto"/>
        </w:rPr>
      </w:pPr>
    </w:p>
    <w:p>
      <w:pPr>
        <w:ind w:left="1520" w:right="1860" w:firstLine="230"/>
        <w:spacing w:after="0" w:line="289" w:lineRule="auto"/>
        <w:rPr>
          <w:sz w:val="20"/>
          <w:szCs w:val="20"/>
          <w:color w:val="auto"/>
        </w:rPr>
      </w:pPr>
      <w:r>
        <w:rPr>
          <w:rFonts w:ascii="Arial" w:cs="Arial" w:eastAsia="Arial" w:hAnsi="Arial"/>
          <w:sz w:val="12"/>
          <w:szCs w:val="12"/>
          <w:color w:val="auto"/>
        </w:rPr>
        <w:t>We believe our existing cash and cash equivalents, cash provided by operations, together with our amounts available for borrowing under the Warehouse Credit Facility and the ABL Facility, will be sufficient to meet our requirements and plans for cash, including supporting working capital and capital</w:t>
      </w:r>
    </w:p>
    <w:p>
      <w:pPr>
        <w:sectPr>
          <w:pgSz w:w="11900" w:h="16840" w:orient="portrait"/>
          <w:cols w:equalWidth="0" w:num="1">
            <w:col w:w="9020"/>
          </w:cols>
          <w:pgMar w:left="1440" w:top="636" w:right="1440" w:bottom="60" w:gutter="0" w:footer="0" w:header="0"/>
        </w:sectPr>
      </w:pPr>
    </w:p>
    <w:bookmarkStart w:id="83" w:name="page84"/>
    <w:bookmarkEnd w:id="83"/>
    <w:p>
      <w:pPr>
        <w:ind w:left="1520" w:right="1780"/>
        <w:spacing w:after="0" w:line="201" w:lineRule="auto"/>
        <w:rPr>
          <w:sz w:val="20"/>
          <w:szCs w:val="20"/>
          <w:color w:val="auto"/>
        </w:rPr>
      </w:pPr>
      <w:r>
        <w:rPr>
          <w:rFonts w:ascii="Arial" w:cs="Arial" w:eastAsia="Arial" w:hAnsi="Arial"/>
          <w:sz w:val="12"/>
          <w:szCs w:val="12"/>
          <w:color w:val="auto"/>
        </w:rPr>
        <w:t>expenditure requirements for at least the next 12 months and beyond . As of July 31, 2025, we had borrowing capacity of $250.0 million under the Warehouse Credit Facility, and outstanding borrowings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-139700</wp:posOffset>
            </wp:positionV>
            <wp:extent cx="6732270" cy="99707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680"/>
        <w:spacing w:after="0" w:line="271" w:lineRule="auto"/>
        <w:rPr>
          <w:sz w:val="20"/>
          <w:szCs w:val="20"/>
          <w:color w:val="auto"/>
        </w:rPr>
      </w:pPr>
      <w:r>
        <w:rPr>
          <w:rFonts w:ascii="Arial" w:cs="Arial" w:eastAsia="Arial" w:hAnsi="Arial"/>
          <w:sz w:val="12"/>
          <w:szCs w:val="12"/>
          <w:color w:val="auto"/>
        </w:rPr>
        <w:t>$148.2 million. As of July 31, 2025, we had borrowing capacity of $100.0 million under the ABL Facility, and outstanding borrowings of $34.5 million. Our future capital requirements and the adequacy of available funds will depend on many factors, including our growth rate, payment volume, expansion of our platform customer base, expansion of sales and marketing activities, the timing and extent of spending to support development efforts, the introduction of new offerings, and continued market adoption of our platform. We may in the future enter into arrangements to acquire or invest in complementary businesses,</w:t>
      </w: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20"/>
        <w:spacing w:after="0" w:line="272" w:lineRule="auto"/>
        <w:rPr>
          <w:sz w:val="20"/>
          <w:szCs w:val="20"/>
          <w:color w:val="auto"/>
        </w:rPr>
      </w:pPr>
      <w:r>
        <w:rPr>
          <w:rFonts w:ascii="Arial" w:cs="Arial" w:eastAsia="Arial" w:hAnsi="Arial"/>
          <w:sz w:val="12"/>
          <w:szCs w:val="12"/>
          <w:color w:val="auto"/>
        </w:rPr>
        <w:t>services, and technologies, including intellectual property rights. We may be required to seek additional equity or debt financing. In the event that additional financing is required from outside sources, we cannot be sure that any additional financing will be available to us on acceptable terms if at all. If we are unable to raise additional capital when desired, our business, results of operations, and financial condition would be materially and adversely affected. We fund corporate card transactions in advance of receiving payments from our customers. Our working capital may fluctuate from period to period as a result of the timing of when we fund our corporate card payment processors and when we receive payments from our customers. During peak travel periods, the impact of this may be more significant than in other periods and may require us to draw down on the Warehouse Credit Facility.</w:t>
      </w:r>
    </w:p>
    <w:p>
      <w:pPr>
        <w:spacing w:after="0" w:line="85" w:lineRule="exact"/>
        <w:rPr>
          <w:sz w:val="20"/>
          <w:szCs w:val="20"/>
          <w:color w:val="auto"/>
        </w:rPr>
      </w:pPr>
    </w:p>
    <w:p>
      <w:pPr>
        <w:ind w:left="1520" w:right="1740" w:firstLine="230"/>
        <w:spacing w:after="0" w:line="273" w:lineRule="auto"/>
        <w:rPr>
          <w:sz w:val="20"/>
          <w:szCs w:val="20"/>
          <w:color w:val="auto"/>
        </w:rPr>
      </w:pPr>
      <w:r>
        <w:rPr>
          <w:rFonts w:ascii="Arial" w:cs="Arial" w:eastAsia="Arial" w:hAnsi="Arial"/>
          <w:sz w:val="12"/>
          <w:szCs w:val="12"/>
          <w:color w:val="auto"/>
        </w:rPr>
        <w:t>Our principal commitments consist of obligations under our Convertible Notes, the Warehouse Credit Facility, the Vista Facility, SAFEs, the ABL Facility, operating leases for office space, and non-cancelable purchase commitments primarily related to cloud hosting arrangements and software subscriptions. The Convertible Notes and the SAFEs are expected to convert into shares of our Class A common stock in connection with this offering, as described elsewhere in this prospectus. Our obligations under our ABL Facility, the Vista Facility, and the Warehouse Credit Facility are described in the section titled “Description of Material Indebtedness.”</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Debt Obligations</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Warehouse Credit Facility</w:t>
      </w:r>
    </w:p>
    <w:p>
      <w:pPr>
        <w:spacing w:after="0" w:line="128" w:lineRule="exact"/>
        <w:rPr>
          <w:sz w:val="20"/>
          <w:szCs w:val="20"/>
          <w:color w:val="auto"/>
        </w:rPr>
      </w:pPr>
    </w:p>
    <w:p>
      <w:pPr>
        <w:ind w:left="1520" w:right="1720" w:firstLine="230"/>
        <w:spacing w:after="0" w:line="271" w:lineRule="auto"/>
        <w:rPr>
          <w:sz w:val="20"/>
          <w:szCs w:val="20"/>
          <w:color w:val="auto"/>
        </w:rPr>
      </w:pPr>
      <w:r>
        <w:rPr>
          <w:rFonts w:ascii="Arial" w:cs="Arial" w:eastAsia="Arial" w:hAnsi="Arial"/>
          <w:sz w:val="12"/>
          <w:szCs w:val="12"/>
          <w:color w:val="auto"/>
        </w:rPr>
        <w:t>In November 2022, Liquid Labs SPV, LLC, or Liquid Labs, our wholly-owned subsidiary, entered into a loan agreement with a group of lenders for a revolving warehouse credit facility, or Warehouse Credit Facility. Under the original terms of the agreement, the Warehouse Credit Facility had a maturity date of February 18, 2025, or earlier pursuant to the loan agreement, and had a total commitment amount of $200.0 million, consisting of a Class A facility and a Class B facility for $171.1 million and $28.9 million, respectively. The Warehouse Credit Facility was established to finance our expense management offering. Borrowings on the Warehouse Credit Facility bear interest at a floating rate based on SOFR plus an applicable margin, as defined by the loan agreement. The Warehouse Credit Facility has a minimum utilization of 50.0% of the committed amount, and any unused portion of the Warehouse Credit Facility will bear interest at 0.50% per annum. Borrowings under the Warehouse Credit Facility are secured by the corporate card receivables.</w:t>
      </w:r>
    </w:p>
    <w:p>
      <w:pPr>
        <w:spacing w:after="0" w:line="241" w:lineRule="exact"/>
        <w:rPr>
          <w:sz w:val="20"/>
          <w:szCs w:val="20"/>
          <w:color w:val="auto"/>
        </w:rPr>
      </w:pPr>
    </w:p>
    <w:p>
      <w:pPr>
        <w:ind w:left="1520" w:right="1700" w:firstLine="230"/>
        <w:spacing w:after="0" w:line="275" w:lineRule="auto"/>
        <w:rPr>
          <w:sz w:val="20"/>
          <w:szCs w:val="20"/>
          <w:color w:val="auto"/>
        </w:rPr>
      </w:pPr>
      <w:r>
        <w:rPr>
          <w:rFonts w:ascii="Arial" w:cs="Arial" w:eastAsia="Arial" w:hAnsi="Arial"/>
          <w:sz w:val="12"/>
          <w:szCs w:val="12"/>
          <w:color w:val="auto"/>
        </w:rPr>
        <w:t>The Warehouse Credit Facility was amended multiple times during the years ended January 31, 2025 and 2024. As of January 31, 2025, the amended terms of the Warehouse Credit Facility include total available borrowings of $275.0 million, an extended maturity date of February 2026, an expanded borrowing base to include receivables generated in foreign currency, and amendments to certain financial covenants. Subject to the amended terms, the available borrowings decreased to $250.0 million in April 2025 through the maturity date.</w:t>
      </w:r>
    </w:p>
    <w:p>
      <w:pPr>
        <w:spacing w:after="0" w:line="85" w:lineRule="exact"/>
        <w:rPr>
          <w:sz w:val="20"/>
          <w:szCs w:val="20"/>
          <w:color w:val="auto"/>
        </w:rPr>
      </w:pPr>
    </w:p>
    <w:p>
      <w:pPr>
        <w:ind w:left="1520" w:right="1700" w:firstLine="230"/>
        <w:spacing w:after="0" w:line="275" w:lineRule="auto"/>
        <w:rPr>
          <w:sz w:val="20"/>
          <w:szCs w:val="20"/>
          <w:color w:val="auto"/>
        </w:rPr>
      </w:pPr>
      <w:r>
        <w:rPr>
          <w:rFonts w:ascii="Arial" w:cs="Arial" w:eastAsia="Arial" w:hAnsi="Arial"/>
          <w:sz w:val="12"/>
          <w:szCs w:val="12"/>
          <w:color w:val="auto"/>
        </w:rPr>
        <w:t>The Warehouse Credit Facility contains mandatory and optional redemption features upon an event of default and other potential additional interest provisions that are bifurcated and treated as embedded derivative liabilities under the accounting guidance Financial Accounting Standards Board Accounting Standards Codification Topic 815, Derivatives and Hedging, or ASC 815. At inception of the Warehouse Credit Facility, and as of July 31, 2025, January 31, 2025, and January 31, 2024, the fair value of the embedded derivative liabilities was determined to be immaterial.</w:t>
      </w:r>
    </w:p>
    <w:p>
      <w:pPr>
        <w:spacing w:after="0" w:line="85" w:lineRule="exact"/>
        <w:rPr>
          <w:sz w:val="20"/>
          <w:szCs w:val="20"/>
          <w:color w:val="auto"/>
        </w:rPr>
      </w:pPr>
    </w:p>
    <w:p>
      <w:pPr>
        <w:ind w:left="1520" w:right="1780" w:firstLine="230"/>
        <w:spacing w:after="0" w:line="281" w:lineRule="auto"/>
        <w:rPr>
          <w:sz w:val="20"/>
          <w:szCs w:val="20"/>
          <w:color w:val="auto"/>
        </w:rPr>
      </w:pPr>
      <w:r>
        <w:rPr>
          <w:rFonts w:ascii="Arial" w:cs="Arial" w:eastAsia="Arial" w:hAnsi="Arial"/>
          <w:sz w:val="12"/>
          <w:szCs w:val="12"/>
          <w:color w:val="auto"/>
        </w:rPr>
        <w:t>We incurred upfront commitment fees of $2.0 million for the Warehouse Credit Facility, which were recorded as a deferred cost asset on the balance sheet and are amortized on a straight-line basis as incremental interest expense. We incurred incremental upfront commitment fees of $1.4 million upon the renewal of the Warehouse Credit Facility during the year ended January 31, 2025 .</w:t>
      </w:r>
    </w:p>
    <w:p>
      <w:pPr>
        <w:spacing w:after="0" w:line="81"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During the year ended January 31, 202 5, we drew down an aggregate of $37.8 million and repaid</w:t>
      </w:r>
    </w:p>
    <w:p>
      <w:pPr>
        <w:spacing w:after="0" w:line="27"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$30.0 million of the Warehouse Credit Facility. During the six months ended July 31, 2025, we drew down</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an aggregate of $15.0 million and repaid $81.1 million of the Warehouse Credit Facility.</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40" w:firstLine="230"/>
        <w:spacing w:after="0" w:line="277" w:lineRule="auto"/>
        <w:rPr>
          <w:sz w:val="20"/>
          <w:szCs w:val="20"/>
          <w:color w:val="auto"/>
        </w:rPr>
      </w:pPr>
      <w:r>
        <w:rPr>
          <w:rFonts w:ascii="Arial" w:cs="Arial" w:eastAsia="Arial" w:hAnsi="Arial"/>
          <w:sz w:val="12"/>
          <w:szCs w:val="12"/>
          <w:color w:val="auto"/>
        </w:rPr>
        <w:t>During the year ended January 31, 2025 we recognized $22.9 million of interest expense. Interest expense recognized during the year ended January 31, 2025 wa s comprised of $21.4 million of interest paid and payable, and $1.5 million interest for the amortization of debt issuance costs. During the six months ended July 31, 2025, we recognized $8.8 million of interest expense, comprised of $8.1 million of interest paid and payable and $0.7 million for the amortization of debt issuance costs.</w:t>
      </w:r>
    </w:p>
    <w:p>
      <w:pPr>
        <w:spacing w:after="0" w:line="84" w:lineRule="exact"/>
        <w:rPr>
          <w:sz w:val="20"/>
          <w:szCs w:val="20"/>
          <w:color w:val="auto"/>
        </w:rPr>
      </w:pPr>
    </w:p>
    <w:p>
      <w:pPr>
        <w:ind w:left="1520" w:right="1900" w:firstLine="230"/>
        <w:spacing w:after="0" w:line="289" w:lineRule="auto"/>
        <w:rPr>
          <w:sz w:val="20"/>
          <w:szCs w:val="20"/>
          <w:color w:val="auto"/>
        </w:rPr>
      </w:pPr>
      <w:r>
        <w:rPr>
          <w:rFonts w:ascii="Arial" w:cs="Arial" w:eastAsia="Arial" w:hAnsi="Arial"/>
          <w:sz w:val="12"/>
          <w:szCs w:val="12"/>
          <w:color w:val="auto"/>
        </w:rPr>
        <w:t>In April 2025, we executed an amendment to extend the term of the Warehouse Credit Facility through February 18, 2028. We incurred incremental upfront commitment fees of $2.8 million upon the execution of the April 2025 amendment.</w:t>
      </w:r>
    </w:p>
    <w:p>
      <w:pPr>
        <w:spacing w:after="0" w:line="76" w:lineRule="exact"/>
        <w:rPr>
          <w:sz w:val="20"/>
          <w:szCs w:val="20"/>
          <w:color w:val="auto"/>
        </w:rPr>
      </w:pPr>
    </w:p>
    <w:p>
      <w:pPr>
        <w:ind w:left="1520" w:right="1980" w:firstLine="230"/>
        <w:spacing w:after="0" w:line="312" w:lineRule="auto"/>
        <w:rPr>
          <w:sz w:val="20"/>
          <w:szCs w:val="20"/>
          <w:color w:val="auto"/>
        </w:rPr>
      </w:pPr>
      <w:r>
        <w:rPr>
          <w:rFonts w:ascii="Arial" w:cs="Arial" w:eastAsia="Arial" w:hAnsi="Arial"/>
          <w:sz w:val="12"/>
          <w:szCs w:val="12"/>
          <w:color w:val="auto"/>
        </w:rPr>
        <w:t>As of July 31, 2025, we remain in compliance with the covenants of the loan agreement. See the section titled “Description of Material Indebtedness—Warehouse Credit Facility” for further detail.</w:t>
      </w:r>
    </w:p>
    <w:p>
      <w:pPr>
        <w:spacing w:after="0" w:line="62" w:lineRule="exact"/>
        <w:rPr>
          <w:sz w:val="20"/>
          <w:szCs w:val="20"/>
          <w:color w:val="auto"/>
        </w:rPr>
      </w:pPr>
    </w:p>
    <w:p>
      <w:pPr>
        <w:jc w:val="both"/>
        <w:ind w:left="1520" w:right="1860" w:firstLine="230"/>
        <w:spacing w:after="0" w:line="289" w:lineRule="auto"/>
        <w:rPr>
          <w:sz w:val="20"/>
          <w:szCs w:val="20"/>
          <w:color w:val="auto"/>
        </w:rPr>
      </w:pPr>
      <w:r>
        <w:rPr>
          <w:rFonts w:ascii="Arial" w:cs="Arial" w:eastAsia="Arial" w:hAnsi="Arial"/>
          <w:sz w:val="12"/>
          <w:szCs w:val="12"/>
          <w:color w:val="auto"/>
        </w:rPr>
        <w:t>We intend to amend the terms of the Warehouse Credit Facility prior to the end of fiscal 2026. We expect the amendment to, among other things, reduce the applicable margin component of the floating interest rate on one of the facilities and increase the amount of receivables eligible to be pledged as</w:t>
      </w:r>
    </w:p>
    <w:p>
      <w:pPr>
        <w:sectPr>
          <w:pgSz w:w="11900" w:h="16840" w:orient="portrait"/>
          <w:cols w:equalWidth="0" w:num="1">
            <w:col w:w="9020"/>
          </w:cols>
          <w:pgMar w:left="1440" w:top="560" w:right="1440" w:bottom="0" w:gutter="0" w:footer="0" w:header="0"/>
        </w:sectPr>
      </w:pPr>
    </w:p>
    <w:bookmarkStart w:id="84" w:name="page85"/>
    <w:bookmarkEnd w:id="84"/>
    <w:p>
      <w:pPr>
        <w:ind w:left="1520"/>
        <w:spacing w:after="0"/>
        <w:rPr>
          <w:sz w:val="20"/>
          <w:szCs w:val="20"/>
          <w:color w:val="auto"/>
        </w:rPr>
      </w:pPr>
      <w:r>
        <w:rPr>
          <w:rFonts w:ascii="Arial" w:cs="Arial" w:eastAsia="Arial" w:hAnsi="Arial"/>
          <w:sz w:val="12"/>
          <w:szCs w:val="12"/>
          <w:color w:val="auto"/>
        </w:rPr>
        <w:t>collateral. Additionally, we intend to enter into a new warehouse credit facility by the end of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-86995</wp:posOffset>
            </wp:positionV>
            <wp:extent cx="6732270" cy="99707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11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The Vista Facility</w:t>
      </w:r>
    </w:p>
    <w:p>
      <w:pPr>
        <w:spacing w:after="0" w:line="128" w:lineRule="exact"/>
        <w:rPr>
          <w:sz w:val="20"/>
          <w:szCs w:val="20"/>
          <w:color w:val="auto"/>
        </w:rPr>
      </w:pPr>
    </w:p>
    <w:p>
      <w:pPr>
        <w:ind w:left="1520" w:right="1780" w:firstLine="230"/>
        <w:spacing w:after="0" w:line="269" w:lineRule="auto"/>
        <w:rPr>
          <w:sz w:val="20"/>
          <w:szCs w:val="20"/>
          <w:color w:val="auto"/>
        </w:rPr>
      </w:pPr>
      <w:r>
        <w:rPr>
          <w:rFonts w:ascii="Arial" w:cs="Arial" w:eastAsia="Arial" w:hAnsi="Arial"/>
          <w:sz w:val="12"/>
          <w:szCs w:val="12"/>
          <w:color w:val="auto"/>
        </w:rPr>
        <w:t>In February 2025, we issued term loans under the Vista Facility to lenders in exchange for proceeds of $130.0 million, which mature on February 24, 2030. In connection with the term loans under the Vista Facility, we issued warrants covering 486,588 shares of Class A common stock. The principal amount accrues interest at a variable interest rate based on either the Alternate Base Rate, with a 2.00% Alternate Base Rate floor, or SOFR (based on a 3-month interest period), with a 1.00% SOFR floor, in each case, plus an applicable rate. The applicable rate is, at our option, (i) in the case of SOFR Loans,</w:t>
      </w:r>
    </w:p>
    <w:p>
      <w:pPr>
        <w:spacing w:after="0" w:line="2" w:lineRule="exact"/>
        <w:rPr>
          <w:sz w:val="20"/>
          <w:szCs w:val="20"/>
          <w:color w:val="auto"/>
        </w:rPr>
      </w:pPr>
    </w:p>
    <w:p>
      <w:pPr>
        <w:ind w:left="1520" w:right="1720" w:firstLine="2"/>
        <w:spacing w:after="0" w:line="268" w:lineRule="auto"/>
        <w:tabs>
          <w:tab w:leader="none" w:pos="17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if we have elected to cash pay the interest, 6.50% per annum in cash or (B) if we have elected to pay the interest partially in cash and partially PIK, 6.50% per annum (of which 5.00% shall be paid in cash and 1.50% PIK) and (ii) in the case of Alternate Base Rate Loans, (A) if we have elected to cash pay the interest, 5.50% per annum or (B) if we have elected to pay the interest partially in cash and partially PIK, 5.50% (of which 4.00% shall be paid in cash and 1.50% PIK). Interest is payable every three months in arrears, and PIK interest is added to the principal balance and compounded every three months. We may prepay the Vista Facility at any time, in whole or in part, prior to the maturity date. Prepayment is required upon certain qualified indebtedness, asset sales, or recovery events. Upon both optional and mandatory prepayments, we are required to pay a prepayment premium of (i) 3% of the principal amount prior to the first anniversary of the closing date; (ii) 1.5% of the principal amount on or after the first anniversary but prior to the second anniversary of the closing date, and (iii) 0% of the principal amount on or after the second anniversary of the closing date. We may prepay the Vista Facility in connection with a qualified IPO, including this offering, without incurring a prepayment penalty. We intend to use a portion of the net proceeds from this offering to prepay all amounts outstanding under and terminate the Vista Facility. See the section titled “Use of Proceeds” for more information.</w:t>
      </w:r>
    </w:p>
    <w:p>
      <w:pPr>
        <w:spacing w:after="0" w:line="88" w:lineRule="exact"/>
        <w:rPr>
          <w:sz w:val="20"/>
          <w:szCs w:val="20"/>
          <w:color w:val="auto"/>
        </w:rPr>
      </w:pPr>
    </w:p>
    <w:p>
      <w:pPr>
        <w:ind w:left="1520" w:right="1720" w:firstLine="230"/>
        <w:spacing w:after="0" w:line="277" w:lineRule="auto"/>
        <w:rPr>
          <w:sz w:val="20"/>
          <w:szCs w:val="20"/>
          <w:color w:val="auto"/>
        </w:rPr>
      </w:pPr>
      <w:r>
        <w:rPr>
          <w:rFonts w:ascii="Arial" w:cs="Arial" w:eastAsia="Arial" w:hAnsi="Arial"/>
          <w:sz w:val="12"/>
          <w:szCs w:val="12"/>
          <w:color w:val="auto"/>
        </w:rPr>
        <w:t>Upon issuance of the term loans under the Vista Facility, the common stock warrants had a fair value of $11.0 million which was recorded as a debt discount. Debt issuance costs were recorded as a reduction to the debt liability. The debt discount and debt issuance costs are amortized to interest expense at an effective interest rate of 12.8% over the term of the loan. The common stock warrants are recorded within the consolidated balance sheets as Additional paid-in capital.</w:t>
      </w:r>
    </w:p>
    <w:p>
      <w:pPr>
        <w:spacing w:after="0" w:line="84" w:lineRule="exact"/>
        <w:rPr>
          <w:sz w:val="20"/>
          <w:szCs w:val="20"/>
          <w:color w:val="auto"/>
        </w:rPr>
      </w:pPr>
    </w:p>
    <w:p>
      <w:pPr>
        <w:ind w:left="1520" w:right="1780" w:firstLine="230"/>
        <w:spacing w:after="0" w:line="281" w:lineRule="auto"/>
        <w:rPr>
          <w:sz w:val="20"/>
          <w:szCs w:val="20"/>
          <w:color w:val="auto"/>
        </w:rPr>
      </w:pPr>
      <w:r>
        <w:rPr>
          <w:rFonts w:ascii="Arial" w:cs="Arial" w:eastAsia="Arial" w:hAnsi="Arial"/>
          <w:sz w:val="12"/>
          <w:szCs w:val="12"/>
          <w:color w:val="auto"/>
        </w:rPr>
        <w:t>The Vista Facility contains certain affirmative and negative covenants including, among other things, restrictions on repurchases of stock, dividends and other distributions. As of July 31, 2025, we were in compliance with all covenants. See the section titled “Description of Material Indebtedness—Vista Facility”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ABL Facility</w:t>
      </w:r>
    </w:p>
    <w:p>
      <w:pPr>
        <w:spacing w:after="0" w:line="128" w:lineRule="exact"/>
        <w:rPr>
          <w:sz w:val="20"/>
          <w:szCs w:val="20"/>
          <w:color w:val="auto"/>
        </w:rPr>
      </w:pPr>
    </w:p>
    <w:p>
      <w:pPr>
        <w:ind w:left="1520" w:right="1760" w:firstLine="230"/>
        <w:spacing w:after="0" w:line="277" w:lineRule="auto"/>
        <w:rPr>
          <w:sz w:val="20"/>
          <w:szCs w:val="20"/>
          <w:color w:val="auto"/>
        </w:rPr>
      </w:pPr>
      <w:r>
        <w:rPr>
          <w:rFonts w:ascii="Arial" w:cs="Arial" w:eastAsia="Arial" w:hAnsi="Arial"/>
          <w:sz w:val="12"/>
          <w:szCs w:val="12"/>
          <w:color w:val="auto"/>
        </w:rPr>
        <w:t>In March 2025, the Company entered into an asset-based lending revolving line of credit with Citibank, N.A., or the ABL Facility, for a term through March 2028. The ABL Facility has a borrowing limit of $100.0 million and incurs interest at SOFR plus 2.5%. Any unused portion of the ABL Facility will bear interest at 0.25% per annum. The available borrowings are based on eligible U.S. and UK travel receivables. Repayment is required if borrowings exceed stated limits.</w:t>
      </w:r>
    </w:p>
    <w:p>
      <w:pPr>
        <w:spacing w:after="0" w:line="84" w:lineRule="exact"/>
        <w:rPr>
          <w:sz w:val="20"/>
          <w:szCs w:val="20"/>
          <w:color w:val="auto"/>
        </w:rPr>
      </w:pPr>
    </w:p>
    <w:p>
      <w:pPr>
        <w:ind w:left="1520" w:right="1700" w:firstLine="230"/>
        <w:spacing w:after="0" w:line="281" w:lineRule="auto"/>
        <w:rPr>
          <w:sz w:val="20"/>
          <w:szCs w:val="20"/>
          <w:color w:val="auto"/>
        </w:rPr>
      </w:pPr>
      <w:r>
        <w:rPr>
          <w:rFonts w:ascii="Arial" w:cs="Arial" w:eastAsia="Arial" w:hAnsi="Arial"/>
          <w:sz w:val="12"/>
          <w:szCs w:val="12"/>
          <w:color w:val="auto"/>
        </w:rPr>
        <w:t>As of July 31, 2025, we had drawn a total of $34.5 million on the ABL Facility. The ABL Facility contains certain affirmative or negative covenants including, among other things, restrictions on repurchases of stock, dividends and other distributions. As of July 31, 2025, we were in compliance with all covenants. See the section titled “Description of Material Indebtedness—ABL Facility” for further detail.</w:t>
      </w:r>
    </w:p>
    <w:p>
      <w:pPr>
        <w:spacing w:after="0" w:line="8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Cash Flows</w:t>
      </w:r>
    </w:p>
    <w:p>
      <w:pPr>
        <w:spacing w:after="0" w:line="130"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The following table summarizes our cash flows for the periods presented:</w:t>
      </w:r>
    </w:p>
    <w:p>
      <w:pPr>
        <w:spacing w:after="0" w:line="147"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2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3"/>
          </w:tcPr>
          <w:p>
            <w:pPr>
              <w:jc w:val="right"/>
              <w:ind w:right="203"/>
              <w:spacing w:after="0"/>
              <w:rPr>
                <w:sz w:val="20"/>
                <w:szCs w:val="20"/>
                <w:color w:val="auto"/>
              </w:rPr>
            </w:pPr>
            <w:r>
              <w:rPr>
                <w:rFonts w:ascii="Arial" w:cs="Arial" w:eastAsia="Arial" w:hAnsi="Arial"/>
                <w:sz w:val="11"/>
                <w:szCs w:val="11"/>
                <w:b w:val="1"/>
                <w:bCs w:val="1"/>
                <w:color w:val="auto"/>
                <w:w w:val="99"/>
              </w:rPr>
              <w:t>Year Ended January 31,</w:t>
            </w:r>
          </w:p>
        </w:tc>
        <w:tc>
          <w:tcPr>
            <w:tcW w:w="180" w:type="dxa"/>
            <w:vAlign w:val="bottom"/>
          </w:tcPr>
          <w:p>
            <w:pPr>
              <w:spacing w:after="0"/>
              <w:rPr>
                <w:sz w:val="10"/>
                <w:szCs w:val="10"/>
                <w:color w:val="auto"/>
              </w:rPr>
            </w:pPr>
          </w:p>
        </w:tc>
        <w:tc>
          <w:tcPr>
            <w:tcW w:w="1560" w:type="dxa"/>
            <w:vAlign w:val="bottom"/>
            <w:gridSpan w:val="3"/>
          </w:tcPr>
          <w:p>
            <w:pPr>
              <w:ind w:left="6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57"/>
        </w:trPr>
        <w:tc>
          <w:tcPr>
            <w:tcW w:w="25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ind w:left="60"/>
              <w:spacing w:after="0" w:line="47" w:lineRule="exact"/>
              <w:rPr>
                <w:sz w:val="20"/>
                <w:szCs w:val="20"/>
                <w:color w:val="auto"/>
              </w:rPr>
            </w:pPr>
            <w:r>
              <w:rPr>
                <w:rFonts w:ascii="Arial" w:cs="Arial" w:eastAsia="Arial" w:hAnsi="Arial"/>
                <w:sz w:val="5"/>
                <w:szCs w:val="5"/>
                <w:b w:val="1"/>
                <w:bCs w:val="1"/>
                <w:color w:val="auto"/>
              </w:rPr>
              <w:t>,</w:t>
            </w:r>
          </w:p>
        </w:tc>
        <w:tc>
          <w:tcPr>
            <w:tcW w:w="220" w:type="dxa"/>
            <w:vAlign w:val="bottom"/>
          </w:tcPr>
          <w:p>
            <w:pPr>
              <w:spacing w:after="0"/>
              <w:rPr>
                <w:sz w:val="4"/>
                <w:szCs w:val="4"/>
                <w:color w:val="auto"/>
              </w:rPr>
            </w:pPr>
          </w:p>
        </w:tc>
        <w:tc>
          <w:tcPr>
            <w:tcW w:w="640" w:type="dxa"/>
            <w:vAlign w:val="bottom"/>
            <w:vMerge w:val="restart"/>
          </w:tcPr>
          <w:p>
            <w:pPr>
              <w:jc w:val="right"/>
              <w:ind w:right="24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38"/>
        </w:trPr>
        <w:tc>
          <w:tcPr>
            <w:tcW w:w="25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62"/>
              <w:spacing w:after="0"/>
              <w:rPr>
                <w:sz w:val="20"/>
                <w:szCs w:val="20"/>
                <w:color w:val="auto"/>
              </w:rPr>
            </w:pPr>
            <w:r>
              <w:rPr>
                <w:rFonts w:ascii="Arial" w:cs="Arial" w:eastAsia="Arial" w:hAnsi="Arial"/>
                <w:sz w:val="11"/>
                <w:szCs w:val="11"/>
                <w:b w:val="1"/>
                <w:bCs w:val="1"/>
                <w:color w:val="auto"/>
              </w:rPr>
              <w:t>2025</w:t>
            </w: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2024</w:t>
            </w: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7"/>
              <w:spacing w:after="0"/>
              <w:rPr>
                <w:sz w:val="20"/>
                <w:szCs w:val="20"/>
                <w:color w:val="auto"/>
              </w:rPr>
            </w:pPr>
            <w:r>
              <w:rPr>
                <w:rFonts w:ascii="Arial" w:cs="Arial" w:eastAsia="Arial" w:hAnsi="Arial"/>
                <w:sz w:val="11"/>
                <w:szCs w:val="11"/>
                <w:b w:val="1"/>
                <w:bCs w:val="1"/>
                <w:color w:val="auto"/>
              </w:rPr>
              <w:t>2025</w:t>
            </w:r>
          </w:p>
        </w:tc>
        <w:tc>
          <w:tcPr>
            <w:tcW w:w="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gridSpan w:val="3"/>
          </w:tcPr>
          <w:p>
            <w:pPr>
              <w:jc w:val="right"/>
              <w:ind w:right="487"/>
              <w:spacing w:after="0" w:line="91" w:lineRule="exact"/>
              <w:rPr>
                <w:sz w:val="20"/>
                <w:szCs w:val="20"/>
                <w:color w:val="auto"/>
              </w:rPr>
            </w:pPr>
            <w:r>
              <w:rPr>
                <w:rFonts w:ascii="Arial" w:cs="Arial" w:eastAsia="Arial" w:hAnsi="Arial"/>
                <w:sz w:val="9"/>
                <w:szCs w:val="9"/>
                <w:b w:val="1"/>
                <w:bCs w:val="1"/>
                <w:color w:val="auto"/>
              </w:rPr>
              <w:t>(in thousands</w:t>
            </w: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2520" w:type="dxa"/>
            <w:vAlign w:val="bottom"/>
            <w:vMerge w:val="restart"/>
          </w:tcPr>
          <w:p>
            <w:pPr>
              <w:ind w:left="40"/>
              <w:spacing w:after="0"/>
              <w:rPr>
                <w:sz w:val="20"/>
                <w:szCs w:val="20"/>
                <w:color w:val="auto"/>
              </w:rPr>
            </w:pPr>
            <w:r>
              <w:rPr>
                <w:rFonts w:ascii="Arial" w:cs="Arial" w:eastAsia="Arial" w:hAnsi="Arial"/>
                <w:sz w:val="12"/>
                <w:szCs w:val="12"/>
                <w:color w:val="auto"/>
              </w:rPr>
              <w:t>Net cash provided by (used in) operating</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43"/>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520" w:type="dxa"/>
            <w:vAlign w:val="bottom"/>
            <w:vMerge w:val="continue"/>
          </w:tcPr>
          <w:p>
            <w:pPr>
              <w:spacing w:after="0"/>
              <w:rPr>
                <w:sz w:val="3"/>
                <w:szCs w:val="3"/>
                <w:color w:val="auto"/>
              </w:rPr>
            </w:pPr>
          </w:p>
        </w:tc>
        <w:tc>
          <w:tcPr>
            <w:tcW w:w="200" w:type="dxa"/>
            <w:vAlign w:val="bottom"/>
            <w:vMerge w:val="restart"/>
          </w:tcPr>
          <w:p>
            <w:pPr>
              <w:jc w:val="right"/>
              <w:ind w:right="38"/>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(50,406)</w:t>
            </w:r>
          </w:p>
        </w:tc>
        <w:tc>
          <w:tcPr>
            <w:tcW w:w="200" w:type="dxa"/>
            <w:vAlign w:val="bottom"/>
            <w:vMerge w:val="restart"/>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(166,363)</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ind w:right="27"/>
              <w:spacing w:after="0"/>
              <w:rPr>
                <w:sz w:val="20"/>
                <w:szCs w:val="20"/>
                <w:color w:val="auto"/>
              </w:rPr>
            </w:pPr>
            <w:r>
              <w:rPr>
                <w:rFonts w:ascii="Arial" w:cs="Arial" w:eastAsia="Arial" w:hAnsi="Arial"/>
                <w:sz w:val="12"/>
                <w:szCs w:val="12"/>
                <w:color w:val="auto"/>
              </w:rPr>
              <w:t>4,784</w:t>
            </w:r>
          </w:p>
        </w:tc>
        <w:tc>
          <w:tcPr>
            <w:tcW w:w="220" w:type="dxa"/>
            <w:vAlign w:val="bottom"/>
            <w:vMerge w:val="restart"/>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(29,033)</w:t>
            </w:r>
          </w:p>
        </w:tc>
        <w:tc>
          <w:tcPr>
            <w:tcW w:w="0" w:type="dxa"/>
            <w:vAlign w:val="bottom"/>
          </w:tcPr>
          <w:p>
            <w:pPr>
              <w:spacing w:after="0" w:line="20" w:lineRule="exact"/>
              <w:rPr>
                <w:sz w:val="1"/>
                <w:szCs w:val="1"/>
                <w:color w:val="auto"/>
              </w:rPr>
            </w:pPr>
          </w:p>
        </w:tc>
      </w:tr>
      <w:tr>
        <w:trPr>
          <w:trHeight w:val="165"/>
        </w:trPr>
        <w:tc>
          <w:tcPr>
            <w:tcW w:w="2520" w:type="dxa"/>
            <w:vAlign w:val="bottom"/>
          </w:tcPr>
          <w:p>
            <w:pPr>
              <w:ind w:left="140"/>
              <w:spacing w:after="0"/>
              <w:rPr>
                <w:sz w:val="20"/>
                <w:szCs w:val="20"/>
                <w:color w:val="auto"/>
              </w:rPr>
            </w:pPr>
            <w:r>
              <w:rPr>
                <w:rFonts w:ascii="Arial" w:cs="Arial" w:eastAsia="Arial" w:hAnsi="Arial"/>
                <w:sz w:val="12"/>
                <w:szCs w:val="12"/>
                <w:color w:val="auto"/>
              </w:rPr>
              <w:t xml:space="preserve">activities </w:t>
            </w:r>
            <w:r>
              <w:rPr>
                <w:rFonts w:ascii="Times New Roman" w:cs="Times New Roman" w:eastAsia="Times New Roman" w:hAnsi="Times New Roman"/>
                <w:sz w:val="12"/>
                <w:szCs w:val="12"/>
                <w:color w:val="B4B4B4"/>
              </w:rPr>
              <w:t>..........................................................</w:t>
            </w: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ind w:left="40"/>
              <w:spacing w:after="0" w:line="125" w:lineRule="exact"/>
              <w:rPr>
                <w:sz w:val="20"/>
                <w:szCs w:val="20"/>
                <w:color w:val="auto"/>
              </w:rPr>
            </w:pPr>
            <w:r>
              <w:rPr>
                <w:rFonts w:ascii="Arial" w:cs="Arial" w:eastAsia="Arial" w:hAnsi="Arial"/>
                <w:sz w:val="12"/>
                <w:szCs w:val="12"/>
                <w:color w:val="auto"/>
              </w:rPr>
              <w:t>Net cash provided by (used in) investing</w:t>
            </w:r>
          </w:p>
        </w:tc>
        <w:tc>
          <w:tcPr>
            <w:tcW w:w="200" w:type="dxa"/>
            <w:vAlign w:val="bottom"/>
            <w:vMerge w:val="restart"/>
          </w:tcPr>
          <w:p>
            <w:pPr>
              <w:jc w:val="right"/>
              <w:ind w:right="38"/>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ind w:right="22"/>
              <w:spacing w:after="0"/>
              <w:rPr>
                <w:sz w:val="20"/>
                <w:szCs w:val="20"/>
                <w:color w:val="auto"/>
              </w:rPr>
            </w:pPr>
            <w:r>
              <w:rPr>
                <w:rFonts w:ascii="Arial" w:cs="Arial" w:eastAsia="Arial" w:hAnsi="Arial"/>
                <w:sz w:val="12"/>
                <w:szCs w:val="12"/>
                <w:color w:val="auto"/>
              </w:rPr>
              <w:t>44,870</w:t>
            </w:r>
          </w:p>
        </w:tc>
        <w:tc>
          <w:tcPr>
            <w:tcW w:w="200" w:type="dxa"/>
            <w:vAlign w:val="bottom"/>
            <w:vMerge w:val="restart"/>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(108,779)</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(11,055)</w:t>
            </w:r>
          </w:p>
        </w:tc>
        <w:tc>
          <w:tcPr>
            <w:tcW w:w="220" w:type="dxa"/>
            <w:vAlign w:val="bottom"/>
            <w:vMerge w:val="restart"/>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ind w:right="20"/>
              <w:spacing w:after="0"/>
              <w:rPr>
                <w:sz w:val="20"/>
                <w:szCs w:val="20"/>
                <w:color w:val="auto"/>
              </w:rPr>
            </w:pPr>
            <w:r>
              <w:rPr>
                <w:rFonts w:ascii="Arial" w:cs="Arial" w:eastAsia="Arial" w:hAnsi="Arial"/>
                <w:sz w:val="12"/>
                <w:szCs w:val="12"/>
                <w:color w:val="auto"/>
              </w:rPr>
              <w:t>26,072</w:t>
            </w:r>
          </w:p>
        </w:tc>
        <w:tc>
          <w:tcPr>
            <w:tcW w:w="0" w:type="dxa"/>
            <w:vAlign w:val="bottom"/>
          </w:tcPr>
          <w:p>
            <w:pPr>
              <w:spacing w:after="0"/>
              <w:rPr>
                <w:sz w:val="1"/>
                <w:szCs w:val="1"/>
                <w:color w:val="auto"/>
              </w:rPr>
            </w:pPr>
          </w:p>
        </w:tc>
      </w:tr>
      <w:tr>
        <w:trPr>
          <w:trHeight w:val="165"/>
        </w:trPr>
        <w:tc>
          <w:tcPr>
            <w:tcW w:w="2520" w:type="dxa"/>
            <w:vAlign w:val="bottom"/>
          </w:tcPr>
          <w:p>
            <w:pPr>
              <w:ind w:left="140"/>
              <w:spacing w:after="0"/>
              <w:rPr>
                <w:sz w:val="20"/>
                <w:szCs w:val="20"/>
                <w:color w:val="auto"/>
              </w:rPr>
            </w:pPr>
            <w:r>
              <w:rPr>
                <w:rFonts w:ascii="Arial" w:cs="Arial" w:eastAsia="Arial" w:hAnsi="Arial"/>
                <w:sz w:val="12"/>
                <w:szCs w:val="12"/>
                <w:color w:val="auto"/>
              </w:rPr>
              <w:t xml:space="preserve">activities </w:t>
            </w:r>
            <w:r>
              <w:rPr>
                <w:rFonts w:ascii="Times New Roman" w:cs="Times New Roman" w:eastAsia="Times New Roman" w:hAnsi="Times New Roman"/>
                <w:sz w:val="12"/>
                <w:szCs w:val="12"/>
                <w:color w:val="B4B4B4"/>
              </w:rPr>
              <w:t>..........................................................</w:t>
            </w: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Net cash provided by financing activities  </w:t>
            </w:r>
            <w:r>
              <w:rPr>
                <w:rFonts w:ascii="Times New Roman" w:cs="Times New Roman" w:eastAsia="Times New Roman" w:hAnsi="Times New Roman"/>
                <w:sz w:val="12"/>
                <w:szCs w:val="12"/>
                <w:color w:val="B4B4B4"/>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52,554</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212,620</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2"/>
                <w:szCs w:val="12"/>
                <w:color w:val="auto"/>
              </w:rPr>
              <w:t>6,606</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51,415</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128" w:lineRule="exact"/>
        <w:rPr>
          <w:sz w:val="20"/>
          <w:szCs w:val="20"/>
          <w:color w:val="auto"/>
        </w:rPr>
      </w:pPr>
    </w:p>
    <w:p>
      <w:pPr>
        <w:ind w:left="1520" w:right="1680" w:firstLine="230"/>
        <w:spacing w:after="0" w:line="272" w:lineRule="auto"/>
        <w:rPr>
          <w:sz w:val="20"/>
          <w:szCs w:val="20"/>
          <w:color w:val="auto"/>
        </w:rPr>
      </w:pPr>
      <w:r>
        <w:rPr>
          <w:rFonts w:ascii="Arial" w:cs="Arial" w:eastAsia="Arial" w:hAnsi="Arial"/>
          <w:sz w:val="12"/>
          <w:szCs w:val="12"/>
          <w:color w:val="auto"/>
        </w:rPr>
        <w:t>Net cash used in operating activities was $50.4 million for the year ended January 31, 2025 as compared to $166.4 million for the year ended January 31, 2024. The decrease in net cash used was primarily due to a decrease in net loss, offset by a decrease in non-cash loss on fair value adjustments, and the net impact of changes in operating assets and liabilities. The changes in operating assets and liabilities include the reversal of the tax contingency in the year ended January 31, 2024 impacting other non-current liabilities, a change in accounts payable primarily driven by timing of payments, and an increase in capitalized contract acquisition costs. Refer to Note 1, “Description of Business and Significant Accounting Policies” to the consolidated financial statements included elsewhere in this prospectus for further details regarding our accounting policy for contract acquisition costs.</w:t>
      </w:r>
    </w:p>
    <w:p>
      <w:pPr>
        <w:spacing w:after="0" w:line="85" w:lineRule="exact"/>
        <w:rPr>
          <w:sz w:val="20"/>
          <w:szCs w:val="20"/>
          <w:color w:val="auto"/>
        </w:rPr>
      </w:pPr>
    </w:p>
    <w:p>
      <w:pPr>
        <w:ind w:left="1520" w:right="1740" w:firstLine="230"/>
        <w:spacing w:after="0" w:line="277" w:lineRule="auto"/>
        <w:rPr>
          <w:sz w:val="20"/>
          <w:szCs w:val="20"/>
          <w:color w:val="auto"/>
        </w:rPr>
      </w:pPr>
      <w:r>
        <w:rPr>
          <w:rFonts w:ascii="Arial" w:cs="Arial" w:eastAsia="Arial" w:hAnsi="Arial"/>
          <w:sz w:val="12"/>
          <w:szCs w:val="12"/>
          <w:color w:val="auto"/>
        </w:rPr>
        <w:t>Net cash provided by operating activities was $4.8 million for the six months ended July 31, 2025 as compared to net cash used in operating activities of $29.0 million for the six months ended July 31, 2024. The increase in net cash provided was primarily due to a decrease in loss from operations of $27.2 million, which excludes the non-cash impact on net loss of loss on fair value adjustments and loss on extinguishment of debt.</w:t>
      </w:r>
    </w:p>
    <w:p>
      <w:pPr>
        <w:spacing w:after="0" w:line="8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128" w:lineRule="exact"/>
        <w:rPr>
          <w:sz w:val="20"/>
          <w:szCs w:val="20"/>
          <w:color w:val="auto"/>
        </w:rPr>
      </w:pPr>
    </w:p>
    <w:p>
      <w:pPr>
        <w:ind w:left="1520" w:right="1780" w:firstLine="230"/>
        <w:spacing w:after="0" w:line="281" w:lineRule="auto"/>
        <w:rPr>
          <w:sz w:val="20"/>
          <w:szCs w:val="20"/>
          <w:color w:val="auto"/>
        </w:rPr>
      </w:pPr>
      <w:r>
        <w:rPr>
          <w:rFonts w:ascii="Arial" w:cs="Arial" w:eastAsia="Arial" w:hAnsi="Arial"/>
          <w:sz w:val="12"/>
          <w:szCs w:val="12"/>
          <w:color w:val="auto"/>
        </w:rPr>
        <w:t>Net cash provided by investing activities was $44.9 million for the year ended January 31, 2025 as compared to net cash used in investing activities of $108.8 million for the year ended January 31, 2024. The change was primarily related to a decrease in corporate card receivables driven by increased collections and faster turnover of receivables due to moving customers to more frequent payment terms.</w:t>
      </w:r>
    </w:p>
    <w:p>
      <w:pPr>
        <w:spacing w:after="0" w:line="81" w:lineRule="exact"/>
        <w:rPr>
          <w:sz w:val="20"/>
          <w:szCs w:val="20"/>
          <w:color w:val="auto"/>
        </w:rPr>
      </w:pPr>
    </w:p>
    <w:p>
      <w:pPr>
        <w:ind w:left="1520" w:right="1860" w:firstLine="230"/>
        <w:spacing w:after="0" w:line="312" w:lineRule="auto"/>
        <w:rPr>
          <w:sz w:val="20"/>
          <w:szCs w:val="20"/>
          <w:color w:val="auto"/>
        </w:rPr>
      </w:pPr>
      <w:r>
        <w:rPr>
          <w:rFonts w:ascii="Arial" w:cs="Arial" w:eastAsia="Arial" w:hAnsi="Arial"/>
          <w:sz w:val="12"/>
          <w:szCs w:val="12"/>
          <w:color w:val="auto"/>
        </w:rPr>
        <w:t>Net cash used in investing activities was $11.1 million for the six months ended July 31, 2025 as compared to net cash provided by investing activities of $26.1 million for the six months ended July 31,</w:t>
      </w:r>
    </w:p>
    <w:p>
      <w:pPr>
        <w:sectPr>
          <w:pgSz w:w="11900" w:h="16840" w:orient="portrait"/>
          <w:cols w:equalWidth="0" w:num="1">
            <w:col w:w="9020"/>
          </w:cols>
          <w:pgMar w:left="1440" w:top="569" w:right="1440" w:bottom="0" w:gutter="0" w:footer="0" w:header="0"/>
        </w:sectPr>
      </w:pPr>
    </w:p>
    <w:bookmarkStart w:id="85" w:name="page86"/>
    <w:bookmarkEnd w:id="85"/>
    <w:p>
      <w:pPr>
        <w:ind w:left="1520" w:right="1720"/>
        <w:spacing w:after="0" w:line="312" w:lineRule="auto"/>
        <w:rPr>
          <w:sz w:val="20"/>
          <w:szCs w:val="20"/>
          <w:color w:val="auto"/>
        </w:rPr>
      </w:pPr>
      <w:r>
        <w:rPr>
          <w:rFonts w:ascii="Arial" w:cs="Arial" w:eastAsia="Arial" w:hAnsi="Arial"/>
          <w:sz w:val="12"/>
          <w:szCs w:val="12"/>
          <w:color w:val="auto"/>
        </w:rPr>
        <w:t>2024. The change was primarily related to corporate card receivables, which increased slightly during the six months ended July 31, 2025, and decreased significantly during the six months ended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-220980</wp:posOffset>
            </wp:positionV>
            <wp:extent cx="6732270" cy="99707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2040"/>
        <w:spacing w:after="0" w:line="312" w:lineRule="auto"/>
        <w:rPr>
          <w:sz w:val="20"/>
          <w:szCs w:val="20"/>
          <w:color w:val="auto"/>
        </w:rPr>
      </w:pPr>
      <w:r>
        <w:rPr>
          <w:rFonts w:ascii="Arial" w:cs="Arial" w:eastAsia="Arial" w:hAnsi="Arial"/>
          <w:sz w:val="12"/>
          <w:szCs w:val="12"/>
          <w:color w:val="auto"/>
        </w:rPr>
        <w:t>driven by increased collections and faster turnover of receivables due to moving customers to more frequent payment terms.</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128" w:lineRule="exact"/>
        <w:rPr>
          <w:sz w:val="20"/>
          <w:szCs w:val="20"/>
          <w:color w:val="auto"/>
        </w:rPr>
      </w:pPr>
    </w:p>
    <w:p>
      <w:pPr>
        <w:ind w:left="1520" w:right="1740" w:firstLine="230"/>
        <w:spacing w:after="0" w:line="289" w:lineRule="auto"/>
        <w:rPr>
          <w:sz w:val="20"/>
          <w:szCs w:val="20"/>
          <w:color w:val="auto"/>
        </w:rPr>
      </w:pPr>
      <w:r>
        <w:rPr>
          <w:rFonts w:ascii="Arial" w:cs="Arial" w:eastAsia="Arial" w:hAnsi="Arial"/>
          <w:sz w:val="12"/>
          <w:szCs w:val="12"/>
          <w:color w:val="auto"/>
        </w:rPr>
        <w:t>Net cash provided by financing activities was $52.6 million for the year ended January 31, 2025 as compared to $212.6 million for the year ended January 31, 2024. The decrease was primarily driven by a change in proceeds and payments from debt borrowings.</w:t>
      </w:r>
    </w:p>
    <w:p>
      <w:pPr>
        <w:spacing w:after="0" w:line="76" w:lineRule="exact"/>
        <w:rPr>
          <w:sz w:val="20"/>
          <w:szCs w:val="20"/>
          <w:color w:val="auto"/>
        </w:rPr>
      </w:pPr>
    </w:p>
    <w:p>
      <w:pPr>
        <w:ind w:left="1520" w:right="1780" w:firstLine="230"/>
        <w:spacing w:after="0" w:line="277" w:lineRule="auto"/>
        <w:rPr>
          <w:sz w:val="20"/>
          <w:szCs w:val="20"/>
          <w:color w:val="auto"/>
        </w:rPr>
      </w:pPr>
      <w:r>
        <w:rPr>
          <w:rFonts w:ascii="Arial" w:cs="Arial" w:eastAsia="Arial" w:hAnsi="Arial"/>
          <w:sz w:val="12"/>
          <w:szCs w:val="12"/>
          <w:color w:val="auto"/>
        </w:rPr>
        <w:t>Net cash provided by financing activities was $6.6 million for the six months ended July 31, 2025 as compared to $51.4 million for the six months ended July 31, 2024. The decrease was primarily driven by a change in proceeds and payments from debt borrowings, primarily due to the settlement of the 2022 Promissory Note, partially offset by proceeds from debt borrowings during the six months ended July 31, 2025.</w:t>
      </w:r>
    </w:p>
    <w:p>
      <w:pPr>
        <w:spacing w:after="0" w:line="84"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Quantitative and Qualitative Disclosures About Market Risk</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Foreign Currency Risk</w:t>
      </w:r>
    </w:p>
    <w:p>
      <w:pPr>
        <w:spacing w:after="0" w:line="128" w:lineRule="exact"/>
        <w:rPr>
          <w:sz w:val="20"/>
          <w:szCs w:val="20"/>
          <w:color w:val="auto"/>
        </w:rPr>
      </w:pPr>
    </w:p>
    <w:p>
      <w:pPr>
        <w:ind w:left="1520" w:right="1700" w:firstLine="230"/>
        <w:spacing w:after="0" w:line="289" w:lineRule="auto"/>
        <w:rPr>
          <w:sz w:val="20"/>
          <w:szCs w:val="20"/>
          <w:color w:val="auto"/>
        </w:rPr>
      </w:pPr>
      <w:r>
        <w:rPr>
          <w:rFonts w:ascii="Arial" w:cs="Arial" w:eastAsia="Arial" w:hAnsi="Arial"/>
          <w:sz w:val="12"/>
          <w:szCs w:val="12"/>
          <w:color w:val="auto"/>
        </w:rPr>
        <w:t>We conduct business in certain international markets, primarily in Europe in the United Kingdom. Because we operate in international markets, we have exposure to different economic conditions, political climates, tax systems, and regulations that could affect foreign currency exchange rates.</w:t>
      </w:r>
    </w:p>
    <w:p>
      <w:pPr>
        <w:spacing w:after="0" w:line="76" w:lineRule="exact"/>
        <w:rPr>
          <w:sz w:val="20"/>
          <w:szCs w:val="20"/>
          <w:color w:val="auto"/>
        </w:rPr>
      </w:pPr>
    </w:p>
    <w:p>
      <w:pPr>
        <w:ind w:left="1520" w:right="1700" w:firstLine="230"/>
        <w:spacing w:after="0" w:line="269" w:lineRule="auto"/>
        <w:rPr>
          <w:sz w:val="20"/>
          <w:szCs w:val="20"/>
          <w:color w:val="auto"/>
        </w:rPr>
      </w:pPr>
      <w:r>
        <w:rPr>
          <w:rFonts w:ascii="Arial" w:cs="Arial" w:eastAsia="Arial" w:hAnsi="Arial"/>
          <w:sz w:val="12"/>
          <w:szCs w:val="12"/>
          <w:color w:val="auto"/>
        </w:rPr>
        <w:t>The functional currency of our foreign subsidiaries may be the local currency or the U.S. dollar, depending on the primary economic environment in which the subsidiary operates. Consequently, changes in foreign currency exchange rates may impact the translation of those subsidiaries’ financial statements into U.S. dollars.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 In addition, foreign currency exchange rate fluctuations on transactions denominated in currencies other than the functional currency result in transactional gains and losses. We recognize these transactional gains and losses (primarily Euro and British pound currency transactions) in our consolidated statement of operations and have recorded net foreign currency exchange losses of $4.7 million for fiscal 2025 and net foreign currency change gains of $7.6 million for the six months ended July 31, 2025 in other income (expense), net. Future transactional gains and losses are inherently difficult to predict as they depend on how the multiple currencies in which we transact fluctuate in relation to the U.S. dollar and other functional currencies, and the relative composition and denomination of monetary assets and liabilities in each period.</w:t>
      </w:r>
    </w:p>
    <w:p>
      <w:pPr>
        <w:spacing w:after="0" w:line="24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Interest Rate Risk</w:t>
      </w:r>
    </w:p>
    <w:p>
      <w:pPr>
        <w:spacing w:after="0" w:line="128" w:lineRule="exact"/>
        <w:rPr>
          <w:sz w:val="20"/>
          <w:szCs w:val="20"/>
          <w:color w:val="auto"/>
        </w:rPr>
      </w:pPr>
    </w:p>
    <w:p>
      <w:pPr>
        <w:ind w:left="1520" w:right="1740" w:firstLine="230"/>
        <w:spacing w:after="0" w:line="277" w:lineRule="auto"/>
        <w:rPr>
          <w:sz w:val="20"/>
          <w:szCs w:val="20"/>
          <w:color w:val="auto"/>
        </w:rPr>
      </w:pPr>
      <w:r>
        <w:rPr>
          <w:rFonts w:ascii="Arial" w:cs="Arial" w:eastAsia="Arial" w:hAnsi="Arial"/>
          <w:sz w:val="12"/>
          <w:szCs w:val="12"/>
          <w:color w:val="auto"/>
        </w:rPr>
        <w:t>As of July 31, 2025, we had cash and cash equivalents of $223.2 million. Cash and cash equivalents consist of cash in banks and interest-bearing money market accounts for which the fair market value would be affected by changes in the general level of U.S. interest rates. However, due to the short-term maturities and the low-risk profile of our investments, an immediate 10% change in interest rates would not have a material effect on the fair market value of our cash and cash equivalents.</w:t>
      </w:r>
    </w:p>
    <w:p>
      <w:pPr>
        <w:spacing w:after="0" w:line="84" w:lineRule="exact"/>
        <w:rPr>
          <w:sz w:val="20"/>
          <w:szCs w:val="20"/>
          <w:color w:val="auto"/>
        </w:rPr>
      </w:pPr>
    </w:p>
    <w:p>
      <w:pPr>
        <w:ind w:left="1520" w:right="1720" w:firstLine="230"/>
        <w:spacing w:after="0" w:line="280" w:lineRule="auto"/>
        <w:rPr>
          <w:sz w:val="20"/>
          <w:szCs w:val="20"/>
          <w:color w:val="auto"/>
        </w:rPr>
      </w:pPr>
      <w:r>
        <w:rPr>
          <w:rFonts w:ascii="Arial" w:cs="Arial" w:eastAsia="Arial" w:hAnsi="Arial"/>
          <w:sz w:val="12"/>
          <w:szCs w:val="12"/>
          <w:color w:val="auto"/>
        </w:rPr>
        <w:t>We are also exposed to interest rate risk through fluctuations in interest rates on our debt obligations, some of which carry interest at a floating rate. We seek to manage exposure to adverse interest rate changes through our normal operating and financing activities. As of July 31, 2025, a hypothetical 10% relative change in interest rates would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30"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color w:val="auto"/>
        </w:rPr>
        <w:t>Our consolidated financial statements are prepared in accordance with GAAP. The preparation of our consolidated financial statements requires us to make estimates and assumptions that affect the reported amounts of revenue, expenses, assets and liabilities and disclosure of contingent assets and liabilities in our consolidated financial statements. We base our estimates on historical experience, and other assumptions we believe to be reasonable under the circumstances, which together form the basis for making judgments about the carrying values of assets and liabilities. We regularly assess these estimates; however, actual amounts could differ from those estimates.</w:t>
      </w:r>
    </w:p>
    <w:p>
      <w:pPr>
        <w:spacing w:after="0" w:line="88" w:lineRule="exact"/>
        <w:rPr>
          <w:sz w:val="20"/>
          <w:szCs w:val="20"/>
          <w:color w:val="auto"/>
        </w:rPr>
      </w:pPr>
    </w:p>
    <w:p>
      <w:pPr>
        <w:ind w:left="1520" w:right="1680" w:firstLine="230"/>
        <w:spacing w:after="0" w:line="272" w:lineRule="auto"/>
        <w:rPr>
          <w:sz w:val="20"/>
          <w:szCs w:val="20"/>
          <w:color w:val="auto"/>
        </w:rPr>
      </w:pPr>
      <w:r>
        <w:rPr>
          <w:rFonts w:ascii="Arial" w:cs="Arial" w:eastAsia="Arial" w:hAnsi="Arial"/>
          <w:sz w:val="12"/>
          <w:szCs w:val="12"/>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results of operations are described below. For further information, see Note 1, “Description of Business and Significant Accounting Policies” to the consolidated financial statements included elsewhere in this prospectus.</w:t>
      </w:r>
    </w:p>
    <w:p>
      <w:pPr>
        <w:sectPr>
          <w:pgSz w:w="11900" w:h="16840" w:orient="portrait"/>
          <w:cols w:equalWidth="0" w:num="1">
            <w:col w:w="9020"/>
          </w:cols>
          <w:pgMar w:left="1440" w:top="560" w:right="1440" w:bottom="208" w:gutter="0" w:footer="0" w:header="0"/>
        </w:sectPr>
      </w:pP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Revenue Recognition</w:t>
      </w:r>
    </w:p>
    <w:p>
      <w:pPr>
        <w:sectPr>
          <w:pgSz w:w="11900" w:h="16840" w:orient="portrait"/>
          <w:cols w:equalWidth="0" w:num="1">
            <w:col w:w="9020"/>
          </w:cols>
          <w:pgMar w:left="1440" w:top="560" w:right="1440" w:bottom="208" w:gutter="0" w:footer="0" w:header="0"/>
          <w:type w:val="continuous"/>
        </w:sectPr>
      </w:pPr>
    </w:p>
    <w:bookmarkStart w:id="86" w:name="page87"/>
    <w:bookmarkEnd w:id="86"/>
    <w:p>
      <w:pPr>
        <w:ind w:left="1520" w:right="1620" w:firstLine="230"/>
        <w:spacing w:after="0" w:line="218" w:lineRule="auto"/>
        <w:rPr>
          <w:sz w:val="20"/>
          <w:szCs w:val="20"/>
          <w:color w:val="auto"/>
        </w:rPr>
      </w:pPr>
      <w:r>
        <w:rPr>
          <w:rFonts w:ascii="Arial" w:cs="Arial" w:eastAsia="Arial" w:hAnsi="Arial"/>
          <w:sz w:val="12"/>
          <w:szCs w:val="12"/>
          <w:color w:val="auto"/>
        </w:rPr>
        <w:t xml:space="preserve">We recognize revenue in accordance with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 when a customer obtains control of promised services in an amount that reflects the consideration we expect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-152400</wp:posOffset>
            </wp:positionV>
            <wp:extent cx="6732270" cy="99707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820"/>
        <w:spacing w:after="0" w:line="268" w:lineRule="auto"/>
        <w:rPr>
          <w:sz w:val="20"/>
          <w:szCs w:val="20"/>
          <w:color w:val="auto"/>
        </w:rPr>
      </w:pPr>
      <w:r>
        <w:rPr>
          <w:rFonts w:ascii="Arial" w:cs="Arial" w:eastAsia="Arial" w:hAnsi="Arial"/>
          <w:sz w:val="12"/>
          <w:szCs w:val="12"/>
          <w:color w:val="auto"/>
        </w:rPr>
        <w:t>be entitled to in exchange for these services. Our primary sources of revenue are fees earned from platform customers for access to our travel and expense management platform or on-demand travel management services, and from travel supply and payment partners for connection to our network of travel bookings and corporate card transaction dollar volume. We categorize revenue earned as (i) usage-based revenue, which primarily represents fees from our platform customers earned on a per-booking transaction basis and fees from our travel supply and payment partners, which are generally earned on a per-transaction basis, and (ii) subscription revenue, which primarily represents revenue earned from subscriptions to our expense management platform. Under our arrangements with certain travel supply partners, we earn additional fees when cumulative actual booking or transaction dollar volume exceeds specified contractual thresholds. Our travel supply partners include airlines, hotels, car rental companies, rail carriers, and providers of GDSs. Our payment partners primarily include our corporate card payment processors and card issuing partners.</w:t>
      </w:r>
    </w:p>
    <w:p>
      <w:pPr>
        <w:spacing w:after="0" w:line="93" w:lineRule="exact"/>
        <w:rPr>
          <w:sz w:val="20"/>
          <w:szCs w:val="20"/>
          <w:color w:val="auto"/>
        </w:rPr>
      </w:pPr>
    </w:p>
    <w:p>
      <w:pPr>
        <w:ind w:left="1760"/>
        <w:spacing w:after="0"/>
        <w:rPr>
          <w:sz w:val="20"/>
          <w:szCs w:val="20"/>
          <w:color w:val="auto"/>
        </w:rPr>
      </w:pPr>
      <w:r>
        <w:rPr>
          <w:rFonts w:ascii="Arial" w:cs="Arial" w:eastAsia="Arial" w:hAnsi="Arial"/>
          <w:sz w:val="12"/>
          <w:szCs w:val="12"/>
          <w:i w:val="1"/>
          <w:iCs w:val="1"/>
          <w:color w:val="auto"/>
        </w:rPr>
        <w:t>Platform Customers</w:t>
      </w:r>
    </w:p>
    <w:p>
      <w:pPr>
        <w:spacing w:after="0" w:line="128" w:lineRule="exact"/>
        <w:rPr>
          <w:sz w:val="20"/>
          <w:szCs w:val="20"/>
          <w:color w:val="auto"/>
        </w:rPr>
      </w:pPr>
    </w:p>
    <w:p>
      <w:pPr>
        <w:ind w:left="1520" w:right="1700" w:firstLine="230"/>
        <w:spacing w:after="0" w:line="277" w:lineRule="auto"/>
        <w:rPr>
          <w:sz w:val="20"/>
          <w:szCs w:val="20"/>
          <w:color w:val="auto"/>
        </w:rPr>
      </w:pPr>
      <w:r>
        <w:rPr>
          <w:rFonts w:ascii="Arial" w:cs="Arial" w:eastAsia="Arial" w:hAnsi="Arial"/>
          <w:sz w:val="12"/>
          <w:szCs w:val="12"/>
          <w:color w:val="auto"/>
        </w:rPr>
        <w:t>Our primary performance obligation is to provide platform customers with continuous access to our cloud-based travel and expense management platform or to our on-demand travel management services. Transaction-based fees are generally non-refundable, and represent variable consideration allocated to the period the booking occurs. Revenue from transaction-based fees is recognized at the time of booking. Subscription fees are recognized ratably over the non-cancellable contract term.</w:t>
      </w:r>
    </w:p>
    <w:p>
      <w:pPr>
        <w:spacing w:after="0" w:line="84" w:lineRule="exact"/>
        <w:rPr>
          <w:sz w:val="20"/>
          <w:szCs w:val="20"/>
          <w:color w:val="auto"/>
        </w:rPr>
      </w:pPr>
    </w:p>
    <w:p>
      <w:pPr>
        <w:ind w:left="1520" w:right="1720" w:firstLine="230"/>
        <w:spacing w:after="0" w:line="281" w:lineRule="auto"/>
        <w:rPr>
          <w:sz w:val="20"/>
          <w:szCs w:val="20"/>
          <w:color w:val="auto"/>
        </w:rPr>
      </w:pPr>
      <w:r>
        <w:rPr>
          <w:rFonts w:ascii="Arial" w:cs="Arial" w:eastAsia="Arial" w:hAnsi="Arial"/>
          <w:sz w:val="12"/>
          <w:szCs w:val="12"/>
          <w:color w:val="auto"/>
        </w:rPr>
        <w:t>We maintain a rewards program under which users of our platform receive credits for the purchase of future personal travel. These credits expire twelve months after they are earned. We record a rewards liability and a reduction to revenue related to the vested and unpaid rewards earned by users of our platform, net of expected breakage.</w:t>
      </w:r>
    </w:p>
    <w:p>
      <w:pPr>
        <w:spacing w:after="0" w:line="83" w:lineRule="exact"/>
        <w:rPr>
          <w:sz w:val="20"/>
          <w:szCs w:val="20"/>
          <w:color w:val="auto"/>
        </w:rPr>
      </w:pPr>
    </w:p>
    <w:p>
      <w:pPr>
        <w:ind w:left="1760"/>
        <w:spacing w:after="0"/>
        <w:rPr>
          <w:sz w:val="20"/>
          <w:szCs w:val="20"/>
          <w:color w:val="auto"/>
        </w:rPr>
      </w:pPr>
      <w:r>
        <w:rPr>
          <w:rFonts w:ascii="Arial" w:cs="Arial" w:eastAsia="Arial" w:hAnsi="Arial"/>
          <w:sz w:val="12"/>
          <w:szCs w:val="12"/>
          <w:i w:val="1"/>
          <w:iCs w:val="1"/>
          <w:color w:val="auto"/>
        </w:rPr>
        <w:t>Travel Supply and Payment Partner Fees</w:t>
      </w:r>
    </w:p>
    <w:p>
      <w:pPr>
        <w:spacing w:after="0" w:line="128" w:lineRule="exact"/>
        <w:rPr>
          <w:sz w:val="20"/>
          <w:szCs w:val="20"/>
          <w:color w:val="auto"/>
        </w:rPr>
      </w:pPr>
    </w:p>
    <w:p>
      <w:pPr>
        <w:ind w:left="1520" w:right="1680" w:firstLine="230"/>
        <w:spacing w:after="0" w:line="277" w:lineRule="auto"/>
        <w:rPr>
          <w:sz w:val="20"/>
          <w:szCs w:val="20"/>
          <w:color w:val="auto"/>
        </w:rPr>
      </w:pPr>
      <w:r>
        <w:rPr>
          <w:rFonts w:ascii="Arial" w:cs="Arial" w:eastAsia="Arial" w:hAnsi="Arial"/>
          <w:sz w:val="12"/>
          <w:szCs w:val="12"/>
          <w:color w:val="auto"/>
        </w:rPr>
        <w:t>Our primary performance obligation to our travel supply partners is to connect them to user bookings made on our cloud-based travel management platform or through our on-demand travel management services. For airline and rail carriers, we are generally entitled to fees at the time of booking. For hotel and car rental partners, we are generally entitled to fees at the completion of a traveler’s stay or at the end of the rental period, respectively. Revenue is recognized at the time we are entitled to these fees.</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860" w:firstLine="230"/>
        <w:spacing w:after="0" w:line="275" w:lineRule="auto"/>
        <w:rPr>
          <w:sz w:val="20"/>
          <w:szCs w:val="20"/>
          <w:color w:val="auto"/>
        </w:rPr>
      </w:pPr>
      <w:r>
        <w:rPr>
          <w:rFonts w:ascii="Arial" w:cs="Arial" w:eastAsia="Arial" w:hAnsi="Arial"/>
          <w:sz w:val="12"/>
          <w:szCs w:val="12"/>
          <w:color w:val="auto"/>
        </w:rPr>
        <w:t>Our primary obligation to our payment partners is to connect them with user transaction volume on our physical and virtual corporate cards. We earn fees and other incentives from our payment partners based on the transaction dollar volume of each physical or virtual corporate card payment transaction processed, and we recognize revenue in the period each transaction occurs. We provide rebates to certain platform customers based on the dollar volume of payment transactions processed on our platform. Rebates paid to customers are recognized as a reduction to revenue.</w:t>
      </w:r>
    </w:p>
    <w:p>
      <w:pPr>
        <w:spacing w:after="0" w:line="87"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Contract Acquisition Costs</w:t>
      </w:r>
    </w:p>
    <w:p>
      <w:pPr>
        <w:spacing w:after="0" w:line="128" w:lineRule="exact"/>
        <w:rPr>
          <w:sz w:val="20"/>
          <w:szCs w:val="20"/>
          <w:color w:val="auto"/>
        </w:rPr>
      </w:pPr>
    </w:p>
    <w:p>
      <w:pPr>
        <w:ind w:left="1520" w:right="1600" w:firstLine="230"/>
        <w:spacing w:after="0" w:line="272" w:lineRule="auto"/>
        <w:rPr>
          <w:sz w:val="20"/>
          <w:szCs w:val="20"/>
          <w:color w:val="auto"/>
        </w:rPr>
      </w:pPr>
      <w:r>
        <w:rPr>
          <w:rFonts w:ascii="Arial" w:cs="Arial" w:eastAsia="Arial" w:hAnsi="Arial"/>
          <w:sz w:val="12"/>
          <w:szCs w:val="12"/>
          <w:color w:val="auto"/>
        </w:rPr>
        <w:t>We capitalize incremental costs of obtaining a contract with a customer if the costs are recoverable. These costs, which primarily consist of sales commissions, are deferred and amortized on a straight-line basis over the period of benefit, which we have estimated to be five years. We estimate the period of benefit by primarily taking into consideration the average customer life, among other factors. During fiscal 2025, we capitalized $23.7 million of contract acquisition costs and recognized related amortization expense of $5.6 million . During the six months ended July 31, 2025, we capitalized $9.2 million of contract acquisition costs and recognized related amortization expense of $2.5 million. Amortization expense is included in sales and marketing expense in the consolidated statements of operations.</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Valuation of Embedded Derivative Liability</w:t>
      </w:r>
    </w:p>
    <w:p>
      <w:pPr>
        <w:spacing w:after="0" w:line="128" w:lineRule="exact"/>
        <w:rPr>
          <w:sz w:val="20"/>
          <w:szCs w:val="20"/>
          <w:color w:val="auto"/>
        </w:rPr>
      </w:pPr>
    </w:p>
    <w:p>
      <w:pPr>
        <w:ind w:left="1520" w:right="1640" w:firstLine="230"/>
        <w:spacing w:after="0" w:line="270" w:lineRule="auto"/>
        <w:rPr>
          <w:sz w:val="20"/>
          <w:szCs w:val="20"/>
          <w:color w:val="auto"/>
        </w:rPr>
      </w:pPr>
      <w:r>
        <w:rPr>
          <w:rFonts w:ascii="Arial" w:cs="Arial" w:eastAsia="Arial" w:hAnsi="Arial"/>
          <w:sz w:val="12"/>
          <w:szCs w:val="12"/>
          <w:color w:val="auto"/>
        </w:rPr>
        <w:t>The embedded derivative liability is bifurcated from the convertible notes issued in June 2020. Refer to the section titled “—Debt Obligations” and in Note 8, “Debt” to the consolidated financial statements included elsewhere in this prospectus for further information regarding the convertible notes . The embedded derivative liability was measured at fair value on the date of issuance, and is remeasured to fair value each reporting period until conversion, with changes in the fair value recognized as a component of gain (loss) on fair value adjustments in the accompanying consolidated statements of operations. The fair value of the embedded derivative liability was computed using a combination of the income approach, the Black-Scholes option pricing model, a probability-weighted estimate of the time to conversion, and other Level 3 inputs. Significant management assumptions and estimates were involved in this determination. Refer to Note 3, “Fair Value Measurements” to the consolidated financial statements included elsewhere in this prospectus for further information regarding the significant inputs used in measuring the fair value of the embedded derivative liability.</w:t>
      </w:r>
    </w:p>
    <w:p>
      <w:pPr>
        <w:spacing w:after="0" w:line="91"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28" w:lineRule="exact"/>
        <w:rPr>
          <w:sz w:val="20"/>
          <w:szCs w:val="20"/>
          <w:color w:val="auto"/>
        </w:rPr>
      </w:pPr>
    </w:p>
    <w:p>
      <w:pPr>
        <w:ind w:left="1520" w:right="1680" w:firstLine="230"/>
        <w:spacing w:after="0" w:line="273" w:lineRule="auto"/>
        <w:rPr>
          <w:sz w:val="20"/>
          <w:szCs w:val="20"/>
          <w:color w:val="auto"/>
        </w:rPr>
      </w:pPr>
      <w:r>
        <w:rPr>
          <w:rFonts w:ascii="Arial" w:cs="Arial" w:eastAsia="Arial" w:hAnsi="Arial"/>
          <w:sz w:val="12"/>
          <w:szCs w:val="12"/>
          <w:color w:val="auto"/>
        </w:rPr>
        <w:t>Stock-based compensation expense is recognized over the requisite service period, which is generally over the vesting term of four years, on a straight-line basis for all stock-based payments that are granted to employees, non-employees and directors, including grants of employee stock options and other stock-based awards, that vest based on time-based service vesting conditions. Equity-classified awards issued to employees, non-employees such as consultants and non-employee directors are measured at the grant-date fair value of the award. Forfeitures are recognized as they occur. We estimate the grant-date fair value of stock options using the Black-Scholes option pricing model.</w:t>
      </w:r>
    </w:p>
    <w:p>
      <w:pPr>
        <w:spacing w:after="0" w:line="88" w:lineRule="exact"/>
        <w:rPr>
          <w:sz w:val="20"/>
          <w:szCs w:val="20"/>
          <w:color w:val="auto"/>
        </w:rPr>
      </w:pPr>
    </w:p>
    <w:p>
      <w:pPr>
        <w:ind w:left="1520" w:right="2140" w:firstLine="230"/>
        <w:spacing w:after="0" w:line="312" w:lineRule="auto"/>
        <w:rPr>
          <w:sz w:val="20"/>
          <w:szCs w:val="20"/>
          <w:color w:val="auto"/>
        </w:rPr>
      </w:pPr>
      <w:r>
        <w:rPr>
          <w:rFonts w:ascii="Arial" w:cs="Arial" w:eastAsia="Arial" w:hAnsi="Arial"/>
          <w:sz w:val="12"/>
          <w:szCs w:val="12"/>
          <w:color w:val="auto"/>
        </w:rPr>
        <w:t>The Black-Scholes option-pricing model requires the input of highly subjective assumptions in estimating the fair value of stock-based awards. These variables include:</w:t>
      </w:r>
    </w:p>
    <w:p>
      <w:pPr>
        <w:spacing w:after="0" w:line="62" w:lineRule="exact"/>
        <w:rPr>
          <w:sz w:val="20"/>
          <w:szCs w:val="20"/>
          <w:color w:val="auto"/>
        </w:rPr>
      </w:pPr>
    </w:p>
    <w:p>
      <w:pPr>
        <w:ind w:left="1980" w:right="1900" w:hanging="228"/>
        <w:spacing w:after="0" w:line="289" w:lineRule="auto"/>
        <w:tabs>
          <w:tab w:leader="none" w:pos="1980" w:val="left"/>
        </w:tabs>
        <w:numPr>
          <w:ilvl w:val="0"/>
          <w:numId w:val="83"/>
        </w:numPr>
        <w:rPr>
          <w:rFonts w:ascii="Arial" w:cs="Arial" w:eastAsia="Arial" w:hAnsi="Arial"/>
          <w:sz w:val="12"/>
          <w:szCs w:val="12"/>
          <w:color w:val="auto"/>
        </w:rPr>
      </w:pPr>
      <w:r>
        <w:rPr>
          <w:rFonts w:ascii="Arial" w:cs="Arial" w:eastAsia="Arial" w:hAnsi="Arial"/>
          <w:sz w:val="12"/>
          <w:szCs w:val="12"/>
          <w:i w:val="1"/>
          <w:iCs w:val="1"/>
          <w:color w:val="auto"/>
        </w:rPr>
        <w:t xml:space="preserve">Fair Value of Common Stock. </w:t>
      </w:r>
      <w:r>
        <w:rPr>
          <w:rFonts w:ascii="Arial" w:cs="Arial" w:eastAsia="Arial" w:hAnsi="Arial"/>
          <w:sz w:val="12"/>
          <w:szCs w:val="12"/>
          <w:color w:val="auto"/>
        </w:rPr>
        <w:t>As our shares of common stock are not publicly traded, the fair</w:t>
      </w:r>
      <w:r>
        <w:rPr>
          <w:rFonts w:ascii="Arial" w:cs="Arial" w:eastAsia="Arial" w:hAnsi="Arial"/>
          <w:sz w:val="12"/>
          <w:szCs w:val="12"/>
          <w:i w:val="1"/>
          <w:iCs w:val="1"/>
          <w:color w:val="auto"/>
        </w:rPr>
        <w:t xml:space="preserve"> </w:t>
      </w:r>
      <w:r>
        <w:rPr>
          <w:rFonts w:ascii="Arial" w:cs="Arial" w:eastAsia="Arial" w:hAnsi="Arial"/>
          <w:sz w:val="12"/>
          <w:szCs w:val="12"/>
          <w:color w:val="auto"/>
        </w:rPr>
        <w:t>value was determined by our board of directors, with input from management and valuation reports prepared by third-party valuation specialists.</w:t>
      </w:r>
    </w:p>
    <w:p>
      <w:pPr>
        <w:spacing w:after="0" w:line="75" w:lineRule="exact"/>
        <w:rPr>
          <w:rFonts w:ascii="Arial" w:cs="Arial" w:eastAsia="Arial" w:hAnsi="Arial"/>
          <w:sz w:val="12"/>
          <w:szCs w:val="12"/>
          <w:color w:val="auto"/>
        </w:rPr>
      </w:pPr>
    </w:p>
    <w:p>
      <w:pPr>
        <w:ind w:left="1980" w:right="1980" w:hanging="228"/>
        <w:spacing w:after="0" w:line="312" w:lineRule="auto"/>
        <w:tabs>
          <w:tab w:leader="none" w:pos="1980" w:val="left"/>
        </w:tabs>
        <w:numPr>
          <w:ilvl w:val="0"/>
          <w:numId w:val="83"/>
        </w:numPr>
        <w:rPr>
          <w:rFonts w:ascii="Arial" w:cs="Arial" w:eastAsia="Arial" w:hAnsi="Arial"/>
          <w:sz w:val="12"/>
          <w:szCs w:val="12"/>
          <w:color w:val="auto"/>
        </w:rPr>
      </w:pPr>
      <w:r>
        <w:rPr>
          <w:rFonts w:ascii="Arial" w:cs="Arial" w:eastAsia="Arial" w:hAnsi="Arial"/>
          <w:sz w:val="12"/>
          <w:szCs w:val="12"/>
          <w:i w:val="1"/>
          <w:iCs w:val="1"/>
          <w:color w:val="auto"/>
        </w:rPr>
        <w:t xml:space="preserve">Risk-Free Interest Rate. </w:t>
      </w:r>
      <w:r>
        <w:rPr>
          <w:rFonts w:ascii="Arial" w:cs="Arial" w:eastAsia="Arial" w:hAnsi="Arial"/>
          <w:sz w:val="12"/>
          <w:szCs w:val="12"/>
          <w:color w:val="auto"/>
        </w:rPr>
        <w:t>The risk-free interest rate is based on the yield available on U.S.</w:t>
      </w:r>
      <w:r>
        <w:rPr>
          <w:rFonts w:ascii="Arial" w:cs="Arial" w:eastAsia="Arial" w:hAnsi="Arial"/>
          <w:sz w:val="12"/>
          <w:szCs w:val="12"/>
          <w:i w:val="1"/>
          <w:iCs w:val="1"/>
          <w:color w:val="auto"/>
        </w:rPr>
        <w:t xml:space="preserve"> </w:t>
      </w:r>
      <w:r>
        <w:rPr>
          <w:rFonts w:ascii="Arial" w:cs="Arial" w:eastAsia="Arial" w:hAnsi="Arial"/>
          <w:sz w:val="12"/>
          <w:szCs w:val="12"/>
          <w:color w:val="auto"/>
        </w:rPr>
        <w:t>Treasury zero-coupon issues with a term that approximates the expected term of the option.</w:t>
      </w:r>
    </w:p>
    <w:p>
      <w:pPr>
        <w:spacing w:after="0" w:line="62" w:lineRule="exact"/>
        <w:rPr>
          <w:rFonts w:ascii="Arial" w:cs="Arial" w:eastAsia="Arial" w:hAnsi="Arial"/>
          <w:sz w:val="12"/>
          <w:szCs w:val="12"/>
          <w:color w:val="auto"/>
        </w:rPr>
      </w:pPr>
    </w:p>
    <w:p>
      <w:pPr>
        <w:ind w:left="1980" w:right="1720" w:hanging="228"/>
        <w:spacing w:after="0" w:line="289" w:lineRule="auto"/>
        <w:tabs>
          <w:tab w:leader="none" w:pos="1980" w:val="left"/>
        </w:tabs>
        <w:numPr>
          <w:ilvl w:val="0"/>
          <w:numId w:val="83"/>
        </w:numPr>
        <w:rPr>
          <w:rFonts w:ascii="Arial" w:cs="Arial" w:eastAsia="Arial" w:hAnsi="Arial"/>
          <w:sz w:val="12"/>
          <w:szCs w:val="12"/>
          <w:color w:val="auto"/>
        </w:rPr>
      </w:pPr>
      <w:r>
        <w:rPr>
          <w:rFonts w:ascii="Arial" w:cs="Arial" w:eastAsia="Arial" w:hAnsi="Arial"/>
          <w:sz w:val="12"/>
          <w:szCs w:val="12"/>
          <w:i w:val="1"/>
          <w:iCs w:val="1"/>
          <w:color w:val="auto"/>
        </w:rPr>
        <w:t xml:space="preserve">Expected Term. </w:t>
      </w:r>
      <w:r>
        <w:rPr>
          <w:rFonts w:ascii="Arial" w:cs="Arial" w:eastAsia="Arial" w:hAnsi="Arial"/>
          <w:sz w:val="12"/>
          <w:szCs w:val="12"/>
          <w:color w:val="auto"/>
        </w:rPr>
        <w:t>The expected term represents the period that stock-based awards are expected</w:t>
      </w:r>
      <w:r>
        <w:rPr>
          <w:rFonts w:ascii="Arial" w:cs="Arial" w:eastAsia="Arial" w:hAnsi="Arial"/>
          <w:sz w:val="12"/>
          <w:szCs w:val="12"/>
          <w:i w:val="1"/>
          <w:iCs w:val="1"/>
          <w:color w:val="auto"/>
        </w:rPr>
        <w:t xml:space="preserve"> </w:t>
      </w:r>
      <w:r>
        <w:rPr>
          <w:rFonts w:ascii="Arial" w:cs="Arial" w:eastAsia="Arial" w:hAnsi="Arial"/>
          <w:sz w:val="12"/>
          <w:szCs w:val="12"/>
          <w:color w:val="auto"/>
        </w:rPr>
        <w:t>to be outstanding. Since we did not have sufficient historical information to develop reasonable expectations about future exercise behavior, the expected term for options issued to employees</w:t>
      </w:r>
    </w:p>
    <w:p>
      <w:pPr>
        <w:sectPr>
          <w:pgSz w:w="11900" w:h="16840" w:orient="portrait"/>
          <w:cols w:equalWidth="0" w:num="1">
            <w:col w:w="9020"/>
          </w:cols>
          <w:pgMar w:left="1440" w:top="560" w:right="1440" w:bottom="414" w:gutter="0" w:footer="0" w:header="0"/>
        </w:sectPr>
      </w:pPr>
    </w:p>
    <w:bookmarkStart w:id="87" w:name="page88"/>
    <w:bookmarkEnd w:id="87"/>
    <w:p>
      <w:pPr>
        <w:jc w:val="center"/>
        <w:ind w:right="40"/>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980" w:right="1700"/>
        <w:spacing w:after="0" w:line="312" w:lineRule="auto"/>
        <w:rPr>
          <w:sz w:val="20"/>
          <w:szCs w:val="20"/>
          <w:color w:val="auto"/>
        </w:rPr>
      </w:pPr>
      <w:r>
        <w:rPr>
          <w:rFonts w:ascii="Arial" w:cs="Arial" w:eastAsia="Arial" w:hAnsi="Arial"/>
          <w:sz w:val="12"/>
          <w:szCs w:val="12"/>
          <w:color w:val="auto"/>
        </w:rPr>
        <w:t>was calculated as the mean of the option vesting period and contractual term. The expected term for options issued to non-employees is the contractual term.</w:t>
      </w:r>
    </w:p>
    <w:p>
      <w:pPr>
        <w:spacing w:after="0" w:line="62" w:lineRule="exact"/>
        <w:rPr>
          <w:sz w:val="20"/>
          <w:szCs w:val="20"/>
          <w:color w:val="auto"/>
        </w:rPr>
      </w:pPr>
    </w:p>
    <w:p>
      <w:pPr>
        <w:ind w:left="1980" w:right="1680" w:hanging="228"/>
        <w:spacing w:after="0" w:line="281" w:lineRule="auto"/>
        <w:tabs>
          <w:tab w:leader="none" w:pos="1980" w:val="left"/>
        </w:tabs>
        <w:numPr>
          <w:ilvl w:val="0"/>
          <w:numId w:val="84"/>
        </w:numPr>
        <w:rPr>
          <w:rFonts w:ascii="Arial" w:cs="Arial" w:eastAsia="Arial" w:hAnsi="Arial"/>
          <w:sz w:val="12"/>
          <w:szCs w:val="12"/>
          <w:color w:val="auto"/>
        </w:rPr>
      </w:pPr>
      <w:r>
        <w:rPr>
          <w:rFonts w:ascii="Arial" w:cs="Arial" w:eastAsia="Arial" w:hAnsi="Arial"/>
          <w:sz w:val="12"/>
          <w:szCs w:val="12"/>
          <w:i w:val="1"/>
          <w:iCs w:val="1"/>
          <w:color w:val="auto"/>
        </w:rPr>
        <w:t xml:space="preserve">Expected Volatility. </w:t>
      </w:r>
      <w:r>
        <w:rPr>
          <w:rFonts w:ascii="Arial" w:cs="Arial" w:eastAsia="Arial" w:hAnsi="Arial"/>
          <w:sz w:val="12"/>
          <w:szCs w:val="12"/>
          <w:color w:val="auto"/>
        </w:rPr>
        <w:t>Since we have no trading history of our common stock, the expected volatility</w:t>
      </w:r>
      <w:r>
        <w:rPr>
          <w:rFonts w:ascii="Arial" w:cs="Arial" w:eastAsia="Arial" w:hAnsi="Arial"/>
          <w:sz w:val="12"/>
          <w:szCs w:val="12"/>
          <w:i w:val="1"/>
          <w:iCs w:val="1"/>
          <w:color w:val="auto"/>
        </w:rPr>
        <w:t xml:space="preserve"> </w:t>
      </w:r>
      <w:r>
        <w:rPr>
          <w:rFonts w:ascii="Arial" w:cs="Arial" w:eastAsia="Arial" w:hAnsi="Arial"/>
          <w:sz w:val="12"/>
          <w:szCs w:val="12"/>
          <w:color w:val="auto"/>
        </w:rPr>
        <w:t>is derived from the average historical stock volatilities of peer group public companies that we consider to be comparable to our business over a period equivalent to the expected term of the stock-based grants.</w:t>
      </w:r>
    </w:p>
    <w:p>
      <w:pPr>
        <w:spacing w:after="0" w:line="80" w:lineRule="exact"/>
        <w:rPr>
          <w:rFonts w:ascii="Arial" w:cs="Arial" w:eastAsia="Arial" w:hAnsi="Arial"/>
          <w:sz w:val="12"/>
          <w:szCs w:val="12"/>
          <w:color w:val="auto"/>
        </w:rPr>
      </w:pPr>
    </w:p>
    <w:p>
      <w:pPr>
        <w:ind w:left="1980" w:right="2080" w:hanging="228"/>
        <w:spacing w:after="0" w:line="289" w:lineRule="auto"/>
        <w:tabs>
          <w:tab w:leader="none" w:pos="1980" w:val="left"/>
        </w:tabs>
        <w:numPr>
          <w:ilvl w:val="0"/>
          <w:numId w:val="84"/>
        </w:numPr>
        <w:rPr>
          <w:rFonts w:ascii="Arial" w:cs="Arial" w:eastAsia="Arial" w:hAnsi="Arial"/>
          <w:sz w:val="12"/>
          <w:szCs w:val="12"/>
          <w:color w:val="auto"/>
        </w:rPr>
      </w:pPr>
      <w:r>
        <w:rPr>
          <w:rFonts w:ascii="Arial" w:cs="Arial" w:eastAsia="Arial" w:hAnsi="Arial"/>
          <w:sz w:val="12"/>
          <w:szCs w:val="12"/>
          <w:i w:val="1"/>
          <w:iCs w:val="1"/>
          <w:color w:val="auto"/>
        </w:rPr>
        <w:t xml:space="preserve">Expected Dividend Yield. </w:t>
      </w:r>
      <w:r>
        <w:rPr>
          <w:rFonts w:ascii="Arial" w:cs="Arial" w:eastAsia="Arial" w:hAnsi="Arial"/>
          <w:sz w:val="12"/>
          <w:szCs w:val="12"/>
          <w:color w:val="auto"/>
        </w:rPr>
        <w:t>We have never declared or paid any cash dividends and do not</w:t>
      </w:r>
      <w:r>
        <w:rPr>
          <w:rFonts w:ascii="Arial" w:cs="Arial" w:eastAsia="Arial" w:hAnsi="Arial"/>
          <w:sz w:val="12"/>
          <w:szCs w:val="12"/>
          <w:i w:val="1"/>
          <w:iCs w:val="1"/>
          <w:color w:val="auto"/>
        </w:rPr>
        <w:t xml:space="preserve"> </w:t>
      </w:r>
      <w:r>
        <w:rPr>
          <w:rFonts w:ascii="Arial" w:cs="Arial" w:eastAsia="Arial" w:hAnsi="Arial"/>
          <w:sz w:val="12"/>
          <w:szCs w:val="12"/>
          <w:color w:val="auto"/>
        </w:rPr>
        <w:t>presently plan to pay cash dividends in the foreseeable future. As a result, we applied an expected dividend yield of zero.</w:t>
      </w:r>
    </w:p>
    <w:p>
      <w:pPr>
        <w:spacing w:after="0" w:line="76"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RSUs are generally subject to both time-based service and performance-based vesting conditions, which may be satisfied by either an initial public offering, including this offering, or the sale of our company, neither of which, for accounting purposes, are considered probable until they occur. The fair value of new or modified RSU awards is equal to the grant date fair value of the Company’s common stock. These RSUs generally vest over a four-year period based on the achievement of specified qualifying events, subject to continued service through the applicable vesting dates. Compensation cost is recognized over the requisite service period when it is probable that the performance-based condition will be satisfied. In the period in which the performance-based condition becomes probable, we will record cumulative stock-based compensation expense for the service period completed to such date and will begin recording stock-based compensation expense using the accelerated attribution method based on the grant-date fair value of the RSUs for awards where the service period is not complete.</w:t>
      </w:r>
    </w:p>
    <w:p>
      <w:pPr>
        <w:spacing w:after="0" w:line="91" w:lineRule="exact"/>
        <w:rPr>
          <w:sz w:val="20"/>
          <w:szCs w:val="20"/>
          <w:color w:val="auto"/>
        </w:rPr>
      </w:pPr>
    </w:p>
    <w:p>
      <w:pPr>
        <w:ind w:left="1520" w:right="1680" w:firstLine="230"/>
        <w:spacing w:after="0" w:line="269" w:lineRule="auto"/>
        <w:rPr>
          <w:sz w:val="20"/>
          <w:szCs w:val="20"/>
          <w:color w:val="auto"/>
        </w:rPr>
      </w:pPr>
      <w:r>
        <w:rPr>
          <w:rFonts w:ascii="Arial" w:cs="Arial" w:eastAsia="Arial" w:hAnsi="Arial"/>
          <w:sz w:val="12"/>
          <w:szCs w:val="12"/>
          <w:color w:val="auto"/>
        </w:rPr>
        <w:t>Upon the completion of this offering, we will recognize a significant non-cash cumulative stock-based compensation charge for RSUs subject to both time-based service and performance-based vesting conditions for which the time-based service vesting condition has been satisfied. As of July 31, 2025, the total unrecognized stock-based compensation expense related to RSUs for which the time-based service vesting condition had been satisfied or partially satisfied as of July 31, 2025 was approximately $61.2 million, calculated using the accelerated attribution method. Unrecognized stock-based compensation expense related to unvested RSUs that have not met the time-based service condition as of July 31, 2025 was $91.1 million , which would be recognized over a weighted-average period of approximately 3.5 years if the performance-based condition had occurred on or was probable as of July 31, 2025. We expect to recognize the remaining unrecognized non-cash compensation expense for RSUs that were outstanding as of the completion of this offering using the accelerated attribution method, net of forfeitures, as the time-based service vesting condition is satisfied. After the completion of this offering, based on RSUs outstanding as of July 31, 2025, we expect that approximately 0.4 million, 0.9 million, and 0.9 million RSUs will satisfy their time-based service vesting conditions by each of December 20, 2025, March 20, 2026, and June 20, 2026 , respectively, assuming no forfeitures. We may delay the settlement of certain of these vested RSUs until after the expiration of lock-up agreements and market stand-off provisions described elsewhere in this prospectus.</w:t>
      </w:r>
    </w:p>
    <w:p>
      <w:pPr>
        <w:spacing w:after="0" w:line="243" w:lineRule="exact"/>
        <w:rPr>
          <w:sz w:val="20"/>
          <w:szCs w:val="20"/>
          <w:color w:val="auto"/>
        </w:rPr>
      </w:pPr>
    </w:p>
    <w:p>
      <w:pPr>
        <w:ind w:left="1520" w:right="1580" w:firstLine="230"/>
        <w:spacing w:after="0" w:line="277" w:lineRule="auto"/>
        <w:rPr>
          <w:sz w:val="20"/>
          <w:szCs w:val="20"/>
          <w:color w:val="auto"/>
        </w:rPr>
      </w:pPr>
      <w:r>
        <w:rPr>
          <w:rFonts w:ascii="Arial" w:cs="Arial" w:eastAsia="Arial" w:hAnsi="Arial"/>
          <w:sz w:val="12"/>
          <w:szCs w:val="12"/>
          <w:color w:val="auto"/>
        </w:rPr>
        <w:t>Additionally, as of July 31, 2025, unrecognized stock-based compensation expense related to unvested stock options was approximately $123.6 million , which is expected to be recognized over a weighted-average period of 2.3 years and unrecognized stock-based compensation expense related to unvested RSUs with only time-based service vesting conditions was approximately $13.2 million , which is expected to be recognized over a weighted-average period of 3.6 years.</w:t>
      </w:r>
    </w:p>
    <w:p>
      <w:pPr>
        <w:spacing w:after="0" w:line="8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Common Stock Valuations</w:t>
      </w:r>
    </w:p>
    <w:p>
      <w:pPr>
        <w:spacing w:after="0" w:line="128" w:lineRule="exact"/>
        <w:rPr>
          <w:sz w:val="20"/>
          <w:szCs w:val="20"/>
          <w:color w:val="auto"/>
        </w:rPr>
      </w:pPr>
    </w:p>
    <w:p>
      <w:pPr>
        <w:ind w:left="1520" w:right="1880" w:firstLine="230"/>
        <w:spacing w:after="0" w:line="277" w:lineRule="auto"/>
        <w:rPr>
          <w:sz w:val="20"/>
          <w:szCs w:val="20"/>
          <w:color w:val="auto"/>
        </w:rPr>
      </w:pPr>
      <w:r>
        <w:rPr>
          <w:rFonts w:ascii="Arial" w:cs="Arial" w:eastAsia="Arial" w:hAnsi="Arial"/>
          <w:sz w:val="12"/>
          <w:szCs w:val="12"/>
          <w:color w:val="auto"/>
        </w:rPr>
        <w:t xml:space="preserve">The fair value of our common stock underlying our equity awards was determined by our board of directors, after considering contemporaneous third-party valuations and input from management. The valuations of our common stock were determined in accordance with the guidelines outlined in the American Institute of Certified Public Accountants Practice Aid, </w:t>
      </w:r>
      <w:r>
        <w:rPr>
          <w:rFonts w:ascii="Arial" w:cs="Arial" w:eastAsia="Arial" w:hAnsi="Arial"/>
          <w:sz w:val="12"/>
          <w:szCs w:val="12"/>
          <w:i w:val="1"/>
          <w:iCs w:val="1"/>
          <w:color w:val="auto"/>
        </w:rPr>
        <w:t>Valuation of Privately-Held-Company</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Equity Securities Issued as Compensation </w:t>
      </w:r>
      <w:r>
        <w:rPr>
          <w:rFonts w:ascii="Arial" w:cs="Arial" w:eastAsia="Arial" w:hAnsi="Arial"/>
          <w:sz w:val="12"/>
          <w:szCs w:val="12"/>
          <w:color w:val="auto"/>
        </w:rPr>
        <w:t>. In the absence of a public trading market, our board of</w:t>
      </w:r>
    </w:p>
    <w:p>
      <w:pPr>
        <w:spacing w:after="0" w:line="35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20"/>
        <w:spacing w:after="0" w:line="289" w:lineRule="auto"/>
        <w:rPr>
          <w:sz w:val="20"/>
          <w:szCs w:val="20"/>
          <w:color w:val="auto"/>
        </w:rPr>
      </w:pPr>
      <w:r>
        <w:rPr>
          <w:rFonts w:ascii="Arial" w:cs="Arial" w:eastAsia="Arial" w:hAnsi="Arial"/>
          <w:sz w:val="12"/>
          <w:szCs w:val="12"/>
          <w:color w:val="auto"/>
        </w:rPr>
        <w:t>directors, with input from management, exercised significant judgment and considered various objective and subjective factors to determine the fair value of our common stock as of the date of each stock option grant, including the following factors:</w:t>
      </w:r>
    </w:p>
    <w:p>
      <w:pPr>
        <w:spacing w:after="0" w:line="76" w:lineRule="exact"/>
        <w:rPr>
          <w:sz w:val="20"/>
          <w:szCs w:val="20"/>
          <w:color w:val="auto"/>
        </w:rPr>
      </w:pPr>
    </w:p>
    <w:p>
      <w:pPr>
        <w:ind w:left="1980" w:right="2180" w:hanging="228"/>
        <w:spacing w:after="0" w:line="312" w:lineRule="auto"/>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contemporaneous valuations of our common stock performed by independent third-party specialists;</w:t>
      </w:r>
    </w:p>
    <w:p>
      <w:pPr>
        <w:spacing w:after="0" w:line="62" w:lineRule="exact"/>
        <w:rPr>
          <w:rFonts w:ascii="Arial" w:cs="Arial" w:eastAsia="Arial" w:hAnsi="Arial"/>
          <w:sz w:val="12"/>
          <w:szCs w:val="12"/>
          <w:color w:val="auto"/>
        </w:rPr>
      </w:pPr>
    </w:p>
    <w:p>
      <w:pPr>
        <w:ind w:left="1980" w:right="2060" w:hanging="228"/>
        <w:spacing w:after="0" w:line="312" w:lineRule="auto"/>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prices, rights, preferences and privileges of our redeemable convertible preferred stock relative to those of our common stock;</w:t>
      </w:r>
    </w:p>
    <w:p>
      <w:pPr>
        <w:spacing w:after="0" w:line="62" w:lineRule="exact"/>
        <w:rPr>
          <w:rFonts w:ascii="Arial" w:cs="Arial" w:eastAsia="Arial" w:hAnsi="Arial"/>
          <w:sz w:val="12"/>
          <w:szCs w:val="12"/>
          <w:color w:val="auto"/>
        </w:rPr>
      </w:pPr>
    </w:p>
    <w:p>
      <w:pPr>
        <w:ind w:left="1980" w:right="1680" w:hanging="228"/>
        <w:spacing w:after="0" w:line="289" w:lineRule="auto"/>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prices paid for common or redeemable convertible preferred stock sold to third-party investors by us and prices paid in secondary transactions for shares repurchased by us or other investors in arm’s-length transactions, including any tender offers;</w:t>
      </w:r>
    </w:p>
    <w:p>
      <w:pPr>
        <w:spacing w:after="0" w:line="75" w:lineRule="exact"/>
        <w:rPr>
          <w:rFonts w:ascii="Arial" w:cs="Arial" w:eastAsia="Arial" w:hAnsi="Arial"/>
          <w:sz w:val="12"/>
          <w:szCs w:val="12"/>
          <w:color w:val="auto"/>
        </w:rPr>
      </w:pPr>
    </w:p>
    <w:p>
      <w:pPr>
        <w:ind w:left="1980" w:hanging="228"/>
        <w:spacing w:after="0"/>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lack of marketability inherent in our common stock;</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our actual operating and financial performance;</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our current business conditions and projections;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hiring of key personnel and the experience of our management;</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history of the company and the introduction of new offerings;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our stage of development;</w:t>
      </w:r>
    </w:p>
    <w:p>
      <w:pPr>
        <w:spacing w:after="0" w:line="129" w:lineRule="exact"/>
        <w:rPr>
          <w:rFonts w:ascii="Arial" w:cs="Arial" w:eastAsia="Arial" w:hAnsi="Arial"/>
          <w:sz w:val="12"/>
          <w:szCs w:val="12"/>
          <w:color w:val="auto"/>
        </w:rPr>
      </w:pPr>
    </w:p>
    <w:p>
      <w:pPr>
        <w:ind w:left="1980" w:right="1900" w:hanging="228"/>
        <w:spacing w:after="0" w:line="312" w:lineRule="auto"/>
        <w:tabs>
          <w:tab w:leader="none" w:pos="19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likelihood of achieving a performance event, such as an initial public offering, a merger, or acquisition of our company given prevailing market conditions;</w:t>
      </w:r>
    </w:p>
    <w:p>
      <w:pPr>
        <w:sectPr>
          <w:pgSz w:w="11900" w:h="16840" w:orient="portrait"/>
          <w:cols w:equalWidth="0" w:num="1">
            <w:col w:w="9020"/>
          </w:cols>
          <w:pgMar w:left="1440" w:top="560" w:right="1440" w:bottom="0" w:gutter="0" w:footer="0" w:header="0"/>
        </w:sectPr>
      </w:pPr>
    </w:p>
    <w:bookmarkStart w:id="88" w:name="page89"/>
    <w:bookmarkEnd w:id="88"/>
    <w:p>
      <w:pPr>
        <w:ind w:left="1980" w:hanging="228"/>
        <w:spacing w:after="0"/>
        <w:tabs>
          <w:tab w:leader="none" w:pos="1980" w:val="left"/>
        </w:tabs>
        <w:numPr>
          <w:ilvl w:val="0"/>
          <w:numId w:val="8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the operational and financial performance of comparable publicly traded companies; and</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U.S. and the global capital market conditions and overall economic conditions.</w:t>
      </w:r>
    </w:p>
    <w:p>
      <w:pPr>
        <w:spacing w:after="0" w:line="130" w:lineRule="exact"/>
        <w:rPr>
          <w:sz w:val="20"/>
          <w:szCs w:val="20"/>
          <w:color w:val="auto"/>
        </w:rPr>
      </w:pPr>
    </w:p>
    <w:p>
      <w:pPr>
        <w:ind w:left="1520" w:right="1740" w:firstLine="230"/>
        <w:spacing w:after="0" w:line="271" w:lineRule="auto"/>
        <w:rPr>
          <w:sz w:val="20"/>
          <w:szCs w:val="20"/>
          <w:color w:val="auto"/>
        </w:rPr>
      </w:pPr>
      <w:r>
        <w:rPr>
          <w:rFonts w:ascii="Arial" w:cs="Arial" w:eastAsia="Arial" w:hAnsi="Arial"/>
          <w:sz w:val="12"/>
          <w:szCs w:val="12"/>
          <w:color w:val="auto"/>
        </w:rPr>
        <w:t>In valuing our common stock, the fair value of the total equity of our business was determined using various valuation methods, including combinations of income and market approaches with input from management. The income approach estimates value based on the expectation of future cash flows that a company will generate. These future cash flows are discounted to their present values using a discount rate that is derived from an analysis of the cost of capital of comparable publicly traded companies in our industry or similar business operations as of each valuation date and is adjusted to reflect the risks inherent in our cash flows. The market approach estimates value based on a comparison of the subject company to comparable publicly traded companies in a similar line of business. From the comparable companies, a representative market multiple is determined and then applied to the subject company’s financial forecasts to estimate the value of the subject company based on this approach.</w:t>
      </w:r>
    </w:p>
    <w:p>
      <w:pPr>
        <w:spacing w:after="0" w:line="88" w:lineRule="exact"/>
        <w:rPr>
          <w:sz w:val="20"/>
          <w:szCs w:val="20"/>
          <w:color w:val="auto"/>
        </w:rPr>
      </w:pPr>
    </w:p>
    <w:p>
      <w:pPr>
        <w:ind w:left="1520" w:right="1800" w:firstLine="230"/>
        <w:spacing w:after="0" w:line="277" w:lineRule="auto"/>
        <w:rPr>
          <w:sz w:val="20"/>
          <w:szCs w:val="20"/>
          <w:color w:val="auto"/>
        </w:rPr>
      </w:pPr>
      <w:r>
        <w:rPr>
          <w:rFonts w:ascii="Arial" w:cs="Arial" w:eastAsia="Arial" w:hAnsi="Arial"/>
          <w:sz w:val="12"/>
          <w:szCs w:val="12"/>
          <w:color w:val="auto"/>
        </w:rPr>
        <w:t>In valuing our common stock and to allocate value across share classes, we applied a hybrid probability-weighted expected return method, or PWERM, as the principal equity allocation method. The PWERM incorporated two scenarios: an initial public offering scenario and a remain private scenario, which utilized an option-pricing method. As appropriate, a discount for lack of marketability was considered and applied in arriving at the concluded value for our common stock.</w:t>
      </w:r>
    </w:p>
    <w:p>
      <w:pPr>
        <w:spacing w:after="0" w:line="84" w:lineRule="exact"/>
        <w:rPr>
          <w:sz w:val="20"/>
          <w:szCs w:val="20"/>
          <w:color w:val="auto"/>
        </w:rPr>
      </w:pPr>
    </w:p>
    <w:p>
      <w:pPr>
        <w:ind w:left="1520" w:right="1740" w:firstLine="230"/>
        <w:spacing w:after="0" w:line="275" w:lineRule="auto"/>
        <w:rPr>
          <w:sz w:val="20"/>
          <w:szCs w:val="20"/>
          <w:color w:val="auto"/>
        </w:rPr>
      </w:pPr>
      <w:r>
        <w:rPr>
          <w:rFonts w:ascii="Arial" w:cs="Arial" w:eastAsia="Arial" w:hAnsi="Arial"/>
          <w:sz w:val="12"/>
          <w:szCs w:val="12"/>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and assigned the prices paid in the transactions an appropriate weighting in the valuation of our common stock. Factors considered include the number of different buyers and sellers, transaction volume, timing relative to the valuation date, whether the transactions occurred between willing and unrelated parties, the cadence in which the</w:t>
      </w:r>
    </w:p>
    <w:p>
      <w:pPr>
        <w:spacing w:after="0" w:line="200" w:lineRule="exact"/>
        <w:rPr>
          <w:sz w:val="20"/>
          <w:szCs w:val="20"/>
          <w:color w:val="auto"/>
        </w:rPr>
      </w:pP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2160"/>
        <w:spacing w:after="0" w:line="312" w:lineRule="auto"/>
        <w:rPr>
          <w:sz w:val="20"/>
          <w:szCs w:val="20"/>
          <w:color w:val="auto"/>
        </w:rPr>
      </w:pPr>
      <w:r>
        <w:rPr>
          <w:rFonts w:ascii="Arial" w:cs="Arial" w:eastAsia="Arial" w:hAnsi="Arial"/>
          <w:sz w:val="12"/>
          <w:szCs w:val="12"/>
          <w:color w:val="auto"/>
        </w:rPr>
        <w:t>secondary transactions occur, and whether the transactions involved investors with access to our financial information, among other factors.</w:t>
      </w:r>
    </w:p>
    <w:p>
      <w:pPr>
        <w:spacing w:after="0" w:line="62" w:lineRule="exact"/>
        <w:rPr>
          <w:sz w:val="20"/>
          <w:szCs w:val="20"/>
          <w:color w:val="auto"/>
        </w:rPr>
      </w:pPr>
    </w:p>
    <w:p>
      <w:pPr>
        <w:ind w:left="1520" w:right="1800" w:firstLine="230"/>
        <w:spacing w:after="0" w:line="274" w:lineRule="auto"/>
        <w:rPr>
          <w:sz w:val="20"/>
          <w:szCs w:val="20"/>
          <w:color w:val="auto"/>
        </w:rPr>
      </w:pPr>
      <w:r>
        <w:rPr>
          <w:rFonts w:ascii="Arial" w:cs="Arial" w:eastAsia="Arial" w:hAnsi="Arial"/>
          <w:sz w:val="12"/>
          <w:szCs w:val="12"/>
          <w:color w:val="auto"/>
        </w:rPr>
        <w:t>Application of these approaches and methodologies involves the use of estimates, judgments, and assumptions that are highly complex and subjective, such as those regarding our expected future revenue, expenses, and future cash flows; discount rates; market multiples; the selection of comparable public companies; and the probability of and timing associated with possible future events. Changes to any or all of these estimates and assumptions, or the relationships between those assumptions, impact our valuations as of each valuation date and may have a material impact on the value of our common stock.</w:t>
      </w:r>
    </w:p>
    <w:p>
      <w:pPr>
        <w:spacing w:after="0" w:line="241" w:lineRule="exact"/>
        <w:rPr>
          <w:sz w:val="20"/>
          <w:szCs w:val="20"/>
          <w:color w:val="auto"/>
        </w:rPr>
      </w:pPr>
    </w:p>
    <w:p>
      <w:pPr>
        <w:jc w:val="both"/>
        <w:ind w:left="1520" w:right="1840" w:firstLine="230"/>
        <w:spacing w:after="0" w:line="289" w:lineRule="auto"/>
        <w:rPr>
          <w:sz w:val="20"/>
          <w:szCs w:val="20"/>
          <w:color w:val="auto"/>
        </w:rPr>
      </w:pPr>
      <w:r>
        <w:rPr>
          <w:rFonts w:ascii="Arial" w:cs="Arial" w:eastAsia="Arial" w:hAnsi="Arial"/>
          <w:sz w:val="12"/>
          <w:szCs w:val="12"/>
          <w:color w:val="auto"/>
        </w:rPr>
        <w:t>Upon completion of this offering, our Class A common stock will be publicly traded, and we will rely on the closing price of our Class A common stock as reported on the date of grant to determine the fair value of our Class A common stock.</w:t>
      </w:r>
    </w:p>
    <w:p>
      <w:pPr>
        <w:spacing w:after="0" w:line="76" w:lineRule="exact"/>
        <w:rPr>
          <w:sz w:val="20"/>
          <w:szCs w:val="20"/>
          <w:color w:val="auto"/>
        </w:rPr>
      </w:pPr>
    </w:p>
    <w:p>
      <w:pPr>
        <w:ind w:left="1520" w:right="1780" w:firstLine="230"/>
        <w:spacing w:after="0" w:line="281" w:lineRule="auto"/>
        <w:rPr>
          <w:sz w:val="20"/>
          <w:szCs w:val="20"/>
          <w:color w:val="auto"/>
        </w:rPr>
      </w:pPr>
      <w:r>
        <w:rPr>
          <w:rFonts w:ascii="Arial" w:cs="Arial" w:eastAsia="Arial" w:hAnsi="Arial"/>
          <w:sz w:val="12"/>
          <w:szCs w:val="12"/>
          <w:color w:val="auto"/>
        </w:rPr>
        <w:t>Based on the assumed initial public offering price per share of $25.00, which is the midpoint of the offering price range set forth on the cover page of this prospectus, the aggregate intrinsic value of our outstanding stock options as of July 31, 2025, was $485.8 million, with $432.7 million related to vested stock options.</w:t>
      </w:r>
    </w:p>
    <w:p>
      <w:pPr>
        <w:spacing w:after="0" w:line="8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Business Combinations</w:t>
      </w:r>
    </w:p>
    <w:p>
      <w:pPr>
        <w:spacing w:after="0" w:line="128" w:lineRule="exact"/>
        <w:rPr>
          <w:sz w:val="20"/>
          <w:szCs w:val="20"/>
          <w:color w:val="auto"/>
        </w:rPr>
      </w:pPr>
    </w:p>
    <w:p>
      <w:pPr>
        <w:ind w:left="1520" w:right="1780" w:firstLine="230"/>
        <w:spacing w:after="0" w:line="270" w:lineRule="auto"/>
        <w:rPr>
          <w:sz w:val="20"/>
          <w:szCs w:val="20"/>
          <w:color w:val="auto"/>
        </w:rPr>
      </w:pPr>
      <w:r>
        <w:rPr>
          <w:rFonts w:ascii="Arial" w:cs="Arial" w:eastAsia="Arial" w:hAnsi="Arial"/>
          <w:sz w:val="12"/>
          <w:szCs w:val="12"/>
          <w:color w:val="auto"/>
        </w:rPr>
        <w:t>We allocate the fair value of purchase consideration to the tangible and intangible assets acquired and liabilities assumed based on their estimated fair values. The excess of the fair value of purchase consideration over the fair values of these identifiable assets and liabilities is recorded as goodwill. The determination of fair value requires management to make significant estimates and assumptions, especially with respect to intangible assets. Significant estimates in valuing certain intangible assets include, but are not limited to, future expected cash flows from trade names from a market participant perspective, acquired customers, acquired technology, useful lives and discount rates. Management’s estimates of fair value are based upon assumptions believed to be reasonable, but which are inherently uncertain and unpredictable and, as a result, actual results may differ from estimates. During the measurement period, which is one year from the acquisition date, management may record adjustments to the assets acquired and liabilities assumed, with the corresponding offset to goodwill.</w:t>
      </w:r>
    </w:p>
    <w:p>
      <w:pPr>
        <w:spacing w:after="0" w:line="9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JOBS Act Accounting Election</w:t>
      </w:r>
    </w:p>
    <w:p>
      <w:pPr>
        <w:spacing w:after="0" w:line="130" w:lineRule="exact"/>
        <w:rPr>
          <w:sz w:val="20"/>
          <w:szCs w:val="20"/>
          <w:color w:val="auto"/>
        </w:rPr>
      </w:pPr>
    </w:p>
    <w:p>
      <w:pPr>
        <w:ind w:left="1520" w:right="1780" w:firstLine="230"/>
        <w:spacing w:after="0" w:line="275" w:lineRule="auto"/>
        <w:rPr>
          <w:sz w:val="20"/>
          <w:szCs w:val="20"/>
          <w:color w:val="auto"/>
        </w:rPr>
      </w:pPr>
      <w:r>
        <w:rPr>
          <w:rFonts w:ascii="Arial" w:cs="Arial" w:eastAsia="Arial" w:hAnsi="Arial"/>
          <w:sz w:val="12"/>
          <w:szCs w:val="12"/>
          <w:color w:val="auto"/>
        </w:rPr>
        <w:t>We are an "emerging growth company" under the JOBS Act, which permits us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 period. As a result, our consolidated financial statements may not be comparable to companies that comply with new or revised accounting pronouncements applicable to public companies.</w:t>
      </w:r>
    </w:p>
    <w:p>
      <w:pPr>
        <w:spacing w:after="0" w:line="85"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Recent Accounting Pronouncements</w:t>
      </w:r>
    </w:p>
    <w:p>
      <w:pPr>
        <w:spacing w:after="0" w:line="130" w:lineRule="exact"/>
        <w:rPr>
          <w:sz w:val="20"/>
          <w:szCs w:val="20"/>
          <w:color w:val="auto"/>
        </w:rPr>
      </w:pPr>
    </w:p>
    <w:p>
      <w:pPr>
        <w:ind w:left="1520" w:right="2160" w:firstLine="230"/>
        <w:spacing w:after="0" w:line="312" w:lineRule="auto"/>
        <w:rPr>
          <w:sz w:val="20"/>
          <w:szCs w:val="20"/>
          <w:color w:val="auto"/>
        </w:rPr>
      </w:pPr>
      <w:r>
        <w:rPr>
          <w:rFonts w:ascii="Arial" w:cs="Arial" w:eastAsia="Arial" w:hAnsi="Arial"/>
          <w:sz w:val="12"/>
          <w:szCs w:val="12"/>
          <w:color w:val="auto"/>
        </w:rPr>
        <w:t>See Note 1, “Description of Business and Significant Accounting Policies” to the consolidated financial statements included elsewhere in this prospectus for more information.</w:t>
      </w:r>
    </w:p>
    <w:p>
      <w:pPr>
        <w:sectPr>
          <w:pgSz w:w="11900" w:h="16840" w:orient="portrait"/>
          <w:cols w:equalWidth="0" w:num="1">
            <w:col w:w="9020"/>
          </w:cols>
          <w:pgMar w:left="1440" w:top="646" w:right="1440" w:bottom="7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125</w:t>
      </w:r>
    </w:p>
    <w:p>
      <w:pPr>
        <w:sectPr>
          <w:pgSz w:w="11900" w:h="16840" w:orient="portrait"/>
          <w:cols w:equalWidth="0" w:num="1">
            <w:col w:w="9020"/>
          </w:cols>
          <w:pgMar w:left="1440" w:top="646" w:right="1440" w:bottom="786" w:gutter="0" w:footer="0" w:header="0"/>
          <w:type w:val="continuous"/>
        </w:sectPr>
      </w:pPr>
    </w:p>
    <w:bookmarkStart w:id="89" w:name="page90"/>
    <w:bookmarkEnd w:id="89"/>
    <w:p>
      <w:pPr>
        <w:ind w:left="1520"/>
        <w:spacing w:after="0"/>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BUSINESS</w:t>
      </w:r>
    </w:p>
    <w:p>
      <w:pPr>
        <w:spacing w:after="0" w:line="130"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Overview</w:t>
      </w:r>
    </w:p>
    <w:p>
      <w:pPr>
        <w:spacing w:after="0" w:line="130" w:lineRule="exact"/>
        <w:rPr>
          <w:sz w:val="20"/>
          <w:szCs w:val="20"/>
          <w:color w:val="auto"/>
        </w:rPr>
      </w:pPr>
    </w:p>
    <w:p>
      <w:pPr>
        <w:ind w:left="1520" w:right="1720" w:firstLine="230"/>
        <w:spacing w:after="0" w:line="273" w:lineRule="auto"/>
        <w:rPr>
          <w:sz w:val="20"/>
          <w:szCs w:val="20"/>
          <w:color w:val="auto"/>
        </w:rPr>
      </w:pPr>
      <w:r>
        <w:rPr>
          <w:rFonts w:ascii="Arial" w:cs="Arial" w:eastAsia="Arial" w:hAnsi="Arial"/>
          <w:sz w:val="12"/>
          <w:szCs w:val="12"/>
          <w:color w:val="auto"/>
        </w:rPr>
        <w:t>Travel is more than just getting from point A to point B; it's the lifeblood of connection in the modern business world. It's about forging those critical in-person relationships with clients and partners, sparking innovation through team collaboration, and empowering employees to grow and succeed. These moments matter, and they demand a travel experience worthy of their importance. We built Navan for the road warriors, for CEOs and CFOs who understand travel’s critical importance to their strategy, the finance teams who demand precision and control, the executive assistants juggling itineraries, and the program admins ensuring seamless events.</w:t>
      </w:r>
    </w:p>
    <w:p>
      <w:pPr>
        <w:spacing w:after="0" w:line="88" w:lineRule="exact"/>
        <w:rPr>
          <w:sz w:val="20"/>
          <w:szCs w:val="20"/>
          <w:color w:val="auto"/>
        </w:rPr>
      </w:pPr>
    </w:p>
    <w:p>
      <w:pPr>
        <w:ind w:left="1520" w:right="1720" w:firstLine="230"/>
        <w:spacing w:after="0" w:line="277" w:lineRule="auto"/>
        <w:rPr>
          <w:sz w:val="20"/>
          <w:szCs w:val="20"/>
          <w:color w:val="auto"/>
        </w:rPr>
      </w:pPr>
      <w:r>
        <w:rPr>
          <w:rFonts w:ascii="Arial" w:cs="Arial" w:eastAsia="Arial" w:hAnsi="Arial"/>
          <w:sz w:val="12"/>
          <w:szCs w:val="12"/>
          <w:color w:val="auto"/>
        </w:rPr>
        <w:t xml:space="preserve">Navan is an end-to-end, AI-powered software platform built to simplify the global business T&amp;E experience, benefiting users, customers, and suppliers. </w:t>
      </w:r>
      <w:r>
        <w:rPr>
          <w:rFonts w:ascii="Arial" w:cs="Arial" w:eastAsia="Arial" w:hAnsi="Arial"/>
          <w:sz w:val="12"/>
          <w:szCs w:val="12"/>
          <w:color w:val="auto"/>
          <w:highlight w:val="white"/>
        </w:rPr>
        <w:t>From day one, we leveraged technology to</w:t>
      </w:r>
      <w:r>
        <w:rPr>
          <w:rFonts w:ascii="Arial" w:cs="Arial" w:eastAsia="Arial" w:hAnsi="Arial"/>
          <w:sz w:val="12"/>
          <w:szCs w:val="12"/>
          <w:color w:val="auto"/>
        </w:rPr>
        <w:t xml:space="preserve"> </w:t>
      </w:r>
      <w:r>
        <w:rPr>
          <w:rFonts w:ascii="Arial" w:cs="Arial" w:eastAsia="Arial" w:hAnsi="Arial"/>
          <w:sz w:val="12"/>
          <w:szCs w:val="12"/>
          <w:color w:val="auto"/>
          <w:highlight w:val="white"/>
        </w:rPr>
        <w:t>reimagine business travel. We built a comprehensive platform that serves as the foundation for further disruption. We deliver delightful, personalized experiences for users, efficiency and control for customers, and direct market access for suppliers—all powered by our proprietary AI framework, Navan Cognition.</w:t>
      </w:r>
    </w:p>
    <w:p>
      <w:pPr>
        <w:spacing w:after="0" w:line="84" w:lineRule="exact"/>
        <w:rPr>
          <w:sz w:val="20"/>
          <w:szCs w:val="20"/>
          <w:color w:val="auto"/>
        </w:rPr>
      </w:pPr>
    </w:p>
    <w:p>
      <w:pPr>
        <w:ind w:left="1520" w:right="1720" w:firstLine="230"/>
        <w:spacing w:after="0" w:line="275" w:lineRule="auto"/>
        <w:rPr>
          <w:sz w:val="20"/>
          <w:szCs w:val="20"/>
          <w:color w:val="auto"/>
        </w:rPr>
      </w:pPr>
      <w:r>
        <w:rPr>
          <w:rFonts w:ascii="Arial" w:cs="Arial" w:eastAsia="Arial" w:hAnsi="Arial"/>
          <w:sz w:val="12"/>
          <w:szCs w:val="12"/>
          <w:color w:val="auto"/>
        </w:rPr>
        <w:t>We saw firsthand the frustration of clunky, outdated systems. Travelers were forced to cobble together solutions, wait for hours on hold to book or change travel, and negotiate with travel agents. They struggled to adhere to company policies, with little visibility into those policies, and after all that, they spent even more time on tedious expense reports after a trip. We felt the pain of finance teams struggling to gain visibility into fragmented travel spending and to enforce policies, and the frustration of suppliers unable to connect directly with the high-value business travelers they sought to serve.</w:t>
      </w:r>
    </w:p>
    <w:p>
      <w:pPr>
        <w:spacing w:after="0" w:line="85" w:lineRule="exact"/>
        <w:rPr>
          <w:sz w:val="20"/>
          <w:szCs w:val="20"/>
          <w:color w:val="auto"/>
        </w:rPr>
      </w:pPr>
    </w:p>
    <w:p>
      <w:pPr>
        <w:ind w:left="1520" w:right="1700" w:firstLine="230"/>
        <w:spacing w:after="0" w:line="274" w:lineRule="auto"/>
        <w:rPr>
          <w:sz w:val="20"/>
          <w:szCs w:val="20"/>
          <w:color w:val="auto"/>
        </w:rPr>
      </w:pPr>
      <w:r>
        <w:rPr>
          <w:rFonts w:ascii="Arial" w:cs="Arial" w:eastAsia="Arial" w:hAnsi="Arial"/>
          <w:sz w:val="12"/>
          <w:szCs w:val="12"/>
          <w:color w:val="auto"/>
        </w:rPr>
        <w:t>Navan challenges this status quo by putting all three constituents—users, customers, and suppliers— at the heart of an integrated global platform. With Navan, users enjoy intuitive, AI-powered booking that anticipates users’ needs and takes a fraction of the time of legacy booking systems. Users also get expense management and clear policy guidance built-in. Customers gain real-time visibility, cost control, and safety oversight, and suppliers gain direct access to the customers who matter most. Instead of having to compromise, every group benefits, and the whole network becomes greater than the sum of its parts.</w:t>
      </w:r>
    </w:p>
    <w:p>
      <w:pPr>
        <w:spacing w:after="0" w:line="241" w:lineRule="exact"/>
        <w:rPr>
          <w:sz w:val="20"/>
          <w:szCs w:val="20"/>
          <w:color w:val="auto"/>
        </w:rPr>
      </w:pPr>
    </w:p>
    <w:p>
      <w:pPr>
        <w:ind w:left="1520" w:right="1780" w:firstLine="230"/>
        <w:spacing w:after="0" w:line="277" w:lineRule="auto"/>
        <w:rPr>
          <w:sz w:val="20"/>
          <w:szCs w:val="20"/>
          <w:color w:val="auto"/>
        </w:rPr>
      </w:pPr>
      <w:r>
        <w:rPr>
          <w:rFonts w:ascii="Arial" w:cs="Arial" w:eastAsia="Arial" w:hAnsi="Arial"/>
          <w:sz w:val="12"/>
          <w:szCs w:val="12"/>
          <w:color w:val="auto"/>
        </w:rPr>
        <w:t>Navan was built on the premise that to win, all players in the ecosystem must be integrated on one platform with AI at its core. Our platform was built from the ground up to connect distinct stakeholders, and unify traditionally disparate product features, through a single system that unlocks new efficiencies and experiences. By building true connectivity into the core of its cohesive offering, Navan is unlocking a smarter, more rewarding future for travel—one where everyone wins.</w:t>
      </w:r>
    </w:p>
    <w:p>
      <w:pPr>
        <w:spacing w:after="0" w:line="84" w:lineRule="exact"/>
        <w:rPr>
          <w:sz w:val="20"/>
          <w:szCs w:val="20"/>
          <w:color w:val="auto"/>
        </w:rPr>
      </w:pPr>
    </w:p>
    <w:p>
      <w:pPr>
        <w:ind w:left="1520" w:right="1740" w:firstLine="230"/>
        <w:spacing w:after="0" w:line="270" w:lineRule="auto"/>
        <w:rPr>
          <w:sz w:val="20"/>
          <w:szCs w:val="20"/>
          <w:color w:val="auto"/>
        </w:rPr>
      </w:pPr>
      <w:r>
        <w:rPr>
          <w:rFonts w:ascii="Arial" w:cs="Arial" w:eastAsia="Arial" w:hAnsi="Arial"/>
          <w:sz w:val="12"/>
          <w:szCs w:val="12"/>
          <w:color w:val="auto"/>
        </w:rPr>
        <w:t>The Navan platform creates a powerful flywheel effect where the user, customer, and supplier benefits reinforce each other. Our enterprise-grade platform is characterized by its intuitive design, ease of use, and tangible time-saving features, which foster a user-centric experience that travelers genuinely appreciate. This is reflected in our overall CSAT score of 96%, our virtual agent CSAT score of 78%, which is on par with human agent performance, and NPS of 43, each for the six months ended July 31, 2025. When frequent travelers have a positive, efficient experience and earn rewards, they are more likely to use Navan. The increased adoption gives the customer greater visibility into spending, stronger policy control, and cost savings, making them more invested in the platform. This, in turn, attracts more suppliers who want access to our large and loyal user base. With more suppliers and inventory available, we can offer better options and competitive pricing, further enhancing the experience for frequent travelers. This virtuous cycle strengthens each flywheel, creating a robust and self-sustaining ecosystem.</w:t>
      </w:r>
    </w:p>
    <w:p>
      <w:pPr>
        <w:spacing w:after="0" w:line="91" w:lineRule="exact"/>
        <w:rPr>
          <w:sz w:val="20"/>
          <w:szCs w:val="20"/>
          <w:color w:val="auto"/>
        </w:rPr>
      </w:pPr>
    </w:p>
    <w:p>
      <w:pPr>
        <w:ind w:left="1520" w:right="1720" w:firstLine="230"/>
        <w:spacing w:after="0" w:line="277" w:lineRule="auto"/>
        <w:rPr>
          <w:sz w:val="20"/>
          <w:szCs w:val="20"/>
          <w:color w:val="auto"/>
        </w:rPr>
      </w:pPr>
      <w:r>
        <w:rPr>
          <w:rFonts w:ascii="Arial" w:cs="Arial" w:eastAsia="Arial" w:hAnsi="Arial"/>
          <w:sz w:val="12"/>
          <w:szCs w:val="12"/>
          <w:color w:val="auto"/>
        </w:rPr>
        <w:t>Our proprietary infrastructure, which we call Navan Cloud, enables us to provide global, real-time inventory for users and forms the foundation of our platform. We aggregate supply through direct supplier relationships, real-time API integrations, and a robust network of partnerships. From day one, Navan has leveraged artificial intelligence as a cornerstone of our platform. We built Navan Cognition, a new paradigm in AI-powered travel management. This proprietary framework enables us to create, train,</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20"/>
        <w:spacing w:after="0" w:line="274" w:lineRule="auto"/>
        <w:rPr>
          <w:sz w:val="20"/>
          <w:szCs w:val="20"/>
          <w:color w:val="auto"/>
        </w:rPr>
      </w:pPr>
      <w:r>
        <w:rPr>
          <w:rFonts w:ascii="Arial" w:cs="Arial" w:eastAsia="Arial" w:hAnsi="Arial"/>
          <w:sz w:val="12"/>
          <w:szCs w:val="12"/>
          <w:color w:val="auto"/>
        </w:rPr>
        <w:t>deploy, and supervise specialized virtual agents that can handle many complex tasks previously requiring human intervention. We make every step of the pre-booking, in-travel, and post-trip process as delightful and automated as possible. In fiscal 2025, 90% of bookings were made online or through mobile applications on the Navan platform. Our users on average are able to book a trip in seven minutes, far faster than the industry average of 45 minutes, according to Booking.com. And, in the majority of cases, users can resolve trip changes with a virtual agent, which Navan was one of the first in its industry to offer.</w:t>
      </w:r>
    </w:p>
    <w:p>
      <w:pPr>
        <w:spacing w:after="0" w:line="241" w:lineRule="exact"/>
        <w:rPr>
          <w:sz w:val="20"/>
          <w:szCs w:val="20"/>
          <w:color w:val="auto"/>
        </w:rPr>
      </w:pPr>
    </w:p>
    <w:p>
      <w:pPr>
        <w:ind w:left="1520" w:right="1720" w:firstLine="230"/>
        <w:spacing w:after="0" w:line="272" w:lineRule="auto"/>
        <w:rPr>
          <w:sz w:val="20"/>
          <w:szCs w:val="20"/>
          <w:color w:val="auto"/>
        </w:rPr>
      </w:pPr>
      <w:r>
        <w:rPr>
          <w:rFonts w:ascii="Arial" w:cs="Arial" w:eastAsia="Arial" w:hAnsi="Arial"/>
          <w:sz w:val="12"/>
          <w:szCs w:val="12"/>
          <w:color w:val="auto"/>
        </w:rPr>
        <w:t>Our strategy is to land a customer with our Travel offering, delight our users and customers, broaden their engagement with Navan, and seek to manage all of their payments, expenses, VIP needs, meetings and events, and bleisure travel on our platform. As of January 31, 2025, 36% of our customers attached to three or more offerings . Because Navan unifies all aspects of travel in one system, it is used by employees across departments and seniority levels, driving deep organizational adoption. This integrated approach streamlines trip planning, digitizes in-trip expenses, and automates post-trip reconciliation, all while enhancing the overall customer experience. Our platform also provides actionable analytics and intelligence for managers to monitor and approve travel and entertainment spend in real-time.</w:t>
      </w:r>
    </w:p>
    <w:p>
      <w:pPr>
        <w:spacing w:after="0" w:line="88" w:lineRule="exact"/>
        <w:rPr>
          <w:sz w:val="20"/>
          <w:szCs w:val="20"/>
          <w:color w:val="auto"/>
        </w:rPr>
      </w:pPr>
    </w:p>
    <w:p>
      <w:pPr>
        <w:ind w:left="1520" w:right="1640" w:firstLine="230"/>
        <w:spacing w:after="0" w:line="270" w:lineRule="auto"/>
        <w:rPr>
          <w:sz w:val="20"/>
          <w:szCs w:val="20"/>
          <w:color w:val="auto"/>
        </w:rPr>
      </w:pPr>
      <w:r>
        <w:rPr>
          <w:rFonts w:ascii="Arial" w:cs="Arial" w:eastAsia="Arial" w:hAnsi="Arial"/>
          <w:sz w:val="12"/>
          <w:szCs w:val="12"/>
          <w:color w:val="auto"/>
        </w:rPr>
        <w:t>Our platform is easy-to-use, yet powerful enough to address customers of all sizes across any industry vertical. Our revenue grew 33% year-over-year from $402 million in fiscal 2024 to $537 million in fiscal 2025, and grew 30% period-over-period from $254 million for the six months ended July 31, 2024 to $329 million for the six months ended July 31, 2025. Our net loss decreased 45% year-over-year from $332 million in fiscal 2024 to $181 million in fiscal 2025, and increased 8% period-over-period from $93 million for the six months ended July 31, 2024 to $100 million for the six months ended July 31, 2025. Our gross booking volume grew 32% year-over-year from $5.0 billion in fiscal 2024 to $6.6 billion in fiscal 2025, and grew 34% period-over-period from $3.1 billion for the six months ended July 31, 2024 to $4.1 billion for the six months ended July 31, 2025. Our payment volume grew 35% year-over-year from $2.7 billion in fiscal 2024 to $3.7 billion in fiscal 2025, and grew 10% period-over-period from $1.8 billion for the six months ended July 31, 2024 to $2.0 billion for the six months ended July 31, 2025.</w:t>
      </w:r>
    </w:p>
    <w:p>
      <w:pPr>
        <w:spacing w:after="0" w:line="91" w:lineRule="exact"/>
        <w:rPr>
          <w:sz w:val="20"/>
          <w:szCs w:val="20"/>
          <w:color w:val="auto"/>
        </w:rPr>
      </w:pPr>
    </w:p>
    <w:p>
      <w:pPr>
        <w:ind w:left="1520" w:right="1680" w:firstLine="230"/>
        <w:spacing w:after="0" w:line="312" w:lineRule="auto"/>
        <w:rPr>
          <w:sz w:val="20"/>
          <w:szCs w:val="20"/>
          <w:color w:val="auto"/>
        </w:rPr>
      </w:pPr>
      <w:r>
        <w:rPr>
          <w:rFonts w:ascii="Arial" w:cs="Arial" w:eastAsia="Arial" w:hAnsi="Arial"/>
          <w:sz w:val="12"/>
          <w:szCs w:val="12"/>
          <w:color w:val="auto"/>
        </w:rPr>
        <w:t>Our proprietary AI framework, Navan Cognition, significantly enhances support capabilities and has improved our gross margins, while leveraging powerful technology capabilities across our platform,</w:t>
      </w:r>
    </w:p>
    <w:p>
      <w:pPr>
        <w:sectPr>
          <w:pgSz w:w="11900" w:h="16840" w:orient="portrait"/>
          <w:cols w:equalWidth="0" w:num="1">
            <w:col w:w="9020"/>
          </w:cols>
          <w:pgMar w:left="1440" w:top="636" w:right="1440" w:bottom="66" w:gutter="0" w:footer="0" w:header="0"/>
        </w:sectPr>
      </w:pPr>
    </w:p>
    <w:bookmarkStart w:id="90" w:name="page91"/>
    <w:bookmarkEnd w:id="90"/>
    <w:p>
      <w:pPr>
        <w:ind w:left="1520" w:right="1740"/>
        <w:spacing w:after="0" w:line="184" w:lineRule="auto"/>
        <w:rPr>
          <w:sz w:val="20"/>
          <w:szCs w:val="20"/>
          <w:color w:val="auto"/>
        </w:rPr>
      </w:pPr>
      <w:r>
        <w:rPr>
          <w:rFonts w:ascii="Arial" w:cs="Arial" w:eastAsia="Arial" w:hAnsi="Arial"/>
          <w:sz w:val="12"/>
          <w:szCs w:val="12"/>
          <w:color w:val="auto"/>
        </w:rPr>
        <w:t>making Navan an increasingly formidable competitor. For example, our AI-powered virtual agent chatbot, Ava, handled approximately 50% of user interactions during the six months ended July 31, 2025.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-127635</wp:posOffset>
            </wp:positionV>
            <wp:extent cx="6732270" cy="99707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680"/>
        <w:spacing w:after="0" w:line="270" w:lineRule="auto"/>
        <w:rPr>
          <w:sz w:val="20"/>
          <w:szCs w:val="20"/>
          <w:color w:val="auto"/>
        </w:rPr>
      </w:pPr>
      <w:r>
        <w:rPr>
          <w:rFonts w:ascii="Arial" w:cs="Arial" w:eastAsia="Arial" w:hAnsi="Arial"/>
          <w:sz w:val="12"/>
          <w:szCs w:val="12"/>
          <w:color w:val="auto"/>
        </w:rPr>
        <w:t>gross margin improved from 60% in fiscal 2024 to 68% in fiscal 2025, and improved from 67% for the six months ended July 31, 2024 to 72% for the six months ended July 31, 2025. Our non-GAAP gross margin improved from 62% in fiscal 2024 to 69% in fiscal 2025, and improved from 68% for the six months ended July 31, 2024 to 73% for the six months ended July 31, 2025. See the section titled “Management’s Discussion and Analysis of Financial Condition and Results of Operations—Non-GAAP Financial Measures” for information regarding our use of non-GAAP gross margin and a reconciliation of gross margin to non-GAAP gross margin.</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highlight w:val="white"/>
        </w:rPr>
        <w:t>Navan’s Opportunity: Reshaping an Industry that Has Not Changed in 30 Years</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highlight w:val="white"/>
        </w:rPr>
        <w:t>Travel and Expense Management is a Large and Highly Fragmented Industry</w:t>
      </w:r>
    </w:p>
    <w:p>
      <w:pPr>
        <w:spacing w:after="0" w:line="128" w:lineRule="exact"/>
        <w:rPr>
          <w:sz w:val="20"/>
          <w:szCs w:val="20"/>
          <w:color w:val="auto"/>
        </w:rPr>
      </w:pPr>
    </w:p>
    <w:p>
      <w:pPr>
        <w:ind w:left="1520" w:right="1860" w:firstLine="230"/>
        <w:spacing w:after="0" w:line="289" w:lineRule="auto"/>
        <w:rPr>
          <w:sz w:val="20"/>
          <w:szCs w:val="20"/>
          <w:color w:val="auto"/>
        </w:rPr>
      </w:pPr>
      <w:r>
        <w:rPr>
          <w:rFonts w:ascii="Arial" w:cs="Arial" w:eastAsia="Arial" w:hAnsi="Arial"/>
          <w:sz w:val="12"/>
          <w:szCs w:val="12"/>
          <w:color w:val="auto"/>
          <w:highlight w:val="white"/>
        </w:rPr>
        <w:t>Global travel is a massive and complex industry. According to the World Travel &amp; Tourism Council, the travel and tourism sector’s contribution to the global economy reached $10.9 trillion in 2024, representing 10% of the global economy.</w:t>
      </w:r>
    </w:p>
    <w:p>
      <w:pPr>
        <w:spacing w:after="0" w:line="76" w:lineRule="exact"/>
        <w:rPr>
          <w:sz w:val="20"/>
          <w:szCs w:val="20"/>
          <w:color w:val="auto"/>
        </w:rPr>
      </w:pPr>
    </w:p>
    <w:p>
      <w:pPr>
        <w:ind w:left="1520" w:right="1720" w:firstLine="230"/>
        <w:spacing w:after="0" w:line="275" w:lineRule="auto"/>
        <w:rPr>
          <w:sz w:val="20"/>
          <w:szCs w:val="20"/>
          <w:color w:val="auto"/>
        </w:rPr>
      </w:pPr>
      <w:r>
        <w:rPr>
          <w:rFonts w:ascii="Arial" w:cs="Arial" w:eastAsia="Arial" w:hAnsi="Arial"/>
          <w:sz w:val="12"/>
          <w:szCs w:val="12"/>
          <w:color w:val="auto"/>
          <w:highlight w:val="white"/>
        </w:rPr>
        <w:t>Over the last two decades, consumer travel has undergone significant innovation, with technology-driven marketplaces enhancing the user experience and simplifying transactions. Online penetration of global travel sales increased from 58% in 2019 to 66% in 2023, according to Euromonitor. For personal travel, which is often simpler by nature, consumers have grown accustomed to experiencing a high level of personalization and self-driven discovery. As personal travel has increased in online bookings, so have expectations around seamless booking, access to greater inventory and optionality.</w:t>
      </w: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20" w:firstLine="230"/>
        <w:spacing w:after="0" w:line="271" w:lineRule="auto"/>
        <w:rPr>
          <w:sz w:val="20"/>
          <w:szCs w:val="20"/>
          <w:color w:val="auto"/>
        </w:rPr>
      </w:pPr>
      <w:r>
        <w:rPr>
          <w:rFonts w:ascii="Arial" w:cs="Arial" w:eastAsia="Arial" w:hAnsi="Arial"/>
          <w:sz w:val="12"/>
          <w:szCs w:val="12"/>
          <w:color w:val="auto"/>
          <w:highlight w:val="white"/>
        </w:rPr>
        <w:t>Business travel tools, by contrast, were built to serve companies and their policies, not users. The experience of travel is plagued by antiquated technology in a sector that is still largely offline, often driven and supported by people-intense agencies and aggregators. Users are often forced to navigate multiple platforms with inadequate inventories, and to book and manage various aspects of their trip, from flights and lodging to ground transportation. Business travelers also need to ensure their choices adhere to company policies that are further complicated by the tedious, manual processes involved in expense reporting after the trip. This burden falls increasingly on travelers who are mission critical to their companies, diverting the time and focus of employees ranging from top executives and their executive assistants to sales leaders. A thoughtfully designed travel experience not only respects these individuals’ valuable time, it becomes a strategic advantage for their companies .</w:t>
      </w:r>
    </w:p>
    <w:p>
      <w:pPr>
        <w:spacing w:after="0" w:line="88" w:lineRule="exact"/>
        <w:rPr>
          <w:sz w:val="20"/>
          <w:szCs w:val="20"/>
          <w:color w:val="auto"/>
        </w:rPr>
      </w:pPr>
    </w:p>
    <w:p>
      <w:pPr>
        <w:ind w:left="1520" w:right="1860" w:firstLine="230"/>
        <w:spacing w:after="0" w:line="272" w:lineRule="auto"/>
        <w:rPr>
          <w:sz w:val="20"/>
          <w:szCs w:val="20"/>
          <w:color w:val="auto"/>
        </w:rPr>
      </w:pPr>
      <w:r>
        <w:rPr>
          <w:rFonts w:ascii="Arial" w:cs="Arial" w:eastAsia="Arial" w:hAnsi="Arial"/>
          <w:sz w:val="12"/>
          <w:szCs w:val="12"/>
          <w:color w:val="auto"/>
          <w:highlight w:val="white"/>
        </w:rPr>
        <w:t>The challenge of delivering a seamless user experience for travel is exacerbated by a highly fragmented industry that imposes high costs and significant inefficiencies on businesses. A single business trip may require over ten different tools, systems, and workflows to book travel and manage expenses for one traveler: multiple suppliers to provide inventory, legacy inventory networks, a travel management company, a different platform for booking travel and lodging, travel and expense management software point solutions, other separate reporting and analytics tools to evaluate travel spend, a tool to ensure duty of care, a vendor for meetings and events, software for itinerary management, a payments platform, a corporate card offering, and a disconnected offering for rewards.</w:t>
      </w:r>
    </w:p>
    <w:p>
      <w:pPr>
        <w:spacing w:after="0" w:line="88" w:lineRule="exact"/>
        <w:rPr>
          <w:sz w:val="20"/>
          <w:szCs w:val="20"/>
          <w:color w:val="auto"/>
        </w:rPr>
      </w:pPr>
    </w:p>
    <w:p>
      <w:pPr>
        <w:ind w:left="1520" w:right="2260"/>
        <w:spacing w:after="0" w:line="266" w:lineRule="auto"/>
        <w:rPr>
          <w:sz w:val="20"/>
          <w:szCs w:val="20"/>
          <w:color w:val="auto"/>
        </w:rPr>
      </w:pPr>
      <w:r>
        <w:rPr>
          <w:rFonts w:ascii="Arial" w:cs="Arial" w:eastAsia="Arial" w:hAnsi="Arial"/>
          <w:sz w:val="12"/>
          <w:szCs w:val="12"/>
          <w:b w:val="1"/>
          <w:bCs w:val="1"/>
          <w:color w:val="auto"/>
          <w:highlight w:val="white"/>
        </w:rPr>
        <w:t>Travel and Expense Management is a Highly Fragmented Industry of Suppliers and Point Solutions</w:t>
      </w:r>
      <w:r>
        <w:rPr>
          <w:sz w:val="1"/>
          <w:szCs w:val="1"/>
          <w:color w:val="auto"/>
        </w:rPr>
        <w:drawing>
          <wp:inline distT="0" distB="0" distL="0" distR="0">
            <wp:extent cx="24130" cy="9144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130" cy="9144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760"/>
        <w:spacing w:after="0"/>
        <w:rPr>
          <w:sz w:val="20"/>
          <w:szCs w:val="20"/>
          <w:color w:val="auto"/>
        </w:rPr>
      </w:pPr>
      <w:r>
        <w:rPr>
          <w:rFonts w:ascii="Arial" w:cs="Arial" w:eastAsia="Arial" w:hAnsi="Arial"/>
          <w:sz w:val="12"/>
          <w:szCs w:val="12"/>
          <w:color w:val="auto"/>
          <w:highlight w:val="white"/>
        </w:rPr>
        <w:t>We think of this ecosystem in the following categories:</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highlight w:val="white"/>
        </w:rPr>
        <w:t>Suppliers</w:t>
      </w:r>
    </w:p>
    <w:p>
      <w:pPr>
        <w:spacing w:after="0" w:line="128" w:lineRule="exact"/>
        <w:rPr>
          <w:sz w:val="20"/>
          <w:szCs w:val="20"/>
          <w:color w:val="auto"/>
        </w:rPr>
      </w:pPr>
    </w:p>
    <w:p>
      <w:pPr>
        <w:ind w:left="1980" w:right="1800" w:hanging="228"/>
        <w:spacing w:after="0" w:line="289" w:lineRule="auto"/>
        <w:tabs>
          <w:tab w:leader="none" w:pos="1980" w:val="left"/>
        </w:tabs>
        <w:numPr>
          <w:ilvl w:val="0"/>
          <w:numId w:val="87"/>
        </w:numPr>
        <w:rPr>
          <w:rFonts w:ascii="Arial" w:cs="Arial" w:eastAsia="Arial" w:hAnsi="Arial"/>
          <w:sz w:val="12"/>
          <w:szCs w:val="12"/>
          <w:color w:val="auto"/>
        </w:rPr>
      </w:pPr>
      <w:r>
        <w:rPr>
          <w:rFonts w:ascii="Arial" w:cs="Arial" w:eastAsia="Arial" w:hAnsi="Arial"/>
          <w:sz w:val="12"/>
          <w:szCs w:val="12"/>
          <w:i w:val="1"/>
          <w:iCs w:val="1"/>
          <w:color w:val="auto"/>
        </w:rPr>
        <w:t xml:space="preserve">Traditional Inventory. </w:t>
      </w:r>
      <w:r>
        <w:rPr>
          <w:rFonts w:ascii="Arial" w:cs="Arial" w:eastAsia="Arial" w:hAnsi="Arial"/>
          <w:sz w:val="12"/>
          <w:szCs w:val="12"/>
          <w:color w:val="auto"/>
        </w:rPr>
        <w:t>Includes airlines, hotels, rail carriers, car rental agencies, and black car</w:t>
      </w:r>
      <w:r>
        <w:rPr>
          <w:rFonts w:ascii="Arial" w:cs="Arial" w:eastAsia="Arial" w:hAnsi="Arial"/>
          <w:sz w:val="12"/>
          <w:szCs w:val="12"/>
          <w:i w:val="1"/>
          <w:iCs w:val="1"/>
          <w:color w:val="auto"/>
        </w:rPr>
        <w:t xml:space="preserve"> </w:t>
      </w:r>
      <w:r>
        <w:rPr>
          <w:rFonts w:ascii="Arial" w:cs="Arial" w:eastAsia="Arial" w:hAnsi="Arial"/>
          <w:sz w:val="12"/>
          <w:szCs w:val="12"/>
          <w:color w:val="auto"/>
        </w:rPr>
        <w:t>operators that sell and provide travel inventory. Suppliers make money by selling their inventory to travelers either directly or indirectly through TMCs.</w:t>
      </w:r>
    </w:p>
    <w:p>
      <w:pPr>
        <w:spacing w:after="0" w:line="75" w:lineRule="exact"/>
        <w:rPr>
          <w:rFonts w:ascii="Arial" w:cs="Arial" w:eastAsia="Arial" w:hAnsi="Arial"/>
          <w:sz w:val="12"/>
          <w:szCs w:val="12"/>
          <w:color w:val="auto"/>
        </w:rPr>
      </w:pPr>
    </w:p>
    <w:p>
      <w:pPr>
        <w:ind w:left="1980" w:right="1700" w:hanging="228"/>
        <w:spacing w:after="0" w:line="277" w:lineRule="auto"/>
        <w:tabs>
          <w:tab w:leader="none" w:pos="1980" w:val="left"/>
        </w:tabs>
        <w:numPr>
          <w:ilvl w:val="0"/>
          <w:numId w:val="87"/>
        </w:numPr>
        <w:rPr>
          <w:rFonts w:ascii="Arial" w:cs="Arial" w:eastAsia="Arial" w:hAnsi="Arial"/>
          <w:sz w:val="12"/>
          <w:szCs w:val="12"/>
          <w:color w:val="auto"/>
        </w:rPr>
      </w:pPr>
      <w:r>
        <w:rPr>
          <w:rFonts w:ascii="Arial" w:cs="Arial" w:eastAsia="Arial" w:hAnsi="Arial"/>
          <w:sz w:val="12"/>
          <w:szCs w:val="12"/>
          <w:i w:val="1"/>
          <w:iCs w:val="1"/>
          <w:color w:val="auto"/>
        </w:rPr>
        <w:t xml:space="preserve">Travel Management Companies. </w:t>
      </w:r>
      <w:r>
        <w:rPr>
          <w:rFonts w:ascii="Arial" w:cs="Arial" w:eastAsia="Arial" w:hAnsi="Arial"/>
          <w:sz w:val="12"/>
          <w:szCs w:val="12"/>
          <w:color w:val="auto"/>
        </w:rPr>
        <w:t>Travel agencies that book trips on behalf of travelers. Many of</w:t>
      </w:r>
      <w:r>
        <w:rPr>
          <w:rFonts w:ascii="Arial" w:cs="Arial" w:eastAsia="Arial" w:hAnsi="Arial"/>
          <w:sz w:val="12"/>
          <w:szCs w:val="12"/>
          <w:i w:val="1"/>
          <w:iCs w:val="1"/>
          <w:color w:val="auto"/>
        </w:rPr>
        <w:t xml:space="preserve"> </w:t>
      </w:r>
      <w:r>
        <w:rPr>
          <w:rFonts w:ascii="Arial" w:cs="Arial" w:eastAsia="Arial" w:hAnsi="Arial"/>
          <w:sz w:val="12"/>
          <w:szCs w:val="12"/>
          <w:color w:val="auto"/>
        </w:rPr>
        <w:t>the most prominent TMCs were founded decades ago and primarily work offline with phone call bookings, changing travel bookings, high-touch customer service, and minimal technology. TMCs make money through commissions paid by suppliers in addition to one-off fees for completing bookings, providing additional support, or offering after-hours help, in particular. TMCs are</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128</w:t>
      </w:r>
    </w:p>
    <w:p>
      <w:pPr>
        <w:sectPr>
          <w:pgSz w:w="11900" w:h="16840" w:orient="portrait"/>
          <w:cols w:equalWidth="0" w:num="1">
            <w:col w:w="9020"/>
          </w:cols>
          <w:pgMar w:left="1440" w:top="560" w:right="1440" w:bottom="6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ectPr>
          <w:pgSz w:w="11900" w:h="16840" w:orient="portrait"/>
          <w:cols w:equalWidth="0" w:num="1">
            <w:col w:w="9020"/>
          </w:cols>
          <w:pgMar w:left="1440" w:top="560" w:right="1440" w:bottom="603" w:gutter="0" w:footer="0" w:header="0"/>
          <w:type w:val="continuous"/>
        </w:sectPr>
      </w:pPr>
    </w:p>
    <w:bookmarkStart w:id="91" w:name="page92"/>
    <w:bookmarkEnd w:id="91"/>
    <w:p>
      <w:pPr>
        <w:ind w:left="1980" w:right="2140"/>
        <w:spacing w:after="0" w:line="245" w:lineRule="auto"/>
        <w:rPr>
          <w:sz w:val="20"/>
          <w:szCs w:val="20"/>
          <w:color w:val="auto"/>
        </w:rPr>
      </w:pPr>
      <w:r>
        <w:rPr>
          <w:rFonts w:ascii="Arial" w:cs="Arial" w:eastAsia="Arial" w:hAnsi="Arial"/>
          <w:sz w:val="12"/>
          <w:szCs w:val="12"/>
          <w:color w:val="auto"/>
        </w:rPr>
        <w:t>financially incentivized to book travel through suppliers that provide them with the highest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-172085</wp:posOffset>
            </wp:positionV>
            <wp:extent cx="6732270" cy="99707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81" w:lineRule="exact"/>
        <w:rPr>
          <w:sz w:val="20"/>
          <w:szCs w:val="20"/>
          <w:color w:val="auto"/>
        </w:rPr>
      </w:pPr>
    </w:p>
    <w:p>
      <w:pPr>
        <w:ind w:left="2220" w:right="1840" w:hanging="239"/>
        <w:spacing w:after="0" w:line="289" w:lineRule="auto"/>
        <w:tabs>
          <w:tab w:leader="none" w:pos="2220" w:val="left"/>
        </w:tabs>
        <w:numPr>
          <w:ilvl w:val="1"/>
          <w:numId w:val="88"/>
        </w:numPr>
        <w:rPr>
          <w:rFonts w:ascii="Arial" w:cs="Arial" w:eastAsia="Arial" w:hAnsi="Arial"/>
          <w:sz w:val="12"/>
          <w:szCs w:val="12"/>
          <w:color w:val="auto"/>
        </w:rPr>
      </w:pPr>
      <w:r>
        <w:rPr>
          <w:rFonts w:ascii="Arial" w:cs="Arial" w:eastAsia="Arial" w:hAnsi="Arial"/>
          <w:sz w:val="12"/>
          <w:szCs w:val="12"/>
          <w:i w:val="1"/>
          <w:iCs w:val="1"/>
          <w:color w:val="auto"/>
        </w:rPr>
        <w:t xml:space="preserve">Traveler Data. </w:t>
      </w:r>
      <w:r>
        <w:rPr>
          <w:rFonts w:ascii="Arial" w:cs="Arial" w:eastAsia="Arial" w:hAnsi="Arial"/>
          <w:sz w:val="12"/>
          <w:szCs w:val="12"/>
          <w:color w:val="auto"/>
        </w:rPr>
        <w:t>TMCs have access to and maintain detailed information about the traveler's</w:t>
      </w:r>
      <w:r>
        <w:rPr>
          <w:rFonts w:ascii="Arial" w:cs="Arial" w:eastAsia="Arial" w:hAnsi="Arial"/>
          <w:sz w:val="12"/>
          <w:szCs w:val="12"/>
          <w:i w:val="1"/>
          <w:iCs w:val="1"/>
          <w:color w:val="auto"/>
        </w:rPr>
        <w:t xml:space="preserve"> </w:t>
      </w:r>
      <w:r>
        <w:rPr>
          <w:rFonts w:ascii="Arial" w:cs="Arial" w:eastAsia="Arial" w:hAnsi="Arial"/>
          <w:sz w:val="12"/>
          <w:szCs w:val="12"/>
          <w:color w:val="auto"/>
        </w:rPr>
        <w:t>schedule, including dates, times, flight numbers, hotel bookings, and other transportation arrangements.</w:t>
      </w:r>
    </w:p>
    <w:p>
      <w:pPr>
        <w:spacing w:after="0" w:line="75" w:lineRule="exact"/>
        <w:rPr>
          <w:rFonts w:ascii="Arial" w:cs="Arial" w:eastAsia="Arial" w:hAnsi="Arial"/>
          <w:sz w:val="12"/>
          <w:szCs w:val="12"/>
          <w:color w:val="auto"/>
        </w:rPr>
      </w:pPr>
    </w:p>
    <w:p>
      <w:pPr>
        <w:ind w:left="2220" w:right="1720" w:hanging="239"/>
        <w:spacing w:after="0" w:line="312" w:lineRule="auto"/>
        <w:tabs>
          <w:tab w:leader="none" w:pos="2220" w:val="left"/>
        </w:tabs>
        <w:numPr>
          <w:ilvl w:val="1"/>
          <w:numId w:val="88"/>
        </w:numPr>
        <w:rPr>
          <w:rFonts w:ascii="Arial" w:cs="Arial" w:eastAsia="Arial" w:hAnsi="Arial"/>
          <w:sz w:val="12"/>
          <w:szCs w:val="12"/>
          <w:color w:val="auto"/>
        </w:rPr>
      </w:pPr>
      <w:r>
        <w:rPr>
          <w:rFonts w:ascii="Arial" w:cs="Arial" w:eastAsia="Arial" w:hAnsi="Arial"/>
          <w:sz w:val="12"/>
          <w:szCs w:val="12"/>
          <w:i w:val="1"/>
          <w:iCs w:val="1"/>
          <w:color w:val="auto"/>
        </w:rPr>
        <w:t xml:space="preserve">Travel Agent. </w:t>
      </w:r>
      <w:r>
        <w:rPr>
          <w:rFonts w:ascii="Arial" w:cs="Arial" w:eastAsia="Arial" w:hAnsi="Arial"/>
          <w:sz w:val="12"/>
          <w:szCs w:val="12"/>
          <w:color w:val="auto"/>
        </w:rPr>
        <w:t>TMCs typically offer agent support via email, phone, or in-app chat to travelers</w:t>
      </w:r>
      <w:r>
        <w:rPr>
          <w:rFonts w:ascii="Arial" w:cs="Arial" w:eastAsia="Arial" w:hAnsi="Arial"/>
          <w:sz w:val="12"/>
          <w:szCs w:val="12"/>
          <w:i w:val="1"/>
          <w:iCs w:val="1"/>
          <w:color w:val="auto"/>
        </w:rPr>
        <w:t xml:space="preserve"> </w:t>
      </w:r>
      <w:r>
        <w:rPr>
          <w:rFonts w:ascii="Arial" w:cs="Arial" w:eastAsia="Arial" w:hAnsi="Arial"/>
          <w:sz w:val="12"/>
          <w:szCs w:val="12"/>
          <w:color w:val="auto"/>
        </w:rPr>
        <w:t>to deal with last-minute changes, emergencies, and other travel-related issues.</w:t>
      </w:r>
    </w:p>
    <w:p>
      <w:pPr>
        <w:spacing w:after="0" w:line="62" w:lineRule="exact"/>
        <w:rPr>
          <w:rFonts w:ascii="Arial" w:cs="Arial" w:eastAsia="Arial" w:hAnsi="Arial"/>
          <w:sz w:val="12"/>
          <w:szCs w:val="12"/>
          <w:color w:val="auto"/>
        </w:rPr>
      </w:pPr>
    </w:p>
    <w:p>
      <w:pPr>
        <w:jc w:val="both"/>
        <w:ind w:left="2220" w:right="1740" w:hanging="239"/>
        <w:spacing w:after="0" w:line="281" w:lineRule="auto"/>
        <w:tabs>
          <w:tab w:leader="none" w:pos="2220" w:val="left"/>
        </w:tabs>
        <w:numPr>
          <w:ilvl w:val="1"/>
          <w:numId w:val="88"/>
        </w:numPr>
        <w:rPr>
          <w:rFonts w:ascii="Arial" w:cs="Arial" w:eastAsia="Arial" w:hAnsi="Arial"/>
          <w:sz w:val="12"/>
          <w:szCs w:val="12"/>
          <w:color w:val="auto"/>
        </w:rPr>
      </w:pPr>
      <w:r>
        <w:rPr>
          <w:rFonts w:ascii="Arial" w:cs="Arial" w:eastAsia="Arial" w:hAnsi="Arial"/>
          <w:sz w:val="12"/>
          <w:szCs w:val="12"/>
          <w:i w:val="1"/>
          <w:iCs w:val="1"/>
          <w:color w:val="auto"/>
        </w:rPr>
        <w:t xml:space="preserve">Supplier Spend Data. </w:t>
      </w:r>
      <w:r>
        <w:rPr>
          <w:rFonts w:ascii="Arial" w:cs="Arial" w:eastAsia="Arial" w:hAnsi="Arial"/>
          <w:sz w:val="12"/>
          <w:szCs w:val="12"/>
          <w:color w:val="auto"/>
        </w:rPr>
        <w:t>Supplier negotiations are a key area where data makes a difference.</w:t>
      </w:r>
      <w:r>
        <w:rPr>
          <w:rFonts w:ascii="Arial" w:cs="Arial" w:eastAsia="Arial" w:hAnsi="Arial"/>
          <w:sz w:val="12"/>
          <w:szCs w:val="12"/>
          <w:i w:val="1"/>
          <w:iCs w:val="1"/>
          <w:color w:val="auto"/>
        </w:rPr>
        <w:t xml:space="preserve"> </w:t>
      </w:r>
      <w:r>
        <w:rPr>
          <w:rFonts w:ascii="Arial" w:cs="Arial" w:eastAsia="Arial" w:hAnsi="Arial"/>
          <w:sz w:val="12"/>
          <w:szCs w:val="12"/>
          <w:color w:val="auto"/>
        </w:rPr>
        <w:t>By analyzing past booking patterns, spend volumes, and traveler preferences, TMCs enable companies to negotiate contracts that maximize value. Companies leveraging TMC data can save money on supplier contracts.</w:t>
      </w:r>
    </w:p>
    <w:p>
      <w:pPr>
        <w:spacing w:after="0" w:line="80" w:lineRule="exact"/>
        <w:rPr>
          <w:rFonts w:ascii="Arial" w:cs="Arial" w:eastAsia="Arial" w:hAnsi="Arial"/>
          <w:sz w:val="12"/>
          <w:szCs w:val="12"/>
          <w:color w:val="auto"/>
        </w:rPr>
      </w:pPr>
    </w:p>
    <w:p>
      <w:pPr>
        <w:ind w:left="1980" w:right="1680" w:hanging="228"/>
        <w:spacing w:after="0" w:line="271" w:lineRule="auto"/>
        <w:tabs>
          <w:tab w:leader="none" w:pos="1980" w:val="left"/>
        </w:tabs>
        <w:numPr>
          <w:ilvl w:val="0"/>
          <w:numId w:val="88"/>
        </w:numPr>
        <w:rPr>
          <w:rFonts w:ascii="Arial" w:cs="Arial" w:eastAsia="Arial" w:hAnsi="Arial"/>
          <w:sz w:val="12"/>
          <w:szCs w:val="12"/>
          <w:color w:val="auto"/>
        </w:rPr>
      </w:pPr>
      <w:r>
        <w:rPr>
          <w:rFonts w:ascii="Arial" w:cs="Arial" w:eastAsia="Arial" w:hAnsi="Arial"/>
          <w:sz w:val="12"/>
          <w:szCs w:val="12"/>
          <w:i w:val="1"/>
          <w:iCs w:val="1"/>
          <w:color w:val="auto"/>
        </w:rPr>
        <w:t xml:space="preserve">Global Distribution System. </w:t>
      </w:r>
      <w:r>
        <w:rPr>
          <w:rFonts w:ascii="Arial" w:cs="Arial" w:eastAsia="Arial" w:hAnsi="Arial"/>
          <w:sz w:val="12"/>
          <w:szCs w:val="12"/>
          <w:color w:val="auto"/>
        </w:rPr>
        <w:t>An inventory network built to display real-time availability of inventory</w:t>
      </w:r>
      <w:r>
        <w:rPr>
          <w:rFonts w:ascii="Arial" w:cs="Arial" w:eastAsia="Arial" w:hAnsi="Arial"/>
          <w:sz w:val="12"/>
          <w:szCs w:val="12"/>
          <w:i w:val="1"/>
          <w:iCs w:val="1"/>
          <w:color w:val="auto"/>
        </w:rPr>
        <w:t xml:space="preserve"> </w:t>
      </w:r>
      <w:r>
        <w:rPr>
          <w:rFonts w:ascii="Arial" w:cs="Arial" w:eastAsia="Arial" w:hAnsi="Arial"/>
          <w:sz w:val="12"/>
          <w:szCs w:val="12"/>
          <w:color w:val="auto"/>
        </w:rPr>
        <w:t>from various suppliers. TMCs use a GDS to book travel on behalf of business customers. Many GDSs were developed in the 1960s, 1970s, and 1980s and were built on original distribution technology and data models, called EDIFACT, tied to a few of the major global airlines. EDIFACT systems may lack dynamic pricing or have content gaps compared to newer distribution channels, and are restrictive on their capabilities to service travel due to a fixed data structure and toolset. GDSs were originally built as a back-end display tool without an online marketplace on which to transact. Over time, GDSs have added computer reservation systems and new distribution technology to facilitate transactions. GDSs make money by charging a fee per transaction sourced from their inventory network.</w:t>
      </w:r>
    </w:p>
    <w:p>
      <w:pPr>
        <w:spacing w:after="0" w:line="87" w:lineRule="exact"/>
        <w:rPr>
          <w:rFonts w:ascii="Arial" w:cs="Arial" w:eastAsia="Arial" w:hAnsi="Arial"/>
          <w:sz w:val="12"/>
          <w:szCs w:val="12"/>
          <w:color w:val="auto"/>
        </w:rPr>
      </w:pPr>
    </w:p>
    <w:p>
      <w:pPr>
        <w:ind w:left="1980" w:right="2040" w:hanging="228"/>
        <w:spacing w:after="0" w:line="289" w:lineRule="auto"/>
        <w:tabs>
          <w:tab w:leader="none" w:pos="1980" w:val="left"/>
        </w:tabs>
        <w:numPr>
          <w:ilvl w:val="0"/>
          <w:numId w:val="88"/>
        </w:numPr>
        <w:rPr>
          <w:rFonts w:ascii="Arial" w:cs="Arial" w:eastAsia="Arial" w:hAnsi="Arial"/>
          <w:sz w:val="12"/>
          <w:szCs w:val="12"/>
          <w:color w:val="auto"/>
        </w:rPr>
      </w:pPr>
      <w:r>
        <w:rPr>
          <w:rFonts w:ascii="Arial" w:cs="Arial" w:eastAsia="Arial" w:hAnsi="Arial"/>
          <w:sz w:val="12"/>
          <w:szCs w:val="12"/>
          <w:i w:val="1"/>
          <w:iCs w:val="1"/>
          <w:color w:val="auto"/>
        </w:rPr>
        <w:t xml:space="preserve">Low-Cost Carriers. </w:t>
      </w:r>
      <w:r>
        <w:rPr>
          <w:rFonts w:ascii="Arial" w:cs="Arial" w:eastAsia="Arial" w:hAnsi="Arial"/>
          <w:sz w:val="12"/>
          <w:szCs w:val="12"/>
          <w:color w:val="auto"/>
        </w:rPr>
        <w:t>Airlines with no-frills models that are not accessed by traditional GDSs,</w:t>
      </w:r>
      <w:r>
        <w:rPr>
          <w:rFonts w:ascii="Arial" w:cs="Arial" w:eastAsia="Arial" w:hAnsi="Arial"/>
          <w:sz w:val="12"/>
          <w:szCs w:val="12"/>
          <w:i w:val="1"/>
          <w:iCs w:val="1"/>
          <w:color w:val="auto"/>
        </w:rPr>
        <w:t xml:space="preserve"> </w:t>
      </w:r>
      <w:r>
        <w:rPr>
          <w:rFonts w:ascii="Arial" w:cs="Arial" w:eastAsia="Arial" w:hAnsi="Arial"/>
          <w:sz w:val="12"/>
          <w:szCs w:val="12"/>
          <w:color w:val="auto"/>
        </w:rPr>
        <w:t>requiring TMCs and travel platforms to establish direct connections. While LCCs offer cost savings, they pose challenges for integration, reporting, and access to negotiated fares.</w:t>
      </w:r>
    </w:p>
    <w:p>
      <w:pPr>
        <w:spacing w:after="0" w:line="75" w:lineRule="exact"/>
        <w:rPr>
          <w:rFonts w:ascii="Arial" w:cs="Arial" w:eastAsia="Arial" w:hAnsi="Arial"/>
          <w:sz w:val="12"/>
          <w:szCs w:val="12"/>
          <w:color w:val="auto"/>
        </w:rPr>
      </w:pPr>
    </w:p>
    <w:p>
      <w:pPr>
        <w:ind w:left="1980" w:right="1760" w:hanging="228"/>
        <w:spacing w:after="0" w:line="289" w:lineRule="auto"/>
        <w:tabs>
          <w:tab w:leader="none" w:pos="1980" w:val="left"/>
        </w:tabs>
        <w:numPr>
          <w:ilvl w:val="0"/>
          <w:numId w:val="88"/>
        </w:numPr>
        <w:rPr>
          <w:rFonts w:ascii="Arial" w:cs="Arial" w:eastAsia="Arial" w:hAnsi="Arial"/>
          <w:sz w:val="12"/>
          <w:szCs w:val="12"/>
          <w:color w:val="auto"/>
        </w:rPr>
      </w:pPr>
      <w:r>
        <w:rPr>
          <w:rFonts w:ascii="Arial" w:cs="Arial" w:eastAsia="Arial" w:hAnsi="Arial"/>
          <w:sz w:val="12"/>
          <w:szCs w:val="12"/>
          <w:i w:val="1"/>
          <w:iCs w:val="1"/>
          <w:color w:val="auto"/>
        </w:rPr>
        <w:t xml:space="preserve">Online Travel Agencies, or OTAs. </w:t>
      </w:r>
      <w:r>
        <w:rPr>
          <w:rFonts w:ascii="Arial" w:cs="Arial" w:eastAsia="Arial" w:hAnsi="Arial"/>
          <w:sz w:val="12"/>
          <w:szCs w:val="12"/>
          <w:color w:val="auto"/>
        </w:rPr>
        <w:t>Online platforms that act as intermediaries between travelers</w:t>
      </w:r>
      <w:r>
        <w:rPr>
          <w:rFonts w:ascii="Arial" w:cs="Arial" w:eastAsia="Arial" w:hAnsi="Arial"/>
          <w:sz w:val="12"/>
          <w:szCs w:val="12"/>
          <w:i w:val="1"/>
          <w:iCs w:val="1"/>
          <w:color w:val="auto"/>
        </w:rPr>
        <w:t xml:space="preserve"> </w:t>
      </w:r>
      <w:r>
        <w:rPr>
          <w:rFonts w:ascii="Arial" w:cs="Arial" w:eastAsia="Arial" w:hAnsi="Arial"/>
          <w:sz w:val="12"/>
          <w:szCs w:val="12"/>
          <w:color w:val="auto"/>
        </w:rPr>
        <w:t>and travel providers such as airlines and hotels. OTAs often include commission fees and rate parity requirements mandating consistent pricing across all distribution channels.</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Point Solutions</w:t>
      </w:r>
    </w:p>
    <w:p>
      <w:pPr>
        <w:spacing w:after="0" w:line="128" w:lineRule="exact"/>
        <w:rPr>
          <w:sz w:val="20"/>
          <w:szCs w:val="20"/>
          <w:color w:val="auto"/>
        </w:rPr>
      </w:pPr>
    </w:p>
    <w:p>
      <w:pPr>
        <w:ind w:left="1980" w:right="1740" w:hanging="228"/>
        <w:spacing w:after="0" w:line="281" w:lineRule="auto"/>
        <w:tabs>
          <w:tab w:leader="none" w:pos="1980" w:val="left"/>
        </w:tabs>
        <w:numPr>
          <w:ilvl w:val="0"/>
          <w:numId w:val="89"/>
        </w:numPr>
        <w:rPr>
          <w:rFonts w:ascii="Arial" w:cs="Arial" w:eastAsia="Arial" w:hAnsi="Arial"/>
          <w:sz w:val="12"/>
          <w:szCs w:val="12"/>
          <w:color w:val="auto"/>
        </w:rPr>
      </w:pPr>
      <w:r>
        <w:rPr>
          <w:rFonts w:ascii="Arial" w:cs="Arial" w:eastAsia="Arial" w:hAnsi="Arial"/>
          <w:sz w:val="12"/>
          <w:szCs w:val="12"/>
          <w:i w:val="1"/>
          <w:iCs w:val="1"/>
          <w:color w:val="auto"/>
          <w:highlight w:val="white"/>
        </w:rPr>
        <w:t xml:space="preserve">Payments Solution. </w:t>
      </w:r>
      <w:r>
        <w:rPr>
          <w:rFonts w:ascii="Arial" w:cs="Arial" w:eastAsia="Arial" w:hAnsi="Arial"/>
          <w:sz w:val="12"/>
          <w:szCs w:val="12"/>
          <w:color w:val="auto"/>
          <w:highlight w:val="white"/>
        </w:rPr>
        <w:t>Payment processing software that automates the sending and receiving of</w:t>
      </w:r>
      <w:r>
        <w:rPr>
          <w:rFonts w:ascii="Arial" w:cs="Arial" w:eastAsia="Arial" w:hAnsi="Arial"/>
          <w:sz w:val="12"/>
          <w:szCs w:val="12"/>
          <w:i w:val="1"/>
          <w:iCs w:val="1"/>
          <w:color w:val="auto"/>
          <w:highlight w:val="white"/>
        </w:rPr>
        <w:t xml:space="preserve"> </w:t>
      </w:r>
      <w:r>
        <w:rPr>
          <w:rFonts w:ascii="Arial" w:cs="Arial" w:eastAsia="Arial" w:hAnsi="Arial"/>
          <w:sz w:val="12"/>
          <w:szCs w:val="12"/>
          <w:color w:val="auto"/>
          <w:highlight w:val="white"/>
        </w:rPr>
        <w:t>payments, streamlining business workflows and reducing manual tasks. It helps businesses accept payments online, manage payment data, track transactions, and reconcile payments with accounting systems.</w:t>
      </w:r>
    </w:p>
    <w:p>
      <w:pPr>
        <w:spacing w:after="0" w:line="80" w:lineRule="exact"/>
        <w:rPr>
          <w:rFonts w:ascii="Arial" w:cs="Arial" w:eastAsia="Arial" w:hAnsi="Arial"/>
          <w:sz w:val="12"/>
          <w:szCs w:val="12"/>
          <w:color w:val="auto"/>
        </w:rPr>
      </w:pPr>
    </w:p>
    <w:p>
      <w:pPr>
        <w:ind w:left="1980" w:right="1660" w:hanging="228"/>
        <w:spacing w:after="0" w:line="281" w:lineRule="auto"/>
        <w:tabs>
          <w:tab w:leader="none" w:pos="1980" w:val="left"/>
        </w:tabs>
        <w:numPr>
          <w:ilvl w:val="0"/>
          <w:numId w:val="89"/>
        </w:numPr>
        <w:rPr>
          <w:rFonts w:ascii="Arial" w:cs="Arial" w:eastAsia="Arial" w:hAnsi="Arial"/>
          <w:sz w:val="12"/>
          <w:szCs w:val="12"/>
          <w:color w:val="auto"/>
        </w:rPr>
      </w:pPr>
      <w:r>
        <w:rPr>
          <w:rFonts w:ascii="Arial" w:cs="Arial" w:eastAsia="Arial" w:hAnsi="Arial"/>
          <w:sz w:val="12"/>
          <w:szCs w:val="12"/>
          <w:i w:val="1"/>
          <w:iCs w:val="1"/>
          <w:color w:val="auto"/>
        </w:rPr>
        <w:t xml:space="preserve">T&amp;E Management. </w:t>
      </w:r>
      <w:r>
        <w:rPr>
          <w:rFonts w:ascii="Arial" w:cs="Arial" w:eastAsia="Arial" w:hAnsi="Arial"/>
          <w:sz w:val="12"/>
          <w:szCs w:val="12"/>
          <w:color w:val="auto"/>
        </w:rPr>
        <w:t>Powering the bespoke demands of business travel requires intricate back-end</w:t>
      </w:r>
      <w:r>
        <w:rPr>
          <w:rFonts w:ascii="Arial" w:cs="Arial" w:eastAsia="Arial" w:hAnsi="Arial"/>
          <w:sz w:val="12"/>
          <w:szCs w:val="12"/>
          <w:i w:val="1"/>
          <w:iCs w:val="1"/>
          <w:color w:val="auto"/>
        </w:rPr>
        <w:t xml:space="preserve"> </w:t>
      </w:r>
      <w:r>
        <w:rPr>
          <w:rFonts w:ascii="Arial" w:cs="Arial" w:eastAsia="Arial" w:hAnsi="Arial"/>
          <w:sz w:val="12"/>
          <w:szCs w:val="12"/>
          <w:color w:val="auto"/>
        </w:rPr>
        <w:t>system integrations, workflow automation, as well as real-time reporting and analytics— capabilities that no traditional provider offers in a unified software solution. Key requirements to enable business travel expense management include:</w:t>
      </w:r>
    </w:p>
    <w:p>
      <w:pPr>
        <w:spacing w:after="0" w:line="80" w:lineRule="exact"/>
        <w:rPr>
          <w:rFonts w:ascii="Arial" w:cs="Arial" w:eastAsia="Arial" w:hAnsi="Arial"/>
          <w:sz w:val="12"/>
          <w:szCs w:val="12"/>
          <w:color w:val="auto"/>
        </w:rPr>
      </w:pPr>
    </w:p>
    <w:p>
      <w:pPr>
        <w:ind w:left="2220" w:right="1760" w:hanging="239"/>
        <w:spacing w:after="0" w:line="277" w:lineRule="auto"/>
        <w:tabs>
          <w:tab w:leader="none" w:pos="2220" w:val="left"/>
        </w:tabs>
        <w:numPr>
          <w:ilvl w:val="1"/>
          <w:numId w:val="89"/>
        </w:numPr>
        <w:rPr>
          <w:rFonts w:ascii="Arial" w:cs="Arial" w:eastAsia="Arial" w:hAnsi="Arial"/>
          <w:sz w:val="12"/>
          <w:szCs w:val="12"/>
          <w:color w:val="auto"/>
        </w:rPr>
      </w:pPr>
      <w:r>
        <w:rPr>
          <w:rFonts w:ascii="Arial" w:cs="Arial" w:eastAsia="Arial" w:hAnsi="Arial"/>
          <w:sz w:val="12"/>
          <w:szCs w:val="12"/>
          <w:i w:val="1"/>
          <w:iCs w:val="1"/>
          <w:color w:val="auto"/>
        </w:rPr>
        <w:t xml:space="preserve">Expense System </w:t>
      </w:r>
      <w:r>
        <w:rPr>
          <w:rFonts w:ascii="Arial" w:cs="Arial" w:eastAsia="Arial" w:hAnsi="Arial"/>
          <w:sz w:val="12"/>
          <w:szCs w:val="12"/>
          <w:color w:val="auto"/>
        </w:rPr>
        <w:t>. Facilitates financial back office functions to account for and manage</w:t>
      </w:r>
      <w:r>
        <w:rPr>
          <w:rFonts w:ascii="Arial" w:cs="Arial" w:eastAsia="Arial" w:hAnsi="Arial"/>
          <w:sz w:val="12"/>
          <w:szCs w:val="12"/>
          <w:i w:val="1"/>
          <w:iCs w:val="1"/>
          <w:color w:val="auto"/>
        </w:rPr>
        <w:t xml:space="preserve"> </w:t>
      </w:r>
      <w:r>
        <w:rPr>
          <w:rFonts w:ascii="Arial" w:cs="Arial" w:eastAsia="Arial" w:hAnsi="Arial"/>
          <w:sz w:val="12"/>
          <w:szCs w:val="12"/>
          <w:color w:val="auto"/>
        </w:rPr>
        <w:t>transactions, helping companies manage and control the costs associated with their employees as they travel for work. These systems are designed to give companies visibility into their travel and expense spend, allowing for better cost management. Expense systems also enable payments back to employees for reimbursement of expenses.</w:t>
      </w:r>
    </w:p>
    <w:p>
      <w:pPr>
        <w:spacing w:after="0" w:line="83" w:lineRule="exact"/>
        <w:rPr>
          <w:rFonts w:ascii="Arial" w:cs="Arial" w:eastAsia="Arial" w:hAnsi="Arial"/>
          <w:sz w:val="12"/>
          <w:szCs w:val="12"/>
          <w:color w:val="auto"/>
        </w:rPr>
      </w:pPr>
    </w:p>
    <w:p>
      <w:pPr>
        <w:jc w:val="both"/>
        <w:ind w:left="2220" w:right="1800" w:hanging="239"/>
        <w:spacing w:after="0" w:line="289" w:lineRule="auto"/>
        <w:tabs>
          <w:tab w:leader="none" w:pos="2220" w:val="left"/>
        </w:tabs>
        <w:numPr>
          <w:ilvl w:val="1"/>
          <w:numId w:val="89"/>
        </w:numPr>
        <w:rPr>
          <w:rFonts w:ascii="Arial" w:cs="Arial" w:eastAsia="Arial" w:hAnsi="Arial"/>
          <w:sz w:val="12"/>
          <w:szCs w:val="12"/>
          <w:color w:val="auto"/>
        </w:rPr>
      </w:pPr>
      <w:r>
        <w:rPr>
          <w:rFonts w:ascii="Arial" w:cs="Arial" w:eastAsia="Arial" w:hAnsi="Arial"/>
          <w:sz w:val="12"/>
          <w:szCs w:val="12"/>
          <w:i w:val="1"/>
          <w:iCs w:val="1"/>
          <w:color w:val="auto"/>
        </w:rPr>
        <w:t xml:space="preserve">Policy Management. </w:t>
      </w:r>
      <w:r>
        <w:rPr>
          <w:rFonts w:ascii="Arial" w:cs="Arial" w:eastAsia="Arial" w:hAnsi="Arial"/>
          <w:sz w:val="12"/>
          <w:szCs w:val="12"/>
          <w:color w:val="auto"/>
        </w:rPr>
        <w:t>Allows companies to implement and monitor compliance to company</w:t>
      </w:r>
      <w:r>
        <w:rPr>
          <w:rFonts w:ascii="Arial" w:cs="Arial" w:eastAsia="Arial" w:hAnsi="Arial"/>
          <w:sz w:val="12"/>
          <w:szCs w:val="12"/>
          <w:i w:val="1"/>
          <w:iCs w:val="1"/>
          <w:color w:val="auto"/>
        </w:rPr>
        <w:t xml:space="preserve"> </w:t>
      </w:r>
      <w:r>
        <w:rPr>
          <w:rFonts w:ascii="Arial" w:cs="Arial" w:eastAsia="Arial" w:hAnsi="Arial"/>
          <w:sz w:val="12"/>
          <w:szCs w:val="12"/>
          <w:color w:val="auto"/>
        </w:rPr>
        <w:t>policy and spending limits. These aid in companies’ cost management and help ensure that employees are aware of corporate policies and working within them.</w:t>
      </w: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2220" w:right="1840" w:hanging="239"/>
        <w:spacing w:after="0" w:line="281" w:lineRule="auto"/>
        <w:tabs>
          <w:tab w:leader="none" w:pos="2220" w:val="left"/>
        </w:tabs>
        <w:numPr>
          <w:ilvl w:val="1"/>
          <w:numId w:val="90"/>
        </w:numPr>
        <w:rPr>
          <w:rFonts w:ascii="Arial" w:cs="Arial" w:eastAsia="Arial" w:hAnsi="Arial"/>
          <w:sz w:val="12"/>
          <w:szCs w:val="12"/>
          <w:color w:val="auto"/>
        </w:rPr>
      </w:pPr>
      <w:r>
        <w:rPr>
          <w:rFonts w:ascii="Arial" w:cs="Arial" w:eastAsia="Arial" w:hAnsi="Arial"/>
          <w:sz w:val="12"/>
          <w:szCs w:val="12"/>
          <w:i w:val="1"/>
          <w:iCs w:val="1"/>
          <w:color w:val="auto"/>
        </w:rPr>
        <w:t xml:space="preserve">Spend Analysis. </w:t>
      </w:r>
      <w:r>
        <w:rPr>
          <w:rFonts w:ascii="Arial" w:cs="Arial" w:eastAsia="Arial" w:hAnsi="Arial"/>
          <w:sz w:val="12"/>
          <w:szCs w:val="12"/>
          <w:color w:val="auto"/>
        </w:rPr>
        <w:t>Allows companies to examine spending across their employee base to</w:t>
      </w:r>
      <w:r>
        <w:rPr>
          <w:rFonts w:ascii="Arial" w:cs="Arial" w:eastAsia="Arial" w:hAnsi="Arial"/>
          <w:sz w:val="12"/>
          <w:szCs w:val="12"/>
          <w:i w:val="1"/>
          <w:iCs w:val="1"/>
          <w:color w:val="auto"/>
        </w:rPr>
        <w:t xml:space="preserve"> </w:t>
      </w:r>
      <w:r>
        <w:rPr>
          <w:rFonts w:ascii="Arial" w:cs="Arial" w:eastAsia="Arial" w:hAnsi="Arial"/>
          <w:sz w:val="12"/>
          <w:szCs w:val="12"/>
          <w:color w:val="auto"/>
        </w:rPr>
        <w:t>identify cost-saving opportunities, improve efficiency, and help their employees make more informed purchasing decisions when traveling. This is often a separate finance application, allowing for better employee transaction and spend management.</w:t>
      </w:r>
    </w:p>
    <w:p>
      <w:pPr>
        <w:spacing w:after="0" w:line="80" w:lineRule="exact"/>
        <w:rPr>
          <w:rFonts w:ascii="Arial" w:cs="Arial" w:eastAsia="Arial" w:hAnsi="Arial"/>
          <w:sz w:val="12"/>
          <w:szCs w:val="12"/>
          <w:color w:val="auto"/>
        </w:rPr>
      </w:pPr>
    </w:p>
    <w:p>
      <w:pPr>
        <w:ind w:left="2220" w:right="1680" w:hanging="239"/>
        <w:spacing w:after="0" w:line="289" w:lineRule="auto"/>
        <w:tabs>
          <w:tab w:leader="none" w:pos="2220" w:val="left"/>
        </w:tabs>
        <w:numPr>
          <w:ilvl w:val="1"/>
          <w:numId w:val="90"/>
        </w:numPr>
        <w:rPr>
          <w:rFonts w:ascii="Arial" w:cs="Arial" w:eastAsia="Arial" w:hAnsi="Arial"/>
          <w:sz w:val="12"/>
          <w:szCs w:val="12"/>
          <w:color w:val="auto"/>
        </w:rPr>
      </w:pPr>
      <w:r>
        <w:rPr>
          <w:rFonts w:ascii="Arial" w:cs="Arial" w:eastAsia="Arial" w:hAnsi="Arial"/>
          <w:sz w:val="12"/>
          <w:szCs w:val="12"/>
          <w:i w:val="1"/>
          <w:iCs w:val="1"/>
          <w:color w:val="auto"/>
        </w:rPr>
        <w:t xml:space="preserve">Duty of Care. </w:t>
      </w:r>
      <w:r>
        <w:rPr>
          <w:rFonts w:ascii="Arial" w:cs="Arial" w:eastAsia="Arial" w:hAnsi="Arial"/>
          <w:sz w:val="12"/>
          <w:szCs w:val="12"/>
          <w:color w:val="auto"/>
        </w:rPr>
        <w:t>Monitors threats to employees and enables two-way communication between a</w:t>
      </w:r>
      <w:r>
        <w:rPr>
          <w:rFonts w:ascii="Arial" w:cs="Arial" w:eastAsia="Arial" w:hAnsi="Arial"/>
          <w:sz w:val="12"/>
          <w:szCs w:val="12"/>
          <w:i w:val="1"/>
          <w:iCs w:val="1"/>
          <w:color w:val="auto"/>
        </w:rPr>
        <w:t xml:space="preserve"> </w:t>
      </w:r>
      <w:r>
        <w:rPr>
          <w:rFonts w:ascii="Arial" w:cs="Arial" w:eastAsia="Arial" w:hAnsi="Arial"/>
          <w:sz w:val="12"/>
          <w:szCs w:val="12"/>
          <w:color w:val="auto"/>
        </w:rPr>
        <w:t>traveler and the security team in order to inform traveling employees of emerging threats to ensure their safety and well-being.</w:t>
      </w:r>
    </w:p>
    <w:p>
      <w:pPr>
        <w:spacing w:after="0" w:line="75" w:lineRule="exact"/>
        <w:rPr>
          <w:rFonts w:ascii="Arial" w:cs="Arial" w:eastAsia="Arial" w:hAnsi="Arial"/>
          <w:sz w:val="12"/>
          <w:szCs w:val="12"/>
          <w:color w:val="auto"/>
        </w:rPr>
      </w:pPr>
    </w:p>
    <w:p>
      <w:pPr>
        <w:ind w:left="2220" w:right="1980" w:hanging="239"/>
        <w:spacing w:after="0" w:line="277" w:lineRule="auto"/>
        <w:tabs>
          <w:tab w:leader="none" w:pos="2220" w:val="left"/>
        </w:tabs>
        <w:numPr>
          <w:ilvl w:val="1"/>
          <w:numId w:val="90"/>
        </w:numPr>
        <w:rPr>
          <w:rFonts w:ascii="Arial" w:cs="Arial" w:eastAsia="Arial" w:hAnsi="Arial"/>
          <w:sz w:val="12"/>
          <w:szCs w:val="12"/>
          <w:color w:val="auto"/>
        </w:rPr>
      </w:pPr>
      <w:r>
        <w:rPr>
          <w:rFonts w:ascii="Arial" w:cs="Arial" w:eastAsia="Arial" w:hAnsi="Arial"/>
          <w:sz w:val="12"/>
          <w:szCs w:val="12"/>
          <w:i w:val="1"/>
          <w:iCs w:val="1"/>
          <w:color w:val="auto"/>
        </w:rPr>
        <w:t xml:space="preserve">Meetings and Events. </w:t>
      </w:r>
      <w:r>
        <w:rPr>
          <w:rFonts w:ascii="Arial" w:cs="Arial" w:eastAsia="Arial" w:hAnsi="Arial"/>
          <w:sz w:val="12"/>
          <w:szCs w:val="12"/>
          <w:color w:val="auto"/>
        </w:rPr>
        <w:t>Solutions that promote event organization or meeting attendance</w:t>
      </w:r>
      <w:r>
        <w:rPr>
          <w:rFonts w:ascii="Arial" w:cs="Arial" w:eastAsia="Arial" w:hAnsi="Arial"/>
          <w:sz w:val="12"/>
          <w:szCs w:val="12"/>
          <w:i w:val="1"/>
          <w:iCs w:val="1"/>
          <w:color w:val="auto"/>
        </w:rPr>
        <w:t xml:space="preserve"> </w:t>
      </w:r>
      <w:r>
        <w:rPr>
          <w:rFonts w:ascii="Arial" w:cs="Arial" w:eastAsia="Arial" w:hAnsi="Arial"/>
          <w:sz w:val="12"/>
          <w:szCs w:val="12"/>
          <w:color w:val="auto"/>
        </w:rPr>
        <w:t>across a company’s employee base, including coordinated booking of travel and accommodations across a common itinerary. These solutions are often separate from traditional business travel solutions, making it difficult to integrate with other parts of the ecosystem like spend analysis and policy management solutions.</w:t>
      </w:r>
    </w:p>
    <w:p>
      <w:pPr>
        <w:spacing w:after="0" w:line="83" w:lineRule="exact"/>
        <w:rPr>
          <w:rFonts w:ascii="Arial" w:cs="Arial" w:eastAsia="Arial" w:hAnsi="Arial"/>
          <w:sz w:val="12"/>
          <w:szCs w:val="12"/>
          <w:color w:val="auto"/>
        </w:rPr>
      </w:pPr>
    </w:p>
    <w:p>
      <w:pPr>
        <w:jc w:val="both"/>
        <w:ind w:left="1980" w:right="1760" w:hanging="228"/>
        <w:spacing w:after="0" w:line="289" w:lineRule="auto"/>
        <w:tabs>
          <w:tab w:leader="none" w:pos="1980" w:val="left"/>
        </w:tabs>
        <w:numPr>
          <w:ilvl w:val="0"/>
          <w:numId w:val="90"/>
        </w:numPr>
        <w:rPr>
          <w:rFonts w:ascii="Arial" w:cs="Arial" w:eastAsia="Arial" w:hAnsi="Arial"/>
          <w:sz w:val="12"/>
          <w:szCs w:val="12"/>
          <w:color w:val="auto"/>
        </w:rPr>
      </w:pPr>
      <w:r>
        <w:rPr>
          <w:rFonts w:ascii="Arial" w:cs="Arial" w:eastAsia="Arial" w:hAnsi="Arial"/>
          <w:sz w:val="12"/>
          <w:szCs w:val="12"/>
          <w:i w:val="1"/>
          <w:iCs w:val="1"/>
          <w:color w:val="auto"/>
        </w:rPr>
        <w:t xml:space="preserve">Rewards Programs. </w:t>
      </w:r>
      <w:r>
        <w:rPr>
          <w:rFonts w:ascii="Arial" w:cs="Arial" w:eastAsia="Arial" w:hAnsi="Arial"/>
          <w:sz w:val="12"/>
          <w:szCs w:val="12"/>
          <w:color w:val="auto"/>
        </w:rPr>
        <w:t>Programs where users can obtain rewards for loyalty and usage of hotels,</w:t>
      </w:r>
      <w:r>
        <w:rPr>
          <w:rFonts w:ascii="Arial" w:cs="Arial" w:eastAsia="Arial" w:hAnsi="Arial"/>
          <w:sz w:val="12"/>
          <w:szCs w:val="12"/>
          <w:i w:val="1"/>
          <w:iCs w:val="1"/>
          <w:color w:val="auto"/>
        </w:rPr>
        <w:t xml:space="preserve"> </w:t>
      </w:r>
      <w:r>
        <w:rPr>
          <w:rFonts w:ascii="Arial" w:cs="Arial" w:eastAsia="Arial" w:hAnsi="Arial"/>
          <w:sz w:val="12"/>
          <w:szCs w:val="12"/>
          <w:color w:val="auto"/>
        </w:rPr>
        <w:t>airlines, or other services. These programs are often fragmented and segregated across airlines and hotel groups, making it difficult to get rewards while adhering to company policies.</w:t>
      </w:r>
    </w:p>
    <w:p>
      <w:pPr>
        <w:spacing w:after="0" w:line="75" w:lineRule="exact"/>
        <w:rPr>
          <w:rFonts w:ascii="Arial" w:cs="Arial" w:eastAsia="Arial" w:hAnsi="Arial"/>
          <w:sz w:val="12"/>
          <w:szCs w:val="12"/>
          <w:color w:val="auto"/>
        </w:rPr>
      </w:pPr>
    </w:p>
    <w:p>
      <w:pPr>
        <w:ind w:left="1980" w:right="1760" w:hanging="228"/>
        <w:spacing w:after="0" w:line="281" w:lineRule="auto"/>
        <w:tabs>
          <w:tab w:leader="none" w:pos="1980" w:val="left"/>
        </w:tabs>
        <w:numPr>
          <w:ilvl w:val="0"/>
          <w:numId w:val="90"/>
        </w:numPr>
        <w:rPr>
          <w:rFonts w:ascii="Arial" w:cs="Arial" w:eastAsia="Arial" w:hAnsi="Arial"/>
          <w:sz w:val="12"/>
          <w:szCs w:val="12"/>
          <w:color w:val="auto"/>
        </w:rPr>
      </w:pPr>
      <w:r>
        <w:rPr>
          <w:rFonts w:ascii="Arial" w:cs="Arial" w:eastAsia="Arial" w:hAnsi="Arial"/>
          <w:sz w:val="12"/>
          <w:szCs w:val="12"/>
          <w:i w:val="1"/>
          <w:iCs w:val="1"/>
          <w:color w:val="auto"/>
          <w:highlight w:val="white"/>
        </w:rPr>
        <w:t xml:space="preserve">Itinerary Management. </w:t>
      </w:r>
      <w:r>
        <w:rPr>
          <w:rFonts w:ascii="Arial" w:cs="Arial" w:eastAsia="Arial" w:hAnsi="Arial"/>
          <w:sz w:val="12"/>
          <w:szCs w:val="12"/>
          <w:color w:val="auto"/>
          <w:highlight w:val="white"/>
        </w:rPr>
        <w:t>Tool that helps users, particularly travel agencies and tour operators,</w:t>
      </w:r>
      <w:r>
        <w:rPr>
          <w:rFonts w:ascii="Arial" w:cs="Arial" w:eastAsia="Arial" w:hAnsi="Arial"/>
          <w:sz w:val="12"/>
          <w:szCs w:val="12"/>
          <w:i w:val="1"/>
          <w:iCs w:val="1"/>
          <w:color w:val="auto"/>
          <w:highlight w:val="white"/>
        </w:rPr>
        <w:t xml:space="preserve"> </w:t>
      </w:r>
      <w:r>
        <w:rPr>
          <w:rFonts w:ascii="Arial" w:cs="Arial" w:eastAsia="Arial" w:hAnsi="Arial"/>
          <w:sz w:val="12"/>
          <w:szCs w:val="12"/>
          <w:color w:val="auto"/>
          <w:highlight w:val="white"/>
        </w:rPr>
        <w:t>organize and manage detailed travel plans. It consolidates information like flights, accommodations, activities, and transportation into one place, streamlining the planning process and enhancing the customer experience.</w:t>
      </w:r>
    </w:p>
    <w:p>
      <w:pPr>
        <w:spacing w:after="0" w:line="80" w:lineRule="exact"/>
        <w:rPr>
          <w:rFonts w:ascii="Arial" w:cs="Arial" w:eastAsia="Arial" w:hAnsi="Arial"/>
          <w:sz w:val="12"/>
          <w:szCs w:val="12"/>
          <w:color w:val="auto"/>
        </w:rPr>
      </w:pPr>
    </w:p>
    <w:p>
      <w:pPr>
        <w:ind w:left="1980" w:right="1760" w:hanging="228"/>
        <w:spacing w:after="0" w:line="289" w:lineRule="auto"/>
        <w:tabs>
          <w:tab w:leader="none" w:pos="1980" w:val="left"/>
        </w:tabs>
        <w:numPr>
          <w:ilvl w:val="0"/>
          <w:numId w:val="90"/>
        </w:numPr>
        <w:rPr>
          <w:rFonts w:ascii="Arial" w:cs="Arial" w:eastAsia="Arial" w:hAnsi="Arial"/>
          <w:sz w:val="12"/>
          <w:szCs w:val="12"/>
          <w:color w:val="auto"/>
        </w:rPr>
      </w:pPr>
      <w:r>
        <w:rPr>
          <w:rFonts w:ascii="Arial" w:cs="Arial" w:eastAsia="Arial" w:hAnsi="Arial"/>
          <w:sz w:val="12"/>
          <w:szCs w:val="12"/>
          <w:i w:val="1"/>
          <w:iCs w:val="1"/>
          <w:color w:val="auto"/>
          <w:highlight w:val="white"/>
        </w:rPr>
        <w:t xml:space="preserve">Online Booking Tool, or OBTs. </w:t>
      </w:r>
      <w:r>
        <w:rPr>
          <w:rFonts w:ascii="Arial" w:cs="Arial" w:eastAsia="Arial" w:hAnsi="Arial"/>
          <w:sz w:val="12"/>
          <w:szCs w:val="12"/>
          <w:color w:val="auto"/>
          <w:highlight w:val="white"/>
        </w:rPr>
        <w:t>Tech solution allowing travelers to book and manage their travel</w:t>
      </w:r>
      <w:r>
        <w:rPr>
          <w:rFonts w:ascii="Arial" w:cs="Arial" w:eastAsia="Arial" w:hAnsi="Arial"/>
          <w:sz w:val="12"/>
          <w:szCs w:val="12"/>
          <w:i w:val="1"/>
          <w:iCs w:val="1"/>
          <w:color w:val="auto"/>
          <w:highlight w:val="white"/>
        </w:rPr>
        <w:t xml:space="preserve"> </w:t>
      </w:r>
      <w:r>
        <w:rPr>
          <w:rFonts w:ascii="Arial" w:cs="Arial" w:eastAsia="Arial" w:hAnsi="Arial"/>
          <w:sz w:val="12"/>
          <w:szCs w:val="12"/>
          <w:color w:val="auto"/>
          <w:highlight w:val="white"/>
        </w:rPr>
        <w:t>itineraries in a centralized system. OBTs are a centralized way for company administrators to manage and monitor a company’s travel program.</w:t>
      </w:r>
    </w:p>
    <w:p>
      <w:pPr>
        <w:spacing w:after="0" w:line="76" w:lineRule="exact"/>
        <w:rPr>
          <w:sz w:val="20"/>
          <w:szCs w:val="20"/>
          <w:color w:val="auto"/>
        </w:rPr>
      </w:pPr>
    </w:p>
    <w:p>
      <w:pPr>
        <w:ind w:left="1520" w:right="1740" w:firstLine="230"/>
        <w:spacing w:after="0" w:line="275" w:lineRule="auto"/>
        <w:rPr>
          <w:sz w:val="20"/>
          <w:szCs w:val="20"/>
          <w:color w:val="auto"/>
        </w:rPr>
      </w:pPr>
      <w:r>
        <w:rPr>
          <w:rFonts w:ascii="Arial" w:cs="Arial" w:eastAsia="Arial" w:hAnsi="Arial"/>
          <w:sz w:val="12"/>
          <w:szCs w:val="12"/>
          <w:color w:val="auto"/>
          <w:highlight w:val="white"/>
        </w:rPr>
        <w:t xml:space="preserve">As a result of this disconnected ecosystem, business travelers spend an average of 45 minutes booking a trip, according to Booking.com, often requiring significant additional time spent calling agents and reconciling expenses. In some instances, travel bookings and changes may take days between emails, calls, and asynchronous feedback between parties. Business travelers are dissatisfied and highly frustrated with existing solutions, reflected in the industry’s low NPS of 5 for the six months ended June 30, 2025 as compared to our NPS of 43 </w:t>
      </w:r>
      <w:r>
        <w:rPr>
          <w:rFonts w:ascii="Arial" w:cs="Arial" w:eastAsia="Arial" w:hAnsi="Arial"/>
          <w:sz w:val="12"/>
          <w:szCs w:val="12"/>
          <w:color w:val="auto"/>
        </w:rPr>
        <w:t>for the six months ended July 31, 2025.</w:t>
      </w:r>
    </w:p>
    <w:p>
      <w:pPr>
        <w:spacing w:after="0" w:line="87"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Limitations of Existing Solutions for Key Stakeholders in Business Travel</w:t>
      </w:r>
    </w:p>
    <w:p>
      <w:pPr>
        <w:spacing w:after="0" w:line="128" w:lineRule="exact"/>
        <w:rPr>
          <w:sz w:val="20"/>
          <w:szCs w:val="20"/>
          <w:color w:val="auto"/>
        </w:rPr>
      </w:pPr>
    </w:p>
    <w:p>
      <w:pPr>
        <w:ind w:left="1980" w:hanging="228"/>
        <w:spacing w:after="0"/>
        <w:tabs>
          <w:tab w:leader="none" w:pos="1980" w:val="left"/>
        </w:tabs>
        <w:numPr>
          <w:ilvl w:val="0"/>
          <w:numId w:val="91"/>
        </w:numPr>
        <w:rPr>
          <w:rFonts w:ascii="Arial" w:cs="Arial" w:eastAsia="Arial" w:hAnsi="Arial"/>
          <w:sz w:val="12"/>
          <w:szCs w:val="12"/>
          <w:color w:val="auto"/>
        </w:rPr>
      </w:pPr>
      <w:r>
        <w:rPr>
          <w:rFonts w:ascii="Arial" w:cs="Arial" w:eastAsia="Arial" w:hAnsi="Arial"/>
          <w:sz w:val="12"/>
          <w:szCs w:val="12"/>
          <w:i w:val="1"/>
          <w:iCs w:val="1"/>
          <w:color w:val="auto"/>
        </w:rPr>
        <w:t xml:space="preserve">For Travelers: </w:t>
      </w:r>
      <w:r>
        <w:rPr>
          <w:rFonts w:ascii="Arial" w:cs="Arial" w:eastAsia="Arial" w:hAnsi="Arial"/>
          <w:sz w:val="12"/>
          <w:szCs w:val="12"/>
          <w:color w:val="auto"/>
        </w:rPr>
        <w:t>When working with legacy solutions, users are forced to navigate a global web of</w:t>
      </w:r>
    </w:p>
    <w:p>
      <w:pPr>
        <w:sectPr>
          <w:pgSz w:w="11900" w:h="16840" w:orient="portrait"/>
          <w:cols w:equalWidth="0" w:num="1">
            <w:col w:w="9020"/>
          </w:cols>
          <w:pgMar w:left="1440" w:top="560" w:right="1440" w:bottom="57" w:gutter="0" w:footer="0" w:header="0"/>
        </w:sectPr>
      </w:pPr>
    </w:p>
    <w:bookmarkStart w:id="92" w:name="page93"/>
    <w:bookmarkEnd w:id="92"/>
    <w:p>
      <w:pPr>
        <w:ind w:left="1980" w:right="1700"/>
        <w:spacing w:after="0" w:line="251" w:lineRule="auto"/>
        <w:rPr>
          <w:sz w:val="20"/>
          <w:szCs w:val="20"/>
          <w:color w:val="auto"/>
        </w:rPr>
      </w:pPr>
      <w:r>
        <w:rPr>
          <w:rFonts w:ascii="Arial" w:cs="Arial" w:eastAsia="Arial" w:hAnsi="Arial"/>
          <w:sz w:val="12"/>
          <w:szCs w:val="12"/>
          <w:color w:val="auto"/>
        </w:rPr>
        <w:t>challenging interfaces that present limited booking options and offer little guidance on company travel and expense policy. It is difficult to assess which travel options are compliant with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-176530</wp:posOffset>
            </wp:positionV>
            <wp:extent cx="6732270" cy="99707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980" w:right="1680"/>
        <w:spacing w:after="0" w:line="270" w:lineRule="auto"/>
        <w:rPr>
          <w:sz w:val="20"/>
          <w:szCs w:val="20"/>
          <w:color w:val="auto"/>
        </w:rPr>
      </w:pPr>
      <w:r>
        <w:rPr>
          <w:rFonts w:ascii="Arial" w:cs="Arial" w:eastAsia="Arial" w:hAnsi="Arial"/>
          <w:sz w:val="12"/>
          <w:szCs w:val="12"/>
          <w:color w:val="auto"/>
        </w:rPr>
        <w:t>policy, especially as users rely heavily on live booking agents to assist. Changes frequently require the traveler to call customer support, increasing time to book travel. Additionally, travelers are tasked with the frustrating process of tracking and uploading receipts, filling out cumbersome forms, and often needing to front personal dollars for their company spend. Travelers who book outside of approved systems can also miss critical travel alerts and support services provided by corporate programs. This exposes companies to legal risk as companies cannot fulfill their duty of care to their employees.</w:t>
      </w:r>
    </w:p>
    <w:p>
      <w:pPr>
        <w:spacing w:after="0" w:line="88" w:lineRule="exact"/>
        <w:rPr>
          <w:sz w:val="20"/>
          <w:szCs w:val="20"/>
          <w:color w:val="auto"/>
        </w:rPr>
      </w:pPr>
    </w:p>
    <w:p>
      <w:pPr>
        <w:ind w:left="1980" w:right="1760" w:hanging="228"/>
        <w:spacing w:after="0" w:line="272" w:lineRule="auto"/>
        <w:tabs>
          <w:tab w:leader="none" w:pos="1980" w:val="left"/>
        </w:tabs>
        <w:numPr>
          <w:ilvl w:val="0"/>
          <w:numId w:val="92"/>
        </w:numPr>
        <w:rPr>
          <w:rFonts w:ascii="Arial" w:cs="Arial" w:eastAsia="Arial" w:hAnsi="Arial"/>
          <w:sz w:val="12"/>
          <w:szCs w:val="12"/>
          <w:color w:val="auto"/>
        </w:rPr>
      </w:pPr>
      <w:r>
        <w:rPr>
          <w:rFonts w:ascii="Arial" w:cs="Arial" w:eastAsia="Arial" w:hAnsi="Arial"/>
          <w:sz w:val="12"/>
          <w:szCs w:val="12"/>
          <w:i w:val="1"/>
          <w:iCs w:val="1"/>
          <w:color w:val="auto"/>
        </w:rPr>
        <w:t xml:space="preserve">For Companies: </w:t>
      </w:r>
      <w:r>
        <w:rPr>
          <w:rFonts w:ascii="Arial" w:cs="Arial" w:eastAsia="Arial" w:hAnsi="Arial"/>
          <w:sz w:val="12"/>
          <w:szCs w:val="12"/>
          <w:color w:val="auto"/>
        </w:rPr>
        <w:t>Frustration with limited booking options, siloed systems, and poor user</w:t>
      </w:r>
      <w:r>
        <w:rPr>
          <w:rFonts w:ascii="Arial" w:cs="Arial" w:eastAsia="Arial" w:hAnsi="Arial"/>
          <w:sz w:val="12"/>
          <w:szCs w:val="12"/>
          <w:i w:val="1"/>
          <w:iCs w:val="1"/>
          <w:color w:val="auto"/>
        </w:rPr>
        <w:t xml:space="preserve"> </w:t>
      </w:r>
      <w:r>
        <w:rPr>
          <w:rFonts w:ascii="Arial" w:cs="Arial" w:eastAsia="Arial" w:hAnsi="Arial"/>
          <w:sz w:val="12"/>
          <w:szCs w:val="12"/>
          <w:color w:val="auto"/>
        </w:rPr>
        <w:t>experience can often lead to limited adoption of systems by travelers. Existing solutions may require travelers to book or modify travel through a travel agent, resulting in the company paying additional fees. Companies also lose the cost-saving benefits from negotiated corporate discounts and volume commitments, increasing overall travel costs. Travelers end up overspending company money and often significantly exceeding their T&amp;E budgets, and this introduces difficulties in the processing of matching expenses to trips, creating additional administrative burden on companies. Without centralized booking, companies also struggle to</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980" w:right="1760"/>
        <w:spacing w:after="0" w:line="277" w:lineRule="auto"/>
        <w:rPr>
          <w:sz w:val="20"/>
          <w:szCs w:val="20"/>
          <w:color w:val="auto"/>
        </w:rPr>
      </w:pPr>
      <w:r>
        <w:rPr>
          <w:rFonts w:ascii="Arial" w:cs="Arial" w:eastAsia="Arial" w:hAnsi="Arial"/>
          <w:sz w:val="12"/>
          <w:szCs w:val="12"/>
          <w:color w:val="auto"/>
        </w:rPr>
        <w:t>track and manage travel spend effectively, undermining budget control and forecasting. Low adoption of T&amp;E solutions also impairs a company’s ability to locate and assist travelers during emergencies, such as natural disasters or geopolitical crises, exposing companies to legal and reputational risks. Companies of all sizes can transform their productivity and the experiences of their employees through better travel and expense solutions.</w:t>
      </w:r>
    </w:p>
    <w:p>
      <w:pPr>
        <w:spacing w:after="0" w:line="84" w:lineRule="exact"/>
        <w:rPr>
          <w:sz w:val="20"/>
          <w:szCs w:val="20"/>
          <w:color w:val="auto"/>
        </w:rPr>
      </w:pPr>
    </w:p>
    <w:p>
      <w:pPr>
        <w:ind w:left="1980" w:right="1680" w:hanging="228"/>
        <w:spacing w:after="0" w:line="272" w:lineRule="auto"/>
        <w:tabs>
          <w:tab w:leader="none" w:pos="1980" w:val="left"/>
        </w:tabs>
        <w:numPr>
          <w:ilvl w:val="0"/>
          <w:numId w:val="93"/>
        </w:numPr>
        <w:rPr>
          <w:rFonts w:ascii="Arial" w:cs="Arial" w:eastAsia="Arial" w:hAnsi="Arial"/>
          <w:sz w:val="12"/>
          <w:szCs w:val="12"/>
          <w:color w:val="auto"/>
        </w:rPr>
      </w:pPr>
      <w:r>
        <w:rPr>
          <w:rFonts w:ascii="Arial" w:cs="Arial" w:eastAsia="Arial" w:hAnsi="Arial"/>
          <w:sz w:val="12"/>
          <w:szCs w:val="12"/>
          <w:i w:val="1"/>
          <w:iCs w:val="1"/>
          <w:color w:val="auto"/>
        </w:rPr>
        <w:t xml:space="preserve">For Suppliers: </w:t>
      </w:r>
      <w:r>
        <w:rPr>
          <w:rFonts w:ascii="Arial" w:cs="Arial" w:eastAsia="Arial" w:hAnsi="Arial"/>
          <w:sz w:val="12"/>
          <w:szCs w:val="12"/>
          <w:color w:val="auto"/>
        </w:rPr>
        <w:t>Fragmented, legacy travel infrastructure makes it more challenging for suppliers to</w:t>
      </w:r>
      <w:r>
        <w:rPr>
          <w:rFonts w:ascii="Arial" w:cs="Arial" w:eastAsia="Arial" w:hAnsi="Arial"/>
          <w:sz w:val="12"/>
          <w:szCs w:val="12"/>
          <w:i w:val="1"/>
          <w:iCs w:val="1"/>
          <w:color w:val="auto"/>
        </w:rPr>
        <w:t xml:space="preserve"> </w:t>
      </w:r>
      <w:r>
        <w:rPr>
          <w:rFonts w:ascii="Arial" w:cs="Arial" w:eastAsia="Arial" w:hAnsi="Arial"/>
          <w:sz w:val="12"/>
          <w:szCs w:val="12"/>
          <w:color w:val="auto"/>
        </w:rPr>
        <w:t>consistently access a large base of frequent travelers given user dissatisfaction and frequency of off-platform spend. Travel infrastructure providers may not have invested in their technology to enable suppliers to present their inventory in a way that differentiates their offerings, including more granular details about class fares, seating options, description of amenities, and other benefits. In addition, legacy players can lack brand experience, preventing suppliers from showcasing unique products, building loyalty with frequent travelers, or facilitating the opportunity to upsell additional products and services for suppliers.</w:t>
      </w:r>
    </w:p>
    <w:p>
      <w:pPr>
        <w:spacing w:after="0" w:line="88" w:lineRule="exact"/>
        <w:rPr>
          <w:sz w:val="20"/>
          <w:szCs w:val="20"/>
          <w:color w:val="auto"/>
        </w:rPr>
      </w:pPr>
    </w:p>
    <w:p>
      <w:pPr>
        <w:ind w:left="1520" w:right="1740" w:firstLine="230"/>
        <w:spacing w:after="0" w:line="272" w:lineRule="auto"/>
        <w:rPr>
          <w:sz w:val="20"/>
          <w:szCs w:val="20"/>
          <w:color w:val="auto"/>
        </w:rPr>
      </w:pPr>
      <w:r>
        <w:rPr>
          <w:rFonts w:ascii="Arial" w:cs="Arial" w:eastAsia="Arial" w:hAnsi="Arial"/>
          <w:sz w:val="12"/>
          <w:szCs w:val="12"/>
          <w:color w:val="auto"/>
          <w:highlight w:val="white"/>
        </w:rPr>
        <w:t>These disjointed steps to book business travel and manage expenses are not designed with the user in mind, resulting in inefficiencies, frustration, data silos, lack of convenience and flexibility, and limited spend control and policy enforcement. We believe that traditional T&amp;E platforms have limited adoption in the market because they are expensive and have significant implementation requirements that limit their feasibility. These requirements typically involve extensive scoping, one-off integrations with ERP and HR systems, detailed configuration and localization, multi-stage quality assurance testing, enterprise-wide training programs, and phased roll-out plans, driving up both complexity and cost. Many businesses on these legacy systems rely on phone calls and do not have access to real-time information, costing employees a considerable amount of time. Navan was built to solve these challenges.</w:t>
      </w:r>
    </w:p>
    <w:p>
      <w:pPr>
        <w:spacing w:after="0" w:line="85"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Our Solution</w:t>
      </w:r>
    </w:p>
    <w:p>
      <w:pPr>
        <w:spacing w:after="0" w:line="130" w:lineRule="exact"/>
        <w:rPr>
          <w:sz w:val="20"/>
          <w:szCs w:val="20"/>
          <w:color w:val="auto"/>
        </w:rPr>
      </w:pPr>
    </w:p>
    <w:p>
      <w:pPr>
        <w:ind w:left="1520" w:right="1740" w:firstLine="230"/>
        <w:spacing w:after="0" w:line="273" w:lineRule="auto"/>
        <w:rPr>
          <w:sz w:val="20"/>
          <w:szCs w:val="20"/>
          <w:color w:val="auto"/>
        </w:rPr>
      </w:pPr>
      <w:r>
        <w:rPr>
          <w:rFonts w:ascii="Arial" w:cs="Arial" w:eastAsia="Arial" w:hAnsi="Arial"/>
          <w:sz w:val="12"/>
          <w:szCs w:val="12"/>
          <w:color w:val="auto"/>
          <w:highlight w:val="white"/>
        </w:rPr>
        <w:t>Our end-to-end, AI-powered software platform is purpose-built to deliver a personalized global travel booking experience for our users, combined with next-generation expense management and payments solutions that provide real-time visibility and control over T&amp;E spend. At the core of our platform is Navan Cognition, our proprietary AI framework that powers intelligent automation and decision making across the user journey. This intelligence layer enhances virtually every step of the travel process, from booking to reconciliation, helping us deliver a more seamless, policy-compliant, and cost-effective experience for customers of all sizes.</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highlight w:val="white"/>
        </w:rPr>
        <w:t>Navan Cloud: The Infrastructure of Our Travel Experience</w:t>
      </w:r>
    </w:p>
    <w:p>
      <w:pPr>
        <w:spacing w:after="0" w:line="128" w:lineRule="exact"/>
        <w:rPr>
          <w:sz w:val="20"/>
          <w:szCs w:val="20"/>
          <w:color w:val="auto"/>
        </w:rPr>
      </w:pPr>
    </w:p>
    <w:p>
      <w:pPr>
        <w:ind w:left="1520" w:right="1740" w:firstLine="230"/>
        <w:spacing w:after="0" w:line="272" w:lineRule="auto"/>
        <w:rPr>
          <w:sz w:val="20"/>
          <w:szCs w:val="20"/>
          <w:color w:val="auto"/>
        </w:rPr>
      </w:pPr>
      <w:r>
        <w:rPr>
          <w:rFonts w:ascii="Arial" w:cs="Arial" w:eastAsia="Arial" w:hAnsi="Arial"/>
          <w:sz w:val="12"/>
          <w:szCs w:val="12"/>
          <w:color w:val="auto"/>
          <w:highlight w:val="white"/>
        </w:rPr>
        <w:t>We built our proprietary technology and partner infrastructure from the ground up to provide a global, real-time inventory that maximizes choice for our users. In contrast with legacy players, who have generally expanded through acquisitions of local travel agencies and have a highly fragmented view of inventory with limited access to smaller suppliers, our platform is truly global, with broad inventory including smaller suppliers, and our human and virtual agents have access to all of the bookings on our platform, globally. Acting as a proprietary, in-house aggregator platform, our highly scalable Navan Cloud aggregates and dynamically accesses our broad inventory through direct relationships, API integrations, and partnerships to provide high levels of choice:</w:t>
      </w:r>
    </w:p>
    <w:p>
      <w:pPr>
        <w:spacing w:after="0" w:line="88" w:lineRule="exact"/>
        <w:rPr>
          <w:sz w:val="20"/>
          <w:szCs w:val="20"/>
          <w:color w:val="auto"/>
        </w:rPr>
      </w:pPr>
    </w:p>
    <w:p>
      <w:pPr>
        <w:ind w:left="1980" w:right="1680" w:hanging="228"/>
        <w:spacing w:after="0" w:line="272" w:lineRule="auto"/>
        <w:tabs>
          <w:tab w:leader="none" w:pos="1980" w:val="left"/>
        </w:tabs>
        <w:numPr>
          <w:ilvl w:val="0"/>
          <w:numId w:val="94"/>
        </w:numPr>
        <w:rPr>
          <w:rFonts w:ascii="Arial" w:cs="Arial" w:eastAsia="Arial" w:hAnsi="Arial"/>
          <w:sz w:val="12"/>
          <w:szCs w:val="12"/>
          <w:color w:val="auto"/>
        </w:rPr>
      </w:pPr>
      <w:r>
        <w:rPr>
          <w:rFonts w:ascii="Arial" w:cs="Arial" w:eastAsia="Arial" w:hAnsi="Arial"/>
          <w:sz w:val="12"/>
          <w:szCs w:val="12"/>
          <w:i w:val="1"/>
          <w:iCs w:val="1"/>
          <w:color w:val="auto"/>
        </w:rPr>
        <w:t xml:space="preserve">Direct Supplier Relationships. </w:t>
      </w:r>
      <w:r>
        <w:rPr>
          <w:rFonts w:ascii="Arial" w:cs="Arial" w:eastAsia="Arial" w:hAnsi="Arial"/>
          <w:sz w:val="12"/>
          <w:szCs w:val="12"/>
          <w:color w:val="auto"/>
        </w:rPr>
        <w:t>We have curated direct partnerships with a vast network of</w:t>
      </w:r>
      <w:r>
        <w:rPr>
          <w:rFonts w:ascii="Arial" w:cs="Arial" w:eastAsia="Arial" w:hAnsi="Arial"/>
          <w:sz w:val="12"/>
          <w:szCs w:val="12"/>
          <w:i w:val="1"/>
          <w:iCs w:val="1"/>
          <w:color w:val="auto"/>
        </w:rPr>
        <w:t xml:space="preserve"> </w:t>
      </w:r>
      <w:r>
        <w:rPr>
          <w:rFonts w:ascii="Arial" w:cs="Arial" w:eastAsia="Arial" w:hAnsi="Arial"/>
          <w:sz w:val="12"/>
          <w:szCs w:val="12"/>
          <w:color w:val="auto"/>
        </w:rPr>
        <w:t>airlines, hotels, and other suppliers, giving us better and sometimes exclusive access to inventory and lower prices. These relationships also let us provide richer content such as seating, amenities, and fare classes, directly from suppliers, enabling a more customizable booking experience. A cornerstone of our supply sourcing strategy is to source content directly from suppliers, whether through NDC, where Navan sits on governing bodies and helps define NDC standards, direct integrations to Passenger Service Systems, or other APIs provided by the supplier. This enables us to have swift access to the newest releases and updates to the travel distribution ecosystem. It also positions us as a partner to these suppliers, helping shape new</w:t>
      </w: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980" w:right="1900"/>
        <w:spacing w:after="0" w:line="312" w:lineRule="auto"/>
        <w:rPr>
          <w:sz w:val="20"/>
          <w:szCs w:val="20"/>
          <w:color w:val="auto"/>
        </w:rPr>
      </w:pPr>
      <w:r>
        <w:rPr>
          <w:rFonts w:ascii="Arial" w:cs="Arial" w:eastAsia="Arial" w:hAnsi="Arial"/>
          <w:sz w:val="12"/>
          <w:szCs w:val="12"/>
          <w:color w:val="auto"/>
        </w:rPr>
        <w:t>traveler benefits and automated fulfillment and servicing capabilities that benefit our efficiency and the travel experience for our users.</w:t>
      </w:r>
    </w:p>
    <w:p>
      <w:pPr>
        <w:spacing w:after="0" w:line="62" w:lineRule="exact"/>
        <w:rPr>
          <w:sz w:val="20"/>
          <w:szCs w:val="20"/>
          <w:color w:val="auto"/>
        </w:rPr>
      </w:pPr>
    </w:p>
    <w:p>
      <w:pPr>
        <w:ind w:left="1980" w:right="1980" w:hanging="228"/>
        <w:spacing w:after="0" w:line="312" w:lineRule="auto"/>
        <w:tabs>
          <w:tab w:leader="none" w:pos="1980" w:val="left"/>
        </w:tabs>
        <w:numPr>
          <w:ilvl w:val="0"/>
          <w:numId w:val="95"/>
        </w:numPr>
        <w:rPr>
          <w:rFonts w:ascii="Arial" w:cs="Arial" w:eastAsia="Arial" w:hAnsi="Arial"/>
          <w:sz w:val="12"/>
          <w:szCs w:val="12"/>
          <w:color w:val="auto"/>
        </w:rPr>
      </w:pPr>
      <w:r>
        <w:rPr>
          <w:rFonts w:ascii="Arial" w:cs="Arial" w:eastAsia="Arial" w:hAnsi="Arial"/>
          <w:sz w:val="12"/>
          <w:szCs w:val="12"/>
          <w:i w:val="1"/>
          <w:iCs w:val="1"/>
          <w:color w:val="auto"/>
        </w:rPr>
        <w:t xml:space="preserve">API Integrations. </w:t>
      </w:r>
      <w:r>
        <w:rPr>
          <w:rFonts w:ascii="Arial" w:cs="Arial" w:eastAsia="Arial" w:hAnsi="Arial"/>
          <w:sz w:val="12"/>
          <w:szCs w:val="12"/>
          <w:color w:val="auto"/>
        </w:rPr>
        <w:t>Our advanced API technology enables real-time integration with suppliers,</w:t>
      </w:r>
      <w:r>
        <w:rPr>
          <w:rFonts w:ascii="Arial" w:cs="Arial" w:eastAsia="Arial" w:hAnsi="Arial"/>
          <w:sz w:val="12"/>
          <w:szCs w:val="12"/>
          <w:i w:val="1"/>
          <w:iCs w:val="1"/>
          <w:color w:val="auto"/>
        </w:rPr>
        <w:t xml:space="preserve"> </w:t>
      </w:r>
      <w:r>
        <w:rPr>
          <w:rFonts w:ascii="Arial" w:cs="Arial" w:eastAsia="Arial" w:hAnsi="Arial"/>
          <w:sz w:val="12"/>
          <w:szCs w:val="12"/>
          <w:color w:val="auto"/>
        </w:rPr>
        <w:t>ensuring users get accurate, real-time pricing, content, and availability. Where APIs are not</w:t>
      </w:r>
    </w:p>
    <w:p>
      <w:pPr>
        <w:sectPr>
          <w:pgSz w:w="11900" w:h="16840" w:orient="portrait"/>
          <w:cols w:equalWidth="0" w:num="1">
            <w:col w:w="9020"/>
          </w:cols>
          <w:pgMar w:left="1440" w:top="560" w:right="1440" w:bottom="76" w:gutter="0" w:footer="0" w:header="0"/>
        </w:sectPr>
      </w:pPr>
    </w:p>
    <w:bookmarkStart w:id="93" w:name="page94"/>
    <w:bookmarkEnd w:id="93"/>
    <w:p>
      <w:pPr>
        <w:ind w:left="1980" w:right="1800"/>
        <w:spacing w:after="0" w:line="192" w:lineRule="auto"/>
        <w:rPr>
          <w:sz w:val="20"/>
          <w:szCs w:val="20"/>
          <w:color w:val="auto"/>
        </w:rPr>
      </w:pPr>
      <w:r>
        <w:rPr>
          <w:rFonts w:ascii="Arial" w:cs="Arial" w:eastAsia="Arial" w:hAnsi="Arial"/>
          <w:sz w:val="11"/>
          <w:szCs w:val="11"/>
          <w:color w:val="auto"/>
        </w:rPr>
        <w:t>available, we leverage our strong direct supplier relationships to source data across a broad set of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-121920</wp:posOffset>
            </wp:positionV>
            <wp:extent cx="6732270" cy="99707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84" w:lineRule="exact"/>
        <w:rPr>
          <w:sz w:val="20"/>
          <w:szCs w:val="20"/>
          <w:color w:val="auto"/>
        </w:rPr>
      </w:pPr>
    </w:p>
    <w:p>
      <w:pPr>
        <w:ind w:left="1980" w:right="1680" w:hanging="228"/>
        <w:spacing w:after="0" w:line="281" w:lineRule="auto"/>
        <w:tabs>
          <w:tab w:leader="none" w:pos="1980" w:val="left"/>
        </w:tabs>
        <w:numPr>
          <w:ilvl w:val="0"/>
          <w:numId w:val="96"/>
        </w:numPr>
        <w:rPr>
          <w:rFonts w:ascii="Arial" w:cs="Arial" w:eastAsia="Arial" w:hAnsi="Arial"/>
          <w:sz w:val="12"/>
          <w:szCs w:val="12"/>
          <w:color w:val="auto"/>
        </w:rPr>
      </w:pPr>
      <w:r>
        <w:rPr>
          <w:rFonts w:ascii="Arial" w:cs="Arial" w:eastAsia="Arial" w:hAnsi="Arial"/>
          <w:sz w:val="12"/>
          <w:szCs w:val="12"/>
          <w:i w:val="1"/>
          <w:iCs w:val="1"/>
          <w:color w:val="auto"/>
        </w:rPr>
        <w:t xml:space="preserve">Partnerships. </w:t>
      </w:r>
      <w:r>
        <w:rPr>
          <w:rFonts w:ascii="Arial" w:cs="Arial" w:eastAsia="Arial" w:hAnsi="Arial"/>
          <w:sz w:val="12"/>
          <w:szCs w:val="12"/>
          <w:color w:val="auto"/>
        </w:rPr>
        <w:t>We have developed deep partnerships with banks, financial technology companies,</w:t>
      </w:r>
      <w:r>
        <w:rPr>
          <w:rFonts w:ascii="Arial" w:cs="Arial" w:eastAsia="Arial" w:hAnsi="Arial"/>
          <w:sz w:val="12"/>
          <w:szCs w:val="12"/>
          <w:i w:val="1"/>
          <w:iCs w:val="1"/>
          <w:color w:val="auto"/>
        </w:rPr>
        <w:t xml:space="preserve"> </w:t>
      </w:r>
      <w:r>
        <w:rPr>
          <w:rFonts w:ascii="Arial" w:cs="Arial" w:eastAsia="Arial" w:hAnsi="Arial"/>
          <w:sz w:val="12"/>
          <w:szCs w:val="12"/>
          <w:color w:val="auto"/>
        </w:rPr>
        <w:t>and payment providers to broaden capabilities across our payments platform. These include integrations with payment networks like Visa and Mastercard as well as card issuers like Brex, Rho, Citi, Barclays, and Citizens Bank, extending our reach into the financial ecosystem.</w:t>
      </w:r>
    </w:p>
    <w:p>
      <w:pPr>
        <w:spacing w:after="0" w:line="81" w:lineRule="exact"/>
        <w:rPr>
          <w:sz w:val="20"/>
          <w:szCs w:val="20"/>
          <w:color w:val="auto"/>
        </w:rPr>
      </w:pPr>
    </w:p>
    <w:p>
      <w:pPr>
        <w:ind w:left="1520" w:right="1780" w:firstLine="230"/>
        <w:spacing w:after="0" w:line="273" w:lineRule="auto"/>
        <w:rPr>
          <w:sz w:val="20"/>
          <w:szCs w:val="20"/>
          <w:color w:val="auto"/>
        </w:rPr>
      </w:pPr>
      <w:r>
        <w:rPr>
          <w:rFonts w:ascii="Arial" w:cs="Arial" w:eastAsia="Arial" w:hAnsi="Arial"/>
          <w:sz w:val="12"/>
          <w:szCs w:val="12"/>
          <w:color w:val="auto"/>
        </w:rPr>
        <w:t>Our direct connections and integrations give us access to sell over 600 airlines via GDSs, NDC, and LCCs, and over two million individual lodging properties through our platform globally. We have connections to the major credit card networks and over 200 banks and partnerships with multiple issuing partners in Navan Cloud. Our proprietary infrastructure provides customers with dynamic access to pricing and travel availability, ensuring that users always have the most accurate information at their fingertips. Navan Cloud also simplifies expense management during and after a trip so that customers can understand and accurately capture T&amp;E spend in real time.</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Navan Cognition: Our New Paradigm in AI-Powered Travel Management</w:t>
      </w:r>
    </w:p>
    <w:p>
      <w:pPr>
        <w:spacing w:after="0" w:line="128" w:lineRule="exact"/>
        <w:rPr>
          <w:sz w:val="20"/>
          <w:szCs w:val="20"/>
          <w:color w:val="auto"/>
        </w:rPr>
      </w:pPr>
    </w:p>
    <w:p>
      <w:pPr>
        <w:ind w:left="1520" w:right="1700" w:firstLine="230"/>
        <w:spacing w:after="0" w:line="277" w:lineRule="auto"/>
        <w:rPr>
          <w:sz w:val="20"/>
          <w:szCs w:val="20"/>
          <w:color w:val="auto"/>
        </w:rPr>
      </w:pPr>
      <w:r>
        <w:rPr>
          <w:rFonts w:ascii="Arial" w:cs="Arial" w:eastAsia="Arial" w:hAnsi="Arial"/>
          <w:sz w:val="12"/>
          <w:szCs w:val="12"/>
          <w:color w:val="auto"/>
        </w:rPr>
        <w:t>From our early founding days, we have invested in AI technologies at the core of our platform. We started with advanced ML capabilities that were revolutionary in this industry in our early days, but we did not stop there. As the technology progressed, so did we. We evolved from deploying customized ML algorithms that deliver best-in-class optimization and personalization to building a sophisticated agentic AI platform that is programmable, modular, and dynamic.</w:t>
      </w:r>
    </w:p>
    <w:p>
      <w:pPr>
        <w:spacing w:after="0" w:line="84" w:lineRule="exact"/>
        <w:rPr>
          <w:sz w:val="20"/>
          <w:szCs w:val="20"/>
          <w:color w:val="auto"/>
        </w:rPr>
      </w:pPr>
    </w:p>
    <w:p>
      <w:pPr>
        <w:ind w:left="1520" w:right="1680" w:firstLine="230"/>
        <w:spacing w:after="0" w:line="269" w:lineRule="auto"/>
        <w:rPr>
          <w:sz w:val="20"/>
          <w:szCs w:val="20"/>
          <w:color w:val="auto"/>
        </w:rPr>
      </w:pPr>
      <w:r>
        <w:rPr>
          <w:rFonts w:ascii="Arial" w:cs="Arial" w:eastAsia="Arial" w:hAnsi="Arial"/>
          <w:sz w:val="12"/>
          <w:szCs w:val="12"/>
          <w:color w:val="auto"/>
        </w:rPr>
        <w:t>We developed a new paradigm in AI-powered travel management through Navan Cognition, our third-generation innovative proprietary AI framework that combines the precision and predictive power of ML with the reasoning capabilities of large language models, or LLMs. Navan Cognition is designed to leverage third-party LLMs in combination with our own proprietary, internally developed software to operate a modular framework of virtual agents using a graph-based workflow. On our platform, Navan Cognition enables us to create, train, deploy, and supervise our specialized virtual agents that can handle many complex tasks previously requiring human intervention, including our virtual agent chatbot, Ava. Within the Navan Cognition framework, our networks of virtual agents identify, categorize, and execute user queries (including distinct tasks) as users interface with our platform. The graph-based workflow identifies and processes the intent behind users’ requests to our virtual agents (such as travel type and preferences) to prompt the LLM models to execute the most relevant workflow in response to requests, while refining user intent to strive for accurate responses and minimal hallucinations. Virtual agent outputs undergo compliance, fact-checking, and logic validation, and supervisory workflows are in place with the goal of preventing hallucinations and unauthorized or unintended actions from reaching users.</w:t>
      </w:r>
    </w:p>
    <w:p>
      <w:pPr>
        <w:spacing w:after="0" w:line="93" w:lineRule="exact"/>
        <w:rPr>
          <w:sz w:val="20"/>
          <w:szCs w:val="20"/>
          <w:color w:val="auto"/>
        </w:rPr>
      </w:pPr>
    </w:p>
    <w:p>
      <w:pPr>
        <w:ind w:left="1520" w:right="1760" w:firstLine="230"/>
        <w:spacing w:after="0" w:line="272" w:lineRule="auto"/>
        <w:rPr>
          <w:sz w:val="20"/>
          <w:szCs w:val="20"/>
          <w:color w:val="auto"/>
        </w:rPr>
      </w:pPr>
      <w:r>
        <w:rPr>
          <w:rFonts w:ascii="Arial" w:cs="Arial" w:eastAsia="Arial" w:hAnsi="Arial"/>
          <w:sz w:val="12"/>
          <w:szCs w:val="12"/>
          <w:color w:val="auto"/>
        </w:rPr>
        <w:t>This framework allows our virtual agents to masterfully manage an increasing number of tasks and requests on our platform, from booking modifications to expense tracking, communicating naturally with users while maintaining strict operational safeguards. For instance, our virtual agents can proactively contact hotels to verify payment arrangements before a traveler's arrival, ensuring a smooth check-in experience. For more information regarding the risks related to the use of AI in our business, see the section titled “Risk Factors—Risks Related to Privacy, Cybersecurity, and Intellectual Property—Our use of artificial intelligence, including Gen AI and ML, gives rise to legal, business, and operational risks, which may result in diminished performance, regulatory scrutiny, social impacts, reputational harm, and liability arising from the use of this technology” in the section titled “Risk Factors.”</w:t>
      </w:r>
    </w:p>
    <w:p>
      <w:pPr>
        <w:spacing w:after="0" w:line="85" w:lineRule="exact"/>
        <w:rPr>
          <w:sz w:val="20"/>
          <w:szCs w:val="20"/>
          <w:color w:val="auto"/>
        </w:rPr>
      </w:pPr>
    </w:p>
    <w:p>
      <w:pPr>
        <w:ind w:left="1520" w:right="1700" w:firstLine="230"/>
        <w:spacing w:after="0" w:line="312" w:lineRule="auto"/>
        <w:rPr>
          <w:sz w:val="20"/>
          <w:szCs w:val="20"/>
          <w:color w:val="auto"/>
        </w:rPr>
      </w:pPr>
      <w:r>
        <w:rPr>
          <w:rFonts w:ascii="Arial" w:cs="Arial" w:eastAsia="Arial" w:hAnsi="Arial"/>
          <w:sz w:val="12"/>
          <w:szCs w:val="12"/>
          <w:color w:val="auto"/>
        </w:rPr>
        <w:t>Navan Cognition has also been core to helping us improve the service offering of our platform without adding cost to our customers and enabling us to further optimize margins. Our AI-powered virtual agent</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520" w:right="1720"/>
        <w:spacing w:after="0" w:line="271" w:lineRule="auto"/>
        <w:rPr>
          <w:sz w:val="20"/>
          <w:szCs w:val="20"/>
          <w:color w:val="auto"/>
        </w:rPr>
      </w:pPr>
      <w:r>
        <w:rPr>
          <w:rFonts w:ascii="Arial" w:cs="Arial" w:eastAsia="Arial" w:hAnsi="Arial"/>
          <w:sz w:val="12"/>
          <w:szCs w:val="12"/>
          <w:color w:val="auto"/>
        </w:rPr>
        <w:t>chatbot, Ava, handled approximately 50% of user interactions while maintaining an impressive average CSAT score of 96% for our overall platform and 78% for our AI-powered virtual agent chatbot, Ava, which is on par with human agent performance, each for the six months ended July 31, 2025. Most importantly, we have achieved this while striving to adhere to our zero-critical-hallucination standard, which aims to ensure every interaction is accurate, reliable, and trustworthy. Looking ahead, we intend to continue expanding both our ML and Navan Cognition capabilities. This dual approach, combining the precision of ML with the autonomous reasoning of Navan Cognition, positions us to deliver increasingly sophisticated, personalized, and efficient travel solutions. We aim to leverage these advancements to further streamline workflows, enhance self-service options, and create even more value for our users through intelligent automation, ultimately helping us drive the future of travel.</w:t>
      </w:r>
    </w:p>
    <w:p>
      <w:pPr>
        <w:spacing w:after="0" w:line="88" w:lineRule="exact"/>
        <w:rPr>
          <w:sz w:val="20"/>
          <w:szCs w:val="20"/>
          <w:color w:val="auto"/>
        </w:rPr>
      </w:pPr>
    </w:p>
    <w:p>
      <w:pPr>
        <w:ind w:left="1520" w:right="1700" w:firstLine="230"/>
        <w:spacing w:after="0" w:line="277" w:lineRule="auto"/>
        <w:rPr>
          <w:sz w:val="20"/>
          <w:szCs w:val="20"/>
          <w:color w:val="auto"/>
        </w:rPr>
      </w:pPr>
      <w:r>
        <w:rPr>
          <w:rFonts w:ascii="Arial" w:cs="Arial" w:eastAsia="Arial" w:hAnsi="Arial"/>
          <w:sz w:val="12"/>
          <w:szCs w:val="12"/>
          <w:color w:val="auto"/>
        </w:rPr>
        <w:t>Navan Cognition is not just a feature, it represents the foundation of our platform. Designed with built-in safeguards and real-time oversight, it works to ensure that AI-driven actions are reliable, secure, and aligned with enterprise needs. As we continue to expand the capabilities of Navan Cognition, it serves as the infrastructure layer upon which a growing ecosystem of intelligent travel applications will be built, powering a safer, smarter, and more adaptive future for business travel.</w:t>
      </w:r>
    </w:p>
    <w:p>
      <w:pPr>
        <w:spacing w:after="0" w:line="8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Navan Native Apps and Enterprise Integrations</w:t>
      </w:r>
    </w:p>
    <w:p>
      <w:pPr>
        <w:spacing w:after="0" w:line="128" w:lineRule="exact"/>
        <w:rPr>
          <w:sz w:val="20"/>
          <w:szCs w:val="20"/>
          <w:color w:val="auto"/>
        </w:rPr>
      </w:pPr>
    </w:p>
    <w:p>
      <w:pPr>
        <w:ind w:left="1520" w:right="1760" w:firstLine="230"/>
        <w:spacing w:after="0" w:line="275" w:lineRule="auto"/>
        <w:rPr>
          <w:sz w:val="20"/>
          <w:szCs w:val="20"/>
          <w:color w:val="auto"/>
        </w:rPr>
      </w:pPr>
      <w:r>
        <w:rPr>
          <w:rFonts w:ascii="Arial" w:cs="Arial" w:eastAsia="Arial" w:hAnsi="Arial"/>
          <w:sz w:val="12"/>
          <w:szCs w:val="12"/>
          <w:color w:val="auto"/>
        </w:rPr>
        <w:t>We have developed simple and intuitive front-end experiences for travel, payments, and expense management. Users can interface with our platform through web and mobile applications, omnichannel support, and white label travel solutions. Customers can also access our platform through administrative apps or through enterprise integrations for expense management and bank or credit cards. Our apps are discrete gateways into our platform that share a common data infrastructure and remain universally synchronized. The user experience drives product use and reinforces the flywheel of our business.</w:t>
      </w:r>
    </w:p>
    <w:p>
      <w:pPr>
        <w:spacing w:after="0" w:line="85"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color w:val="auto"/>
        </w:rPr>
        <w:t>We also offer deep enterprise integrations with leading human resource information systems, enterprise resource planning systems, and financial systems, which enable real-time syncing of employee directories, expense categories, and policy controls. This seamless connection also allows customers to streamline onboarding, enforce compliance automatically, and accelerate month-end reconciliation. By embedding Navan into existing enterprise infrastructure, finance and HR teams can maintain a single source of truth across systems and significantly reduce the operational burden of manual data entry and cross-platform coordination.</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Key Benefits of Our Platform</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Why Users Love Navan</w:t>
      </w:r>
    </w:p>
    <w:p>
      <w:pPr>
        <w:spacing w:after="0" w:line="128" w:lineRule="exact"/>
        <w:rPr>
          <w:sz w:val="20"/>
          <w:szCs w:val="20"/>
          <w:color w:val="auto"/>
        </w:rPr>
      </w:pPr>
    </w:p>
    <w:p>
      <w:pPr>
        <w:ind w:left="1520" w:right="1780" w:firstLine="230"/>
        <w:spacing w:after="0" w:line="281" w:lineRule="auto"/>
        <w:rPr>
          <w:sz w:val="20"/>
          <w:szCs w:val="20"/>
          <w:color w:val="auto"/>
        </w:rPr>
      </w:pPr>
      <w:r>
        <w:rPr>
          <w:rFonts w:ascii="Arial" w:cs="Arial" w:eastAsia="Arial" w:hAnsi="Arial"/>
          <w:sz w:val="12"/>
          <w:szCs w:val="12"/>
          <w:color w:val="auto"/>
          <w:highlight w:val="white"/>
        </w:rPr>
        <w:t>We provide a true end-to-end travel, payments, and expense management platform that is built from the ground up with a relentless focus on our users. Our intuitive design, ease of use, and time-saving features create an enjoyable experience for our users that helps to drive adoption of our platform. Our users experience the following key benefits:</w:t>
      </w:r>
    </w:p>
    <w:p>
      <w:pPr>
        <w:sectPr>
          <w:pgSz w:w="11900" w:h="16840" w:orient="portrait"/>
          <w:cols w:equalWidth="0" w:num="1">
            <w:col w:w="9020"/>
          </w:cols>
          <w:pgMar w:left="1440" w:top="560" w:right="1440" w:bottom="161" w:gutter="0" w:footer="0" w:header="0"/>
        </w:sectPr>
      </w:pPr>
    </w:p>
    <w:bookmarkStart w:id="94" w:name="page95"/>
    <w:bookmarkEnd w:id="94"/>
    <w:p>
      <w:pPr>
        <w:ind w:left="1980" w:right="1680" w:hanging="228"/>
        <w:spacing w:after="0" w:line="252" w:lineRule="auto"/>
        <w:tabs>
          <w:tab w:leader="none" w:pos="1980" w:val="left"/>
        </w:tabs>
        <w:numPr>
          <w:ilvl w:val="0"/>
          <w:numId w:val="97"/>
        </w:numPr>
        <w:rPr>
          <w:rFonts w:ascii="Arial" w:cs="Arial" w:eastAsia="Arial" w:hAnsi="Arial"/>
          <w:sz w:val="12"/>
          <w:szCs w:val="12"/>
          <w:color w:val="auto"/>
        </w:rPr>
      </w:pPr>
      <w:r>
        <w:rPr>
          <w:rFonts w:ascii="Arial" w:cs="Arial" w:eastAsia="Arial" w:hAnsi="Arial"/>
          <w:sz w:val="12"/>
          <w:szCs w:val="12"/>
          <w:i w:val="1"/>
          <w:iCs w:val="1"/>
          <w:color w:val="auto"/>
        </w:rPr>
        <w:t xml:space="preserve">Highly personalized experience. </w:t>
      </w:r>
      <w:r>
        <w:rPr>
          <w:rFonts w:ascii="Arial" w:cs="Arial" w:eastAsia="Arial" w:hAnsi="Arial"/>
          <w:sz w:val="12"/>
          <w:szCs w:val="12"/>
          <w:color w:val="auto"/>
        </w:rPr>
        <w:t>Starting with booking, our AI capabilities enable us to curate</w:t>
      </w:r>
      <w:r>
        <w:rPr>
          <w:rFonts w:ascii="Arial" w:cs="Arial" w:eastAsia="Arial" w:hAnsi="Arial"/>
          <w:sz w:val="12"/>
          <w:szCs w:val="12"/>
          <w:i w:val="1"/>
          <w:iCs w:val="1"/>
          <w:color w:val="auto"/>
        </w:rPr>
        <w:t xml:space="preserve"> </w:t>
      </w:r>
      <w:r>
        <w:rPr>
          <w:rFonts w:ascii="Arial" w:cs="Arial" w:eastAsia="Arial" w:hAnsi="Arial"/>
          <w:sz w:val="12"/>
          <w:szCs w:val="12"/>
          <w:color w:val="auto"/>
        </w:rPr>
        <w:t>results based on the user’s past preferences, trips, and travel patterns that are all within a customer’s policy. During the trip, our technology offers suggestions and content informed by the user’s itinerary. Whether business travel or personal travel booked around business trips, referred to as bleisure, the more a user spends on our platform, the more we can deliver a personalized experience.</w:t>
      </w:r>
    </w:p>
    <w:p>
      <w:pPr>
        <w:spacing w:after="0" w:line="241" w:lineRule="exact"/>
        <w:rPr>
          <w:rFonts w:ascii="Arial" w:cs="Arial" w:eastAsia="Arial" w:hAnsi="Arial"/>
          <w:sz w:val="12"/>
          <w:szCs w:val="12"/>
          <w:color w:val="auto"/>
        </w:rPr>
      </w:pPr>
    </w:p>
    <w:p>
      <w:pPr>
        <w:ind w:left="1980" w:right="1800" w:hanging="228"/>
        <w:spacing w:after="0" w:line="275" w:lineRule="auto"/>
        <w:tabs>
          <w:tab w:leader="none" w:pos="1980" w:val="left"/>
        </w:tabs>
        <w:numPr>
          <w:ilvl w:val="0"/>
          <w:numId w:val="97"/>
        </w:numPr>
        <w:rPr>
          <w:rFonts w:ascii="Arial" w:cs="Arial" w:eastAsia="Arial" w:hAnsi="Arial"/>
          <w:sz w:val="12"/>
          <w:szCs w:val="12"/>
          <w:color w:val="auto"/>
        </w:rPr>
      </w:pPr>
      <w:r>
        <w:rPr>
          <w:rFonts w:ascii="Arial" w:cs="Arial" w:eastAsia="Arial" w:hAnsi="Arial"/>
          <w:sz w:val="12"/>
          <w:szCs w:val="12"/>
          <w:i w:val="1"/>
          <w:iCs w:val="1"/>
          <w:color w:val="auto"/>
        </w:rPr>
        <w:t xml:space="preserve">Centralized platform for user needs. </w:t>
      </w:r>
      <w:r>
        <w:rPr>
          <w:rFonts w:ascii="Arial" w:cs="Arial" w:eastAsia="Arial" w:hAnsi="Arial"/>
          <w:sz w:val="12"/>
          <w:szCs w:val="12"/>
          <w:color w:val="auto"/>
        </w:rPr>
        <w:t>Our platform enables users to address their travel,</w:t>
      </w:r>
      <w:r>
        <w:rPr>
          <w:rFonts w:ascii="Arial" w:cs="Arial" w:eastAsia="Arial" w:hAnsi="Arial"/>
          <w:sz w:val="12"/>
          <w:szCs w:val="12"/>
          <w:i w:val="1"/>
          <w:iCs w:val="1"/>
          <w:color w:val="auto"/>
        </w:rPr>
        <w:t xml:space="preserve"> </w:t>
      </w:r>
      <w:r>
        <w:rPr>
          <w:rFonts w:ascii="Arial" w:cs="Arial" w:eastAsia="Arial" w:hAnsi="Arial"/>
          <w:sz w:val="12"/>
          <w:szCs w:val="12"/>
          <w:color w:val="auto"/>
        </w:rPr>
        <w:t>payments, and expense management needs in a single, unified workspace. Previously, users relied on a fragmented set of point solutions that required users to toggle between multiple applications, calendars, emails, printouts, and texts. With Navan, users can find what they need all in one place, from logistics for events travel to bleisure to bespoke, white-glove VIP services, which can satisfy the complex requirements even the highest profile travelers, including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-1209040</wp:posOffset>
            </wp:positionV>
            <wp:extent cx="6732270" cy="99707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980" w:right="2000"/>
        <w:spacing w:after="0" w:line="312" w:lineRule="auto"/>
        <w:rPr>
          <w:sz w:val="20"/>
          <w:szCs w:val="20"/>
          <w:color w:val="auto"/>
        </w:rPr>
      </w:pPr>
      <w:r>
        <w:rPr>
          <w:rFonts w:ascii="Arial" w:cs="Arial" w:eastAsia="Arial" w:hAnsi="Arial"/>
          <w:sz w:val="12"/>
          <w:szCs w:val="12"/>
          <w:color w:val="auto"/>
        </w:rPr>
        <w:t>jets and police escorts. In fiscal 2025, 90% of bookings were made online or through mobile applications on our platform.</w:t>
      </w:r>
    </w:p>
    <w:p>
      <w:pPr>
        <w:spacing w:after="0" w:line="62" w:lineRule="exact"/>
        <w:rPr>
          <w:sz w:val="20"/>
          <w:szCs w:val="20"/>
          <w:color w:val="auto"/>
        </w:rPr>
      </w:pPr>
    </w:p>
    <w:p>
      <w:pPr>
        <w:ind w:left="1980" w:right="1640" w:hanging="228"/>
        <w:spacing w:after="0" w:line="271" w:lineRule="auto"/>
        <w:tabs>
          <w:tab w:leader="none" w:pos="1980" w:val="left"/>
        </w:tabs>
        <w:numPr>
          <w:ilvl w:val="0"/>
          <w:numId w:val="98"/>
        </w:numPr>
        <w:rPr>
          <w:rFonts w:ascii="Arial" w:cs="Arial" w:eastAsia="Arial" w:hAnsi="Arial"/>
          <w:sz w:val="12"/>
          <w:szCs w:val="12"/>
          <w:color w:val="auto"/>
        </w:rPr>
      </w:pPr>
      <w:r>
        <w:rPr>
          <w:rFonts w:ascii="Arial" w:cs="Arial" w:eastAsia="Arial" w:hAnsi="Arial"/>
          <w:sz w:val="12"/>
          <w:szCs w:val="12"/>
          <w:i w:val="1"/>
          <w:iCs w:val="1"/>
          <w:color w:val="auto"/>
        </w:rPr>
        <w:t xml:space="preserve">Differentiated support experience. </w:t>
      </w:r>
      <w:r>
        <w:rPr>
          <w:rFonts w:ascii="Arial" w:cs="Arial" w:eastAsia="Arial" w:hAnsi="Arial"/>
          <w:sz w:val="12"/>
          <w:szCs w:val="12"/>
          <w:color w:val="auto"/>
        </w:rPr>
        <w:t>We offer an exceptional support experience that combines our</w:t>
      </w:r>
      <w:r>
        <w:rPr>
          <w:rFonts w:ascii="Arial" w:cs="Arial" w:eastAsia="Arial" w:hAnsi="Arial"/>
          <w:sz w:val="12"/>
          <w:szCs w:val="12"/>
          <w:i w:val="1"/>
          <w:iCs w:val="1"/>
          <w:color w:val="auto"/>
        </w:rPr>
        <w:t xml:space="preserve"> </w:t>
      </w:r>
      <w:r>
        <w:rPr>
          <w:rFonts w:ascii="Arial" w:cs="Arial" w:eastAsia="Arial" w:hAnsi="Arial"/>
          <w:sz w:val="12"/>
          <w:szCs w:val="12"/>
          <w:color w:val="auto"/>
        </w:rPr>
        <w:t>self-serve support tools with 24/7 live service through chat or phone. Users can select from three different levels of support to best meet their needs, including our dedicated paid offering. Users can access our support services via chat or phone, typically connecting with a dedicated agent</w:t>
      </w:r>
    </w:p>
    <w:p>
      <w:pPr>
        <w:spacing w:after="0" w:line="1" w:lineRule="exact"/>
        <w:rPr>
          <w:sz w:val="20"/>
          <w:szCs w:val="20"/>
          <w:color w:val="auto"/>
        </w:rPr>
      </w:pPr>
    </w:p>
    <w:p>
      <w:pPr>
        <w:ind w:left="1980" w:right="1700"/>
        <w:spacing w:after="0" w:line="275" w:lineRule="auto"/>
        <w:rPr>
          <w:sz w:val="20"/>
          <w:szCs w:val="20"/>
          <w:color w:val="auto"/>
        </w:rPr>
      </w:pPr>
      <w:r>
        <w:rPr>
          <w:rFonts w:ascii="Arial" w:cs="Arial" w:eastAsia="Arial" w:hAnsi="Arial"/>
          <w:sz w:val="12"/>
          <w:szCs w:val="12"/>
          <w:color w:val="auto"/>
        </w:rPr>
        <w:t>within minutes. Increasingly, more of our support is becoming automated through our AI-powered virtual agent chatbot, Ava, which handled approximately 50% of user interactions without live agent intervention during the six months ended July 31, 2025. This allows travelers to access support efficiently and effectively and lessens the burden on customers’ administrative support teams.</w:t>
      </w:r>
    </w:p>
    <w:p>
      <w:pPr>
        <w:spacing w:after="0" w:line="236" w:lineRule="exact"/>
        <w:rPr>
          <w:sz w:val="20"/>
          <w:szCs w:val="20"/>
          <w:color w:val="auto"/>
        </w:rPr>
      </w:pPr>
    </w:p>
    <w:p>
      <w:pPr>
        <w:ind w:left="1980" w:right="1660" w:hanging="228"/>
        <w:spacing w:after="0" w:line="269" w:lineRule="auto"/>
        <w:tabs>
          <w:tab w:leader="none" w:pos="1980" w:val="left"/>
        </w:tabs>
        <w:numPr>
          <w:ilvl w:val="0"/>
          <w:numId w:val="99"/>
        </w:numPr>
        <w:rPr>
          <w:rFonts w:ascii="Arial" w:cs="Arial" w:eastAsia="Arial" w:hAnsi="Arial"/>
          <w:sz w:val="12"/>
          <w:szCs w:val="12"/>
          <w:color w:val="auto"/>
        </w:rPr>
      </w:pPr>
      <w:r>
        <w:rPr>
          <w:rFonts w:ascii="Arial" w:cs="Arial" w:eastAsia="Arial" w:hAnsi="Arial"/>
          <w:sz w:val="12"/>
          <w:szCs w:val="12"/>
          <w:i w:val="1"/>
          <w:iCs w:val="1"/>
          <w:color w:val="auto"/>
        </w:rPr>
        <w:t xml:space="preserve">Increased productivity. </w:t>
      </w:r>
      <w:r>
        <w:rPr>
          <w:rFonts w:ascii="Arial" w:cs="Arial" w:eastAsia="Arial" w:hAnsi="Arial"/>
          <w:sz w:val="12"/>
          <w:szCs w:val="12"/>
          <w:color w:val="auto"/>
        </w:rPr>
        <w:t>Designed to eliminate friction from the entire travel booking experience all</w:t>
      </w:r>
      <w:r>
        <w:rPr>
          <w:rFonts w:ascii="Arial" w:cs="Arial" w:eastAsia="Arial" w:hAnsi="Arial"/>
          <w:sz w:val="12"/>
          <w:szCs w:val="12"/>
          <w:i w:val="1"/>
          <w:iCs w:val="1"/>
          <w:color w:val="auto"/>
        </w:rPr>
        <w:t xml:space="preserve"> </w:t>
      </w:r>
      <w:r>
        <w:rPr>
          <w:rFonts w:ascii="Arial" w:cs="Arial" w:eastAsia="Arial" w:hAnsi="Arial"/>
          <w:sz w:val="12"/>
          <w:szCs w:val="12"/>
          <w:color w:val="auto"/>
        </w:rPr>
        <w:t>the way through the process of expensing the trip, our platform makes everything from booking travel to managing itineraries and making changes simple and fast. Users receive timely notifications as a trip approaches, and instead of having to spend valuable time waiting on hold and speaking to an agent, our AI-powered virtual agent chatbot, Ava, can make trip changes directly without involving a live agent. After a trip, our technology links travel bookings to</w:t>
      </w:r>
    </w:p>
    <w:p>
      <w:pPr>
        <w:spacing w:after="0" w:line="2" w:lineRule="exact"/>
        <w:rPr>
          <w:sz w:val="20"/>
          <w:szCs w:val="20"/>
          <w:color w:val="auto"/>
        </w:rPr>
      </w:pPr>
    </w:p>
    <w:p>
      <w:pPr>
        <w:ind w:left="1980" w:right="1760"/>
        <w:spacing w:after="0" w:line="292" w:lineRule="auto"/>
        <w:rPr>
          <w:sz w:val="20"/>
          <w:szCs w:val="20"/>
          <w:color w:val="auto"/>
        </w:rPr>
      </w:pPr>
      <w:r>
        <w:rPr>
          <w:rFonts w:ascii="Arial" w:cs="Arial" w:eastAsia="Arial" w:hAnsi="Arial"/>
          <w:sz w:val="12"/>
          <w:szCs w:val="12"/>
          <w:color w:val="auto"/>
        </w:rPr>
        <w:t>expenses and automates the reconciliation process. With Navan, the average time to book a trip is seven minutes, compared with 45 minutes through outside channels, according to Booking.com .</w:t>
      </w:r>
    </w:p>
    <w:p>
      <w:pPr>
        <w:spacing w:after="0" w:line="227" w:lineRule="exact"/>
        <w:rPr>
          <w:sz w:val="20"/>
          <w:szCs w:val="20"/>
          <w:color w:val="auto"/>
        </w:rPr>
      </w:pPr>
    </w:p>
    <w:p>
      <w:pPr>
        <w:ind w:left="1980" w:right="1660" w:hanging="228"/>
        <w:spacing w:after="0" w:line="273" w:lineRule="auto"/>
        <w:tabs>
          <w:tab w:leader="none" w:pos="1980" w:val="left"/>
        </w:tabs>
        <w:numPr>
          <w:ilvl w:val="0"/>
          <w:numId w:val="100"/>
        </w:numPr>
        <w:rPr>
          <w:rFonts w:ascii="Arial" w:cs="Arial" w:eastAsia="Arial" w:hAnsi="Arial"/>
          <w:sz w:val="12"/>
          <w:szCs w:val="12"/>
          <w:color w:val="auto"/>
        </w:rPr>
      </w:pPr>
      <w:r>
        <w:rPr>
          <w:rFonts w:ascii="Arial" w:cs="Arial" w:eastAsia="Arial" w:hAnsi="Arial"/>
          <w:sz w:val="12"/>
          <w:szCs w:val="12"/>
          <w:i w:val="1"/>
          <w:iCs w:val="1"/>
          <w:color w:val="auto"/>
        </w:rPr>
        <w:t xml:space="preserve">Ability to share in rewards. </w:t>
      </w:r>
      <w:r>
        <w:rPr>
          <w:rFonts w:ascii="Arial" w:cs="Arial" w:eastAsia="Arial" w:hAnsi="Arial"/>
          <w:sz w:val="12"/>
          <w:szCs w:val="12"/>
          <w:color w:val="auto"/>
        </w:rPr>
        <w:t>Our rewards program allows users to share in a portion of the savings</w:t>
      </w:r>
      <w:r>
        <w:rPr>
          <w:rFonts w:ascii="Arial" w:cs="Arial" w:eastAsia="Arial" w:hAnsi="Arial"/>
          <w:sz w:val="12"/>
          <w:szCs w:val="12"/>
          <w:i w:val="1"/>
          <w:iCs w:val="1"/>
          <w:color w:val="auto"/>
        </w:rPr>
        <w:t xml:space="preserve"> </w:t>
      </w:r>
      <w:r>
        <w:rPr>
          <w:rFonts w:ascii="Arial" w:cs="Arial" w:eastAsia="Arial" w:hAnsi="Arial"/>
          <w:sz w:val="12"/>
          <w:szCs w:val="12"/>
          <w:color w:val="auto"/>
        </w:rPr>
        <w:t>realized by their businesses. Traditionally, users are not incentivized to save money on travel and are only given a blanket maximum of what they can spend. Instead, our platform gives users a “price to beat,” which is a median price for a particular location at a given time, and is designed to incentivize users to save money by focusing on what a booking should reasonably cost. Users can redeem rewards for personal travel, travel upgrades, or gift cards. We assume the cost of these rewards as a way to incentivize users while allowing customers to save money.</w:t>
      </w:r>
    </w:p>
    <w:p>
      <w:pPr>
        <w:spacing w:after="0" w:line="87" w:lineRule="exact"/>
        <w:rPr>
          <w:rFonts w:ascii="Arial" w:cs="Arial" w:eastAsia="Arial" w:hAnsi="Arial"/>
          <w:sz w:val="12"/>
          <w:szCs w:val="12"/>
          <w:color w:val="auto"/>
        </w:rPr>
      </w:pPr>
    </w:p>
    <w:p>
      <w:pPr>
        <w:ind w:left="1980" w:right="1780" w:hanging="228"/>
        <w:spacing w:after="0" w:line="277" w:lineRule="auto"/>
        <w:tabs>
          <w:tab w:leader="none" w:pos="1980" w:val="left"/>
        </w:tabs>
        <w:numPr>
          <w:ilvl w:val="0"/>
          <w:numId w:val="100"/>
        </w:numPr>
        <w:rPr>
          <w:rFonts w:ascii="Arial" w:cs="Arial" w:eastAsia="Arial" w:hAnsi="Arial"/>
          <w:sz w:val="12"/>
          <w:szCs w:val="12"/>
          <w:color w:val="auto"/>
        </w:rPr>
      </w:pPr>
      <w:r>
        <w:rPr>
          <w:rFonts w:ascii="Arial" w:cs="Arial" w:eastAsia="Arial" w:hAnsi="Arial"/>
          <w:sz w:val="12"/>
          <w:szCs w:val="12"/>
          <w:i w:val="1"/>
          <w:iCs w:val="1"/>
          <w:color w:val="auto"/>
        </w:rPr>
        <w:t xml:space="preserve">Real-time visibility into expenses and faster reimbursement process. </w:t>
      </w:r>
      <w:r>
        <w:rPr>
          <w:rFonts w:ascii="Arial" w:cs="Arial" w:eastAsia="Arial" w:hAnsi="Arial"/>
          <w:sz w:val="12"/>
          <w:szCs w:val="12"/>
          <w:color w:val="auto"/>
        </w:rPr>
        <w:t>Users are able to track</w:t>
      </w:r>
      <w:r>
        <w:rPr>
          <w:rFonts w:ascii="Arial" w:cs="Arial" w:eastAsia="Arial" w:hAnsi="Arial"/>
          <w:sz w:val="12"/>
          <w:szCs w:val="12"/>
          <w:i w:val="1"/>
          <w:iCs w:val="1"/>
          <w:color w:val="auto"/>
        </w:rPr>
        <w:t xml:space="preserve"> </w:t>
      </w:r>
      <w:r>
        <w:rPr>
          <w:rFonts w:ascii="Arial" w:cs="Arial" w:eastAsia="Arial" w:hAnsi="Arial"/>
          <w:sz w:val="12"/>
          <w:szCs w:val="12"/>
          <w:color w:val="auto"/>
        </w:rPr>
        <w:t>expenses in real-time and can easily check spend relative to per diems. These features help increase adoption of our platform because users do not have to worry about whether they are in compliance with policies or fear being flagged out of policy after the fact. We also streamline the reimbursement process to enable users to get paid back faster.</w:t>
      </w:r>
    </w:p>
    <w:p>
      <w:pPr>
        <w:spacing w:after="0" w:line="84" w:lineRule="exact"/>
        <w:rPr>
          <w:sz w:val="20"/>
          <w:szCs w:val="20"/>
          <w:color w:val="auto"/>
        </w:rPr>
      </w:pPr>
    </w:p>
    <w:p>
      <w:pPr>
        <w:ind w:left="1520" w:right="1800" w:firstLine="230"/>
        <w:spacing w:after="0" w:line="281" w:lineRule="auto"/>
        <w:rPr>
          <w:sz w:val="20"/>
          <w:szCs w:val="20"/>
          <w:color w:val="auto"/>
        </w:rPr>
      </w:pPr>
      <w:r>
        <w:rPr>
          <w:rFonts w:ascii="Arial" w:cs="Arial" w:eastAsia="Arial" w:hAnsi="Arial"/>
          <w:sz w:val="12"/>
          <w:szCs w:val="12"/>
          <w:color w:val="auto"/>
        </w:rPr>
        <w:t>We manage complexities across travel, payments, and expense management for our users through an easy-to-use platform that has enabled us to earn an NPS of 43 for the six months ended July 31, 2025. The benefits of an enjoyable user experience, increased productivity, and higher adoption of our platform ultimately drive GBV on our platform.</w:t>
      </w:r>
    </w:p>
    <w:p>
      <w:pPr>
        <w:spacing w:after="0" w:line="8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Why Our Customers Love Navan</w:t>
      </w:r>
    </w:p>
    <w:p>
      <w:pPr>
        <w:spacing w:after="0" w:line="128" w:lineRule="exact"/>
        <w:rPr>
          <w:sz w:val="20"/>
          <w:szCs w:val="20"/>
          <w:color w:val="auto"/>
        </w:rPr>
      </w:pPr>
    </w:p>
    <w:p>
      <w:pPr>
        <w:jc w:val="both"/>
        <w:ind w:left="1520" w:right="1740" w:firstLine="230"/>
        <w:spacing w:after="0" w:line="277" w:lineRule="auto"/>
        <w:rPr>
          <w:sz w:val="20"/>
          <w:szCs w:val="20"/>
          <w:color w:val="auto"/>
        </w:rPr>
      </w:pPr>
      <w:r>
        <w:rPr>
          <w:rFonts w:ascii="Arial" w:cs="Arial" w:eastAsia="Arial" w:hAnsi="Arial"/>
          <w:sz w:val="12"/>
          <w:szCs w:val="12"/>
          <w:color w:val="auto"/>
        </w:rPr>
        <w:t>Customers struggle to enforce travel and expense policies and to gain visibility into spend without an often adversarial relationship with users. Our focus on our users and customers creates a self-reinforcing flywheel. The seamless experience we deliver to users leads to high overall adoption. High user adoption leads to better visibility and control into spend, which helps save customers money and time. Customers experience the following key benefits:</w:t>
      </w:r>
    </w:p>
    <w:p>
      <w:pPr>
        <w:spacing w:after="0" w:line="113" w:lineRule="exact"/>
        <w:rPr>
          <w:sz w:val="20"/>
          <w:szCs w:val="20"/>
          <w:color w:val="auto"/>
        </w:rPr>
      </w:pPr>
    </w:p>
    <w:p>
      <w:pPr>
        <w:ind w:left="1980" w:right="1660" w:hanging="228"/>
        <w:spacing w:after="0" w:line="277" w:lineRule="auto"/>
        <w:tabs>
          <w:tab w:leader="none" w:pos="1980" w:val="left"/>
        </w:tabs>
        <w:numPr>
          <w:ilvl w:val="0"/>
          <w:numId w:val="101"/>
        </w:numPr>
        <w:rPr>
          <w:rFonts w:ascii="Times New Roman" w:cs="Times New Roman" w:eastAsia="Times New Roman" w:hAnsi="Times New Roman"/>
          <w:sz w:val="12"/>
          <w:szCs w:val="12"/>
          <w:color w:val="auto"/>
        </w:rPr>
      </w:pPr>
      <w:r>
        <w:rPr>
          <w:rFonts w:ascii="Arial" w:cs="Arial" w:eastAsia="Arial" w:hAnsi="Arial"/>
          <w:sz w:val="12"/>
          <w:szCs w:val="12"/>
          <w:i w:val="1"/>
          <w:iCs w:val="1"/>
          <w:color w:val="auto"/>
        </w:rPr>
        <w:t xml:space="preserve">Cost savings and reduced administrative burden. </w:t>
      </w:r>
      <w:r>
        <w:rPr>
          <w:rFonts w:ascii="Arial" w:cs="Arial" w:eastAsia="Arial" w:hAnsi="Arial"/>
          <w:sz w:val="12"/>
          <w:szCs w:val="12"/>
          <w:color w:val="auto"/>
        </w:rPr>
        <w:t>Cost savings from automation and operational</w:t>
      </w:r>
      <w:r>
        <w:rPr>
          <w:rFonts w:ascii="Arial" w:cs="Arial" w:eastAsia="Arial" w:hAnsi="Arial"/>
          <w:sz w:val="12"/>
          <w:szCs w:val="12"/>
          <w:i w:val="1"/>
          <w:iCs w:val="1"/>
          <w:color w:val="auto"/>
        </w:rPr>
        <w:t xml:space="preserve"> </w:t>
      </w:r>
      <w:r>
        <w:rPr>
          <w:rFonts w:ascii="Arial" w:cs="Arial" w:eastAsia="Arial" w:hAnsi="Arial"/>
          <w:sz w:val="12"/>
          <w:szCs w:val="12"/>
          <w:color w:val="auto"/>
        </w:rPr>
        <w:t>improvements significantly reduce administrative burden and enable customers to close their books faster. Cost optimization also comes from the rewards program and price to beat algorithm that incentivizes users to book lower rates. Our inventory also allows us to drive low rates through volume-based discounts with suppliers, our access to LCCs, and our direct connections with</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1980" w:right="1680"/>
        <w:spacing w:after="0" w:line="271" w:lineRule="auto"/>
        <w:rPr>
          <w:sz w:val="20"/>
          <w:szCs w:val="20"/>
          <w:color w:val="auto"/>
        </w:rPr>
      </w:pPr>
      <w:r>
        <w:rPr>
          <w:rFonts w:ascii="Arial" w:cs="Arial" w:eastAsia="Arial" w:hAnsi="Arial"/>
          <w:sz w:val="12"/>
          <w:szCs w:val="12"/>
          <w:color w:val="auto"/>
        </w:rPr>
        <w:t>suppliers. Our direct partnerships with suppliers enable us to provide customers with timely delivery of new offers and real-time pricing, which are difficult to match. At the same time, our platform provides automated control and compliance with customer T&amp;E policies, allowing for dynamic adjustments based on changing conditions, segmentation of travelers into policy buckets, and optimization for cost savings while ensuring policy adherence. In fiscal 2025, customers using our platform realized median savings of approximately 15% on travel compared to their budgeted travel spend, with certain customers saving as much as 25%. We believe use of our platform also helps customers unlock greater value through time savings and reduced overhead, delivering a step change in total T&amp;E efficiency. Given how large expenditures typically are at companies, this represents significant potential cost savings.</w:t>
      </w:r>
    </w:p>
    <w:p>
      <w:pPr>
        <w:sectPr>
          <w:pgSz w:w="11900" w:h="16840" w:orient="portrait"/>
          <w:cols w:equalWidth="0" w:num="1">
            <w:col w:w="9020"/>
          </w:cols>
          <w:pgMar w:left="1440" w:top="560" w:right="1440" w:bottom="72" w:gutter="0" w:footer="0" w:header="0"/>
        </w:sectPr>
      </w:pPr>
    </w:p>
    <w:bookmarkStart w:id="95" w:name="page96"/>
    <w:bookmarkEnd w:id="95"/>
    <w:p>
      <w:pPr>
        <w:ind w:left="1980" w:right="1640" w:hanging="228"/>
        <w:spacing w:after="0" w:line="271" w:lineRule="auto"/>
        <w:tabs>
          <w:tab w:leader="none" w:pos="1980" w:val="left"/>
        </w:tabs>
        <w:numPr>
          <w:ilvl w:val="0"/>
          <w:numId w:val="102"/>
        </w:numPr>
        <w:rPr>
          <w:rFonts w:ascii="Arial" w:cs="Arial" w:eastAsia="Arial" w:hAnsi="Arial"/>
          <w:sz w:val="12"/>
          <w:szCs w:val="12"/>
          <w:color w:val="auto"/>
        </w:rPr>
      </w:pPr>
      <w:r>
        <w:rPr>
          <w:rFonts w:ascii="Arial" w:cs="Arial" w:eastAsia="Arial" w:hAnsi="Arial"/>
          <w:sz w:val="12"/>
          <w:szCs w:val="12"/>
          <w:i w:val="1"/>
          <w:iCs w:val="1"/>
          <w:color w:val="auto"/>
        </w:rPr>
        <w:t xml:space="preserve">Unified platform experience. </w:t>
      </w:r>
      <w:r>
        <w:rPr>
          <w:rFonts w:ascii="Arial" w:cs="Arial" w:eastAsia="Arial" w:hAnsi="Arial"/>
          <w:sz w:val="12"/>
          <w:szCs w:val="12"/>
          <w:color w:val="auto"/>
        </w:rPr>
        <w:t>Our platform is built for speed, automation, and ease of use, offering</w:t>
      </w:r>
      <w:r>
        <w:rPr>
          <w:rFonts w:ascii="Arial" w:cs="Arial" w:eastAsia="Arial" w:hAnsi="Arial"/>
          <w:sz w:val="12"/>
          <w:szCs w:val="12"/>
          <w:i w:val="1"/>
          <w:iCs w:val="1"/>
          <w:color w:val="auto"/>
        </w:rPr>
        <w:t xml:space="preserve"> </w:t>
      </w:r>
      <w:r>
        <w:rPr>
          <w:rFonts w:ascii="Arial" w:cs="Arial" w:eastAsia="Arial" w:hAnsi="Arial"/>
          <w:sz w:val="12"/>
          <w:szCs w:val="12"/>
          <w:color w:val="auto"/>
        </w:rPr>
        <w:t>customers a seamless onboarding experience and fast time-to-value. Our intuitive interface and dedicated customer success teams simplify adoption across companies, while automation powers everything from policy enforcement to expense reporting, reducing manual workflows and administrative burden. Customers have access to support on both desktop and mobile to enable platform utilization whenever needed. Additionally, flexible payment options through Navan Connect and our partnerships give customers the ability to choose their preferred mechanisms, lowering friction and promoting platform adoption across teams. These integrations make our platform intuitive and delightful to both travelers and administrators alike to improve the T&amp;E experience.</w:t>
      </w:r>
    </w:p>
    <w:p>
      <w:pPr>
        <w:spacing w:after="0" w:line="245" w:lineRule="exact"/>
        <w:rPr>
          <w:rFonts w:ascii="Arial" w:cs="Arial" w:eastAsia="Arial" w:hAnsi="Arial"/>
          <w:sz w:val="12"/>
          <w:szCs w:val="12"/>
          <w:color w:val="auto"/>
        </w:rPr>
      </w:pPr>
    </w:p>
    <w:p>
      <w:pPr>
        <w:ind w:left="1980" w:right="1680" w:hanging="228"/>
        <w:spacing w:after="0" w:line="274" w:lineRule="auto"/>
        <w:tabs>
          <w:tab w:leader="none" w:pos="1980" w:val="left"/>
        </w:tabs>
        <w:numPr>
          <w:ilvl w:val="0"/>
          <w:numId w:val="102"/>
        </w:numPr>
        <w:rPr>
          <w:rFonts w:ascii="Arial" w:cs="Arial" w:eastAsia="Arial" w:hAnsi="Arial"/>
          <w:sz w:val="12"/>
          <w:szCs w:val="12"/>
          <w:color w:val="auto"/>
        </w:rPr>
      </w:pPr>
      <w:r>
        <w:rPr>
          <w:rFonts w:ascii="Arial" w:cs="Arial" w:eastAsia="Arial" w:hAnsi="Arial"/>
          <w:sz w:val="12"/>
          <w:szCs w:val="12"/>
          <w:i w:val="1"/>
          <w:iCs w:val="1"/>
          <w:color w:val="auto"/>
        </w:rPr>
        <w:t xml:space="preserve">Increased user adoption of our platform for all travel, payments, and expense management needs. </w:t>
      </w:r>
      <w:r>
        <w:rPr>
          <w:rFonts w:ascii="Arial" w:cs="Arial" w:eastAsia="Arial" w:hAnsi="Arial"/>
          <w:sz w:val="12"/>
          <w:szCs w:val="12"/>
          <w:color w:val="auto"/>
        </w:rPr>
        <w:t>We designed our platform to eliminate the need for users to book off platform. By enabling</w:t>
      </w:r>
      <w:r>
        <w:rPr>
          <w:rFonts w:ascii="Arial" w:cs="Arial" w:eastAsia="Arial" w:hAnsi="Arial"/>
          <w:sz w:val="12"/>
          <w:szCs w:val="12"/>
          <w:i w:val="1"/>
          <w:iCs w:val="1"/>
          <w:color w:val="auto"/>
        </w:rPr>
        <w:t xml:space="preserve"> </w:t>
      </w:r>
      <w:r>
        <w:rPr>
          <w:rFonts w:ascii="Arial" w:cs="Arial" w:eastAsia="Arial" w:hAnsi="Arial"/>
          <w:sz w:val="12"/>
          <w:szCs w:val="12"/>
          <w:color w:val="auto"/>
        </w:rPr>
        <w:t>customers to ramp faster and incentivizing users to increase spend on our platform, we create visibility and cost savings for customers. We also allow companies to maintain their duty of care for users by providing critical travel alerts or locating and assisting travelers during emergencies, such as natural disasters or geopolitical crises.</w:t>
      </w:r>
    </w:p>
    <w:p>
      <w:pPr>
        <w:spacing w:after="0" w:line="86" w:lineRule="exact"/>
        <w:rPr>
          <w:rFonts w:ascii="Arial" w:cs="Arial" w:eastAsia="Arial" w:hAnsi="Arial"/>
          <w:sz w:val="12"/>
          <w:szCs w:val="12"/>
          <w:color w:val="auto"/>
        </w:rPr>
      </w:pPr>
    </w:p>
    <w:p>
      <w:pPr>
        <w:ind w:left="1980" w:right="1640" w:hanging="228"/>
        <w:spacing w:after="0" w:line="275" w:lineRule="auto"/>
        <w:tabs>
          <w:tab w:leader="none" w:pos="1980" w:val="left"/>
        </w:tabs>
        <w:numPr>
          <w:ilvl w:val="0"/>
          <w:numId w:val="102"/>
        </w:numPr>
        <w:rPr>
          <w:rFonts w:ascii="Arial" w:cs="Arial" w:eastAsia="Arial" w:hAnsi="Arial"/>
          <w:sz w:val="12"/>
          <w:szCs w:val="12"/>
          <w:color w:val="auto"/>
        </w:rPr>
      </w:pPr>
      <w:r>
        <w:rPr>
          <w:rFonts w:ascii="Arial" w:cs="Arial" w:eastAsia="Arial" w:hAnsi="Arial"/>
          <w:sz w:val="12"/>
          <w:szCs w:val="12"/>
          <w:i w:val="1"/>
          <w:iCs w:val="1"/>
          <w:color w:val="auto"/>
        </w:rPr>
        <w:t xml:space="preserve">Real-time visibility into spend trends and ability to forecast costs. </w:t>
      </w:r>
      <w:r>
        <w:rPr>
          <w:rFonts w:ascii="Arial" w:cs="Arial" w:eastAsia="Arial" w:hAnsi="Arial"/>
          <w:sz w:val="12"/>
          <w:szCs w:val="12"/>
          <w:color w:val="auto"/>
        </w:rPr>
        <w:t>As users book more and more</w:t>
      </w:r>
      <w:r>
        <w:rPr>
          <w:rFonts w:ascii="Arial" w:cs="Arial" w:eastAsia="Arial" w:hAnsi="Arial"/>
          <w:sz w:val="12"/>
          <w:szCs w:val="12"/>
          <w:i w:val="1"/>
          <w:iCs w:val="1"/>
          <w:color w:val="auto"/>
        </w:rPr>
        <w:t xml:space="preserve"> </w:t>
      </w:r>
      <w:r>
        <w:rPr>
          <w:rFonts w:ascii="Arial" w:cs="Arial" w:eastAsia="Arial" w:hAnsi="Arial"/>
          <w:sz w:val="12"/>
          <w:szCs w:val="12"/>
          <w:color w:val="auto"/>
        </w:rPr>
        <w:t>travel through our platform, finance teams gain access to granular, real-time data that helps them make informed decisions about current and future spend. Our dashboards include company-specific benchmarks and trend analysis across trips and travelers, enabling visibility into total and per-user spend in real-time. These reporting capabilities support proactive budgeting, save company cost, improve forecasting accuracy, and streamline reporting workflows.</w:t>
      </w:r>
    </w:p>
    <w:p>
      <w:pPr>
        <w:spacing w:after="0" w:line="84" w:lineRule="exact"/>
        <w:rPr>
          <w:rFonts w:ascii="Arial" w:cs="Arial" w:eastAsia="Arial" w:hAnsi="Arial"/>
          <w:sz w:val="12"/>
          <w:szCs w:val="12"/>
          <w:color w:val="auto"/>
        </w:rPr>
      </w:pPr>
    </w:p>
    <w:p>
      <w:pPr>
        <w:ind w:left="1980" w:right="1680" w:hanging="228"/>
        <w:spacing w:after="0" w:line="272" w:lineRule="auto"/>
        <w:tabs>
          <w:tab w:leader="none" w:pos="1980" w:val="left"/>
        </w:tabs>
        <w:numPr>
          <w:ilvl w:val="0"/>
          <w:numId w:val="102"/>
        </w:numPr>
        <w:rPr>
          <w:rFonts w:ascii="Arial" w:cs="Arial" w:eastAsia="Arial" w:hAnsi="Arial"/>
          <w:sz w:val="12"/>
          <w:szCs w:val="12"/>
          <w:color w:val="auto"/>
        </w:rPr>
      </w:pPr>
      <w:r>
        <w:rPr>
          <w:rFonts w:ascii="Arial" w:cs="Arial" w:eastAsia="Arial" w:hAnsi="Arial"/>
          <w:sz w:val="12"/>
          <w:szCs w:val="12"/>
          <w:i w:val="1"/>
          <w:iCs w:val="1"/>
          <w:color w:val="auto"/>
        </w:rPr>
        <w:t xml:space="preserve">Automated expense management. </w:t>
      </w:r>
      <w:r>
        <w:rPr>
          <w:rFonts w:ascii="Arial" w:cs="Arial" w:eastAsia="Arial" w:hAnsi="Arial"/>
          <w:sz w:val="12"/>
          <w:szCs w:val="12"/>
          <w:color w:val="auto"/>
        </w:rPr>
        <w:t>Navan automates the entire expense workflow, from booking</w:t>
      </w:r>
      <w:r>
        <w:rPr>
          <w:rFonts w:ascii="Arial" w:cs="Arial" w:eastAsia="Arial" w:hAnsi="Arial"/>
          <w:sz w:val="12"/>
          <w:szCs w:val="12"/>
          <w:i w:val="1"/>
          <w:iCs w:val="1"/>
          <w:color w:val="auto"/>
        </w:rPr>
        <w:t xml:space="preserve"> </w:t>
      </w:r>
      <w:r>
        <w:rPr>
          <w:rFonts w:ascii="Arial" w:cs="Arial" w:eastAsia="Arial" w:hAnsi="Arial"/>
          <w:sz w:val="12"/>
          <w:szCs w:val="12"/>
          <w:color w:val="auto"/>
        </w:rPr>
        <w:t>to reconciliation, aiming to eliminate the need for employees to file a manual expense report. Virtual and physical cards are integrated directly into the platform, enabling real-time tracking, automated receipt matching, and policy enforcement at the point of spend. This helps to eliminate the need for employees to front personal money, chase down receipts, or fill out forms, while giving finance teams real-time visibility into spend, faster month-end close, and direct ERP integrations. Budgets are automatically routed to the correct owners, helping companies track their return on investment on T&amp;E relative to sales, projects, and departmental goals with a simplicity and precision that legacy systems could not deliver.</w:t>
      </w:r>
    </w:p>
    <w:p>
      <w:pPr>
        <w:spacing w:after="0" w:line="85" w:lineRule="exact"/>
        <w:rPr>
          <w:rFonts w:ascii="Arial" w:cs="Arial" w:eastAsia="Arial" w:hAnsi="Arial"/>
          <w:sz w:val="12"/>
          <w:szCs w:val="12"/>
          <w:color w:val="auto"/>
        </w:rPr>
      </w:pPr>
    </w:p>
    <w:p>
      <w:pPr>
        <w:ind w:left="1980" w:hanging="228"/>
        <w:spacing w:after="0"/>
        <w:tabs>
          <w:tab w:leader="none" w:pos="1980" w:val="left"/>
        </w:tabs>
        <w:numPr>
          <w:ilvl w:val="0"/>
          <w:numId w:val="102"/>
        </w:numPr>
        <w:rPr>
          <w:rFonts w:ascii="Arial" w:cs="Arial" w:eastAsia="Arial" w:hAnsi="Arial"/>
          <w:sz w:val="12"/>
          <w:szCs w:val="12"/>
          <w:color w:val="auto"/>
        </w:rPr>
      </w:pPr>
      <w:r>
        <w:rPr>
          <w:rFonts w:ascii="Arial" w:cs="Arial" w:eastAsia="Arial" w:hAnsi="Arial"/>
          <w:sz w:val="12"/>
          <w:szCs w:val="12"/>
          <w:i w:val="1"/>
          <w:iCs w:val="1"/>
          <w:color w:val="auto"/>
        </w:rPr>
        <w:t xml:space="preserve">Deepest range of content on the market.  </w:t>
      </w:r>
      <w:r>
        <w:rPr>
          <w:rFonts w:ascii="Arial" w:cs="Arial" w:eastAsia="Arial" w:hAnsi="Arial"/>
          <w:sz w:val="12"/>
          <w:szCs w:val="12"/>
          <w:color w:val="auto"/>
        </w:rPr>
        <w:t>Navan has direct connections and integrations with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-3386455</wp:posOffset>
            </wp:positionV>
            <wp:extent cx="6732270" cy="99707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7" w:lineRule="exact"/>
        <w:rPr>
          <w:sz w:val="20"/>
          <w:szCs w:val="20"/>
          <w:color w:val="auto"/>
        </w:rPr>
      </w:pPr>
    </w:p>
    <w:p>
      <w:pPr>
        <w:ind w:left="1980" w:right="1700"/>
        <w:spacing w:after="0" w:line="272" w:lineRule="auto"/>
        <w:rPr>
          <w:sz w:val="20"/>
          <w:szCs w:val="20"/>
          <w:color w:val="auto"/>
        </w:rPr>
      </w:pPr>
      <w:r>
        <w:rPr>
          <w:rFonts w:ascii="Arial" w:cs="Arial" w:eastAsia="Arial" w:hAnsi="Arial"/>
          <w:sz w:val="12"/>
          <w:szCs w:val="12"/>
          <w:color w:val="auto"/>
        </w:rPr>
        <w:t xml:space="preserve">600 airlines via GDSs, NDC, and LCCs and over two million lodging properties. Navan </w:t>
      </w:r>
      <w:r>
        <w:rPr>
          <w:rFonts w:ascii="Arial" w:cs="Arial" w:eastAsia="Arial" w:hAnsi="Arial"/>
          <w:sz w:val="12"/>
          <w:szCs w:val="12"/>
          <w:color w:val="auto"/>
          <w:highlight w:val="white"/>
        </w:rPr>
        <w:t>Lodging</w:t>
      </w:r>
      <w:r>
        <w:rPr>
          <w:rFonts w:ascii="Arial" w:cs="Arial" w:eastAsia="Arial" w:hAnsi="Arial"/>
          <w:sz w:val="12"/>
          <w:szCs w:val="12"/>
          <w:color w:val="auto"/>
        </w:rPr>
        <w:t xml:space="preserve"> </w:t>
      </w:r>
      <w:r>
        <w:rPr>
          <w:rFonts w:ascii="Arial" w:cs="Arial" w:eastAsia="Arial" w:hAnsi="Arial"/>
          <w:sz w:val="12"/>
          <w:szCs w:val="12"/>
          <w:color w:val="auto"/>
          <w:highlight w:val="white"/>
        </w:rPr>
        <w:t>Collection offers a broad range of content with premium commercial terms (through direct relationships with key properties and chains). We also offer certain private channel rates on air travel to users, highlighting key airline partners who work collaboratively in commercial partnership. These partnerships provide our customers with access to dynamic pricing and ultimately cost savings.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135</w:t>
      </w:r>
    </w:p>
    <w:p>
      <w:pPr>
        <w:sectPr>
          <w:pgSz w:w="11900" w:h="16840" w:orient="portrait"/>
          <w:cols w:equalWidth="0" w:num="1">
            <w:col w:w="9020"/>
          </w:cols>
          <w:pgMar w:left="1440" w:top="560" w:right="1440" w:bottom="1440"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Why Our Suppliers Benefit in Partnership with Navan</w:t>
      </w:r>
    </w:p>
    <w:p>
      <w:pPr>
        <w:spacing w:after="0" w:line="128" w:lineRule="exact"/>
        <w:rPr>
          <w:sz w:val="20"/>
          <w:szCs w:val="20"/>
          <w:color w:val="auto"/>
        </w:rPr>
      </w:pPr>
    </w:p>
    <w:p>
      <w:pPr>
        <w:ind w:left="1520" w:right="1780" w:firstLine="230"/>
        <w:spacing w:after="0" w:line="275" w:lineRule="auto"/>
        <w:rPr>
          <w:sz w:val="20"/>
          <w:szCs w:val="20"/>
          <w:color w:val="auto"/>
        </w:rPr>
      </w:pPr>
      <w:r>
        <w:rPr>
          <w:rFonts w:ascii="Arial" w:cs="Arial" w:eastAsia="Arial" w:hAnsi="Arial"/>
          <w:sz w:val="12"/>
          <w:szCs w:val="12"/>
          <w:color w:val="auto"/>
        </w:rPr>
        <w:t>Suppliers have often been overlooked as a key stakeholder in the travel ecosystem, as they cannot form relationships with key customers or effectively market their products and services. Our platform creates opportunities for these integral stakeholders in the travel and payments ecosystem. Suppliers appreciate tech-forward solutions which simplify the current web of TMCs, OTAs, direct booking platforms, and consumer expectations and propel the industry forward. Our global platform provides the following key benefits to our key categories of supplier partners (such as inventory suppliers and GDSs):</w:t>
      </w:r>
    </w:p>
    <w:p>
      <w:pPr>
        <w:spacing w:after="0" w:line="85" w:lineRule="exact"/>
        <w:rPr>
          <w:sz w:val="20"/>
          <w:szCs w:val="20"/>
          <w:color w:val="auto"/>
        </w:rPr>
      </w:pPr>
    </w:p>
    <w:p>
      <w:pPr>
        <w:ind w:left="1980" w:right="1740" w:hanging="228"/>
        <w:spacing w:after="0" w:line="275" w:lineRule="auto"/>
        <w:tabs>
          <w:tab w:leader="none" w:pos="1980" w:val="left"/>
        </w:tabs>
        <w:numPr>
          <w:ilvl w:val="0"/>
          <w:numId w:val="103"/>
        </w:numPr>
        <w:rPr>
          <w:rFonts w:ascii="Arial" w:cs="Arial" w:eastAsia="Arial" w:hAnsi="Arial"/>
          <w:sz w:val="12"/>
          <w:szCs w:val="12"/>
          <w:color w:val="auto"/>
        </w:rPr>
      </w:pPr>
      <w:r>
        <w:rPr>
          <w:rFonts w:ascii="Arial" w:cs="Arial" w:eastAsia="Arial" w:hAnsi="Arial"/>
          <w:sz w:val="12"/>
          <w:szCs w:val="12"/>
          <w:i w:val="1"/>
          <w:iCs w:val="1"/>
          <w:color w:val="auto"/>
        </w:rPr>
        <w:t xml:space="preserve">Direct access to high-value travelers. </w:t>
      </w:r>
      <w:r>
        <w:rPr>
          <w:rFonts w:ascii="Arial" w:cs="Arial" w:eastAsia="Arial" w:hAnsi="Arial"/>
          <w:sz w:val="12"/>
          <w:szCs w:val="12"/>
          <w:color w:val="auto"/>
        </w:rPr>
        <w:t>We give suppliers access to a large and highly engaged</w:t>
      </w:r>
      <w:r>
        <w:rPr>
          <w:rFonts w:ascii="Arial" w:cs="Arial" w:eastAsia="Arial" w:hAnsi="Arial"/>
          <w:sz w:val="12"/>
          <w:szCs w:val="12"/>
          <w:i w:val="1"/>
          <w:iCs w:val="1"/>
          <w:color w:val="auto"/>
        </w:rPr>
        <w:t xml:space="preserve"> </w:t>
      </w:r>
      <w:r>
        <w:rPr>
          <w:rFonts w:ascii="Arial" w:cs="Arial" w:eastAsia="Arial" w:hAnsi="Arial"/>
          <w:sz w:val="12"/>
          <w:szCs w:val="12"/>
          <w:color w:val="auto"/>
        </w:rPr>
        <w:t>user base of frequent travelers, who can be more difficult to reach through traditional travel channels like TMCs and OBTs. Because we manage the full booking stack, suppliers gain not only greater volume but also visibility into previously opaque demand signals. This enables them to reach premium, high-margin customers in a consistent and repeatable way, helping to drive better yield and more strategic distribution compared to fragmented legacy platforms.</w:t>
      </w:r>
    </w:p>
    <w:p>
      <w:pPr>
        <w:spacing w:after="0" w:line="84" w:lineRule="exact"/>
        <w:rPr>
          <w:rFonts w:ascii="Arial" w:cs="Arial" w:eastAsia="Arial" w:hAnsi="Arial"/>
          <w:sz w:val="12"/>
          <w:szCs w:val="12"/>
          <w:color w:val="auto"/>
        </w:rPr>
      </w:pPr>
    </w:p>
    <w:p>
      <w:pPr>
        <w:ind w:left="1980" w:right="1660" w:hanging="228"/>
        <w:spacing w:after="0" w:line="272" w:lineRule="auto"/>
        <w:tabs>
          <w:tab w:leader="none" w:pos="1980" w:val="left"/>
        </w:tabs>
        <w:numPr>
          <w:ilvl w:val="0"/>
          <w:numId w:val="103"/>
        </w:numPr>
        <w:rPr>
          <w:rFonts w:ascii="Arial" w:cs="Arial" w:eastAsia="Arial" w:hAnsi="Arial"/>
          <w:sz w:val="12"/>
          <w:szCs w:val="12"/>
          <w:color w:val="auto"/>
        </w:rPr>
      </w:pPr>
      <w:r>
        <w:rPr>
          <w:rFonts w:ascii="Arial" w:cs="Arial" w:eastAsia="Arial" w:hAnsi="Arial"/>
          <w:sz w:val="12"/>
          <w:szCs w:val="12"/>
          <w:i w:val="1"/>
          <w:iCs w:val="1"/>
          <w:color w:val="auto"/>
        </w:rPr>
        <w:t xml:space="preserve">Flexible retailing and brand control. </w:t>
      </w:r>
      <w:r>
        <w:rPr>
          <w:rFonts w:ascii="Arial" w:cs="Arial" w:eastAsia="Arial" w:hAnsi="Arial"/>
          <w:sz w:val="12"/>
          <w:szCs w:val="12"/>
          <w:color w:val="auto"/>
        </w:rPr>
        <w:t>Our ownership of both the front-end user interface and back-end technology stack gives suppliers a unique ability to retail their products exactly as they intend. Unlike traditional TMCs and OBTs that often fragment the traveler experience and slow down updates, we provide a single, integrated system where suppliers can showcase brand-forward content, control fare and ancillary pricing, and iterate on their merchandising strategy in real-time. This allows suppliers to differentiate their offerings, adjust to market dynamics, and align their retail goals with how their products are discovered and booked by end users, capabilities that are especially critical as the industry embraces modern retailing frameworks like NDC.</w:t>
      </w:r>
    </w:p>
    <w:p>
      <w:pPr>
        <w:spacing w:after="0" w:line="241" w:lineRule="exact"/>
        <w:rPr>
          <w:rFonts w:ascii="Arial" w:cs="Arial" w:eastAsia="Arial" w:hAnsi="Arial"/>
          <w:sz w:val="12"/>
          <w:szCs w:val="12"/>
          <w:color w:val="auto"/>
        </w:rPr>
      </w:pPr>
    </w:p>
    <w:p>
      <w:pPr>
        <w:ind w:left="1980" w:hanging="228"/>
        <w:spacing w:after="0"/>
        <w:tabs>
          <w:tab w:leader="none" w:pos="1980" w:val="left"/>
        </w:tabs>
        <w:numPr>
          <w:ilvl w:val="0"/>
          <w:numId w:val="103"/>
        </w:numPr>
        <w:rPr>
          <w:rFonts w:ascii="Arial" w:cs="Arial" w:eastAsia="Arial" w:hAnsi="Arial"/>
          <w:sz w:val="12"/>
          <w:szCs w:val="12"/>
          <w:color w:val="auto"/>
        </w:rPr>
      </w:pPr>
      <w:r>
        <w:rPr>
          <w:rFonts w:ascii="Arial" w:cs="Arial" w:eastAsia="Arial" w:hAnsi="Arial"/>
          <w:sz w:val="12"/>
          <w:szCs w:val="12"/>
          <w:i w:val="1"/>
          <w:iCs w:val="1"/>
          <w:color w:val="auto"/>
        </w:rPr>
        <w:t xml:space="preserve">Accelerated innovation through collaborative distribution.   </w:t>
      </w:r>
      <w:r>
        <w:rPr>
          <w:rFonts w:ascii="Arial" w:cs="Arial" w:eastAsia="Arial" w:hAnsi="Arial"/>
          <w:sz w:val="12"/>
          <w:szCs w:val="12"/>
          <w:color w:val="auto"/>
        </w:rPr>
        <w:t>We work closely with suppliers to</w:t>
      </w:r>
    </w:p>
    <w:p>
      <w:pPr>
        <w:sectPr>
          <w:pgSz w:w="11900" w:h="16840" w:orient="portrait"/>
          <w:cols w:equalWidth="0" w:num="1">
            <w:col w:w="9020"/>
          </w:cols>
          <w:pgMar w:left="1440" w:top="1440" w:right="1440" w:bottom="105" w:gutter="0" w:footer="0" w:header="0"/>
        </w:sectPr>
      </w:pPr>
    </w:p>
    <w:bookmarkStart w:id="101" w:name="page102"/>
    <w:bookmarkEnd w:id="101"/>
    <w:p>
      <w:pPr>
        <w:ind w:left="1980" w:right="1800"/>
        <w:spacing w:after="0" w:line="209" w:lineRule="auto"/>
        <w:rPr>
          <w:sz w:val="20"/>
          <w:szCs w:val="20"/>
          <w:color w:val="auto"/>
        </w:rPr>
      </w:pPr>
      <w:r>
        <w:rPr>
          <w:rFonts w:ascii="Arial" w:cs="Arial" w:eastAsia="Arial" w:hAnsi="Arial"/>
          <w:sz w:val="12"/>
          <w:szCs w:val="12"/>
          <w:color w:val="auto"/>
        </w:rPr>
        <w:t>modernize how travel products are distributed, supporting both near-term retail improvements and long-term transformation initiatives like NDC. Our NDC technology enables us to have swift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-146050</wp:posOffset>
            </wp:positionV>
            <wp:extent cx="6732270" cy="99707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980" w:right="1680"/>
        <w:spacing w:after="0" w:line="271" w:lineRule="auto"/>
        <w:rPr>
          <w:sz w:val="20"/>
          <w:szCs w:val="20"/>
          <w:color w:val="auto"/>
        </w:rPr>
      </w:pPr>
      <w:r>
        <w:rPr>
          <w:rFonts w:ascii="Arial" w:cs="Arial" w:eastAsia="Arial" w:hAnsi="Arial"/>
          <w:sz w:val="12"/>
          <w:szCs w:val="12"/>
          <w:color w:val="auto"/>
        </w:rPr>
        <w:t>access to updates to the travel distribution ecosystem and positions us as a partner to these suppliers. Our flexible architecture and deep integration capabilities allow suppliers to roll out new content formats, dynamic pricing models, loyalty logic, and upsell features faster than legacy platforms. By partnering with us, suppliers can test, launch, and evolve their offerings in a controlled and collaborative environment, unlocking speed-to-market and visibility that legacy intermediaries often cannot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144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End-to-End AI-Driven Software Platform for Travel, Payments, and Expense</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The Most Advanced Travel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520" w:right="1760" w:firstLine="230"/>
        <w:spacing w:after="0" w:line="272" w:lineRule="auto"/>
        <w:rPr>
          <w:sz w:val="20"/>
          <w:szCs w:val="20"/>
          <w:color w:val="auto"/>
        </w:rPr>
      </w:pPr>
      <w:r>
        <w:rPr>
          <w:rFonts w:ascii="Arial" w:cs="Arial" w:eastAsia="Arial" w:hAnsi="Arial"/>
          <w:sz w:val="12"/>
          <w:szCs w:val="12"/>
          <w:color w:val="auto"/>
        </w:rPr>
        <w:t>We have partnerships with over 600 airlines via GDS, NDC, and LCCs, two million individual lodging properties via leading OTAs, GDSs, and direct connections with 40 major train providers, over 40 rental car companies, and over 45 black car vendors. We connect with over 200 banks, the major credit card networks, and multiple issuing partners. This wide array of integrations and partners powers our infrastructure. See the section titled “—Our Customers, Suppliers, and Payment Partners” for more information. Our proprietary infrastructure provides customers with dynamic access to pricing and travel availability, ensuring that users always have the most accurate information at their fingertips. Navan Cloud also simplifies expense management during and after a trip through streamlined reconciliation of travel bookings.</w:t>
      </w:r>
    </w:p>
    <w:p>
      <w:pPr>
        <w:spacing w:after="0" w:line="87"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Our platform creates a powerful flywheel for all constituents</w:t>
      </w:r>
    </w:p>
    <w:p>
      <w:pPr>
        <w:spacing w:after="0" w:line="128" w:lineRule="exact"/>
        <w:rPr>
          <w:sz w:val="20"/>
          <w:szCs w:val="20"/>
          <w:color w:val="auto"/>
        </w:rPr>
      </w:pPr>
    </w:p>
    <w:p>
      <w:pPr>
        <w:ind w:left="1520" w:right="1740" w:firstLine="230"/>
        <w:spacing w:after="0" w:line="272" w:lineRule="auto"/>
        <w:rPr>
          <w:sz w:val="20"/>
          <w:szCs w:val="20"/>
          <w:color w:val="auto"/>
        </w:rPr>
      </w:pPr>
      <w:r>
        <w:rPr>
          <w:rFonts w:ascii="Arial" w:cs="Arial" w:eastAsia="Arial" w:hAnsi="Arial"/>
          <w:sz w:val="12"/>
          <w:szCs w:val="12"/>
          <w:color w:val="auto"/>
        </w:rPr>
        <w:t>The Navan platform creates a powerful flywheel effect where the user, customer, and supplier benefits reinforce each other. When frequent travelers have a positive, efficient experience and earn rewards, they are more likely to use Navan. This user satisfaction drives further adoption within their company. The increased adoption gives the customer (employer) greater visibility into spending, stronger policy control, and cost savings, making them more invested in the platform. This, in turn, attracts more suppliers who want access to our large and loyal user base. With more suppliers and inventory available, we can offer better options and competitive pricing, further enhancing the experience for frequent travelers. This virtuous cycle strengthens each flywheel, creating a robust and self-sustaining ecosystem.</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Our Market Opportunity</w:t>
      </w:r>
    </w:p>
    <w:p>
      <w:pPr>
        <w:spacing w:after="0" w:line="130" w:lineRule="exact"/>
        <w:rPr>
          <w:sz w:val="20"/>
          <w:szCs w:val="20"/>
          <w:color w:val="auto"/>
        </w:rPr>
      </w:pPr>
    </w:p>
    <w:p>
      <w:pPr>
        <w:ind w:left="1520" w:right="1720" w:firstLine="230"/>
        <w:spacing w:after="0" w:line="275" w:lineRule="auto"/>
        <w:rPr>
          <w:sz w:val="20"/>
          <w:szCs w:val="20"/>
          <w:color w:val="auto"/>
        </w:rPr>
      </w:pPr>
      <w:r>
        <w:rPr>
          <w:rFonts w:ascii="Arial" w:cs="Arial" w:eastAsia="Arial" w:hAnsi="Arial"/>
          <w:sz w:val="12"/>
          <w:szCs w:val="12"/>
          <w:color w:val="auto"/>
        </w:rPr>
        <w:t>Navan addresses a large, growing, and global total addressable market, or TAM, by providing an all-in-one software platform for customers of all sizes. Even in the face of macroeconomic uncertainty, our data suggests that companies continue to prioritize business travel. The Navan Business Travel Index, or Navan BTI, is our own proprietary indicator of the strength of the business travel economy, based on volume- and spend-based data derived from our platform. The Navan BTI indicates that business travel activity during the period from April 1, 2025 through June 30, 2025 grew at an annualized rate of 15%</w:t>
      </w:r>
    </w:p>
    <w:p>
      <w:pPr>
        <w:sectPr>
          <w:pgSz w:w="11900" w:h="16840" w:orient="portrait"/>
          <w:cols w:equalWidth="0" w:num="1">
            <w:col w:w="9020"/>
          </w:cols>
          <w:pgMar w:left="1440" w:top="560" w:right="1440" w:bottom="911" w:gutter="0" w:footer="0" w:header="0"/>
        </w:sect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145</w:t>
      </w:r>
    </w:p>
    <w:p>
      <w:pPr>
        <w:sectPr>
          <w:pgSz w:w="11900" w:h="16840" w:orient="portrait"/>
          <w:cols w:equalWidth="0" w:num="1">
            <w:col w:w="9020"/>
          </w:cols>
          <w:pgMar w:left="1440" w:top="560" w:right="1440" w:bottom="911" w:gutter="0" w:footer="0" w:header="0"/>
          <w:type w:val="continuous"/>
        </w:sectPr>
      </w:pPr>
    </w:p>
    <w:bookmarkStart w:id="102" w:name="page103"/>
    <w:bookmarkEnd w:id="102"/>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520" w:right="1700"/>
        <w:spacing w:after="0" w:line="277" w:lineRule="auto"/>
        <w:rPr>
          <w:sz w:val="20"/>
          <w:szCs w:val="20"/>
          <w:color w:val="auto"/>
        </w:rPr>
      </w:pPr>
      <w:r>
        <w:rPr>
          <w:rFonts w:ascii="Arial" w:cs="Arial" w:eastAsia="Arial" w:hAnsi="Arial"/>
          <w:sz w:val="12"/>
          <w:szCs w:val="12"/>
          <w:color w:val="auto"/>
        </w:rPr>
        <w:t>relative to the same period in 2024, while overall travel declined by 1% based on data from the U.S. Transportation Security Administration. Additionally, according to Euromonitor, 85% of surveyed businesses expect their company's travel costs to increase over the next five years. The data helps demonstrate what Navan has always believed at our core: while virtual meetings have their place, there is no replacement for face-to-face connections.</w:t>
      </w:r>
    </w:p>
    <w:p>
      <w:pPr>
        <w:spacing w:after="0" w:line="84" w:lineRule="exact"/>
        <w:rPr>
          <w:sz w:val="20"/>
          <w:szCs w:val="20"/>
          <w:color w:val="auto"/>
        </w:rPr>
      </w:pPr>
    </w:p>
    <w:p>
      <w:pPr>
        <w:ind w:left="1520" w:right="1660" w:firstLine="230"/>
        <w:spacing w:after="0" w:line="270" w:lineRule="auto"/>
        <w:rPr>
          <w:sz w:val="20"/>
          <w:szCs w:val="20"/>
          <w:color w:val="auto"/>
        </w:rPr>
      </w:pPr>
      <w:r>
        <w:rPr>
          <w:rFonts w:ascii="Arial" w:cs="Arial" w:eastAsia="Arial" w:hAnsi="Arial"/>
          <w:sz w:val="12"/>
          <w:szCs w:val="12"/>
          <w:color w:val="auto"/>
        </w:rPr>
        <w:t xml:space="preserve">Our TAM spans travel management, both managed and traditionally unmanaged, as well as expense management and payments. Legacy players in travel management estimated their market opportunity would be $1.5 trillion in total travel bookings and related spend across business and consumer travel categories in 2024. According to a Euromonitor report commissioned by us, Euromonitor estimates global business travel spend as $2.1 trillion for 2024. Euromonitor’s estimates include business travel and expense costs, gathered through business-to-business surveys, desk research, expert interviews, and the Euromonitor Passport Database. Our travel management solution spans a broader TAM than that of traditional business travel providers. Our TAM consists of managed and unmanaged, as well as meeting and events, VIP, and bleisure. </w:t>
      </w:r>
      <w:r>
        <w:rPr>
          <w:rFonts w:ascii="Arial" w:cs="Arial" w:eastAsia="Arial" w:hAnsi="Arial"/>
          <w:sz w:val="12"/>
          <w:szCs w:val="12"/>
          <w:color w:val="auto"/>
          <w:highlight w:val="white"/>
        </w:rPr>
        <w:t>We estimate the TAM for the services we offer today to be approximatel</w:t>
      </w:r>
      <w:r>
        <w:rPr>
          <w:rFonts w:ascii="Arial" w:cs="Arial" w:eastAsia="Arial" w:hAnsi="Arial"/>
          <w:sz w:val="12"/>
          <w:szCs w:val="12"/>
          <w:color w:val="auto"/>
        </w:rPr>
        <w:t xml:space="preserve"> y $185 billion globally. To estimate our total TAM, we identified four categories of market opportunities: (1) managed and unmanaged business travel management, referred to as the managed and unmanaged categories, (2) bleisure, (3) expense management, and (4) payments.</w:t>
      </w:r>
    </w:p>
    <w:p>
      <w:pPr>
        <w:spacing w:after="0" w:line="89" w:lineRule="exact"/>
        <w:rPr>
          <w:sz w:val="20"/>
          <w:szCs w:val="20"/>
          <w:color w:val="auto"/>
        </w:rPr>
      </w:pPr>
    </w:p>
    <w:p>
      <w:pPr>
        <w:ind w:left="1980" w:right="1700" w:hanging="228"/>
        <w:spacing w:after="0" w:line="272" w:lineRule="auto"/>
        <w:tabs>
          <w:tab w:leader="none" w:pos="1980" w:val="left"/>
        </w:tabs>
        <w:numPr>
          <w:ilvl w:val="0"/>
          <w:numId w:val="104"/>
        </w:numPr>
        <w:rPr>
          <w:rFonts w:ascii="Arial" w:cs="Arial" w:eastAsia="Arial" w:hAnsi="Arial"/>
          <w:sz w:val="12"/>
          <w:szCs w:val="12"/>
          <w:color w:val="auto"/>
        </w:rPr>
      </w:pPr>
      <w:r>
        <w:rPr>
          <w:rFonts w:ascii="Arial" w:cs="Arial" w:eastAsia="Arial" w:hAnsi="Arial"/>
          <w:sz w:val="12"/>
          <w:szCs w:val="12"/>
          <w:i w:val="1"/>
          <w:iCs w:val="1"/>
          <w:color w:val="auto"/>
        </w:rPr>
        <w:t xml:space="preserve">Business Travel Management. </w:t>
      </w:r>
      <w:r>
        <w:rPr>
          <w:rFonts w:ascii="Arial" w:cs="Arial" w:eastAsia="Arial" w:hAnsi="Arial"/>
          <w:sz w:val="12"/>
          <w:szCs w:val="12"/>
          <w:color w:val="auto"/>
        </w:rPr>
        <w:t>We estimate our revenue opportunity in the business travel</w:t>
      </w:r>
      <w:r>
        <w:rPr>
          <w:rFonts w:ascii="Arial" w:cs="Arial" w:eastAsia="Arial" w:hAnsi="Arial"/>
          <w:sz w:val="12"/>
          <w:szCs w:val="12"/>
          <w:i w:val="1"/>
          <w:iCs w:val="1"/>
          <w:color w:val="auto"/>
        </w:rPr>
        <w:t xml:space="preserve"> </w:t>
      </w:r>
      <w:r>
        <w:rPr>
          <w:rFonts w:ascii="Arial" w:cs="Arial" w:eastAsia="Arial" w:hAnsi="Arial"/>
          <w:sz w:val="12"/>
          <w:szCs w:val="12"/>
          <w:color w:val="auto"/>
        </w:rPr>
        <w:t>management category today to be approximately $86 billion globally across both the managed and unmanaged categories, based on our own monetization of business travel. To arrive at our revenue opportunity, we used the commissioned Euromonitor survey finding a Global Business Travel serviceable addressable market, or SAM, of $1.2 trillion travel spend as of 2024, multiplied by our usage yield of approximately 7% for fiscal 2025. Usage yield represents our ability to convert GBV into usage-based revenue. Refer to “Management’s Discussion and Analysis of Financial Condition and Results of Operations–How Our Business Works” for more information regarding usage yield.</w:t>
      </w:r>
    </w:p>
    <w:p>
      <w:pPr>
        <w:spacing w:after="0" w:line="241" w:lineRule="exact"/>
        <w:rPr>
          <w:rFonts w:ascii="Arial" w:cs="Arial" w:eastAsia="Arial" w:hAnsi="Arial"/>
          <w:sz w:val="12"/>
          <w:szCs w:val="12"/>
          <w:color w:val="auto"/>
        </w:rPr>
      </w:pPr>
    </w:p>
    <w:p>
      <w:pPr>
        <w:ind w:left="2220" w:right="1700" w:hanging="239"/>
        <w:spacing w:after="0" w:line="275" w:lineRule="auto"/>
        <w:tabs>
          <w:tab w:leader="none" w:pos="2220" w:val="left"/>
        </w:tabs>
        <w:numPr>
          <w:ilvl w:val="1"/>
          <w:numId w:val="104"/>
        </w:numPr>
        <w:rPr>
          <w:rFonts w:ascii="Arial" w:cs="Arial" w:eastAsia="Arial" w:hAnsi="Arial"/>
          <w:sz w:val="12"/>
          <w:szCs w:val="12"/>
          <w:color w:val="auto"/>
        </w:rPr>
      </w:pPr>
      <w:r>
        <w:rPr>
          <w:rFonts w:ascii="Arial" w:cs="Arial" w:eastAsia="Arial" w:hAnsi="Arial"/>
          <w:sz w:val="12"/>
          <w:szCs w:val="12"/>
          <w:i w:val="1"/>
          <w:iCs w:val="1"/>
          <w:color w:val="auto"/>
        </w:rPr>
        <w:t xml:space="preserve">Managed Opportunity. </w:t>
      </w:r>
      <w:r>
        <w:rPr>
          <w:rFonts w:ascii="Arial" w:cs="Arial" w:eastAsia="Arial" w:hAnsi="Arial"/>
          <w:sz w:val="12"/>
          <w:szCs w:val="12"/>
          <w:color w:val="auto"/>
        </w:rPr>
        <w:t>According to survey results, 35% of the business travel management</w:t>
      </w:r>
      <w:r>
        <w:rPr>
          <w:rFonts w:ascii="Arial" w:cs="Arial" w:eastAsia="Arial" w:hAnsi="Arial"/>
          <w:sz w:val="12"/>
          <w:szCs w:val="12"/>
          <w:i w:val="1"/>
          <w:iCs w:val="1"/>
          <w:color w:val="auto"/>
        </w:rPr>
        <w:t xml:space="preserve"> </w:t>
      </w:r>
      <w:r>
        <w:rPr>
          <w:rFonts w:ascii="Arial" w:cs="Arial" w:eastAsia="Arial" w:hAnsi="Arial"/>
          <w:sz w:val="12"/>
          <w:szCs w:val="12"/>
          <w:color w:val="auto"/>
        </w:rPr>
        <w:t>revenue opportunity was managed as of 2024, including both travel spend through the designated travel management system and off-platform spend that is booked outside of the designated system. Euromonitor estimates that for these companies, approximately 10% of travel is booked outside of managed systems, representing an opportunity to capture additional savings and better manage costs.</w:t>
      </w:r>
    </w:p>
    <w:p>
      <w:pPr>
        <w:spacing w:after="0" w:line="84" w:lineRule="exact"/>
        <w:rPr>
          <w:rFonts w:ascii="Arial" w:cs="Arial" w:eastAsia="Arial" w:hAnsi="Arial"/>
          <w:sz w:val="12"/>
          <w:szCs w:val="12"/>
          <w:color w:val="auto"/>
        </w:rPr>
      </w:pPr>
    </w:p>
    <w:p>
      <w:pPr>
        <w:ind w:left="2220" w:right="1680" w:hanging="239"/>
        <w:spacing w:after="0" w:line="269" w:lineRule="auto"/>
        <w:tabs>
          <w:tab w:leader="none" w:pos="2220" w:val="left"/>
        </w:tabs>
        <w:numPr>
          <w:ilvl w:val="1"/>
          <w:numId w:val="104"/>
        </w:numPr>
        <w:rPr>
          <w:rFonts w:ascii="Arial" w:cs="Arial" w:eastAsia="Arial" w:hAnsi="Arial"/>
          <w:sz w:val="12"/>
          <w:szCs w:val="12"/>
          <w:color w:val="auto"/>
        </w:rPr>
      </w:pPr>
      <w:r>
        <w:rPr>
          <w:rFonts w:ascii="Arial" w:cs="Arial" w:eastAsia="Arial" w:hAnsi="Arial"/>
          <w:sz w:val="12"/>
          <w:szCs w:val="12"/>
          <w:i w:val="1"/>
          <w:iCs w:val="1"/>
          <w:color w:val="auto"/>
        </w:rPr>
        <w:t xml:space="preserve">Unmanaged Opportunity. </w:t>
      </w:r>
      <w:r>
        <w:rPr>
          <w:rFonts w:ascii="Arial" w:cs="Arial" w:eastAsia="Arial" w:hAnsi="Arial"/>
          <w:sz w:val="12"/>
          <w:szCs w:val="12"/>
          <w:color w:val="auto"/>
        </w:rPr>
        <w:t>According to survey results, 65% of the business travel</w:t>
      </w:r>
      <w:r>
        <w:rPr>
          <w:rFonts w:ascii="Arial" w:cs="Arial" w:eastAsia="Arial" w:hAnsi="Arial"/>
          <w:sz w:val="12"/>
          <w:szCs w:val="12"/>
          <w:i w:val="1"/>
          <w:iCs w:val="1"/>
          <w:color w:val="auto"/>
        </w:rPr>
        <w:t xml:space="preserve"> </w:t>
      </w:r>
      <w:r>
        <w:rPr>
          <w:rFonts w:ascii="Arial" w:cs="Arial" w:eastAsia="Arial" w:hAnsi="Arial"/>
          <w:sz w:val="12"/>
          <w:szCs w:val="12"/>
          <w:color w:val="auto"/>
        </w:rPr>
        <w:t>management revenue opportunity was unmanaged as of 2024. The unmanaged category includes travel spend with no formal system in place to capture and monitor spend. In particular, small and medium-sized businesses, or SMBs, many of which are unmanaged, represent an attractive opportunity for us. According to Euromonitor, this segment is estimated to grow at a 7.1% annualized rate between 2024 and 2029, the fastest of any segment of the business travel market. SMBs also report one of the highest average frequencies of travel per employee. The significant portion of our TAM that is unmanaged and the anticipated increase in SMB travel budgets represent a significant greenfield opportunity for us. Historically, we have been successful in pulling traditionally unmanaged businesses into our platform, and we believe that we are positioned to continue unlocking the unmanaged portion of spend through our sales motion. These customers are driven to our platform by the streamlined experience we provide their travelers and the ease of implementation in their company. We will continue offering more self-service capabilities for unmanaged businesses to deploy our platform quickly and realize greater insights, control, and cost savings.</w:t>
      </w:r>
    </w:p>
    <w:p>
      <w:pPr>
        <w:spacing w:after="0" w:line="244" w:lineRule="exact"/>
        <w:rPr>
          <w:rFonts w:ascii="Arial" w:cs="Arial" w:eastAsia="Arial" w:hAnsi="Arial"/>
          <w:sz w:val="12"/>
          <w:szCs w:val="12"/>
          <w:color w:val="auto"/>
        </w:rPr>
      </w:pPr>
    </w:p>
    <w:p>
      <w:pPr>
        <w:ind w:left="1980" w:hanging="228"/>
        <w:spacing w:after="0"/>
        <w:tabs>
          <w:tab w:leader="none" w:pos="1980" w:val="left"/>
        </w:tabs>
        <w:numPr>
          <w:ilvl w:val="0"/>
          <w:numId w:val="104"/>
        </w:numPr>
        <w:rPr>
          <w:rFonts w:ascii="Arial" w:cs="Arial" w:eastAsia="Arial" w:hAnsi="Arial"/>
          <w:sz w:val="12"/>
          <w:szCs w:val="12"/>
          <w:color w:val="auto"/>
        </w:rPr>
      </w:pPr>
      <w:r>
        <w:rPr>
          <w:rFonts w:ascii="Arial" w:cs="Arial" w:eastAsia="Arial" w:hAnsi="Arial"/>
          <w:sz w:val="12"/>
          <w:szCs w:val="12"/>
          <w:i w:val="1"/>
          <w:iCs w:val="1"/>
          <w:color w:val="auto"/>
        </w:rPr>
        <w:t xml:space="preserve">Bleisure. </w:t>
      </w:r>
      <w:r>
        <w:rPr>
          <w:rFonts w:ascii="Arial" w:cs="Arial" w:eastAsia="Arial" w:hAnsi="Arial"/>
          <w:sz w:val="12"/>
          <w:szCs w:val="12"/>
          <w:color w:val="auto"/>
        </w:rPr>
        <w:t>We estimate our revenue opportunity in the bleisure category today to be approximately</w:t>
      </w:r>
    </w:p>
    <w:p>
      <w:pPr>
        <w:spacing w:after="0" w:line="27" w:lineRule="exact"/>
        <w:rPr>
          <w:sz w:val="20"/>
          <w:szCs w:val="20"/>
          <w:color w:val="auto"/>
        </w:rPr>
      </w:pPr>
    </w:p>
    <w:p>
      <w:pPr>
        <w:jc w:val="center"/>
        <w:ind w:right="40"/>
        <w:spacing w:after="0"/>
        <w:tabs>
          <w:tab w:leader="none" w:pos="100" w:val="left"/>
        </w:tabs>
        <w:rPr>
          <w:sz w:val="20"/>
          <w:szCs w:val="20"/>
          <w:color w:val="auto"/>
        </w:rPr>
      </w:pPr>
      <w:r>
        <w:rPr>
          <w:rFonts w:ascii="Arial" w:cs="Arial" w:eastAsia="Arial" w:hAnsi="Arial"/>
          <w:sz w:val="12"/>
          <w:szCs w:val="12"/>
          <w:color w:val="auto"/>
        </w:rPr>
        <w:t>$24 billion. According to a Euromonitor report commissioned by us,</w:t>
        <w:tab/>
        <w:t>the bleisure SAM was</w:t>
      </w:r>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146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80" w:right="1780"/>
        <w:spacing w:after="0" w:line="277" w:lineRule="auto"/>
        <w:rPr>
          <w:sz w:val="20"/>
          <w:szCs w:val="20"/>
          <w:color w:val="auto"/>
        </w:rPr>
      </w:pPr>
      <w:r>
        <w:rPr>
          <w:rFonts w:ascii="Arial" w:cs="Arial" w:eastAsia="Arial" w:hAnsi="Arial"/>
          <w:sz w:val="12"/>
          <w:szCs w:val="12"/>
          <w:color w:val="auto"/>
        </w:rPr>
        <w:t>estimated to be $324 billion in 2024, which, when multiplied by our usage yield of approximately 7% for fiscal 2025, results in a revenue opportunity of $24 billion. Euromonitor projects this category will exhibit rapid growth globally and particularly in the United States, where bleisure travel spend is forecasted to grow approximately 86% between 2024 and 2029. We currently penetrate a small portion of this category.</w:t>
      </w:r>
    </w:p>
    <w:p>
      <w:pPr>
        <w:spacing w:after="0" w:line="84" w:lineRule="exact"/>
        <w:rPr>
          <w:sz w:val="20"/>
          <w:szCs w:val="20"/>
          <w:color w:val="auto"/>
        </w:rPr>
      </w:pPr>
    </w:p>
    <w:p>
      <w:pPr>
        <w:ind w:left="1980" w:right="1680" w:hanging="228"/>
        <w:spacing w:after="0" w:line="277" w:lineRule="auto"/>
        <w:tabs>
          <w:tab w:leader="none" w:pos="1980" w:val="left"/>
        </w:tabs>
        <w:numPr>
          <w:ilvl w:val="0"/>
          <w:numId w:val="105"/>
        </w:numPr>
        <w:rPr>
          <w:rFonts w:ascii="Arial" w:cs="Arial" w:eastAsia="Arial" w:hAnsi="Arial"/>
          <w:sz w:val="12"/>
          <w:szCs w:val="12"/>
          <w:color w:val="auto"/>
        </w:rPr>
      </w:pPr>
      <w:r>
        <w:rPr>
          <w:rFonts w:ascii="Arial" w:cs="Arial" w:eastAsia="Arial" w:hAnsi="Arial"/>
          <w:sz w:val="12"/>
          <w:szCs w:val="12"/>
          <w:i w:val="1"/>
          <w:iCs w:val="1"/>
          <w:color w:val="auto"/>
        </w:rPr>
        <w:t xml:space="preserve">Expense Management. </w:t>
      </w:r>
      <w:r>
        <w:rPr>
          <w:rFonts w:ascii="Arial" w:cs="Arial" w:eastAsia="Arial" w:hAnsi="Arial"/>
          <w:sz w:val="12"/>
          <w:szCs w:val="12"/>
          <w:color w:val="auto"/>
        </w:rPr>
        <w:t>We estimate the revenue opportunity in the expense management</w:t>
      </w:r>
      <w:r>
        <w:rPr>
          <w:rFonts w:ascii="Arial" w:cs="Arial" w:eastAsia="Arial" w:hAnsi="Arial"/>
          <w:sz w:val="12"/>
          <w:szCs w:val="12"/>
          <w:i w:val="1"/>
          <w:iCs w:val="1"/>
          <w:color w:val="auto"/>
        </w:rPr>
        <w:t xml:space="preserve"> </w:t>
      </w:r>
      <w:r>
        <w:rPr>
          <w:rFonts w:ascii="Arial" w:cs="Arial" w:eastAsia="Arial" w:hAnsi="Arial"/>
          <w:sz w:val="12"/>
          <w:szCs w:val="12"/>
          <w:color w:val="auto"/>
        </w:rPr>
        <w:t>category today to be approximately $39 billion globally. Our Expense Management offering is a software-driven expense and payments management system, and we calculate the $39 billion global addressable market by multiplying the total number of small-and-medium-sized businesses, according to FactSet data, by our internal estimate of average revenue per customer.</w:t>
      </w:r>
    </w:p>
    <w:p>
      <w:pPr>
        <w:spacing w:after="0" w:line="83" w:lineRule="exact"/>
        <w:rPr>
          <w:rFonts w:ascii="Arial" w:cs="Arial" w:eastAsia="Arial" w:hAnsi="Arial"/>
          <w:sz w:val="12"/>
          <w:szCs w:val="12"/>
          <w:color w:val="auto"/>
        </w:rPr>
      </w:pPr>
    </w:p>
    <w:p>
      <w:pPr>
        <w:ind w:left="1980" w:right="1680" w:hanging="228"/>
        <w:spacing w:after="0" w:line="275" w:lineRule="auto"/>
        <w:tabs>
          <w:tab w:leader="none" w:pos="1980" w:val="left"/>
        </w:tabs>
        <w:numPr>
          <w:ilvl w:val="0"/>
          <w:numId w:val="105"/>
        </w:numPr>
        <w:rPr>
          <w:rFonts w:ascii="Arial" w:cs="Arial" w:eastAsia="Arial" w:hAnsi="Arial"/>
          <w:sz w:val="12"/>
          <w:szCs w:val="12"/>
          <w:color w:val="auto"/>
        </w:rPr>
      </w:pPr>
      <w:r>
        <w:rPr>
          <w:rFonts w:ascii="Arial" w:cs="Arial" w:eastAsia="Arial" w:hAnsi="Arial"/>
          <w:sz w:val="12"/>
          <w:szCs w:val="12"/>
          <w:i w:val="1"/>
          <w:iCs w:val="1"/>
          <w:color w:val="auto"/>
        </w:rPr>
        <w:t xml:space="preserve">Payments. </w:t>
      </w:r>
      <w:r>
        <w:rPr>
          <w:rFonts w:ascii="Arial" w:cs="Arial" w:eastAsia="Arial" w:hAnsi="Arial"/>
          <w:sz w:val="12"/>
          <w:szCs w:val="12"/>
          <w:color w:val="auto"/>
        </w:rPr>
        <w:t>We estimate the revenue opportunity in the payments category based on total</w:t>
      </w:r>
      <w:r>
        <w:rPr>
          <w:rFonts w:ascii="Arial" w:cs="Arial" w:eastAsia="Arial" w:hAnsi="Arial"/>
          <w:sz w:val="12"/>
          <w:szCs w:val="12"/>
          <w:i w:val="1"/>
          <w:iCs w:val="1"/>
          <w:color w:val="auto"/>
        </w:rPr>
        <w:t xml:space="preserve"> </w:t>
      </w:r>
      <w:r>
        <w:rPr>
          <w:rFonts w:ascii="Arial" w:cs="Arial" w:eastAsia="Arial" w:hAnsi="Arial"/>
          <w:sz w:val="12"/>
          <w:szCs w:val="12"/>
          <w:color w:val="auto"/>
        </w:rPr>
        <w:t>spending to be approximately $37 billion for fiscal 2025 globally. According to Euromonitor, commercial charge and credit card spend is estimated to be $3.1 trillion by the end of 2025. To calculate our addressable market in the payments category, we multiplied the total spend by our internal estimate of net interchange. We believe we have significant room to grow our relationship with partners and expand in the corporate card market opportunity.</w:t>
      </w:r>
    </w:p>
    <w:p>
      <w:pPr>
        <w:spacing w:after="0" w:line="85"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Our Growth Strategies</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Key elements of our growth strategy include the following:</w:t>
      </w:r>
    </w:p>
    <w:p>
      <w:pPr>
        <w:spacing w:after="0" w:line="128" w:lineRule="exact"/>
        <w:rPr>
          <w:sz w:val="20"/>
          <w:szCs w:val="20"/>
          <w:color w:val="auto"/>
        </w:rPr>
      </w:pPr>
    </w:p>
    <w:p>
      <w:pPr>
        <w:ind w:left="1520" w:right="1740" w:firstLine="230"/>
        <w:spacing w:after="0" w:line="271" w:lineRule="auto"/>
        <w:rPr>
          <w:sz w:val="20"/>
          <w:szCs w:val="20"/>
          <w:color w:val="auto"/>
        </w:rPr>
      </w:pPr>
      <w:r>
        <w:rPr>
          <w:rFonts w:ascii="Arial" w:cs="Arial" w:eastAsia="Arial" w:hAnsi="Arial"/>
          <w:sz w:val="12"/>
          <w:szCs w:val="12"/>
          <w:b w:val="1"/>
          <w:bCs w:val="1"/>
          <w:i w:val="1"/>
          <w:iCs w:val="1"/>
          <w:color w:val="auto"/>
        </w:rPr>
        <w:t xml:space="preserve">Add new customers to the Navan platform: </w:t>
      </w:r>
      <w:r>
        <w:rPr>
          <w:rFonts w:ascii="Arial" w:cs="Arial" w:eastAsia="Arial" w:hAnsi="Arial"/>
          <w:sz w:val="12"/>
          <w:szCs w:val="12"/>
          <w:color w:val="auto"/>
        </w:rPr>
        <w:t>We believe the market for our solutions is large.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platform is intuitive to use and scalable for customers of all sizes across industries and geographies. We believe that customers with travel and expense systems today (managed customers) are underserved by existing vendors and frustrated by the fragmented experience that they face via these solutions. In addition to this managed category of the market, we believe there is sizable greenfield opportunity in helping manage travel and expense spend across customers who do not have a travel and expense platform today. According to Euromonitor survey results, spend across this unmanaged category represents approximately 65% of global business travel spend overall. These companies use spreadsheets or other non-purpose-built solutions and are reluctant to adopt traditional travel management solutions given the high costs and relative complexity associated with legacy systems. We</w:t>
      </w:r>
    </w:p>
    <w:p>
      <w:pPr>
        <w:sectPr>
          <w:pgSz w:w="11900" w:h="16840" w:orient="portrait"/>
          <w:cols w:equalWidth="0" w:num="1">
            <w:col w:w="9020"/>
          </w:cols>
          <w:pgMar w:left="1440" w:top="560" w:right="1440" w:bottom="0" w:gutter="0" w:footer="0" w:header="0"/>
        </w:sectPr>
      </w:pPr>
    </w:p>
    <w:bookmarkStart w:id="103" w:name="page104"/>
    <w:bookmarkEnd w:id="103"/>
    <w:p>
      <w:pPr>
        <w:ind w:left="1520" w:right="1840"/>
        <w:spacing w:after="0" w:line="289" w:lineRule="auto"/>
        <w:rPr>
          <w:sz w:val="20"/>
          <w:szCs w:val="20"/>
          <w:color w:val="auto"/>
        </w:rPr>
      </w:pPr>
      <w:r>
        <w:rPr>
          <w:rFonts w:ascii="Arial" w:cs="Arial" w:eastAsia="Arial" w:hAnsi="Arial"/>
          <w:sz w:val="12"/>
          <w:szCs w:val="12"/>
          <w:color w:val="auto"/>
        </w:rPr>
        <w:t>believe our end-to-end, intuitive, and easy to implement solution is well positioned to meet the needs of both the managed and unmanaged categories, and we have successfully grown to have over 10,000 active customers as of January 31, 2025 across these categories via two primary strategies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-309880</wp:posOffset>
            </wp:positionV>
            <wp:extent cx="6732270" cy="99707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56" w:lineRule="exact"/>
        <w:rPr>
          <w:sz w:val="20"/>
          <w:szCs w:val="20"/>
          <w:color w:val="auto"/>
        </w:rPr>
      </w:pPr>
    </w:p>
    <w:p>
      <w:pPr>
        <w:ind w:left="1980" w:right="1680" w:hanging="228"/>
        <w:spacing w:after="0" w:line="268" w:lineRule="auto"/>
        <w:tabs>
          <w:tab w:leader="none" w:pos="1980" w:val="left"/>
        </w:tabs>
        <w:numPr>
          <w:ilvl w:val="0"/>
          <w:numId w:val="106"/>
        </w:numPr>
        <w:rPr>
          <w:rFonts w:ascii="Arial" w:cs="Arial" w:eastAsia="Arial" w:hAnsi="Arial"/>
          <w:sz w:val="12"/>
          <w:szCs w:val="12"/>
          <w:color w:val="auto"/>
        </w:rPr>
      </w:pPr>
      <w:r>
        <w:rPr>
          <w:rFonts w:ascii="Arial" w:cs="Arial" w:eastAsia="Arial" w:hAnsi="Arial"/>
          <w:sz w:val="12"/>
          <w:szCs w:val="12"/>
          <w:i w:val="1"/>
          <w:iCs w:val="1"/>
          <w:color w:val="auto"/>
        </w:rPr>
        <w:t xml:space="preserve">Sales-Led Growth: </w:t>
      </w:r>
      <w:r>
        <w:rPr>
          <w:rFonts w:ascii="Arial" w:cs="Arial" w:eastAsia="Arial" w:hAnsi="Arial"/>
          <w:sz w:val="12"/>
          <w:szCs w:val="12"/>
          <w:color w:val="auto"/>
        </w:rPr>
        <w:t>We have historically focused our customer acquisition strategy on mid-size</w:t>
      </w:r>
      <w:r>
        <w:rPr>
          <w:rFonts w:ascii="Arial" w:cs="Arial" w:eastAsia="Arial" w:hAnsi="Arial"/>
          <w:sz w:val="12"/>
          <w:szCs w:val="12"/>
          <w:i w:val="1"/>
          <w:iCs w:val="1"/>
          <w:color w:val="auto"/>
        </w:rPr>
        <w:t xml:space="preserve"> </w:t>
      </w:r>
      <w:r>
        <w:rPr>
          <w:rFonts w:ascii="Arial" w:cs="Arial" w:eastAsia="Arial" w:hAnsi="Arial"/>
          <w:sz w:val="12"/>
          <w:szCs w:val="12"/>
          <w:color w:val="auto"/>
        </w:rPr>
        <w:t>and larger corporate customers with a direct sales-led motion via our dedicated sales team. These customers often have a travel and expense vendor or solution today, but are oftentimes frustrated by the fragmented nature of the solutions and complexity of their existing travel and expense management workflow. Alternatively, some of these customers may not have existing travel and expense solutions. In engaging with these customers, we focus our efforts on highlighting the potential for quantifiable cost savings and operating efficiencies, as well as increased travel and expense policy adherence via the adoption of our platform, while also highlighting the potential for improved productivity and engagement. We have seen significant success in deploying this approach thanks to the deeply integrated, end-to-end nature of our offering and its ease of implementation. Our platform allows customers to consolidate multiple fragmented systems into a single solution that streamlines travel and expense management across their business. Additionally, our platform integrates seamlessly with existing enterprise infrastructure, including SSO, HRIS, and ERP systems, enabling faster customer onboarding and minimizing business disruption and cost during rollout for our customers. As we have continued to engage with and embed ourselves with our customers, we have seen increasing engagement at the CFO and CXO (chief experience officer) levels across customers as a part of their ongoing business transformation efforts, with these executives often viewing our solution as a key lever for</w:t>
      </w:r>
    </w:p>
    <w:p>
      <w:pPr>
        <w:spacing w:after="0" w:line="327"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147</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80" w:right="2220"/>
        <w:spacing w:after="0" w:line="312" w:lineRule="auto"/>
        <w:rPr>
          <w:sz w:val="20"/>
          <w:szCs w:val="20"/>
          <w:color w:val="auto"/>
        </w:rPr>
      </w:pPr>
      <w:r>
        <w:rPr>
          <w:rFonts w:ascii="Arial" w:cs="Arial" w:eastAsia="Arial" w:hAnsi="Arial"/>
          <w:sz w:val="12"/>
          <w:szCs w:val="12"/>
          <w:color w:val="auto"/>
        </w:rPr>
        <w:t>driving continued efficiency and cost savings, as well as supporting their growth through seamlessly helping them manage the travel and expense demands of their users.</w:t>
      </w:r>
    </w:p>
    <w:p>
      <w:pPr>
        <w:spacing w:after="0" w:line="62" w:lineRule="exact"/>
        <w:rPr>
          <w:sz w:val="20"/>
          <w:szCs w:val="20"/>
          <w:color w:val="auto"/>
        </w:rPr>
      </w:pPr>
    </w:p>
    <w:p>
      <w:pPr>
        <w:ind w:left="1980" w:right="1680" w:hanging="228"/>
        <w:spacing w:after="0" w:line="268" w:lineRule="auto"/>
        <w:tabs>
          <w:tab w:leader="none" w:pos="1980" w:val="left"/>
        </w:tabs>
        <w:numPr>
          <w:ilvl w:val="0"/>
          <w:numId w:val="107"/>
        </w:numPr>
        <w:rPr>
          <w:rFonts w:ascii="Arial" w:cs="Arial" w:eastAsia="Arial" w:hAnsi="Arial"/>
          <w:sz w:val="12"/>
          <w:szCs w:val="12"/>
          <w:color w:val="auto"/>
        </w:rPr>
      </w:pPr>
      <w:r>
        <w:rPr>
          <w:rFonts w:ascii="Arial" w:cs="Arial" w:eastAsia="Arial" w:hAnsi="Arial"/>
          <w:sz w:val="12"/>
          <w:szCs w:val="12"/>
          <w:i w:val="1"/>
          <w:iCs w:val="1"/>
          <w:color w:val="auto"/>
        </w:rPr>
        <w:t xml:space="preserve">Product-Led Growth: </w:t>
      </w:r>
      <w:r>
        <w:rPr>
          <w:rFonts w:ascii="Arial" w:cs="Arial" w:eastAsia="Arial" w:hAnsi="Arial"/>
          <w:sz w:val="12"/>
          <w:szCs w:val="12"/>
          <w:color w:val="auto"/>
        </w:rPr>
        <w:t>More recently, we have begun to deploy a product-led and sales-assisted</w:t>
      </w:r>
      <w:r>
        <w:rPr>
          <w:rFonts w:ascii="Arial" w:cs="Arial" w:eastAsia="Arial" w:hAnsi="Arial"/>
          <w:sz w:val="12"/>
          <w:szCs w:val="12"/>
          <w:i w:val="1"/>
          <w:iCs w:val="1"/>
          <w:color w:val="auto"/>
        </w:rPr>
        <w:t xml:space="preserve"> </w:t>
      </w:r>
      <w:r>
        <w:rPr>
          <w:rFonts w:ascii="Arial" w:cs="Arial" w:eastAsia="Arial" w:hAnsi="Arial"/>
          <w:sz w:val="12"/>
          <w:szCs w:val="12"/>
          <w:color w:val="auto"/>
        </w:rPr>
        <w:t>motion to acquire and service customers, who have traditionally been unmanaged, meaning they have no travel and expense vendor or solution. According to survey results, 65% of the overall business travel management revenue opportunity is unmanaged, which provides us with a significant greenfield opportunity. Many of these businesses are smaller companies that are generally not serviced by traditional T&amp;E providers. These customers often have limited bandwidth across their existing teams to integrate legacy solutions which they often find to be expensive, difficult to integrate, and cumbersome to use, leading many to question the value proposition of these legacy solutions, and to choose to manually deal with the challenges of travel spend via tools such as excel spreadsheets. These customers often find Navan through word-of-mouth, or through our growth marketing efforts and are attracted to the streamlined experience we provide to travelers and the tangible cost savings potential provided by our platform. Notably, we attract these customers due to our platform’s distinct technology and scale advantage, relative to many other providers (especially certain legacy providers). To onboard these customers, we provide streamlined self-service implementation tools, which provide flexibility for these customers to engage with and roll-out our offerings at their own pace. We also offer ongoing customer support as these customers both increase adoption of our platform and scale their own operations to support further engagement across all of our offerings. While still an emerging growth motion for us, we plan on continuing to invest in our capabilities to engage with and onboard these unmanaged customers given the scale of the overall market opportunity, particularly as our platform scales and recognition for our brand continues to grow.</w:t>
      </w:r>
    </w:p>
    <w:p>
      <w:pPr>
        <w:spacing w:after="0" w:line="94" w:lineRule="exact"/>
        <w:rPr>
          <w:sz w:val="20"/>
          <w:szCs w:val="20"/>
          <w:color w:val="auto"/>
        </w:rPr>
      </w:pPr>
    </w:p>
    <w:p>
      <w:pPr>
        <w:ind w:left="1520" w:right="2020" w:firstLine="230"/>
        <w:spacing w:after="0" w:line="312" w:lineRule="auto"/>
        <w:rPr>
          <w:sz w:val="20"/>
          <w:szCs w:val="20"/>
          <w:color w:val="auto"/>
        </w:rPr>
      </w:pPr>
      <w:r>
        <w:rPr>
          <w:rFonts w:ascii="Arial" w:cs="Arial" w:eastAsia="Arial" w:hAnsi="Arial"/>
          <w:sz w:val="12"/>
          <w:szCs w:val="12"/>
          <w:b w:val="1"/>
          <w:bCs w:val="1"/>
          <w:i w:val="1"/>
          <w:iCs w:val="1"/>
          <w:color w:val="auto"/>
        </w:rPr>
        <w:t xml:space="preserve">Drive higher penetration and adoption across our existing customers. </w:t>
      </w:r>
      <w:r>
        <w:rPr>
          <w:rFonts w:ascii="Arial" w:cs="Arial" w:eastAsia="Arial" w:hAnsi="Arial"/>
          <w:sz w:val="12"/>
          <w:szCs w:val="12"/>
          <w:color w:val="auto"/>
        </w:rPr>
        <w:t>We are focused 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continuing to expand our wallet share across existing customer relationships by:</w:t>
      </w:r>
    </w:p>
    <w:p>
      <w:pPr>
        <w:spacing w:after="0" w:line="62" w:lineRule="exact"/>
        <w:rPr>
          <w:sz w:val="20"/>
          <w:szCs w:val="20"/>
          <w:color w:val="auto"/>
        </w:rPr>
      </w:pPr>
    </w:p>
    <w:p>
      <w:pPr>
        <w:ind w:left="1980" w:right="1680" w:hanging="228"/>
        <w:spacing w:after="0" w:line="270" w:lineRule="auto"/>
        <w:tabs>
          <w:tab w:leader="none" w:pos="1980" w:val="left"/>
        </w:tabs>
        <w:numPr>
          <w:ilvl w:val="0"/>
          <w:numId w:val="108"/>
        </w:numPr>
        <w:rPr>
          <w:rFonts w:ascii="Arial" w:cs="Arial" w:eastAsia="Arial" w:hAnsi="Arial"/>
          <w:sz w:val="12"/>
          <w:szCs w:val="12"/>
          <w:color w:val="auto"/>
        </w:rPr>
      </w:pPr>
      <w:r>
        <w:rPr>
          <w:rFonts w:ascii="Arial" w:cs="Arial" w:eastAsia="Arial" w:hAnsi="Arial"/>
          <w:sz w:val="12"/>
          <w:szCs w:val="12"/>
          <w:i w:val="1"/>
          <w:iCs w:val="1"/>
          <w:color w:val="auto"/>
        </w:rPr>
        <w:t xml:space="preserve">Driving cross-sell: </w:t>
      </w:r>
      <w:r>
        <w:rPr>
          <w:rFonts w:ascii="Arial" w:cs="Arial" w:eastAsia="Arial" w:hAnsi="Arial"/>
          <w:sz w:val="12"/>
          <w:szCs w:val="12"/>
          <w:color w:val="auto"/>
        </w:rPr>
        <w:t>We typically land our customers with our Travel offering. As their engagement</w:t>
      </w:r>
      <w:r>
        <w:rPr>
          <w:rFonts w:ascii="Arial" w:cs="Arial" w:eastAsia="Arial" w:hAnsi="Arial"/>
          <w:sz w:val="12"/>
          <w:szCs w:val="12"/>
          <w:i w:val="1"/>
          <w:iCs w:val="1"/>
          <w:color w:val="auto"/>
        </w:rPr>
        <w:t xml:space="preserve"> </w:t>
      </w:r>
      <w:r>
        <w:rPr>
          <w:rFonts w:ascii="Arial" w:cs="Arial" w:eastAsia="Arial" w:hAnsi="Arial"/>
          <w:sz w:val="12"/>
          <w:szCs w:val="12"/>
          <w:color w:val="auto"/>
        </w:rPr>
        <w:t>with our platform grows, our dedicated customer success teams focus on helping educate customers on the full breadth of our offerings to help them maximize efficiency and value across their travel and expense management workflows. This often includes helping customers integrate additional offerings across our platform such as Corporate Payments, Expense Management, and VIP, based on the customer’s evolving needs, especially as the customer continues to grow and scale their own business and employee base. Our Bleisure capability expands this potential by enabling employees to seamlessly add personal travel to business trips, further deepening adoption and increasing engagement. This cross-sell motion remains a significant whitespace opportunity for us to grow within our customer base. For example, as of January 31, 2025, 36% of our customers attached to three or more offerings. The incremental cross-selling opportunities above and beyond our base Travel offering provide a substantial opportunity for growth, as the holistic use of our platform provides compelling incremental value to our customers over each individual offering.</w:t>
      </w:r>
    </w:p>
    <w:p>
      <w:pPr>
        <w:spacing w:after="0" w:line="240" w:lineRule="exact"/>
        <w:rPr>
          <w:rFonts w:ascii="Arial" w:cs="Arial" w:eastAsia="Arial" w:hAnsi="Arial"/>
          <w:sz w:val="12"/>
          <w:szCs w:val="12"/>
          <w:color w:val="auto"/>
        </w:rPr>
      </w:pPr>
    </w:p>
    <w:p>
      <w:pPr>
        <w:ind w:left="1980" w:right="1680" w:hanging="228"/>
        <w:spacing w:after="0" w:line="270" w:lineRule="auto"/>
        <w:tabs>
          <w:tab w:leader="none" w:pos="1980" w:val="left"/>
        </w:tabs>
        <w:numPr>
          <w:ilvl w:val="0"/>
          <w:numId w:val="108"/>
        </w:numPr>
        <w:rPr>
          <w:rFonts w:ascii="Arial" w:cs="Arial" w:eastAsia="Arial" w:hAnsi="Arial"/>
          <w:sz w:val="12"/>
          <w:szCs w:val="12"/>
          <w:color w:val="auto"/>
        </w:rPr>
      </w:pPr>
      <w:r>
        <w:rPr>
          <w:rFonts w:ascii="Arial" w:cs="Arial" w:eastAsia="Arial" w:hAnsi="Arial"/>
          <w:sz w:val="12"/>
          <w:szCs w:val="12"/>
          <w:i w:val="1"/>
          <w:iCs w:val="1"/>
          <w:color w:val="auto"/>
        </w:rPr>
        <w:t xml:space="preserve">Increasing platform adoption: </w:t>
      </w:r>
      <w:r>
        <w:rPr>
          <w:rFonts w:ascii="Arial" w:cs="Arial" w:eastAsia="Arial" w:hAnsi="Arial"/>
          <w:sz w:val="12"/>
          <w:szCs w:val="12"/>
          <w:color w:val="auto"/>
        </w:rPr>
        <w:t>In addition to benefiting from continued underlying growth in</w:t>
      </w:r>
      <w:r>
        <w:rPr>
          <w:rFonts w:ascii="Arial" w:cs="Arial" w:eastAsia="Arial" w:hAnsi="Arial"/>
          <w:sz w:val="12"/>
          <w:szCs w:val="12"/>
          <w:i w:val="1"/>
          <w:iCs w:val="1"/>
          <w:color w:val="auto"/>
        </w:rPr>
        <w:t xml:space="preserve"> </w:t>
      </w:r>
      <w:r>
        <w:rPr>
          <w:rFonts w:ascii="Arial" w:cs="Arial" w:eastAsia="Arial" w:hAnsi="Arial"/>
          <w:sz w:val="12"/>
          <w:szCs w:val="12"/>
          <w:color w:val="auto"/>
        </w:rPr>
        <w:t>business travel spend, we also see significant opportunity for growth alongside our customers as they scale their underlying business and increase their investment in T&amp;E to support their growth. For example, as our customers grow their employee base and resulting travel and expense budgets, we typically see increased utilization across our platform, which in turn allows us to facilitate more travel bookings, meetings, and events across each of our customers, increasing spend captured across our platform. In addition to capturing growth via new travelers onboarded by our customers, we also see opportunities to increase platform adoption across the existing user base for our customers. For example, there are cohorts of users that are at times resistant to using a new travel and expense platform at the onset; this is no different across our customer base. Our customer success teams partner with our customers to isolate drivers that are leading</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148</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ectPr>
          <w:pgSz w:w="11900" w:h="16840" w:orient="portrait"/>
          <w:cols w:equalWidth="0" w:num="1">
            <w:col w:w="9020"/>
          </w:cols>
          <w:pgMar w:left="1440" w:top="560" w:right="1440" w:bottom="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to a lack of adoption and utilization, and support education to drive adoption and increased</w:t>
      </w:r>
    </w:p>
    <w:p>
      <w:pPr>
        <w:sectPr>
          <w:pgSz w:w="11900" w:h="16840" w:orient="portrait"/>
          <w:cols w:equalWidth="0" w:num="1">
            <w:col w:w="9020"/>
          </w:cols>
          <w:pgMar w:left="1440" w:top="560" w:right="1440" w:bottom="38" w:gutter="0" w:footer="0" w:header="0"/>
          <w:type w:val="continuous"/>
        </w:sectPr>
      </w:pPr>
    </w:p>
    <w:bookmarkStart w:id="104" w:name="page105"/>
    <w:bookmarkEnd w:id="104"/>
    <w:p>
      <w:pPr>
        <w:ind w:left="1980"/>
        <w:spacing w:after="0"/>
        <w:rPr>
          <w:sz w:val="20"/>
          <w:szCs w:val="20"/>
          <w:color w:val="auto"/>
        </w:rPr>
      </w:pPr>
      <w:r>
        <w:rPr>
          <w:rFonts w:ascii="Arial" w:cs="Arial" w:eastAsia="Arial" w:hAnsi="Arial"/>
          <w:sz w:val="12"/>
          <w:szCs w:val="12"/>
          <w:color w:val="auto"/>
        </w:rPr>
        <w:t>utilization to further increase travel and expense spend managed across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100" w:lineRule="exact"/>
        <w:rPr>
          <w:sz w:val="20"/>
          <w:szCs w:val="20"/>
          <w:color w:val="auto"/>
        </w:rPr>
      </w:pPr>
    </w:p>
    <w:p>
      <w:pPr>
        <w:ind w:left="1520" w:right="1660" w:firstLine="230"/>
        <w:spacing w:after="0" w:line="267" w:lineRule="auto"/>
        <w:rPr>
          <w:sz w:val="20"/>
          <w:szCs w:val="20"/>
          <w:color w:val="auto"/>
        </w:rPr>
      </w:pPr>
      <w:r>
        <w:rPr>
          <w:rFonts w:ascii="Arial" w:cs="Arial" w:eastAsia="Arial" w:hAnsi="Arial"/>
          <w:sz w:val="12"/>
          <w:szCs w:val="12"/>
          <w:b w:val="1"/>
          <w:bCs w:val="1"/>
          <w:i w:val="1"/>
          <w:iCs w:val="1"/>
          <w:color w:val="auto"/>
        </w:rPr>
        <w:t xml:space="preserve">Continue to invest in our platform and offerings. </w:t>
      </w:r>
      <w:r>
        <w:rPr>
          <w:rFonts w:ascii="Arial" w:cs="Arial" w:eastAsia="Arial" w:hAnsi="Arial"/>
          <w:sz w:val="12"/>
          <w:szCs w:val="12"/>
          <w:color w:val="auto"/>
        </w:rPr>
        <w:t>We have a strong history of technology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innovation, and we believe there is ample opportunity for growth as we continue to invest in the development of our platform capabilities to serve current and future travelers and customers. Cumulatively in fiscal 2025 and fiscal 2024, we invested approximately $255 million in R&amp;D, with a focus on expanding our offerings, introducing new features and hiring top technical talent to continue to evolve our platform. Across our platform, we see a particularly strong opportunity to continue to scale our capabilities through the continued deployment of advanced technologies to streamline the overall booking experience for travelers and drive costs down for our customers, as well as evolve our customer-facing UI to further simplify and personalize their booking and support experience. Our vision has always been to use the best technology available to create amazing experiences for our users. Our initial technology investments focused on the deployment of ML algorithms to power highly-personalized recommendations for travelers on our platform. This allows us to offer a highly curated inventory of travel options within seconds vs. the hours previously spent by travelers researching the perfect hotel and flight options, creating significant efficiencies and cost savings for travelers. This foundational ML framework has proven to be successful. For instance, our dynamic policy engine adapts corporate spend guidelines based on market trends and travel patterns, resulting in 80% of travelers in fiscal 2025 accepting our platform’s first recommended option. In addition to our ML investments, we have invested heavily in deploying Gen AI capabilities to complement our ML-based capabilities, leading to our development of Navan Cognition. Navan Cognition is our innovative proprietary AI framework that combines the precision and predictive power of ML with the reasoning capabilities of LLMs, representing a new paradigm in AI-powered travel management. On our platform, Navan Cognition enables us to create, train, deploy, and supervise specialized virtual agents that can handle complex tasks previously requiring human intervention. Our virtual agents now masterfully manage everything from booking modifications to expense tracking, communicating naturally with users while maintaining strict operational safeguards. For instance, our virtual agents can proactively contact hotels to verify payment arrangements before a traveler's arrival, ensuring a smooth check-in experience. Looking ahead, we expect to continue to invest in Navan Cognition in order to further enable us, and potentially to enable outside organizations, to create and oversee </w:t>
      </w:r>
      <w:r>
        <w:rPr>
          <w:rFonts w:ascii="Arial" w:cs="Arial" w:eastAsia="Arial" w:hAnsi="Arial"/>
          <w:sz w:val="12"/>
          <w:szCs w:val="12"/>
          <w:color w:val="auto"/>
          <w:highlight w:val="white"/>
        </w:rPr>
        <w:t>AI-powered virtual</w:t>
      </w:r>
      <w:r>
        <w:rPr>
          <w:rFonts w:ascii="Arial" w:cs="Arial" w:eastAsia="Arial" w:hAnsi="Arial"/>
          <w:sz w:val="12"/>
          <w:szCs w:val="12"/>
          <w:color w:val="auto"/>
        </w:rPr>
        <w:t xml:space="preserve"> agents with enterprise-grade reliability. We also expect to continue to invest in future product interface enhancements such as Navan Go, which is powered by Navan Cognition and designed to redefine how travelers book, modify, and manage trips on the go via their mobile devices. Navan Go capabilities range from personalized search responses to taking specific actions, such as automatically requesting a late check-in at a hotel in response to a delayed flight.</w:t>
      </w:r>
    </w:p>
    <w:p>
      <w:pPr>
        <w:spacing w:after="0" w:line="255" w:lineRule="exact"/>
        <w:rPr>
          <w:sz w:val="20"/>
          <w:szCs w:val="20"/>
          <w:color w:val="auto"/>
        </w:rPr>
      </w:pPr>
    </w:p>
    <w:p>
      <w:pPr>
        <w:ind w:left="1520" w:right="1720" w:firstLine="230"/>
        <w:spacing w:after="0" w:line="271" w:lineRule="auto"/>
        <w:rPr>
          <w:sz w:val="20"/>
          <w:szCs w:val="20"/>
          <w:color w:val="auto"/>
        </w:rPr>
      </w:pPr>
      <w:r>
        <w:rPr>
          <w:rFonts w:ascii="Arial" w:cs="Arial" w:eastAsia="Arial" w:hAnsi="Arial"/>
          <w:sz w:val="12"/>
          <w:szCs w:val="12"/>
          <w:color w:val="auto"/>
        </w:rPr>
        <w:t>Navan Cognition has also been core to helping improve the service offering of our platform without adding cost to our customers and enabling us to further optimize margins. For example, our AI-powered virtual agent chatbot, Ava, handled approximately 50% of user interactions while maintaining an impressive CSAT score of 96% for our overall platform and 78% for our virtual agent, which is on par with human agent performance, each for the six months ended July 31, 2025. Looking ahead, we expect to continue to invest in and expand both our ML and Navan Cognition capabilities. We view our AI-enabled capabilities as core to our platform and expect the continued advancement of these capabilities to enable us to continuously improve user experiences, further streamline workflows and unlock new use cases, which should in turn continue to expand the value we are able to deliver to customers as we move forward.</w:t>
      </w:r>
    </w:p>
    <w:p>
      <w:pPr>
        <w:spacing w:after="0" w:line="243"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color w:val="auto"/>
        </w:rPr>
        <w:t>In addition to making investments to grow our platform organically, we have selectively pursued inorganic growth opportunities from time to time. Our history of acquisitions for both platform expansion and the development of greater geographic expertise has demonstrated our ability to grow effectively. For example, we acquired R&amp;M, a high-end travel and meeting and events business with global clientele and market reach, in April 2021, allowing us to expand our global reach, as well as expanding our capabilities around high-end, high-touch business travel, as well as meetings and events. The internalization of these capabilities ultimately set the foundation for expanding our VIP and Meeting and Events offerings across</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149</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680"/>
        <w:spacing w:after="0" w:line="275" w:lineRule="auto"/>
        <w:rPr>
          <w:sz w:val="20"/>
          <w:szCs w:val="20"/>
          <w:color w:val="auto"/>
        </w:rPr>
      </w:pPr>
      <w:r>
        <w:rPr>
          <w:rFonts w:ascii="Arial" w:cs="Arial" w:eastAsia="Arial" w:hAnsi="Arial"/>
          <w:sz w:val="12"/>
          <w:szCs w:val="12"/>
          <w:color w:val="auto"/>
        </w:rPr>
        <w:t>our customer base. In addition to making acquisitions to enhance our offerings, we’ve also selectively acquired international-facing travel and expense management solutions to broaden the markets we serve, including, but not limited to, Comtravo (February 2022), a modern travel solution in Germany, Austria, and Switzerland, Resia (February 2022), a leading travel agency covering Northern Europe, Tripeur (April 2023), a leading travel and expense management company serving India, and Regent (June 2024), a business travel and events business in Italy.</w:t>
      </w:r>
    </w:p>
    <w:p>
      <w:pPr>
        <w:spacing w:after="0" w:line="85" w:lineRule="exact"/>
        <w:rPr>
          <w:sz w:val="20"/>
          <w:szCs w:val="20"/>
          <w:color w:val="auto"/>
        </w:rPr>
      </w:pPr>
    </w:p>
    <w:p>
      <w:pPr>
        <w:ind w:left="1520" w:right="1820" w:firstLine="230"/>
        <w:spacing w:after="0" w:line="289" w:lineRule="auto"/>
        <w:rPr>
          <w:sz w:val="20"/>
          <w:szCs w:val="20"/>
          <w:color w:val="auto"/>
        </w:rPr>
      </w:pPr>
      <w:r>
        <w:rPr>
          <w:rFonts w:ascii="Arial" w:cs="Arial" w:eastAsia="Arial" w:hAnsi="Arial"/>
          <w:sz w:val="12"/>
          <w:szCs w:val="12"/>
          <w:color w:val="auto"/>
        </w:rPr>
        <w:t>Should the opportunity for future inorganic growth present itself for developing future capabilities, supplier relationships, geographic expertise, or other means of serving our travelers and customers, we may consider pursuing them.</w:t>
      </w:r>
    </w:p>
    <w:p>
      <w:pPr>
        <w:spacing w:after="0" w:line="76" w:lineRule="exact"/>
        <w:rPr>
          <w:sz w:val="20"/>
          <w:szCs w:val="20"/>
          <w:color w:val="auto"/>
        </w:rPr>
      </w:pPr>
    </w:p>
    <w:p>
      <w:pPr>
        <w:ind w:left="1520" w:right="1700" w:firstLine="230"/>
        <w:spacing w:after="0" w:line="269" w:lineRule="auto"/>
        <w:rPr>
          <w:sz w:val="20"/>
          <w:szCs w:val="20"/>
          <w:color w:val="auto"/>
        </w:rPr>
      </w:pPr>
      <w:r>
        <w:rPr>
          <w:rFonts w:ascii="Arial" w:cs="Arial" w:eastAsia="Arial" w:hAnsi="Arial"/>
          <w:sz w:val="12"/>
          <w:szCs w:val="12"/>
          <w:b w:val="1"/>
          <w:bCs w:val="1"/>
          <w:i w:val="1"/>
          <w:iCs w:val="1"/>
          <w:color w:val="auto"/>
        </w:rPr>
        <w:t xml:space="preserve">Grow our international presence. </w:t>
      </w:r>
      <w:r>
        <w:rPr>
          <w:rFonts w:ascii="Arial" w:cs="Arial" w:eastAsia="Arial" w:hAnsi="Arial"/>
          <w:sz w:val="12"/>
          <w:szCs w:val="12"/>
          <w:color w:val="auto"/>
        </w:rPr>
        <w:t>We continue to broaden the scope and extent of our offerings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outside of the United States. The inherently international nature of travel has meant that we invested in building out a global infrastructure for our platform from the very beginning. These early investments in integrating travel suppliers from across the globe, as well as the development of localized partner relationships, has allowed us to offer a truly global inventory of travel offerings, as well as supplement our platform with regional knowledge, personalized support, and multi-currency payment services. These integrated capabilities across the travel and expense spectrum have allowed us to offer a global solution with unified visibility and control for our customers across various countries and geographies, allowing us to materially increase our presence across non-U.S.-based customers. For fiscal 2025 and the six months ended July 31, 2025, revenue generated from customers and suppliers outside of the United States represented 41% and 39%, respectively, of our revenue, underscoring the success we have had to date in growing across international markets and the sizable opportunity that remains across those markets for us to increase our presence. We have been active in pursuing both organic and inorganic actions to expand the geographic reach of our platform and improve cross-selling capabilities of our offerings to international customers, with plans to continue to invest in these areas to drive continued growth across these international markets.</w:t>
      </w:r>
    </w:p>
    <w:p>
      <w:pPr>
        <w:spacing w:after="0" w:line="90"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Our Offerings</w:t>
      </w:r>
    </w:p>
    <w:p>
      <w:pPr>
        <w:spacing w:after="0" w:line="130" w:lineRule="exact"/>
        <w:rPr>
          <w:sz w:val="20"/>
          <w:szCs w:val="20"/>
          <w:color w:val="auto"/>
        </w:rPr>
      </w:pPr>
    </w:p>
    <w:p>
      <w:pPr>
        <w:ind w:left="1520" w:right="1680" w:firstLine="230"/>
        <w:spacing w:after="0" w:line="273" w:lineRule="auto"/>
        <w:rPr>
          <w:sz w:val="20"/>
          <w:szCs w:val="20"/>
          <w:color w:val="auto"/>
        </w:rPr>
      </w:pPr>
      <w:r>
        <w:rPr>
          <w:rFonts w:ascii="Arial" w:cs="Arial" w:eastAsia="Arial" w:hAnsi="Arial"/>
          <w:sz w:val="12"/>
          <w:szCs w:val="12"/>
          <w:color w:val="auto"/>
        </w:rPr>
        <w:t>We offer a comprehensive, all-in-one, AI-powered travel, payments, and expense management solution designed to streamline the entire travel lifecycle, from booking and policy enforcement to payment processing, expense reconciliation, and reporting. Our platform unifies our Travel, Corporate Payments, Expense Management, Meetings and Events, VIP, and Bleisure offerings into a single, intuitive application accessible via both desktop and a mobile device. By replacing fragmented, legacy point solutions with a modern, technology-driven system, we enable companies to drive greater efficiency, improve compliance, and deliver a superior experience for users and customers alike.</w:t>
      </w:r>
    </w:p>
    <w:p>
      <w:pPr>
        <w:sectPr>
          <w:pgSz w:w="11900" w:h="16840" w:orient="portrait"/>
          <w:cols w:equalWidth="0" w:num="1">
            <w:col w:w="9020"/>
          </w:cols>
          <w:pgMar w:left="1440" w:top="560" w:right="1440" w:bottom="139"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150</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60" w:firstLine="230"/>
        <w:spacing w:after="0" w:line="289" w:lineRule="auto"/>
        <w:rPr>
          <w:sz w:val="20"/>
          <w:szCs w:val="20"/>
          <w:color w:val="auto"/>
        </w:rPr>
      </w:pPr>
      <w:r>
        <w:rPr>
          <w:rFonts w:ascii="Arial" w:cs="Arial" w:eastAsia="Arial" w:hAnsi="Arial"/>
          <w:sz w:val="12"/>
          <w:szCs w:val="12"/>
          <w:color w:val="auto"/>
        </w:rPr>
        <w:t>Our integrated, end-to-end platform is designed to support the full spectrum of travel, payments, and expense management needs through a unified product suite that simplifies every step of the travel, payments, and expense management journey. Our principal offerings today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980" w:right="1700" w:hanging="228"/>
        <w:spacing w:after="0" w:line="274" w:lineRule="auto"/>
        <w:tabs>
          <w:tab w:leader="none" w:pos="1980" w:val="left"/>
        </w:tabs>
        <w:numPr>
          <w:ilvl w:val="0"/>
          <w:numId w:val="109"/>
        </w:numPr>
        <w:rPr>
          <w:rFonts w:ascii="Arial" w:cs="Arial" w:eastAsia="Arial" w:hAnsi="Arial"/>
          <w:sz w:val="12"/>
          <w:szCs w:val="12"/>
          <w:color w:val="auto"/>
        </w:rPr>
      </w:pPr>
      <w:r>
        <w:rPr>
          <w:rFonts w:ascii="Arial" w:cs="Arial" w:eastAsia="Arial" w:hAnsi="Arial"/>
          <w:sz w:val="12"/>
          <w:szCs w:val="12"/>
          <w:i w:val="1"/>
          <w:iCs w:val="1"/>
          <w:color w:val="auto"/>
        </w:rPr>
        <w:t xml:space="preserve">Travel: </w:t>
      </w:r>
      <w:r>
        <w:rPr>
          <w:rFonts w:ascii="Arial" w:cs="Arial" w:eastAsia="Arial" w:hAnsi="Arial"/>
          <w:sz w:val="12"/>
          <w:szCs w:val="12"/>
          <w:color w:val="auto"/>
        </w:rPr>
        <w:t>Our flagship online booking application that enables travelers to book flights, hotels,</w:t>
      </w:r>
      <w:r>
        <w:rPr>
          <w:rFonts w:ascii="Arial" w:cs="Arial" w:eastAsia="Arial" w:hAnsi="Arial"/>
          <w:sz w:val="12"/>
          <w:szCs w:val="12"/>
          <w:i w:val="1"/>
          <w:iCs w:val="1"/>
          <w:color w:val="auto"/>
        </w:rPr>
        <w:t xml:space="preserve"> </w:t>
      </w:r>
      <w:r>
        <w:rPr>
          <w:rFonts w:ascii="Arial" w:cs="Arial" w:eastAsia="Arial" w:hAnsi="Arial"/>
          <w:sz w:val="12"/>
          <w:szCs w:val="12"/>
          <w:color w:val="auto"/>
        </w:rPr>
        <w:t>trains, and rental cars through a single interface that aligns with company policy and preferences, driving adoption across both managed and unmanaged travel. The system provides real-time monitoring of trips, including flight status updates, gate changes, and potential delays, ensuring travelers stay informed. Furthermore, the tool allows for easy editing of existing reservations, such as modifying dates, times, or accommodations, offering flexibility and control over travel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151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80" w:right="1700" w:hanging="228"/>
        <w:spacing w:after="0" w:line="275" w:lineRule="auto"/>
        <w:tabs>
          <w:tab w:leader="none" w:pos="1980" w:val="left"/>
        </w:tabs>
        <w:numPr>
          <w:ilvl w:val="0"/>
          <w:numId w:val="110"/>
        </w:numPr>
        <w:rPr>
          <w:rFonts w:ascii="Arial" w:cs="Arial" w:eastAsia="Arial" w:hAnsi="Arial"/>
          <w:sz w:val="12"/>
          <w:szCs w:val="12"/>
          <w:color w:val="auto"/>
        </w:rPr>
      </w:pPr>
      <w:r>
        <w:rPr>
          <w:rFonts w:ascii="Arial" w:cs="Arial" w:eastAsia="Arial" w:hAnsi="Arial"/>
          <w:sz w:val="12"/>
          <w:szCs w:val="12"/>
          <w:i w:val="1"/>
          <w:iCs w:val="1"/>
          <w:color w:val="auto"/>
        </w:rPr>
        <w:t xml:space="preserve">Corporate Payments: </w:t>
      </w:r>
      <w:r>
        <w:rPr>
          <w:rFonts w:ascii="Arial" w:cs="Arial" w:eastAsia="Arial" w:hAnsi="Arial"/>
          <w:sz w:val="12"/>
          <w:szCs w:val="12"/>
          <w:color w:val="auto"/>
        </w:rPr>
        <w:t>Our virtual and physical Navan corporate card offering simplifies payments</w:t>
      </w:r>
      <w:r>
        <w:rPr>
          <w:rFonts w:ascii="Arial" w:cs="Arial" w:eastAsia="Arial" w:hAnsi="Arial"/>
          <w:sz w:val="12"/>
          <w:szCs w:val="12"/>
          <w:i w:val="1"/>
          <w:iCs w:val="1"/>
          <w:color w:val="auto"/>
        </w:rPr>
        <w:t xml:space="preserve"> </w:t>
      </w:r>
      <w:r>
        <w:rPr>
          <w:rFonts w:ascii="Arial" w:cs="Arial" w:eastAsia="Arial" w:hAnsi="Arial"/>
          <w:sz w:val="12"/>
          <w:szCs w:val="12"/>
          <w:color w:val="auto"/>
        </w:rPr>
        <w:t>for business needs. Transactions are instantly approved, flagged, or declined at the point of purchase. Automated submission and reconciliation of authorized spending aims to eliminate the need for manual expense reports. Spending policies are integrated into the cards and enforced during transactions, aiming to automate the entire expense management cycle from the initial purchase to reconciliation. These virtual and physical cards can be used for various business</w:t>
      </w:r>
    </w:p>
    <w:p>
      <w:pPr>
        <w:sectPr>
          <w:pgSz w:w="11900" w:h="16840" w:orient="portrait"/>
          <w:cols w:equalWidth="0" w:num="1">
            <w:col w:w="9020"/>
          </w:cols>
          <w:pgMar w:left="1440" w:top="1440" w:right="1440" w:bottom="31" w:gutter="0" w:footer="0" w:header="0"/>
        </w:sectPr>
      </w:pPr>
    </w:p>
    <w:bookmarkStart w:id="106" w:name="page107"/>
    <w:bookmarkEnd w:id="106"/>
    <w:p>
      <w:pPr>
        <w:ind w:left="1980" w:right="1840"/>
        <w:spacing w:after="0" w:line="234" w:lineRule="auto"/>
        <w:rPr>
          <w:sz w:val="20"/>
          <w:szCs w:val="20"/>
          <w:color w:val="auto"/>
        </w:rPr>
      </w:pPr>
      <w:r>
        <w:rPr>
          <w:rFonts w:ascii="Arial" w:cs="Arial" w:eastAsia="Arial" w:hAnsi="Arial"/>
          <w:sz w:val="12"/>
          <w:szCs w:val="12"/>
          <w:color w:val="auto"/>
        </w:rPr>
        <w:t>expenses, including travel, routine expenditures, spot purchases, and software subscriptions, freeing customers from paperwork and saving finance teams significant time during month-end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-163830</wp:posOffset>
            </wp:positionV>
            <wp:extent cx="6732270" cy="99707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color w:val="auto"/>
        </w:rPr>
        <w:t>reconciliation.</w:t>
      </w:r>
    </w:p>
    <w:p>
      <w:pPr>
        <w:spacing w:after="0" w:line="118" w:lineRule="exact"/>
        <w:rPr>
          <w:sz w:val="20"/>
          <w:szCs w:val="20"/>
          <w:color w:val="auto"/>
        </w:rPr>
      </w:pPr>
    </w:p>
    <w:p>
      <w:pPr>
        <w:ind w:left="1980" w:right="1700" w:hanging="228"/>
        <w:spacing w:after="0" w:line="269" w:lineRule="auto"/>
        <w:tabs>
          <w:tab w:leader="none" w:pos="1980" w:val="left"/>
        </w:tabs>
        <w:numPr>
          <w:ilvl w:val="0"/>
          <w:numId w:val="111"/>
        </w:numPr>
        <w:rPr>
          <w:rFonts w:ascii="Arial" w:cs="Arial" w:eastAsia="Arial" w:hAnsi="Arial"/>
          <w:sz w:val="12"/>
          <w:szCs w:val="12"/>
          <w:color w:val="auto"/>
        </w:rPr>
      </w:pPr>
      <w:r>
        <w:rPr>
          <w:rFonts w:ascii="Arial" w:cs="Arial" w:eastAsia="Arial" w:hAnsi="Arial"/>
          <w:sz w:val="12"/>
          <w:szCs w:val="12"/>
          <w:i w:val="1"/>
          <w:iCs w:val="1"/>
          <w:color w:val="auto"/>
        </w:rPr>
        <w:t xml:space="preserve">Expense Management: </w:t>
      </w:r>
      <w:r>
        <w:rPr>
          <w:rFonts w:ascii="Arial" w:cs="Arial" w:eastAsia="Arial" w:hAnsi="Arial"/>
          <w:sz w:val="12"/>
          <w:szCs w:val="12"/>
          <w:color w:val="auto"/>
        </w:rPr>
        <w:t>Our expense application that automates and centralizes the control,</w:t>
      </w:r>
      <w:r>
        <w:rPr>
          <w:rFonts w:ascii="Arial" w:cs="Arial" w:eastAsia="Arial" w:hAnsi="Arial"/>
          <w:sz w:val="12"/>
          <w:szCs w:val="12"/>
          <w:i w:val="1"/>
          <w:iCs w:val="1"/>
          <w:color w:val="auto"/>
        </w:rPr>
        <w:t xml:space="preserve"> </w:t>
      </w:r>
      <w:r>
        <w:rPr>
          <w:rFonts w:ascii="Arial" w:cs="Arial" w:eastAsia="Arial" w:hAnsi="Arial"/>
          <w:sz w:val="12"/>
          <w:szCs w:val="12"/>
          <w:color w:val="auto"/>
        </w:rPr>
        <w:t>management, and tracking of business spending. It monitors travel and entertainment expenses and automates reporting and analytics. The software eliminates the inefficiencies and frustrations associated with traditional expense reports, offering interactive dashboards for real-time transaction visibility and improved decision-making. Our Expense Management offering can either be coupled with our Corporate Payments offering or can be used on a standalone basis with Navan Connect, our open API framework, through which companies can integrate their own third-party corporate card programs into the Expense Management application. Third-party cards connected via Navan Connect can still benefit from nearly all of the capabilities offered within our Corporate Payments offering (such as instant application of customer expense policy and automated expense submission and reconciliation), without requiring our customers to transition their legacy corporate card relationship to the Navan Corporate Payments platform. This flexibility allows our Expense Management application to serve as the central point for viewing, managing, analyzing, and controlling all expense related data across the customer and their travelers, irrespective of the corporate card being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980" w:right="1720" w:hanging="228"/>
        <w:spacing w:after="0" w:line="277" w:lineRule="auto"/>
        <w:tabs>
          <w:tab w:leader="none" w:pos="1980" w:val="left"/>
        </w:tabs>
        <w:numPr>
          <w:ilvl w:val="0"/>
          <w:numId w:val="112"/>
        </w:numPr>
        <w:rPr>
          <w:rFonts w:ascii="Arial" w:cs="Arial" w:eastAsia="Arial" w:hAnsi="Arial"/>
          <w:sz w:val="12"/>
          <w:szCs w:val="12"/>
          <w:color w:val="auto"/>
        </w:rPr>
      </w:pPr>
      <w:r>
        <w:rPr>
          <w:rFonts w:ascii="Arial" w:cs="Arial" w:eastAsia="Arial" w:hAnsi="Arial"/>
          <w:sz w:val="12"/>
          <w:szCs w:val="12"/>
          <w:i w:val="1"/>
          <w:iCs w:val="1"/>
          <w:color w:val="auto"/>
        </w:rPr>
        <w:t xml:space="preserve">Meetings and Events: </w:t>
      </w:r>
      <w:r>
        <w:rPr>
          <w:rFonts w:ascii="Arial" w:cs="Arial" w:eastAsia="Arial" w:hAnsi="Arial"/>
          <w:sz w:val="12"/>
          <w:szCs w:val="12"/>
          <w:color w:val="auto"/>
        </w:rPr>
        <w:t>Facilitates group event planning for employee gatherings through our</w:t>
      </w:r>
      <w:r>
        <w:rPr>
          <w:rFonts w:ascii="Arial" w:cs="Arial" w:eastAsia="Arial" w:hAnsi="Arial"/>
          <w:sz w:val="12"/>
          <w:szCs w:val="12"/>
          <w:i w:val="1"/>
          <w:iCs w:val="1"/>
          <w:color w:val="auto"/>
        </w:rPr>
        <w:t xml:space="preserve"> </w:t>
      </w:r>
      <w:r>
        <w:rPr>
          <w:rFonts w:ascii="Arial" w:cs="Arial" w:eastAsia="Arial" w:hAnsi="Arial"/>
          <w:sz w:val="12"/>
          <w:szCs w:val="12"/>
          <w:color w:val="auto"/>
        </w:rPr>
        <w:t>platform, without our customers having to deal with the complexity of having a costly in-house Meetings and Events team. This offering provides both a self-service option, as well as the ability to leverage our team of dedicated and experienced agents to lead researching, planning, and booking travel for meetings and events. This dedicated team aids the customer in cost reduction</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152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80" w:right="1700"/>
        <w:spacing w:after="0" w:line="272" w:lineRule="auto"/>
        <w:rPr>
          <w:sz w:val="20"/>
          <w:szCs w:val="20"/>
          <w:color w:val="auto"/>
        </w:rPr>
      </w:pPr>
      <w:r>
        <w:rPr>
          <w:rFonts w:ascii="Arial" w:cs="Arial" w:eastAsia="Arial" w:hAnsi="Arial"/>
          <w:sz w:val="12"/>
          <w:szCs w:val="12"/>
          <w:color w:val="auto"/>
        </w:rPr>
        <w:t>through network partners and expert consulting, and manages logistics for event experiences. Once the logistics and details of the event have been finalized, the user is able to share a singular invite with colleagues, through which they can book their own travel, lodging, and related travel needs, based on the pre-arranged details of the event (including recommended hotels and a full schedule of events). Our Meeting and Events application ultimately allows our customers to track the status of both bookings and spend across planned group events and meetings via a centralized platform, allowing our customers to better ensure policy adherence, control costs, and manage general logistics between the planning and event execution phases.</w:t>
      </w:r>
    </w:p>
    <w:p>
      <w:pPr>
        <w:spacing w:after="0" w:line="88" w:lineRule="exact"/>
        <w:rPr>
          <w:sz w:val="20"/>
          <w:szCs w:val="20"/>
          <w:color w:val="auto"/>
        </w:rPr>
      </w:pPr>
    </w:p>
    <w:p>
      <w:pPr>
        <w:ind w:left="1980" w:right="1740" w:hanging="228"/>
        <w:spacing w:after="0" w:line="274" w:lineRule="auto"/>
        <w:tabs>
          <w:tab w:leader="none" w:pos="1980" w:val="left"/>
        </w:tabs>
        <w:numPr>
          <w:ilvl w:val="0"/>
          <w:numId w:val="113"/>
        </w:numPr>
        <w:rPr>
          <w:rFonts w:ascii="Arial" w:cs="Arial" w:eastAsia="Arial" w:hAnsi="Arial"/>
          <w:sz w:val="12"/>
          <w:szCs w:val="12"/>
          <w:color w:val="auto"/>
        </w:rPr>
      </w:pPr>
      <w:r>
        <w:rPr>
          <w:rFonts w:ascii="Arial" w:cs="Arial" w:eastAsia="Arial" w:hAnsi="Arial"/>
          <w:sz w:val="12"/>
          <w:szCs w:val="12"/>
          <w:i w:val="1"/>
          <w:iCs w:val="1"/>
          <w:color w:val="auto"/>
        </w:rPr>
        <w:t xml:space="preserve">VIP: </w:t>
      </w:r>
      <w:r>
        <w:rPr>
          <w:rFonts w:ascii="Arial" w:cs="Arial" w:eastAsia="Arial" w:hAnsi="Arial"/>
          <w:sz w:val="12"/>
          <w:szCs w:val="12"/>
          <w:color w:val="auto"/>
        </w:rPr>
        <w:t>Offers premium, white-glove support for executive travelers and high-priority itineraries</w:t>
      </w:r>
      <w:r>
        <w:rPr>
          <w:rFonts w:ascii="Arial" w:cs="Arial" w:eastAsia="Arial" w:hAnsi="Arial"/>
          <w:sz w:val="12"/>
          <w:szCs w:val="12"/>
          <w:i w:val="1"/>
          <w:iCs w:val="1"/>
          <w:color w:val="auto"/>
        </w:rPr>
        <w:t xml:space="preserve"> </w:t>
      </w:r>
      <w:r>
        <w:rPr>
          <w:rFonts w:ascii="Arial" w:cs="Arial" w:eastAsia="Arial" w:hAnsi="Arial"/>
          <w:sz w:val="12"/>
          <w:szCs w:val="12"/>
          <w:color w:val="auto"/>
        </w:rPr>
        <w:t>through Navan Pro, our premium offering merging the simplicity of our Travel offering application with the expertise of our dedicated agents. This offering delivers exceptional high-end travel support for businesses of all sizes globally, catering to specific needs such as private jets and police escorts for executives or sustained VIP service for entire businesses. Integrated with Navan technology, travelers benefit from our platform while receiving the expected level of VIP service.</w:t>
      </w:r>
    </w:p>
    <w:p>
      <w:pPr>
        <w:spacing w:after="0" w:line="241" w:lineRule="exact"/>
        <w:rPr>
          <w:rFonts w:ascii="Arial" w:cs="Arial" w:eastAsia="Arial" w:hAnsi="Arial"/>
          <w:sz w:val="12"/>
          <w:szCs w:val="12"/>
          <w:color w:val="auto"/>
        </w:rPr>
      </w:pPr>
    </w:p>
    <w:p>
      <w:pPr>
        <w:ind w:left="1980" w:right="1680" w:hanging="228"/>
        <w:spacing w:after="0" w:line="271" w:lineRule="auto"/>
        <w:tabs>
          <w:tab w:leader="none" w:pos="1980" w:val="left"/>
        </w:tabs>
        <w:numPr>
          <w:ilvl w:val="0"/>
          <w:numId w:val="113"/>
        </w:numPr>
        <w:rPr>
          <w:rFonts w:ascii="Arial" w:cs="Arial" w:eastAsia="Arial" w:hAnsi="Arial"/>
          <w:sz w:val="12"/>
          <w:szCs w:val="12"/>
          <w:color w:val="auto"/>
        </w:rPr>
      </w:pPr>
      <w:r>
        <w:rPr>
          <w:rFonts w:ascii="Arial" w:cs="Arial" w:eastAsia="Arial" w:hAnsi="Arial"/>
          <w:sz w:val="12"/>
          <w:szCs w:val="12"/>
          <w:i w:val="1"/>
          <w:iCs w:val="1"/>
          <w:color w:val="auto"/>
        </w:rPr>
        <w:t xml:space="preserve">Bleisure: </w:t>
      </w:r>
      <w:r>
        <w:rPr>
          <w:rFonts w:ascii="Arial" w:cs="Arial" w:eastAsia="Arial" w:hAnsi="Arial"/>
          <w:sz w:val="12"/>
          <w:szCs w:val="12"/>
          <w:color w:val="auto"/>
        </w:rPr>
        <w:t>Our personal travel offering, Bleisure, enables leisure and bleisure bookings through the</w:t>
      </w:r>
      <w:r>
        <w:rPr>
          <w:rFonts w:ascii="Arial" w:cs="Arial" w:eastAsia="Arial" w:hAnsi="Arial"/>
          <w:sz w:val="12"/>
          <w:szCs w:val="12"/>
          <w:i w:val="1"/>
          <w:iCs w:val="1"/>
          <w:color w:val="auto"/>
        </w:rPr>
        <w:t xml:space="preserve"> </w:t>
      </w:r>
      <w:r>
        <w:rPr>
          <w:rFonts w:ascii="Arial" w:cs="Arial" w:eastAsia="Arial" w:hAnsi="Arial"/>
          <w:sz w:val="12"/>
          <w:szCs w:val="12"/>
          <w:color w:val="auto"/>
        </w:rPr>
        <w:t>Navan platform as an added benefit for users from our customers. Users are incentivized to book personal travel through our platform with access to the same inventory, discounts, and on-platform travel support offered to their employer. Additional features such as the ability to use reward points earned on our platform from helping their employer save money via their booked travel to offset costs for their personal travel booking, as well as the ability to seamlessly extend an existing business trip to accommodate personal travel further encourages the broader use of our platform. These benefits allow us to increase platform engagement, allowing us to add to our understanding of each user’s travel preferences and further refine recommendations to personalize the travel and booking experience offered under our Business Travel application.</w:t>
      </w:r>
    </w:p>
    <w:p>
      <w:pPr>
        <w:spacing w:after="0" w:line="88" w:lineRule="exact"/>
        <w:rPr>
          <w:sz w:val="20"/>
          <w:szCs w:val="20"/>
          <w:color w:val="auto"/>
        </w:rPr>
      </w:pPr>
    </w:p>
    <w:p>
      <w:pPr>
        <w:ind w:left="1520" w:right="1720" w:firstLine="230"/>
        <w:spacing w:after="0" w:line="275" w:lineRule="auto"/>
        <w:rPr>
          <w:sz w:val="20"/>
          <w:szCs w:val="20"/>
          <w:color w:val="auto"/>
        </w:rPr>
      </w:pPr>
      <w:r>
        <w:rPr>
          <w:rFonts w:ascii="Arial" w:cs="Arial" w:eastAsia="Arial" w:hAnsi="Arial"/>
          <w:sz w:val="12"/>
          <w:szCs w:val="12"/>
          <w:color w:val="auto"/>
        </w:rPr>
        <w:t>The capabilities across our suite of offerings are supplemented and supported by our comprehensive set of AI-powered capabilities, enabled through both ML and Navan Cognition. These tools enable our platform to offer personalized travel recommendations, automate manual workflows across travel and expense processes, and generate real-time insights that help companies make better, faster decisions. These capabilities allow us to continuously improve user experiences, further streamline workflows, unlock new use cases, and expand the value we deliver to customers over time.</w:t>
      </w:r>
    </w:p>
    <w:p>
      <w:pPr>
        <w:spacing w:after="0" w:line="85" w:lineRule="exact"/>
        <w:rPr>
          <w:sz w:val="20"/>
          <w:szCs w:val="20"/>
          <w:color w:val="auto"/>
        </w:rPr>
      </w:pPr>
    </w:p>
    <w:p>
      <w:pPr>
        <w:ind w:left="1520" w:right="1760" w:firstLine="230"/>
        <w:spacing w:after="0" w:line="272" w:lineRule="auto"/>
        <w:rPr>
          <w:sz w:val="20"/>
          <w:szCs w:val="20"/>
          <w:color w:val="auto"/>
        </w:rPr>
      </w:pPr>
      <w:r>
        <w:rPr>
          <w:rFonts w:ascii="Arial" w:cs="Arial" w:eastAsia="Arial" w:hAnsi="Arial"/>
          <w:sz w:val="12"/>
          <w:szCs w:val="12"/>
          <w:color w:val="auto"/>
        </w:rPr>
        <w:t>More specifically, our user-friendly tools leverage powerful ML algorithms to intelligently surface highly personalized travel recommendations based on factors such as individual user profiles, loyalty preferences, and past booking behavior, all while optimizing pricing. Our AI-powered tools, enabled by our Navan Cognition framework, allow both us and our customers to automate manual workflows and processes. These tools also supplement existing capabilities through virtual agents that can take proactive steps, such as contacting hotels to verify payment arrangements before a traveler's arrival, ensuring a smooth check-in and offering real-time analysis of expense and spending data. This in turn drives significant efficiency and improves the overall user experience.</w:t>
      </w:r>
    </w:p>
    <w:p>
      <w:pPr>
        <w:sectPr>
          <w:pgSz w:w="11900" w:h="16840" w:orient="portrait"/>
          <w:cols w:equalWidth="0" w:num="1">
            <w:col w:w="9020"/>
          </w:cols>
          <w:pgMar w:left="1440" w:top="560" w:right="1440" w:bottom="25" w:gutter="0" w:footer="0" w:header="0"/>
        </w:sectPr>
      </w:pPr>
    </w:p>
    <w:bookmarkStart w:id="107" w:name="page108"/>
    <w:bookmarkEnd w:id="107"/>
    <w:p>
      <w:pPr>
        <w:jc w:val="both"/>
        <w:ind w:left="1520" w:right="1740" w:firstLine="230"/>
        <w:spacing w:after="0" w:line="28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Together, these capabilities provide a seamless, end-to-end experience that drives user satisfaction for our customers and enables our customers to operate more efficiently at scale, while reducing the time and cost associated with managing travel and expenses.</w:t>
      </w:r>
    </w:p>
    <w:p>
      <w:pPr>
        <w:spacing w:after="0" w:line="76"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Our Customers, Suppliers, and Payment Partners</w:t>
      </w:r>
    </w:p>
    <w:p>
      <w:pPr>
        <w:spacing w:after="0" w:line="130" w:lineRule="exact"/>
        <w:rPr>
          <w:sz w:val="20"/>
          <w:szCs w:val="20"/>
          <w:color w:val="auto"/>
        </w:rPr>
      </w:pPr>
    </w:p>
    <w:p>
      <w:pPr>
        <w:ind w:left="1520" w:right="1800" w:firstLine="230"/>
        <w:spacing w:after="0" w:line="281" w:lineRule="auto"/>
        <w:rPr>
          <w:sz w:val="20"/>
          <w:szCs w:val="20"/>
          <w:color w:val="auto"/>
        </w:rPr>
      </w:pPr>
      <w:r>
        <w:rPr>
          <w:rFonts w:ascii="Arial" w:cs="Arial" w:eastAsia="Arial" w:hAnsi="Arial"/>
          <w:sz w:val="12"/>
          <w:szCs w:val="12"/>
          <w:color w:val="auto"/>
        </w:rPr>
        <w:t>We serve a broad and diverse customer base, with over 10,000 active customers as of January 31, 2025. Our customers (as defined in the section titled “Glossary of Terms”) range from enterprise businesses to middle-market to small and medium-sized businesses, none of which contributed to more than 2% of our revenue for fiscal 2025. This breadth is echoed in the variety of industries we serve, with</w:t>
      </w: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153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2060"/>
        <w:spacing w:after="0" w:line="312" w:lineRule="auto"/>
        <w:rPr>
          <w:sz w:val="20"/>
          <w:szCs w:val="20"/>
          <w:color w:val="auto"/>
        </w:rPr>
      </w:pPr>
      <w:r>
        <w:rPr>
          <w:rFonts w:ascii="Arial" w:cs="Arial" w:eastAsia="Arial" w:hAnsi="Arial"/>
          <w:sz w:val="12"/>
          <w:szCs w:val="12"/>
          <w:color w:val="auto"/>
        </w:rPr>
        <w:t>customers spanning a diverse array of sectors, from software and technology to real estate, health, media, retail, finance, and more.</w:t>
      </w:r>
    </w:p>
    <w:p>
      <w:pPr>
        <w:spacing w:after="0" w:line="62" w:lineRule="exact"/>
        <w:rPr>
          <w:sz w:val="20"/>
          <w:szCs w:val="20"/>
          <w:color w:val="auto"/>
        </w:rPr>
      </w:pPr>
    </w:p>
    <w:p>
      <w:pPr>
        <w:jc w:val="both"/>
        <w:ind w:left="1520" w:right="1820" w:firstLine="230"/>
        <w:spacing w:after="0" w:line="289" w:lineRule="auto"/>
        <w:rPr>
          <w:sz w:val="20"/>
          <w:szCs w:val="20"/>
          <w:color w:val="auto"/>
        </w:rPr>
      </w:pPr>
      <w:r>
        <w:rPr>
          <w:rFonts w:ascii="Arial" w:cs="Arial" w:eastAsia="Arial" w:hAnsi="Arial"/>
          <w:sz w:val="12"/>
          <w:szCs w:val="12"/>
          <w:color w:val="auto"/>
        </w:rPr>
        <w:t>The broad-based nature of and diversity across our customer base highlights the universal need for efficient travel and expense management solutions across different sectors and company sizes, as well as the ubiquity of our offerings.</w:t>
      </w:r>
    </w:p>
    <w:p>
      <w:pPr>
        <w:spacing w:after="0" w:line="76" w:lineRule="exact"/>
        <w:rPr>
          <w:sz w:val="20"/>
          <w:szCs w:val="20"/>
          <w:color w:val="auto"/>
        </w:rPr>
      </w:pPr>
    </w:p>
    <w:p>
      <w:pPr>
        <w:ind w:left="1520" w:right="2040" w:firstLine="230"/>
        <w:spacing w:after="0" w:line="312" w:lineRule="auto"/>
        <w:rPr>
          <w:sz w:val="20"/>
          <w:szCs w:val="20"/>
          <w:color w:val="auto"/>
        </w:rPr>
      </w:pPr>
      <w:r>
        <w:rPr>
          <w:rFonts w:ascii="Arial" w:cs="Arial" w:eastAsia="Arial" w:hAnsi="Arial"/>
          <w:sz w:val="12"/>
          <w:szCs w:val="12"/>
          <w:color w:val="auto"/>
        </w:rPr>
        <w:t>We maintain a broad network of suppliers and payment partners that support our offerings. Our suppliers include airlines, hotels, rental car companies, rail carriers, black car services, and GDSs.</w:t>
      </w:r>
    </w:p>
    <w:p>
      <w:pPr>
        <w:spacing w:after="0" w:line="62" w:lineRule="exact"/>
        <w:rPr>
          <w:sz w:val="20"/>
          <w:szCs w:val="20"/>
          <w:color w:val="auto"/>
        </w:rPr>
      </w:pPr>
    </w:p>
    <w:p>
      <w:pPr>
        <w:ind w:left="1520" w:right="1600" w:firstLine="230"/>
        <w:spacing w:after="0" w:line="272" w:lineRule="auto"/>
        <w:rPr>
          <w:sz w:val="20"/>
          <w:szCs w:val="20"/>
          <w:color w:val="auto"/>
        </w:rPr>
      </w:pPr>
      <w:r>
        <w:rPr>
          <w:rFonts w:ascii="Arial" w:cs="Arial" w:eastAsia="Arial" w:hAnsi="Arial"/>
          <w:sz w:val="12"/>
          <w:szCs w:val="12"/>
          <w:color w:val="auto"/>
        </w:rPr>
        <w:t>We earn revenue from these suppliers in the form of fees on a per-transaction basis. Under our arrangements with certain suppliers, we earn additional fees when cumulative actual booking or transaction dollar volume exceeds specified contractual thresholds. We primarily source flight and lodging inventory on our platform through GDSs, OTAs, partnerships, and NDCs, supplemented by direct connections with individual airlines and hotels. We source the majority of our rail inventory through a third-party aggregator that functions similarly to a GDS. We source car rental inventory through GDSs and OTA integrations, with direct connections with rental car agencies. We access black car services through a separate GDS that specializes in black car transportation.</w:t>
      </w:r>
    </w:p>
    <w:p>
      <w:pPr>
        <w:spacing w:after="0" w:line="88" w:lineRule="exact"/>
        <w:rPr>
          <w:sz w:val="20"/>
          <w:szCs w:val="20"/>
          <w:color w:val="auto"/>
        </w:rPr>
      </w:pPr>
    </w:p>
    <w:p>
      <w:pPr>
        <w:ind w:left="1520" w:right="1800" w:firstLine="230"/>
        <w:spacing w:after="0" w:line="281" w:lineRule="auto"/>
        <w:rPr>
          <w:sz w:val="20"/>
          <w:szCs w:val="20"/>
          <w:color w:val="auto"/>
        </w:rPr>
      </w:pPr>
      <w:r>
        <w:rPr>
          <w:rFonts w:ascii="Arial" w:cs="Arial" w:eastAsia="Arial" w:hAnsi="Arial"/>
          <w:sz w:val="12"/>
          <w:szCs w:val="12"/>
          <w:color w:val="auto"/>
        </w:rPr>
        <w:t>Our payment partners primarily include corporate card payment processors and our card issuing partners. We earn revenue from our payment partners from fees based on the transaction dollar volume of spend on our corporate cards. We do not earn revenue from customers’ use of the cards enrolled in Navan Connect nor do we bear any risk related to payments made with those cards.</w:t>
      </w:r>
    </w:p>
    <w:p>
      <w:pPr>
        <w:spacing w:after="0" w:line="81" w:lineRule="exact"/>
        <w:rPr>
          <w:sz w:val="20"/>
          <w:szCs w:val="20"/>
          <w:color w:val="auto"/>
        </w:rPr>
      </w:pPr>
    </w:p>
    <w:p>
      <w:pPr>
        <w:ind w:left="1520" w:right="1980" w:firstLine="230"/>
        <w:spacing w:after="0" w:line="281" w:lineRule="auto"/>
        <w:rPr>
          <w:sz w:val="20"/>
          <w:szCs w:val="20"/>
          <w:color w:val="auto"/>
        </w:rPr>
      </w:pPr>
      <w:r>
        <w:rPr>
          <w:rFonts w:ascii="Arial" w:cs="Arial" w:eastAsia="Arial" w:hAnsi="Arial"/>
          <w:sz w:val="12"/>
          <w:szCs w:val="12"/>
          <w:color w:val="auto"/>
        </w:rPr>
        <w:t>For additional information, refer to Note 1, Description of Business and Significant Accounting Policies, to our consolidated financial statements included elsewhere in this prospectus for additional details regarding our relationships with our various suppliers and payment partners and the extent to which we earn revenue under our arrangements with these suppliers and payment partners.</w:t>
      </w:r>
    </w:p>
    <w:p>
      <w:pPr>
        <w:spacing w:after="0" w:line="81" w:lineRule="exact"/>
        <w:rPr>
          <w:sz w:val="20"/>
          <w:szCs w:val="20"/>
          <w:color w:val="auto"/>
        </w:rPr>
      </w:pPr>
    </w:p>
    <w:p>
      <w:pPr>
        <w:ind w:left="1520" w:right="1680" w:firstLine="230"/>
        <w:spacing w:after="0" w:line="281" w:lineRule="auto"/>
        <w:rPr>
          <w:sz w:val="20"/>
          <w:szCs w:val="20"/>
          <w:color w:val="auto"/>
        </w:rPr>
      </w:pPr>
      <w:r>
        <w:rPr>
          <w:rFonts w:ascii="Arial" w:cs="Arial" w:eastAsia="Arial" w:hAnsi="Arial"/>
          <w:sz w:val="12"/>
          <w:szCs w:val="12"/>
          <w:color w:val="auto"/>
        </w:rPr>
        <w:t>Our revenue is geographically diverse. For fiscal 2025 and the six months ended July 31, 2025, revenue generated from customers and suppliers outside of the United States represented 41% and 39%, respectively, of our revenue. This global presence reflects the international nature of business travel and our platform's ability to support customers with operations and employees worldwide.</w:t>
      </w:r>
    </w:p>
    <w:p>
      <w:pPr>
        <w:spacing w:after="0" w:line="8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Our Values and Employees</w:t>
      </w:r>
    </w:p>
    <w:p>
      <w:pPr>
        <w:spacing w:after="0" w:line="130" w:lineRule="exact"/>
        <w:rPr>
          <w:sz w:val="20"/>
          <w:szCs w:val="20"/>
          <w:color w:val="auto"/>
        </w:rPr>
      </w:pPr>
    </w:p>
    <w:p>
      <w:pPr>
        <w:ind w:left="1520" w:right="1800" w:firstLine="230"/>
        <w:spacing w:after="0" w:line="289" w:lineRule="auto"/>
        <w:rPr>
          <w:sz w:val="20"/>
          <w:szCs w:val="20"/>
          <w:color w:val="auto"/>
        </w:rPr>
      </w:pPr>
      <w:r>
        <w:rPr>
          <w:rFonts w:ascii="Arial" w:cs="Arial" w:eastAsia="Arial" w:hAnsi="Arial"/>
          <w:sz w:val="12"/>
          <w:szCs w:val="12"/>
          <w:color w:val="auto"/>
        </w:rPr>
        <w:t>The team that we have built at Navan has been critical to the success we have had to date. As we continue to invest in and grow both our business and our team, our employees continue to be guided by core principles shared across our organization on how we operate and behave:</w:t>
      </w:r>
    </w:p>
    <w:p>
      <w:pPr>
        <w:spacing w:after="0" w:line="76" w:lineRule="exact"/>
        <w:rPr>
          <w:sz w:val="20"/>
          <w:szCs w:val="20"/>
          <w:color w:val="auto"/>
        </w:rPr>
      </w:pPr>
    </w:p>
    <w:p>
      <w:pPr>
        <w:ind w:left="1980" w:hanging="228"/>
        <w:spacing w:after="0"/>
        <w:tabs>
          <w:tab w:leader="none" w:pos="1980" w:val="left"/>
        </w:tabs>
        <w:numPr>
          <w:ilvl w:val="0"/>
          <w:numId w:val="114"/>
        </w:numPr>
        <w:rPr>
          <w:rFonts w:ascii="Arial" w:cs="Arial" w:eastAsia="Arial" w:hAnsi="Arial"/>
          <w:sz w:val="12"/>
          <w:szCs w:val="12"/>
          <w:color w:val="auto"/>
        </w:rPr>
      </w:pPr>
      <w:r>
        <w:rPr>
          <w:rFonts w:ascii="Arial" w:cs="Arial" w:eastAsia="Arial" w:hAnsi="Arial"/>
          <w:sz w:val="12"/>
          <w:szCs w:val="12"/>
          <w:b w:val="1"/>
          <w:bCs w:val="1"/>
          <w:color w:val="auto"/>
        </w:rPr>
        <w:t>All about the user – all users, all the time</w:t>
      </w:r>
    </w:p>
    <w:p>
      <w:pPr>
        <w:spacing w:after="0" w:line="129" w:lineRule="exact"/>
        <w:rPr>
          <w:rFonts w:ascii="Arial" w:cs="Arial" w:eastAsia="Arial" w:hAnsi="Arial"/>
          <w:sz w:val="12"/>
          <w:szCs w:val="12"/>
          <w:color w:val="auto"/>
        </w:rPr>
      </w:pPr>
    </w:p>
    <w:p>
      <w:pPr>
        <w:ind w:left="2220" w:right="1820" w:hanging="239"/>
        <w:spacing w:after="0" w:line="312" w:lineRule="auto"/>
        <w:tabs>
          <w:tab w:leader="none" w:pos="2220" w:val="left"/>
        </w:tabs>
        <w:numPr>
          <w:ilvl w:val="1"/>
          <w:numId w:val="114"/>
        </w:numPr>
        <w:rPr>
          <w:rFonts w:ascii="Arial" w:cs="Arial" w:eastAsia="Arial" w:hAnsi="Arial"/>
          <w:sz w:val="12"/>
          <w:szCs w:val="12"/>
          <w:color w:val="auto"/>
        </w:rPr>
      </w:pPr>
      <w:r>
        <w:rPr>
          <w:rFonts w:ascii="Arial" w:cs="Arial" w:eastAsia="Arial" w:hAnsi="Arial"/>
          <w:sz w:val="12"/>
          <w:szCs w:val="12"/>
          <w:color w:val="auto"/>
        </w:rPr>
        <w:t>We obsess over our users and customers, every type, every day. We prioritize their needs, exceed their expectations, and turn trust into advocacy.</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114"/>
        </w:numPr>
        <w:rPr>
          <w:rFonts w:ascii="Arial" w:cs="Arial" w:eastAsia="Arial" w:hAnsi="Arial"/>
          <w:sz w:val="12"/>
          <w:szCs w:val="12"/>
          <w:color w:val="auto"/>
        </w:rPr>
      </w:pPr>
      <w:r>
        <w:rPr>
          <w:rFonts w:ascii="Arial" w:cs="Arial" w:eastAsia="Arial" w:hAnsi="Arial"/>
          <w:sz w:val="12"/>
          <w:szCs w:val="12"/>
          <w:b w:val="1"/>
          <w:bCs w:val="1"/>
          <w:color w:val="auto"/>
        </w:rPr>
        <w:t>AI-first on every challenge and delivery, by every team</w:t>
      </w:r>
    </w:p>
    <w:p>
      <w:pPr>
        <w:spacing w:after="0" w:line="129" w:lineRule="exact"/>
        <w:rPr>
          <w:rFonts w:ascii="Arial" w:cs="Arial" w:eastAsia="Arial" w:hAnsi="Arial"/>
          <w:sz w:val="12"/>
          <w:szCs w:val="12"/>
          <w:color w:val="auto"/>
        </w:rPr>
      </w:pPr>
    </w:p>
    <w:p>
      <w:pPr>
        <w:ind w:left="2220" w:right="1760" w:hanging="239"/>
        <w:spacing w:after="0" w:line="312" w:lineRule="auto"/>
        <w:tabs>
          <w:tab w:leader="none" w:pos="2220" w:val="left"/>
        </w:tabs>
        <w:numPr>
          <w:ilvl w:val="1"/>
          <w:numId w:val="114"/>
        </w:numPr>
        <w:rPr>
          <w:rFonts w:ascii="Arial" w:cs="Arial" w:eastAsia="Arial" w:hAnsi="Arial"/>
          <w:sz w:val="12"/>
          <w:szCs w:val="12"/>
          <w:color w:val="auto"/>
        </w:rPr>
      </w:pPr>
      <w:r>
        <w:rPr>
          <w:rFonts w:ascii="Arial" w:cs="Arial" w:eastAsia="Arial" w:hAnsi="Arial"/>
          <w:sz w:val="12"/>
          <w:szCs w:val="12"/>
          <w:color w:val="auto"/>
        </w:rPr>
        <w:t>To lead and stay relevant, we solve problems and deliver results with an AI-first mindset. It's how we scale impact and stay ahead.</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114"/>
        </w:numPr>
        <w:rPr>
          <w:rFonts w:ascii="Arial" w:cs="Arial" w:eastAsia="Arial" w:hAnsi="Arial"/>
          <w:sz w:val="12"/>
          <w:szCs w:val="12"/>
          <w:color w:val="auto"/>
        </w:rPr>
      </w:pPr>
      <w:r>
        <w:rPr>
          <w:rFonts w:ascii="Arial" w:cs="Arial" w:eastAsia="Arial" w:hAnsi="Arial"/>
          <w:sz w:val="12"/>
          <w:szCs w:val="12"/>
          <w:b w:val="1"/>
          <w:bCs w:val="1"/>
          <w:color w:val="auto"/>
        </w:rPr>
        <w:t>Best team Build the best team, and be the best teammate</w:t>
      </w:r>
    </w:p>
    <w:p>
      <w:pPr>
        <w:spacing w:after="0" w:line="129" w:lineRule="exact"/>
        <w:rPr>
          <w:rFonts w:ascii="Arial" w:cs="Arial" w:eastAsia="Arial" w:hAnsi="Arial"/>
          <w:sz w:val="12"/>
          <w:szCs w:val="12"/>
          <w:color w:val="auto"/>
        </w:rPr>
      </w:pPr>
    </w:p>
    <w:p>
      <w:pPr>
        <w:ind w:left="2220" w:hanging="239"/>
        <w:spacing w:after="0"/>
        <w:tabs>
          <w:tab w:leader="none" w:pos="2220" w:val="left"/>
        </w:tabs>
        <w:numPr>
          <w:ilvl w:val="1"/>
          <w:numId w:val="114"/>
        </w:numPr>
        <w:rPr>
          <w:rFonts w:ascii="Arial" w:cs="Arial" w:eastAsia="Arial" w:hAnsi="Arial"/>
          <w:sz w:val="12"/>
          <w:szCs w:val="12"/>
          <w:color w:val="auto"/>
        </w:rPr>
      </w:pPr>
      <w:r>
        <w:rPr>
          <w:rFonts w:ascii="Arial" w:cs="Arial" w:eastAsia="Arial" w:hAnsi="Arial"/>
          <w:sz w:val="12"/>
          <w:szCs w:val="12"/>
          <w:color w:val="auto"/>
        </w:rPr>
        <w:t>We grow together, support each other, and win as one.</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14"/>
        </w:numPr>
        <w:rPr>
          <w:rFonts w:ascii="Arial" w:cs="Arial" w:eastAsia="Arial" w:hAnsi="Arial"/>
          <w:sz w:val="12"/>
          <w:szCs w:val="12"/>
          <w:color w:val="auto"/>
        </w:rPr>
      </w:pPr>
      <w:r>
        <w:rPr>
          <w:rFonts w:ascii="Arial" w:cs="Arial" w:eastAsia="Arial" w:hAnsi="Arial"/>
          <w:sz w:val="12"/>
          <w:szCs w:val="12"/>
          <w:b w:val="1"/>
          <w:bCs w:val="1"/>
          <w:color w:val="auto"/>
        </w:rPr>
        <w:t>Extreme ownership and bias to action</w:t>
      </w:r>
    </w:p>
    <w:p>
      <w:pPr>
        <w:spacing w:after="0" w:line="129" w:lineRule="exact"/>
        <w:rPr>
          <w:rFonts w:ascii="Arial" w:cs="Arial" w:eastAsia="Arial" w:hAnsi="Arial"/>
          <w:sz w:val="12"/>
          <w:szCs w:val="12"/>
          <w:color w:val="auto"/>
        </w:rPr>
      </w:pPr>
    </w:p>
    <w:p>
      <w:pPr>
        <w:ind w:left="2220" w:right="2340" w:hanging="239"/>
        <w:spacing w:after="0" w:line="312" w:lineRule="auto"/>
        <w:tabs>
          <w:tab w:leader="none" w:pos="2220" w:val="left"/>
        </w:tabs>
        <w:numPr>
          <w:ilvl w:val="1"/>
          <w:numId w:val="114"/>
        </w:numPr>
        <w:rPr>
          <w:rFonts w:ascii="Arial" w:cs="Arial" w:eastAsia="Arial" w:hAnsi="Arial"/>
          <w:sz w:val="12"/>
          <w:szCs w:val="12"/>
          <w:color w:val="auto"/>
        </w:rPr>
      </w:pPr>
      <w:r>
        <w:rPr>
          <w:rFonts w:ascii="Arial" w:cs="Arial" w:eastAsia="Arial" w:hAnsi="Arial"/>
          <w:sz w:val="12"/>
          <w:szCs w:val="12"/>
          <w:color w:val="auto"/>
        </w:rPr>
        <w:t>At every level, we own outcomes. Leaders and teammates alike drive a culture of responsibility and accountability.</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154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80" w:hanging="228"/>
        <w:spacing w:after="0"/>
        <w:tabs>
          <w:tab w:leader="none" w:pos="1980" w:val="left"/>
        </w:tabs>
        <w:numPr>
          <w:ilvl w:val="0"/>
          <w:numId w:val="115"/>
        </w:numPr>
        <w:rPr>
          <w:rFonts w:ascii="Arial" w:cs="Arial" w:eastAsia="Arial" w:hAnsi="Arial"/>
          <w:sz w:val="12"/>
          <w:szCs w:val="12"/>
          <w:color w:val="auto"/>
        </w:rPr>
      </w:pPr>
      <w:r>
        <w:rPr>
          <w:rFonts w:ascii="Arial" w:cs="Arial" w:eastAsia="Arial" w:hAnsi="Arial"/>
          <w:sz w:val="12"/>
          <w:szCs w:val="12"/>
          <w:b w:val="1"/>
          <w:bCs w:val="1"/>
          <w:color w:val="auto"/>
        </w:rPr>
        <w:t>Never done growing and raising your personal bar</w:t>
      </w:r>
    </w:p>
    <w:p>
      <w:pPr>
        <w:spacing w:after="0" w:line="129" w:lineRule="exact"/>
        <w:rPr>
          <w:rFonts w:ascii="Arial" w:cs="Arial" w:eastAsia="Arial" w:hAnsi="Arial"/>
          <w:sz w:val="12"/>
          <w:szCs w:val="12"/>
          <w:color w:val="auto"/>
        </w:rPr>
      </w:pPr>
    </w:p>
    <w:p>
      <w:pPr>
        <w:ind w:left="2220" w:hanging="239"/>
        <w:spacing w:after="0"/>
        <w:tabs>
          <w:tab w:leader="none" w:pos="2220" w:val="left"/>
        </w:tabs>
        <w:numPr>
          <w:ilvl w:val="1"/>
          <w:numId w:val="115"/>
        </w:numPr>
        <w:rPr>
          <w:rFonts w:ascii="Arial" w:cs="Arial" w:eastAsia="Arial" w:hAnsi="Arial"/>
          <w:sz w:val="12"/>
          <w:szCs w:val="12"/>
          <w:color w:val="auto"/>
        </w:rPr>
      </w:pPr>
      <w:r>
        <w:rPr>
          <w:rFonts w:ascii="Arial" w:cs="Arial" w:eastAsia="Arial" w:hAnsi="Arial"/>
          <w:sz w:val="12"/>
          <w:szCs w:val="12"/>
          <w:color w:val="auto"/>
        </w:rPr>
        <w:t>We learn fast, adapt quickly, and constantly raise the bar — for ourselves and for Navan.</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15"/>
        </w:numPr>
        <w:rPr>
          <w:rFonts w:ascii="Arial" w:cs="Arial" w:eastAsia="Arial" w:hAnsi="Arial"/>
          <w:sz w:val="12"/>
          <w:szCs w:val="12"/>
          <w:color w:val="auto"/>
        </w:rPr>
      </w:pPr>
      <w:r>
        <w:rPr>
          <w:rFonts w:ascii="Arial" w:cs="Arial" w:eastAsia="Arial" w:hAnsi="Arial"/>
          <w:sz w:val="12"/>
          <w:szCs w:val="12"/>
          <w:b w:val="1"/>
          <w:bCs w:val="1"/>
          <w:color w:val="auto"/>
        </w:rPr>
        <w:t>Seriously fun</w:t>
      </w:r>
    </w:p>
    <w:p>
      <w:pPr>
        <w:spacing w:after="0" w:line="129" w:lineRule="exact"/>
        <w:rPr>
          <w:rFonts w:ascii="Arial" w:cs="Arial" w:eastAsia="Arial" w:hAnsi="Arial"/>
          <w:sz w:val="12"/>
          <w:szCs w:val="12"/>
          <w:color w:val="auto"/>
        </w:rPr>
      </w:pPr>
    </w:p>
    <w:p>
      <w:pPr>
        <w:ind w:left="2220" w:right="1820" w:hanging="239"/>
        <w:spacing w:after="0" w:line="312" w:lineRule="auto"/>
        <w:tabs>
          <w:tab w:leader="none" w:pos="2220" w:val="left"/>
        </w:tabs>
        <w:numPr>
          <w:ilvl w:val="1"/>
          <w:numId w:val="115"/>
        </w:numPr>
        <w:rPr>
          <w:rFonts w:ascii="Arial" w:cs="Arial" w:eastAsia="Arial" w:hAnsi="Arial"/>
          <w:sz w:val="12"/>
          <w:szCs w:val="12"/>
          <w:color w:val="auto"/>
        </w:rPr>
      </w:pPr>
      <w:r>
        <w:rPr>
          <w:rFonts w:ascii="Arial" w:cs="Arial" w:eastAsia="Arial" w:hAnsi="Arial"/>
          <w:sz w:val="12"/>
          <w:szCs w:val="12"/>
          <w:color w:val="auto"/>
        </w:rPr>
        <w:t>We take the work seriously — ourselves, not so much. We make hard calls, deliver results, and enjoy the ride.</w:t>
      </w:r>
    </w:p>
    <w:p>
      <w:pPr>
        <w:spacing w:after="0" w:line="62" w:lineRule="exact"/>
        <w:rPr>
          <w:sz w:val="20"/>
          <w:szCs w:val="20"/>
          <w:color w:val="auto"/>
        </w:rPr>
      </w:pPr>
    </w:p>
    <w:p>
      <w:pPr>
        <w:ind w:left="1520" w:right="1820" w:firstLine="230"/>
        <w:spacing w:after="0" w:line="289" w:lineRule="auto"/>
        <w:rPr>
          <w:sz w:val="20"/>
          <w:szCs w:val="20"/>
          <w:color w:val="auto"/>
        </w:rPr>
      </w:pPr>
      <w:r>
        <w:rPr>
          <w:rFonts w:ascii="Arial" w:cs="Arial" w:eastAsia="Arial" w:hAnsi="Arial"/>
          <w:sz w:val="12"/>
          <w:szCs w:val="12"/>
          <w:color w:val="auto"/>
        </w:rPr>
        <w:t>As of July 31, 2025, we had approximately 3,400 employees globally. None of our employees are represented by a labor union. However, in certain countries in which we operate, such as The Netherlands, we are subject to, and comply with, local labor law requirements, which may automatically</w:t>
      </w:r>
    </w:p>
    <w:p>
      <w:pPr>
        <w:sectPr>
          <w:pgSz w:w="11900" w:h="16840" w:orient="portrait"/>
          <w:cols w:equalWidth="0" w:num="1">
            <w:col w:w="9020"/>
          </w:cols>
          <w:pgMar w:left="1440" w:top="636" w:right="1440" w:bottom="60" w:gutter="0" w:footer="0" w:header="0"/>
        </w:sectPr>
      </w:pPr>
    </w:p>
    <w:bookmarkStart w:id="108" w:name="page109"/>
    <w:bookmarkEnd w:id="108"/>
    <w:p>
      <w:pPr>
        <w:ind w:left="1520" w:right="1680"/>
        <w:spacing w:after="0" w:line="201" w:lineRule="auto"/>
        <w:rPr>
          <w:sz w:val="20"/>
          <w:szCs w:val="20"/>
          <w:color w:val="auto"/>
        </w:rPr>
      </w:pPr>
      <w:r>
        <w:rPr>
          <w:rFonts w:ascii="Arial" w:cs="Arial" w:eastAsia="Arial" w:hAnsi="Arial"/>
          <w:sz w:val="12"/>
          <w:szCs w:val="12"/>
          <w:color w:val="auto"/>
        </w:rPr>
        <w:t>make our employees subject to industry-wide collective bargaining agreements. We have not experienced any work stoppages, and we consider our relations with our employees to be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-139700</wp:posOffset>
            </wp:positionV>
            <wp:extent cx="6732270" cy="99707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84"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Sales &amp; Marketing</w:t>
      </w:r>
    </w:p>
    <w:p>
      <w:pPr>
        <w:spacing w:after="0" w:line="130" w:lineRule="exact"/>
        <w:rPr>
          <w:sz w:val="20"/>
          <w:szCs w:val="20"/>
          <w:color w:val="auto"/>
        </w:rPr>
      </w:pPr>
    </w:p>
    <w:p>
      <w:pPr>
        <w:ind w:left="1520" w:right="1720" w:firstLine="230"/>
        <w:spacing w:after="0" w:line="312" w:lineRule="auto"/>
        <w:rPr>
          <w:sz w:val="20"/>
          <w:szCs w:val="20"/>
          <w:color w:val="auto"/>
        </w:rPr>
      </w:pPr>
      <w:r>
        <w:rPr>
          <w:rFonts w:ascii="Arial" w:cs="Arial" w:eastAsia="Arial" w:hAnsi="Arial"/>
          <w:sz w:val="12"/>
          <w:szCs w:val="12"/>
          <w:color w:val="auto"/>
        </w:rPr>
        <w:t>Our sales and marketing teams are dedicated to driving adoption of our travel management, expense and corporate card offerings across our core geographies.</w:t>
      </w:r>
    </w:p>
    <w:p>
      <w:pPr>
        <w:spacing w:after="0" w:line="62" w:lineRule="exact"/>
        <w:rPr>
          <w:sz w:val="20"/>
          <w:szCs w:val="20"/>
          <w:color w:val="auto"/>
        </w:rPr>
      </w:pPr>
    </w:p>
    <w:p>
      <w:pPr>
        <w:ind w:left="1520" w:right="1860" w:firstLine="230"/>
        <w:spacing w:after="0" w:line="272" w:lineRule="auto"/>
        <w:rPr>
          <w:sz w:val="20"/>
          <w:szCs w:val="20"/>
          <w:color w:val="auto"/>
        </w:rPr>
      </w:pPr>
      <w:r>
        <w:rPr>
          <w:rFonts w:ascii="Arial" w:cs="Arial" w:eastAsia="Arial" w:hAnsi="Arial"/>
          <w:sz w:val="12"/>
          <w:szCs w:val="12"/>
          <w:color w:val="auto"/>
        </w:rPr>
        <w:t>Our go-to-market strategy is designed to best serve our large, diverse, and global customer base. The customers that we serve range from small businesses considering a managed travel and expense solution for their employees for the first time, to several of the world’s largest, global enterprises, which can spend over $100 million on travel each year . We typically sell into finance, accounting and procurement teams, and at times also the C-suite, aligning with business transformation initiatives focused around driving hard cost savings, operating efficiencies, as well as travel and expense policy adherence, while improving user productivity and engagement. We focus on surfacing value to every department throughout the customer engagement process as our travel, corporate cards, and expense offerings are relevant and applicable to functions across the business, from front-office to back-office.</w:t>
      </w:r>
    </w:p>
    <w:p>
      <w:pPr>
        <w:spacing w:after="0" w:line="87"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Sales</w:t>
      </w:r>
    </w:p>
    <w:p>
      <w:pPr>
        <w:spacing w:after="0" w:line="128" w:lineRule="exact"/>
        <w:rPr>
          <w:sz w:val="20"/>
          <w:szCs w:val="20"/>
          <w:color w:val="auto"/>
        </w:rPr>
      </w:pPr>
    </w:p>
    <w:p>
      <w:pPr>
        <w:ind w:left="1520" w:right="1780" w:firstLine="230"/>
        <w:spacing w:after="0" w:line="312" w:lineRule="auto"/>
        <w:rPr>
          <w:sz w:val="20"/>
          <w:szCs w:val="20"/>
          <w:color w:val="auto"/>
        </w:rPr>
      </w:pPr>
      <w:r>
        <w:rPr>
          <w:rFonts w:ascii="Arial" w:cs="Arial" w:eastAsia="Arial" w:hAnsi="Arial"/>
          <w:sz w:val="12"/>
          <w:szCs w:val="12"/>
          <w:color w:val="auto"/>
        </w:rPr>
        <w:t>We deploy two primary sales motions, which are tailored to the needs of each of our customer types and regions.</w:t>
      </w:r>
    </w:p>
    <w:p>
      <w:pPr>
        <w:spacing w:after="0" w:line="62" w:lineRule="exact"/>
        <w:rPr>
          <w:sz w:val="20"/>
          <w:szCs w:val="20"/>
          <w:color w:val="auto"/>
        </w:rPr>
      </w:pPr>
    </w:p>
    <w:p>
      <w:pPr>
        <w:ind w:left="1520" w:right="1680" w:firstLine="230"/>
        <w:spacing w:after="0" w:line="270" w:lineRule="auto"/>
        <w:rPr>
          <w:sz w:val="20"/>
          <w:szCs w:val="20"/>
          <w:color w:val="auto"/>
        </w:rPr>
      </w:pPr>
      <w:r>
        <w:rPr>
          <w:rFonts w:ascii="Arial" w:cs="Arial" w:eastAsia="Arial" w:hAnsi="Arial"/>
          <w:sz w:val="12"/>
          <w:szCs w:val="12"/>
          <w:color w:val="auto"/>
        </w:rPr>
        <w:t>Our sales-led and product-led go-to-market strategies are targeted towards prospective customers who oftentimes do not have an existing travel and expense management solution. These customers are oftentimes smaller (although, not always) and find Navan in various ways, including through our growth marketing efforts and are attracted to the streamlined experience we provide to travelers and the tangible cost savings potential provided by our platform, as well as the convenience of our self-service capabilities. In fact, since launching our new self-serve offering in March 2022, thousands of customers have joined our platform through our website, with minimal sales touchpoints. We have also established affiliate partnerships as an additional channel to engage companies. Once live and transacting, these companies leverage our comprehensive knowledge base library, chat support, and a scaled customer-success desk for ongoing post go-live support. Customers have the opportunity to purchase additional Navan offerings directly from the platform and/or with the assistance of an account executive.</w:t>
      </w:r>
    </w:p>
    <w:p>
      <w:pPr>
        <w:spacing w:after="0" w:line="91" w:lineRule="exact"/>
        <w:rPr>
          <w:sz w:val="20"/>
          <w:szCs w:val="20"/>
          <w:color w:val="auto"/>
        </w:rPr>
      </w:pPr>
    </w:p>
    <w:p>
      <w:pPr>
        <w:ind w:left="1520" w:right="1720" w:firstLine="230"/>
        <w:spacing w:after="0" w:line="277" w:lineRule="auto"/>
        <w:rPr>
          <w:sz w:val="20"/>
          <w:szCs w:val="20"/>
          <w:color w:val="auto"/>
        </w:rPr>
      </w:pPr>
      <w:r>
        <w:rPr>
          <w:rFonts w:ascii="Arial" w:cs="Arial" w:eastAsia="Arial" w:hAnsi="Arial"/>
          <w:sz w:val="12"/>
          <w:szCs w:val="12"/>
          <w:color w:val="auto"/>
        </w:rPr>
        <w:t>For prospective customers with existing travel and expense management solutions, we deploy both inside and field sales professionals around the globe, with our exact approach adjusted based on the size and complexity of the prospective customer. These businesses are typically larger and have highly complex travel needs and legacy systems. These customers are assigned account managers for fast implementation and post go-live to drive optimal adoption, expansion, and retention.</w:t>
      </w:r>
    </w:p>
    <w:p>
      <w:pPr>
        <w:spacing w:after="0" w:line="84" w:lineRule="exact"/>
        <w:rPr>
          <w:sz w:val="20"/>
          <w:szCs w:val="20"/>
          <w:color w:val="auto"/>
        </w:rPr>
      </w:pPr>
    </w:p>
    <w:p>
      <w:pPr>
        <w:ind w:left="1520" w:right="1680" w:firstLine="230"/>
        <w:spacing w:after="0" w:line="281" w:lineRule="auto"/>
        <w:rPr>
          <w:sz w:val="20"/>
          <w:szCs w:val="20"/>
          <w:color w:val="auto"/>
        </w:rPr>
      </w:pPr>
      <w:r>
        <w:rPr>
          <w:rFonts w:ascii="Arial" w:cs="Arial" w:eastAsia="Arial" w:hAnsi="Arial"/>
          <w:sz w:val="12"/>
          <w:szCs w:val="12"/>
          <w:color w:val="auto"/>
        </w:rPr>
        <w:t>While travel management has been the focus of our sales teams since our founding, the launch of our expense and corporate payments offerings in 2020 broadened our sales motion and favorable customer impact. With these offerings, we are able to sell an all-in-one suite of complementary capabilities. Our Travel offering is often the beginning of a customer’s journey. From there, we can help customers realize</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155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80"/>
        <w:spacing w:after="0" w:line="271" w:lineRule="auto"/>
        <w:rPr>
          <w:sz w:val="20"/>
          <w:szCs w:val="20"/>
          <w:color w:val="auto"/>
        </w:rPr>
      </w:pPr>
      <w:r>
        <w:rPr>
          <w:rFonts w:ascii="Arial" w:cs="Arial" w:eastAsia="Arial" w:hAnsi="Arial"/>
          <w:sz w:val="12"/>
          <w:szCs w:val="12"/>
          <w:color w:val="auto"/>
        </w:rPr>
        <w:t>synergies by expanding into our Corporate Payments and Expense Management offering. For example, in fiscal 2025, approximately 48% of our customers purchased our Travel offering as well as one or both of our Corporate Payments and Expense Management offerings. For customers that initially purchased our Travel offering exclusively, our sales organization checks in periodically to position our Expense Management and Corporate Payments offerings (along with our VIP, Meetings and Events, and Bleisure offerings) to expand customer value. These customers are also prompted within our application to highlight the potential value upside from coupling their existing offerings with our broader product suite. The efforts of our sales organization, as well as the prompts within the application, are critical drivers for helping us capture the significant go-forward runway we have by driving deeper penetration of our existing customers across our entire product suite.</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Marketing</w:t>
      </w:r>
    </w:p>
    <w:p>
      <w:pPr>
        <w:spacing w:after="0" w:line="128"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color w:val="auto"/>
        </w:rPr>
        <w:t>Our marketing efforts focus on reach, acquisition, and revenue. We have been able to use our travel and expense management strategy to win customers ranging from five employees to thousands of employees, all while in the process of building brand and category awareness and creating a new market. To establish awareness of our platform, we leverage a world-class demand generation engine that feeds self-service channels as well as our sales teams. We generate leads through digital marketing campaigns, paid search, referrals, word-of-mouth, content-marketing, account-based marketing, in-product customer education, brand advertising, public relations, and social media.</w:t>
      </w:r>
    </w:p>
    <w:p>
      <w:pPr>
        <w:spacing w:after="0" w:line="88" w:lineRule="exact"/>
        <w:rPr>
          <w:sz w:val="20"/>
          <w:szCs w:val="20"/>
          <w:color w:val="auto"/>
        </w:rPr>
      </w:pPr>
    </w:p>
    <w:p>
      <w:pPr>
        <w:ind w:left="1520" w:right="1780" w:firstLine="230"/>
        <w:spacing w:after="0" w:line="312" w:lineRule="auto"/>
        <w:rPr>
          <w:sz w:val="20"/>
          <w:szCs w:val="20"/>
          <w:color w:val="auto"/>
        </w:rPr>
      </w:pPr>
      <w:r>
        <w:rPr>
          <w:rFonts w:ascii="Arial" w:cs="Arial" w:eastAsia="Arial" w:hAnsi="Arial"/>
          <w:sz w:val="12"/>
          <w:szCs w:val="12"/>
          <w:color w:val="auto"/>
        </w:rPr>
        <w:t>We grow our relationships with existing customers by expanding their engagement with our platform and our offerings. Expanded use of our platform is enabled by content marketing initiatives.</w:t>
      </w:r>
    </w:p>
    <w:p>
      <w:pPr>
        <w:spacing w:after="0" w:line="62"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Research &amp; Development</w:t>
      </w:r>
    </w:p>
    <w:p>
      <w:pPr>
        <w:spacing w:after="0" w:line="130" w:lineRule="exact"/>
        <w:rPr>
          <w:sz w:val="20"/>
          <w:szCs w:val="20"/>
          <w:color w:val="auto"/>
        </w:rPr>
      </w:pPr>
    </w:p>
    <w:p>
      <w:pPr>
        <w:ind w:left="1520" w:right="1740" w:firstLine="230"/>
        <w:spacing w:after="0" w:line="270" w:lineRule="auto"/>
        <w:rPr>
          <w:sz w:val="20"/>
          <w:szCs w:val="20"/>
          <w:color w:val="auto"/>
        </w:rPr>
      </w:pPr>
      <w:r>
        <w:rPr>
          <w:rFonts w:ascii="Arial" w:cs="Arial" w:eastAsia="Arial" w:hAnsi="Arial"/>
          <w:sz w:val="12"/>
          <w:szCs w:val="12"/>
          <w:color w:val="auto"/>
        </w:rPr>
        <w:t>Our innovation is fundamentally powered by our world-class global Research and Development, or R&amp;D, organization, where we have deeply embedded AI to help drive rapid, targeted innovation and deliver AI-enhanced value to our customers. The velocity, agility, and productivity of our R&amp;D capabilities are significantly amplified by AI, representing a key competitive differentiator. Guided by an AI-first technology vision and DORA (DevOps Research and Assessment) elite standards, our engineering teams often deploy production changes over 100 times in a day. Strategic AI adoption throughout the engineering lifecycle, from coding assistance to intelligent deployment, has accelerated our pace of development and innovation. This AI-augmented approach is powered by our strong global R&amp;D talent team, strategically distributed across key innovation hubs including Palo Alto, Bangalore, Berlin, and Tel Aviv. This global footprint allows us to operate 24/7 from an engineering perspective, allowing us to scale our platform capabilities with significant speed and efficiency.</w:t>
      </w:r>
    </w:p>
    <w:p>
      <w:pPr>
        <w:spacing w:after="0" w:line="91" w:lineRule="exact"/>
        <w:rPr>
          <w:sz w:val="20"/>
          <w:szCs w:val="20"/>
          <w:color w:val="auto"/>
        </w:rPr>
      </w:pPr>
    </w:p>
    <w:p>
      <w:pPr>
        <w:ind w:left="1520" w:right="1740" w:firstLine="230"/>
        <w:spacing w:after="0" w:line="270" w:lineRule="auto"/>
        <w:rPr>
          <w:sz w:val="20"/>
          <w:szCs w:val="20"/>
          <w:color w:val="auto"/>
        </w:rPr>
      </w:pPr>
      <w:r>
        <w:rPr>
          <w:rFonts w:ascii="Arial" w:cs="Arial" w:eastAsia="Arial" w:hAnsi="Arial"/>
          <w:sz w:val="12"/>
          <w:szCs w:val="12"/>
          <w:color w:val="auto"/>
        </w:rPr>
        <w:t>We continuously invest in R&amp;D, with a primary focus on enhancing our platform’s intelligence, functionality, and user experience through the continual integration of AI capabilities, aimed at ensuring the solutions we introduce are predictive of evolving customer demands. We launched over 80 new products, including software improvements, across T&amp;E alone for the six months ended June 30, 2025. Our AI-augmented, customer-centric feedback loop enables us to proactively drive operational efficiencies and a personalized customer experience. This commitment extends to maintaining a secure, scalable, and high-performance platform, underscored by ou r 99.99% average uptime, in line with industry leaders, with AI playing a crucial role in areas like threat detection, system optimization, and predictive maintenance. Our R&amp;D consistently yields market-defining, AI-powered offerings, from intuitive travel bookings and sophisticated corporate cards with AI-based fraud prevention, to AI-native expense automation. Notably, solution introductions from our R&amp;D team such as Ava, our in-house, proprietary AI</w:t>
      </w:r>
    </w:p>
    <w:p>
      <w:pPr>
        <w:sectPr>
          <w:pgSz w:w="11900" w:h="16840" w:orient="portrait"/>
          <w:cols w:equalWidth="0" w:num="1">
            <w:col w:w="9020"/>
          </w:cols>
          <w:pgMar w:left="1440" w:top="560" w:right="1440" w:bottom="0" w:gutter="0" w:footer="0" w:header="0"/>
        </w:sectPr>
      </w:pPr>
    </w:p>
    <w:bookmarkStart w:id="109" w:name="page110"/>
    <w:bookmarkEnd w:id="109"/>
    <w:p>
      <w:pPr>
        <w:ind w:left="1520" w:right="1740"/>
        <w:spacing w:after="0" w:line="312" w:lineRule="auto"/>
        <w:rPr>
          <w:sz w:val="20"/>
          <w:szCs w:val="20"/>
          <w:color w:val="auto"/>
        </w:rPr>
      </w:pPr>
      <w:r>
        <w:rPr>
          <w:rFonts w:ascii="Arial" w:cs="Arial" w:eastAsia="Arial" w:hAnsi="Arial"/>
          <w:sz w:val="12"/>
          <w:szCs w:val="12"/>
          <w:color w:val="auto"/>
        </w:rPr>
        <w:t>customer service tool, allow our platform to autonomously handle approximately 50% of user interactions during the six months ended July 31, 2025, enhancing customer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-220980</wp:posOffset>
            </wp:positionV>
            <wp:extent cx="6732270" cy="99707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42" w:lineRule="exact"/>
        <w:rPr>
          <w:sz w:val="20"/>
          <w:szCs w:val="20"/>
          <w:color w:val="auto"/>
        </w:rPr>
      </w:pPr>
    </w:p>
    <w:p>
      <w:pPr>
        <w:ind w:left="1520" w:right="1960" w:firstLine="230"/>
        <w:spacing w:after="0" w:line="312" w:lineRule="auto"/>
        <w:rPr>
          <w:sz w:val="20"/>
          <w:szCs w:val="20"/>
          <w:color w:val="auto"/>
        </w:rPr>
      </w:pPr>
      <w:r>
        <w:rPr>
          <w:rFonts w:ascii="Arial" w:cs="Arial" w:eastAsia="Arial" w:hAnsi="Arial"/>
          <w:sz w:val="12"/>
          <w:szCs w:val="12"/>
          <w:color w:val="auto"/>
        </w:rPr>
        <w:t>We believe the global breadth of our R&amp;D engineering team, its deep use of AI, and the resulting efficiency of the R&amp;D team are strategic advantages for us, allowing us to innovate quickly, keep our</w:t>
      </w: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156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00"/>
        <w:spacing w:after="0" w:line="312" w:lineRule="auto"/>
        <w:rPr>
          <w:sz w:val="20"/>
          <w:szCs w:val="20"/>
          <w:color w:val="auto"/>
        </w:rPr>
      </w:pPr>
      <w:r>
        <w:rPr>
          <w:rFonts w:ascii="Arial" w:cs="Arial" w:eastAsia="Arial" w:hAnsi="Arial"/>
          <w:sz w:val="12"/>
          <w:szCs w:val="12"/>
          <w:color w:val="auto"/>
        </w:rPr>
        <w:t>infrastructure costs low (allowing us to drive higher margins), and continuously redefine the possibilities in travel and expense management.</w:t>
      </w:r>
    </w:p>
    <w:p>
      <w:pPr>
        <w:spacing w:after="0" w:line="62"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Our Competition</w:t>
      </w:r>
    </w:p>
    <w:p>
      <w:pPr>
        <w:spacing w:after="0" w:line="130" w:lineRule="exact"/>
        <w:rPr>
          <w:sz w:val="20"/>
          <w:szCs w:val="20"/>
          <w:color w:val="auto"/>
        </w:rPr>
      </w:pPr>
    </w:p>
    <w:p>
      <w:pPr>
        <w:ind w:left="1520" w:right="1980" w:firstLine="230"/>
        <w:spacing w:after="0" w:line="312" w:lineRule="auto"/>
        <w:rPr>
          <w:sz w:val="20"/>
          <w:szCs w:val="20"/>
          <w:color w:val="auto"/>
        </w:rPr>
      </w:pPr>
      <w:r>
        <w:rPr>
          <w:rFonts w:ascii="Arial" w:cs="Arial" w:eastAsia="Arial" w:hAnsi="Arial"/>
          <w:sz w:val="12"/>
          <w:szCs w:val="12"/>
          <w:color w:val="auto"/>
        </w:rPr>
        <w:t>We compete in several highly competitive industries, and our ability to compete successfully and grow our market share is essential to our long-term growth and success.</w:t>
      </w:r>
    </w:p>
    <w:p>
      <w:pPr>
        <w:spacing w:after="0" w:line="62" w:lineRule="exact"/>
        <w:rPr>
          <w:sz w:val="20"/>
          <w:szCs w:val="20"/>
          <w:color w:val="auto"/>
        </w:rPr>
      </w:pPr>
    </w:p>
    <w:p>
      <w:pPr>
        <w:ind w:left="1520" w:right="1820" w:firstLine="230"/>
        <w:spacing w:after="0" w:line="273" w:lineRule="auto"/>
        <w:rPr>
          <w:sz w:val="20"/>
          <w:szCs w:val="20"/>
          <w:color w:val="auto"/>
        </w:rPr>
      </w:pPr>
      <w:r>
        <w:rPr>
          <w:rFonts w:ascii="Arial" w:cs="Arial" w:eastAsia="Arial" w:hAnsi="Arial"/>
          <w:sz w:val="12"/>
          <w:szCs w:val="12"/>
          <w:color w:val="auto"/>
        </w:rPr>
        <w:t>We are not a traditional travel provider. Unlike legacy travel management companies that operate as services businesses, Navan is a software platform built on modern infrastructure, proprietary AI, and automation. Our higher-margin model enables us to reinvest more aggressively in product innovation, user experience, and go-to-market, and deeper engagement across our customer base. As a result, we are able to serve a broader range of customers, from startups to global enterprises, while compounding the value of our network with every new user, customer, and supplier added. This creates a powerful flywheel and network effect, contributing to our growth potential.</w:t>
      </w:r>
    </w:p>
    <w:p>
      <w:pPr>
        <w:spacing w:after="0" w:line="88" w:lineRule="exact"/>
        <w:rPr>
          <w:sz w:val="20"/>
          <w:szCs w:val="20"/>
          <w:color w:val="auto"/>
        </w:rPr>
      </w:pPr>
    </w:p>
    <w:p>
      <w:pPr>
        <w:ind w:left="1520" w:right="1780" w:firstLine="230"/>
        <w:spacing w:after="0" w:line="268" w:lineRule="auto"/>
        <w:rPr>
          <w:sz w:val="20"/>
          <w:szCs w:val="20"/>
          <w:color w:val="auto"/>
        </w:rPr>
      </w:pPr>
      <w:r>
        <w:rPr>
          <w:rFonts w:ascii="Arial" w:cs="Arial" w:eastAsia="Arial" w:hAnsi="Arial"/>
          <w:sz w:val="12"/>
          <w:szCs w:val="12"/>
          <w:color w:val="auto"/>
        </w:rPr>
        <w:t>The travel industry is highly competitive and fragmented. We currently compete, and will continue to compete, with a variety of travel and travel-related companies, including other travel management service providers such as BCD Travel, Global Business Travel Group, and SAP Concur, traditional travel agencies, as well as emerging and established online travel agencies. We also face competition, to a lesser extent, from credit card loyalty programs, online travel search and price comparison services, facilitators of alternative accommodations such as short-term home or condominium rentals, social media and e-commerce websites, as well as direct-booking platforms from hotel chains and airlines. We compete by offering our customers a unified, end-to-end travel and expense management platform with global scale and broad inventory, as well as by delivering on a better and more intuitive user experience for employees looking to book their travel, better customer service, better personalization, and more automation across workflows to drive efficiency. We compete against legacy travel companies with our differentiated technology platform that has been built over many years and by technology driven talent. We believe our investments in technology and our ability to act on the underlying data we have collected across our customers are unique and as we continue to invest, we should see an acceleration of our flywheels. We compete against emerging companies with our global scale, supply relationships, and infrastructure. Business travel is global and involves connecting a fractured supplier base to travel buyers, and we have invested in building those direct relationships and creating a platform where customers, travelers, and suppliers win.</w:t>
      </w:r>
    </w:p>
    <w:p>
      <w:pPr>
        <w:spacing w:after="0" w:line="97" w:lineRule="exact"/>
        <w:rPr>
          <w:sz w:val="20"/>
          <w:szCs w:val="20"/>
          <w:color w:val="auto"/>
        </w:rPr>
      </w:pPr>
    </w:p>
    <w:p>
      <w:pPr>
        <w:ind w:left="1520" w:right="1740" w:firstLine="230"/>
        <w:spacing w:after="0" w:line="260" w:lineRule="auto"/>
        <w:rPr>
          <w:sz w:val="20"/>
          <w:szCs w:val="20"/>
          <w:color w:val="auto"/>
        </w:rPr>
      </w:pPr>
      <w:r>
        <w:rPr>
          <w:rFonts w:ascii="Arial" w:cs="Arial" w:eastAsia="Arial" w:hAnsi="Arial"/>
          <w:sz w:val="12"/>
          <w:szCs w:val="12"/>
          <w:color w:val="auto"/>
        </w:rPr>
        <w:t xml:space="preserve">Our Expense Management and Corporate Payments offerings face competitive challenges from do-it-yourself approaches as well as horizontal platform solutions with expense management features such as Expensify, Oracle, and SAP, corporate card providers, and expense management solutions such as Brex and Ramp. With the introduction of new technologies and the entry of new companies into the market, we expect competition to persist and intensify. We compete against these new and existing solutions by serving a robust travel and expense management solution that integrates data across both workflows into a unified, end-to-end platform, allowing us to offer our customers full visibility and control across their travel and expense spend, and drive savings and operational efficiency. In addition to this, we have long believed in an open API policy. This ultimately underpinned the launch of Navan Connect, which allows customers and travelers to port any enrolled corporate Mastercard </w:t>
      </w:r>
      <w:r>
        <w:rPr>
          <w:rFonts w:ascii="Arial" w:cs="Arial" w:eastAsia="Arial" w:hAnsi="Arial"/>
          <w:sz w:val="17"/>
          <w:szCs w:val="17"/>
          <w:color w:val="auto"/>
          <w:vertAlign w:val="superscript"/>
        </w:rPr>
        <w:t>®</w:t>
      </w:r>
      <w:r>
        <w:rPr>
          <w:rFonts w:ascii="Arial" w:cs="Arial" w:eastAsia="Arial" w:hAnsi="Arial"/>
          <w:sz w:val="12"/>
          <w:szCs w:val="12"/>
          <w:color w:val="auto"/>
        </w:rPr>
        <w:t xml:space="preserve"> or Visa</w:t>
      </w:r>
      <w:r>
        <w:rPr>
          <w:rFonts w:ascii="Arial" w:cs="Arial" w:eastAsia="Arial" w:hAnsi="Arial"/>
          <w:sz w:val="17"/>
          <w:szCs w:val="17"/>
          <w:color w:val="auto"/>
          <w:vertAlign w:val="superscript"/>
        </w:rPr>
        <w:t>®</w:t>
      </w:r>
      <w:r>
        <w:rPr>
          <w:rFonts w:ascii="Arial" w:cs="Arial" w:eastAsia="Arial" w:hAnsi="Arial"/>
          <w:sz w:val="12"/>
          <w:szCs w:val="12"/>
          <w:color w:val="auto"/>
        </w:rPr>
        <w:t xml:space="preserve"> card into our Expense Management offering, including those issued by other corporate card providers such as Brex.</w:t>
      </w:r>
    </w:p>
    <w:p>
      <w:pPr>
        <w:spacing w:after="0" w:line="92" w:lineRule="exact"/>
        <w:rPr>
          <w:sz w:val="20"/>
          <w:szCs w:val="20"/>
          <w:color w:val="auto"/>
        </w:rPr>
      </w:pPr>
    </w:p>
    <w:p>
      <w:pPr>
        <w:ind w:left="1520" w:right="2120" w:firstLine="230"/>
        <w:spacing w:after="0" w:line="312" w:lineRule="auto"/>
        <w:rPr>
          <w:sz w:val="20"/>
          <w:szCs w:val="20"/>
          <w:color w:val="auto"/>
        </w:rPr>
      </w:pPr>
      <w:r>
        <w:rPr>
          <w:rFonts w:ascii="Arial" w:cs="Arial" w:eastAsia="Arial" w:hAnsi="Arial"/>
          <w:sz w:val="12"/>
          <w:szCs w:val="12"/>
          <w:color w:val="auto"/>
        </w:rPr>
        <w:t>We believe the principal competitive differentiators that drive our leadership in the markets we compete in include the following:</w:t>
      </w:r>
    </w:p>
    <w:p>
      <w:pPr>
        <w:spacing w:after="0" w:line="62" w:lineRule="exact"/>
        <w:rPr>
          <w:sz w:val="20"/>
          <w:szCs w:val="20"/>
          <w:color w:val="auto"/>
        </w:rPr>
      </w:pPr>
    </w:p>
    <w:p>
      <w:pPr>
        <w:ind w:left="1980" w:right="2100" w:hanging="228"/>
        <w:spacing w:after="0" w:line="312" w:lineRule="auto"/>
        <w:tabs>
          <w:tab w:leader="none" w:pos="198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Unified, end-to-end travel and expense management offering with global scale and supply presence;</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Relentless focus on the frequent traveler and customer experience;</w:t>
      </w: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157</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80" w:right="1740" w:hanging="228"/>
        <w:spacing w:after="0" w:line="289" w:lineRule="auto"/>
        <w:tabs>
          <w:tab w:leader="none" w:pos="19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AI-powered differentiated traveler experience, including optimizing and simplifying search, providing highly tailored and customized travel recommendations, as well as proactive support in case of travel interruption;</w:t>
      </w:r>
    </w:p>
    <w:p>
      <w:pPr>
        <w:spacing w:after="0" w:line="75" w:lineRule="exact"/>
        <w:rPr>
          <w:rFonts w:ascii="Arial" w:cs="Arial" w:eastAsia="Arial" w:hAnsi="Arial"/>
          <w:sz w:val="12"/>
          <w:szCs w:val="12"/>
          <w:color w:val="auto"/>
        </w:rPr>
      </w:pPr>
    </w:p>
    <w:p>
      <w:pPr>
        <w:ind w:left="1980" w:hanging="228"/>
        <w:spacing w:after="0"/>
        <w:tabs>
          <w:tab w:leader="none" w:pos="19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Ease of access, deployment, adoption, and use of our platform;</w:t>
      </w:r>
    </w:p>
    <w:p>
      <w:pPr>
        <w:spacing w:after="0" w:line="129" w:lineRule="exact"/>
        <w:rPr>
          <w:rFonts w:ascii="Arial" w:cs="Arial" w:eastAsia="Arial" w:hAnsi="Arial"/>
          <w:sz w:val="12"/>
          <w:szCs w:val="12"/>
          <w:color w:val="auto"/>
        </w:rPr>
      </w:pPr>
    </w:p>
    <w:p>
      <w:pPr>
        <w:ind w:left="1980" w:right="1880" w:hanging="228"/>
        <w:spacing w:after="0" w:line="312" w:lineRule="auto"/>
        <w:tabs>
          <w:tab w:leader="none" w:pos="19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Actionable analytics and intelligence for managers to monitor, analyze and approve travel and entertainment spend in real-time;</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Platform functionality and ability to automate processes;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Mobile access across devices;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Data security and privacy;</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Speed and scalability of architecture underlying the platform;</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Brand reputation; and</w:t>
      </w:r>
    </w:p>
    <w:p>
      <w:pPr>
        <w:sectPr>
          <w:pgSz w:w="11900" w:h="16840" w:orient="portrait"/>
          <w:cols w:equalWidth="0" w:num="1">
            <w:col w:w="9020"/>
          </w:cols>
          <w:pgMar w:left="1440" w:top="560" w:right="1440" w:bottom="115" w:gutter="0" w:footer="0" w:header="0"/>
        </w:sectPr>
      </w:pPr>
    </w:p>
    <w:bookmarkStart w:id="110" w:name="page111"/>
    <w:bookmarkEnd w:id="110"/>
    <w:p>
      <w:pPr>
        <w:ind w:left="1980" w:hanging="228"/>
        <w:spacing w:after="0"/>
        <w:tabs>
          <w:tab w:leader="none" w:pos="1980" w:val="left"/>
        </w:tabs>
        <w:numPr>
          <w:ilvl w:val="0"/>
          <w:numId w:val="11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Customer service and support.</w:t>
      </w:r>
    </w:p>
    <w:p>
      <w:pPr>
        <w:spacing w:after="0" w:line="130" w:lineRule="exact"/>
        <w:rPr>
          <w:sz w:val="20"/>
          <w:szCs w:val="20"/>
          <w:color w:val="auto"/>
        </w:rPr>
      </w:pPr>
    </w:p>
    <w:p>
      <w:pPr>
        <w:ind w:left="1520" w:right="2060" w:firstLine="230"/>
        <w:spacing w:after="0" w:line="312" w:lineRule="auto"/>
        <w:rPr>
          <w:sz w:val="20"/>
          <w:szCs w:val="20"/>
          <w:color w:val="auto"/>
        </w:rPr>
      </w:pPr>
      <w:r>
        <w:rPr>
          <w:rFonts w:ascii="Arial" w:cs="Arial" w:eastAsia="Arial" w:hAnsi="Arial"/>
          <w:sz w:val="12"/>
          <w:szCs w:val="12"/>
          <w:color w:val="auto"/>
        </w:rPr>
        <w:t>We believe we compete favorably against our competitors on the basis of the factors described above.</w:t>
      </w:r>
    </w:p>
    <w:p>
      <w:pPr>
        <w:spacing w:after="0" w:line="62"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Intellectual Property</w:t>
      </w:r>
    </w:p>
    <w:p>
      <w:pPr>
        <w:spacing w:after="0" w:line="130" w:lineRule="exact"/>
        <w:rPr>
          <w:sz w:val="20"/>
          <w:szCs w:val="20"/>
          <w:color w:val="auto"/>
        </w:rPr>
      </w:pPr>
    </w:p>
    <w:p>
      <w:pPr>
        <w:ind w:left="1520" w:right="1840" w:firstLine="230"/>
        <w:spacing w:after="0" w:line="277" w:lineRule="auto"/>
        <w:rPr>
          <w:sz w:val="20"/>
          <w:szCs w:val="20"/>
          <w:color w:val="auto"/>
        </w:rPr>
      </w:pPr>
      <w:r>
        <w:rPr>
          <w:rFonts w:ascii="Arial" w:cs="Arial" w:eastAsia="Arial" w:hAnsi="Arial"/>
          <w:sz w:val="12"/>
          <w:szCs w:val="12"/>
          <w:color w:val="auto"/>
        </w:rPr>
        <w:t>Our intellectual property rights, including those in our proprietary technology, software, data, processes, know-how, and brand, are an important aspect of our business and help us maintain our competitive position. To establish and protect our rights in our intellectual property, we rely upon a combination of patent, copyright, trade secret, and trademark laws, and contractual restrictions such as confidentiality agreements, licenses, and intellectual property assignment agreements.</w:t>
      </w:r>
    </w:p>
    <w:p>
      <w:pPr>
        <w:spacing w:after="0" w:line="84" w:lineRule="exact"/>
        <w:rPr>
          <w:sz w:val="20"/>
          <w:szCs w:val="20"/>
          <w:color w:val="auto"/>
        </w:rPr>
      </w:pPr>
    </w:p>
    <w:p>
      <w:pPr>
        <w:ind w:left="1520" w:right="1840" w:firstLine="230"/>
        <w:spacing w:after="0" w:line="281" w:lineRule="auto"/>
        <w:rPr>
          <w:sz w:val="20"/>
          <w:szCs w:val="20"/>
          <w:color w:val="auto"/>
        </w:rPr>
      </w:pPr>
      <w:r>
        <w:rPr>
          <w:rFonts w:ascii="Arial" w:cs="Arial" w:eastAsia="Arial" w:hAnsi="Arial"/>
          <w:sz w:val="12"/>
          <w:szCs w:val="12"/>
          <w:color w:val="auto"/>
        </w:rPr>
        <w:t>As of September 1, 2025, we have six trademark registrations and seven trademark applications in the United States, as well as 82 trademark registrations and nine trademark applications in foreign jurisdictions. We will pursue additional trademark registrations to the extent we believe it would be beneficial and cost effective. We also own domain names, including www.navan.com.</w:t>
      </w:r>
    </w:p>
    <w:p>
      <w:pPr>
        <w:spacing w:after="0" w:line="81" w:lineRule="exact"/>
        <w:rPr>
          <w:sz w:val="20"/>
          <w:szCs w:val="20"/>
          <w:color w:val="auto"/>
        </w:rPr>
      </w:pPr>
    </w:p>
    <w:p>
      <w:pPr>
        <w:ind w:left="1520" w:right="1840" w:firstLine="230"/>
        <w:spacing w:after="0" w:line="281" w:lineRule="auto"/>
        <w:rPr>
          <w:sz w:val="20"/>
          <w:szCs w:val="20"/>
          <w:color w:val="auto"/>
        </w:rPr>
      </w:pPr>
      <w:r>
        <w:rPr>
          <w:rFonts w:ascii="Arial" w:cs="Arial" w:eastAsia="Arial" w:hAnsi="Arial"/>
          <w:sz w:val="12"/>
          <w:szCs w:val="12"/>
          <w:color w:val="auto"/>
        </w:rPr>
        <w:t>As of September 1, 2025, we have two issued patents and 16 pending patent applications in the United States, and 13 pending international patent applications. One of our issued U.S. patents expires in 2039 and the other in 2041. We continually review our development efforts to assess the existence and patentability of new intellectual property.</w:t>
      </w:r>
    </w:p>
    <w:p>
      <w:pPr>
        <w:spacing w:after="0" w:line="81" w:lineRule="exact"/>
        <w:rPr>
          <w:sz w:val="20"/>
          <w:szCs w:val="20"/>
          <w:color w:val="auto"/>
        </w:rPr>
      </w:pPr>
    </w:p>
    <w:p>
      <w:pPr>
        <w:ind w:left="1520" w:right="1780" w:firstLine="230"/>
        <w:spacing w:after="0" w:line="271" w:lineRule="auto"/>
        <w:rPr>
          <w:sz w:val="20"/>
          <w:szCs w:val="20"/>
          <w:color w:val="auto"/>
        </w:rPr>
      </w:pPr>
      <w:r>
        <w:rPr>
          <w:rFonts w:ascii="Arial" w:cs="Arial" w:eastAsia="Arial" w:hAnsi="Arial"/>
          <w:sz w:val="12"/>
          <w:szCs w:val="12"/>
          <w:color w:val="auto"/>
        </w:rPr>
        <w:t>We control access to our intellectual property and confidential information through internal and external controls. Our practices require our employees and third parties who develop any material intellectual property on our behalf to enter into confidentiality and invention assignment agreements. Our practices also require third parties with whom we share our confidential proprietary information to enter into nondisclosure and confidentiality agreements or to be bound by professional, fiduciary or other contractual obligations requiring the applicable employee or third party to protect our trade secrets, proprietary know-how, and other confidential proprietary information, including those related to our proprietary AI models. However, we cannot guarantee that we have entered into agreements containing such obligations with each party that has been involved in the development of intellectual property for us or that has, or may have had, access to our trade secrets, proprietary know-how, and other confidential proprietary information.</w:t>
      </w:r>
    </w:p>
    <w:p>
      <w:pPr>
        <w:spacing w:after="0" w:line="241" w:lineRule="exact"/>
        <w:rPr>
          <w:sz w:val="20"/>
          <w:szCs w:val="20"/>
          <w:color w:val="auto"/>
        </w:rPr>
      </w:pPr>
    </w:p>
    <w:p>
      <w:pPr>
        <w:ind w:left="1520" w:right="2060" w:firstLine="230"/>
        <w:spacing w:after="0" w:line="289" w:lineRule="auto"/>
        <w:rPr>
          <w:sz w:val="20"/>
          <w:szCs w:val="20"/>
          <w:color w:val="auto"/>
        </w:rPr>
      </w:pPr>
      <w:r>
        <w:rPr>
          <w:rFonts w:ascii="Arial" w:cs="Arial" w:eastAsia="Arial" w:hAnsi="Arial"/>
          <w:sz w:val="12"/>
          <w:szCs w:val="12"/>
          <w:color w:val="auto"/>
        </w:rPr>
        <w:t>In addition, intellectual property laws and our procedures and restrictions provide only limited protection, and any of our intellectual property rights may be challenged, invalidated, circumvented, infringed, or misappropriated.</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158</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Government Regulations</w:t>
      </w:r>
    </w:p>
    <w:p>
      <w:pPr>
        <w:spacing w:after="0" w:line="130" w:lineRule="exact"/>
        <w:rPr>
          <w:sz w:val="20"/>
          <w:szCs w:val="20"/>
          <w:color w:val="auto"/>
        </w:rPr>
      </w:pPr>
    </w:p>
    <w:p>
      <w:pPr>
        <w:ind w:left="1520" w:right="1800" w:firstLine="230"/>
        <w:spacing w:after="0" w:line="281" w:lineRule="auto"/>
        <w:rPr>
          <w:sz w:val="20"/>
          <w:szCs w:val="20"/>
          <w:color w:val="auto"/>
        </w:rPr>
      </w:pPr>
      <w:r>
        <w:rPr>
          <w:rFonts w:ascii="Arial" w:cs="Arial" w:eastAsia="Arial" w:hAnsi="Arial"/>
          <w:sz w:val="12"/>
          <w:szCs w:val="12"/>
          <w:color w:val="auto"/>
        </w:rPr>
        <w:t>Our business activities are or may be subject to various federal, state, local, and foreign laws, rules, and regulations, including those related to travel, data privacy, security and data protection, financial services, intellectual property, advertising practices, employment and labor, tax, anti-corruption, and export control and sanctions laws.</w:t>
      </w:r>
    </w:p>
    <w:p>
      <w:pPr>
        <w:spacing w:after="0" w:line="81" w:lineRule="exact"/>
        <w:rPr>
          <w:sz w:val="20"/>
          <w:szCs w:val="20"/>
          <w:color w:val="auto"/>
        </w:rPr>
      </w:pPr>
    </w:p>
    <w:p>
      <w:pPr>
        <w:ind w:left="1520" w:right="1680" w:firstLine="230"/>
        <w:spacing w:after="0" w:line="271" w:lineRule="auto"/>
        <w:rPr>
          <w:sz w:val="20"/>
          <w:szCs w:val="20"/>
          <w:color w:val="auto"/>
        </w:rPr>
      </w:pPr>
      <w:r>
        <w:rPr>
          <w:rFonts w:ascii="Arial" w:cs="Arial" w:eastAsia="Arial" w:hAnsi="Arial"/>
          <w:sz w:val="12"/>
          <w:szCs w:val="12"/>
          <w:color w:val="auto"/>
        </w:rPr>
        <w:t xml:space="preserve">Our travel management business is subject to registration and licensing requirements imposed by airline industry-established organizations, including agent accreditation requirements imposed by the Airlines Reporting Corporation, or the ARC, in the United States and the International Air Transport Association, or the IATA, in other countries. Pursuant to such accreditation and licensing requirements, our business is authorized to sell and issue tickets on behalf of various airlines, subject to agent rules set by the ARC and the IATA. The failure by our business to comply with such requirements and rules or to obtain and maintain such licenses could result in the suspension or revocation of our authority to sell and issue tickets on behalf of one or more airlines. </w:t>
      </w:r>
      <w:r>
        <w:rPr>
          <w:rFonts w:ascii="Arial" w:cs="Arial" w:eastAsia="Arial" w:hAnsi="Arial"/>
          <w:sz w:val="12"/>
          <w:szCs w:val="12"/>
          <w:color w:val="auto"/>
          <w:highlight w:val="white"/>
        </w:rPr>
        <w:t>In addition, R&amp;M UK also has an ATOL registration, which</w:t>
      </w:r>
      <w:r>
        <w:rPr>
          <w:rFonts w:ascii="Arial" w:cs="Arial" w:eastAsia="Arial" w:hAnsi="Arial"/>
          <w:sz w:val="12"/>
          <w:szCs w:val="12"/>
          <w:color w:val="auto"/>
        </w:rPr>
        <w:t xml:space="preserve"> </w:t>
      </w:r>
      <w:r>
        <w:rPr>
          <w:rFonts w:ascii="Arial" w:cs="Arial" w:eastAsia="Arial" w:hAnsi="Arial"/>
          <w:sz w:val="12"/>
          <w:szCs w:val="12"/>
          <w:color w:val="auto"/>
          <w:highlight w:val="white"/>
        </w:rPr>
        <w:t xml:space="preserve">is similar to the EU package travel directive (that otherwise generally does not apply to Navan and its </w:t>
      </w:r>
      <w:r>
        <w:rPr>
          <w:rFonts w:ascii="Arial" w:cs="Arial" w:eastAsia="Arial" w:hAnsi="Arial"/>
          <w:sz w:val="12"/>
          <w:szCs w:val="12"/>
          <w:color w:val="auto"/>
        </w:rPr>
        <w:t>subsidiaries).</w:t>
      </w:r>
    </w:p>
    <w:p>
      <w:pPr>
        <w:spacing w:after="0" w:line="243" w:lineRule="exact"/>
        <w:rPr>
          <w:sz w:val="20"/>
          <w:szCs w:val="20"/>
          <w:color w:val="auto"/>
        </w:rPr>
      </w:pPr>
    </w:p>
    <w:p>
      <w:pPr>
        <w:ind w:left="1520" w:right="1800" w:firstLine="230"/>
        <w:spacing w:after="0" w:line="277" w:lineRule="auto"/>
        <w:rPr>
          <w:sz w:val="20"/>
          <w:szCs w:val="20"/>
          <w:color w:val="auto"/>
        </w:rPr>
      </w:pPr>
      <w:r>
        <w:rPr>
          <w:rFonts w:ascii="Arial" w:cs="Arial" w:eastAsia="Arial" w:hAnsi="Arial"/>
          <w:sz w:val="12"/>
          <w:szCs w:val="12"/>
          <w:color w:val="auto"/>
        </w:rPr>
        <w:t>As we continue to expand our travel management offerings based on new offerings and features or new geographic regions, we may become subject to additional laws and regulations applicable to TMCs or travel booking platforms, including, in some countries, licensing and registration requirements, price or other display requirements, mandatory bonding and travel indemnity fund contributions, industry specific value-added tax regimes, and laws regulating the provision of travel packages.</w:t>
      </w:r>
    </w:p>
    <w:p>
      <w:pPr>
        <w:spacing w:after="0" w:line="84" w:lineRule="exact"/>
        <w:rPr>
          <w:sz w:val="20"/>
          <w:szCs w:val="20"/>
          <w:color w:val="auto"/>
        </w:rPr>
      </w:pPr>
    </w:p>
    <w:p>
      <w:pPr>
        <w:ind w:left="1520" w:right="1800" w:firstLine="230"/>
        <w:spacing w:after="0" w:line="268" w:lineRule="auto"/>
        <w:rPr>
          <w:sz w:val="20"/>
          <w:szCs w:val="20"/>
          <w:color w:val="auto"/>
        </w:rPr>
      </w:pPr>
      <w:r>
        <w:rPr>
          <w:rFonts w:ascii="Arial" w:cs="Arial" w:eastAsia="Arial" w:hAnsi="Arial"/>
          <w:sz w:val="12"/>
          <w:szCs w:val="12"/>
          <w:color w:val="auto"/>
        </w:rPr>
        <w:t>Currently, we partner with banks and other regulated financial institutions that enter into direct agreements with our customers to provide regulated offerings as part of our expense management offering. Nevertheless, the laws and regulations related to payments and lending are complex, subject to change, and vary across different jurisdictions in the United States and globally. We may become subject to financial services laws and regulations, including laws and regulations regulating or requiring licensing for payments or lending-related activities, as we expand our expense management solution into new regions and develop new offerings in the future or if regulatory interpretations of existing laws change or are otherwise deemed to apply to our business activities. New and existing laws and regulations (or changes in interpretation of existing laws and regulations) may also be adopted, implemented, or interpreted to apply to our activities or those of our service partners, and uncertainty around the application of these laws may affect demand for travel and our expense management platform. Additionally, as our platform’s geographic scope expands, regulatory agencies, courts, and other authorities may claim that we are subject to additional requirements or are prohibited from conducting our business in or with customers in certain jurisdictions, either generally or with respect to certain services, or that we are otherwise required to change our business practices. We believe we are in material compliance with such laws and regulations and do not expect continued compliance to have a material impact on our capital expenditures, earnings, or competitive position. For additional discussion on governmental regulation affecting our business, please see the section titled “Risk Factors—Risks Related to Legal and Regulatory Matters.”</w:t>
      </w:r>
    </w:p>
    <w:p>
      <w:pPr>
        <w:spacing w:after="0" w:line="250"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Data Security and Privacy</w:t>
      </w:r>
    </w:p>
    <w:p>
      <w:pPr>
        <w:spacing w:after="0" w:line="130" w:lineRule="exact"/>
        <w:rPr>
          <w:sz w:val="20"/>
          <w:szCs w:val="20"/>
          <w:color w:val="auto"/>
        </w:rPr>
      </w:pPr>
    </w:p>
    <w:p>
      <w:pPr>
        <w:ind w:left="1520" w:right="1760" w:firstLine="230"/>
        <w:spacing w:after="0" w:line="272" w:lineRule="auto"/>
        <w:rPr>
          <w:sz w:val="20"/>
          <w:szCs w:val="20"/>
          <w:color w:val="auto"/>
        </w:rPr>
      </w:pPr>
      <w:r>
        <w:rPr>
          <w:rFonts w:ascii="Arial" w:cs="Arial" w:eastAsia="Arial" w:hAnsi="Arial"/>
          <w:sz w:val="12"/>
          <w:szCs w:val="12"/>
          <w:color w:val="auto"/>
        </w:rPr>
        <w:t>The data we collect, use, receive, and otherwise process is integral to our business, enabling us to provide our offerings to our customers and providing us with insights to improve our platform and offerings, particularly related to our AI offerings enabled by Navan Cognition. Our collection, use, receipt, and other processing of data (including personal information) in our business subjects us to numerous U.S. state and federal and international laws and regulations addressing privacy, data protection, information security and the collection, storing, sharing, use, transfer, disclosure, protection, and processing of certain types of data, and use of personal information for marketing, advertising, and other activities conducted by telephone, email, mobile devices, and the Internet. Such regulations include, for</w:t>
      </w:r>
    </w:p>
    <w:p>
      <w:pPr>
        <w:sectPr>
          <w:pgSz w:w="11900" w:h="16840" w:orient="portrait"/>
          <w:cols w:equalWidth="0" w:num="1">
            <w:col w:w="9020"/>
          </w:cols>
          <w:pgMar w:left="1440" w:top="588" w:right="1440" w:bottom="25" w:gutter="0" w:footer="0" w:header="0"/>
        </w:sectPr>
      </w:pPr>
    </w:p>
    <w:bookmarkStart w:id="111" w:name="page112"/>
    <w:bookmarkEnd w:id="111"/>
    <w:p>
      <w:pPr>
        <w:jc w:val="center"/>
        <w:ind w:right="160"/>
        <w:spacing w:after="0"/>
        <w:rPr>
          <w:sz w:val="20"/>
          <w:szCs w:val="20"/>
          <w:color w:val="auto"/>
        </w:rPr>
      </w:pPr>
      <w:r>
        <w:rPr>
          <w:rFonts w:ascii="Arial" w:cs="Arial" w:eastAsia="Arial" w:hAnsi="Arial"/>
          <w:sz w:val="12"/>
          <w:szCs w:val="12"/>
          <w:color w:val="auto"/>
        </w:rPr>
        <w:t>example, CAN-SPAM, CCPA, GDPR, and the EU ePrivacy Directive. We work to comply with, and to help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159</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40"/>
        <w:spacing w:after="0" w:line="289" w:lineRule="auto"/>
        <w:rPr>
          <w:sz w:val="20"/>
          <w:szCs w:val="20"/>
          <w:color w:val="auto"/>
        </w:rPr>
      </w:pPr>
      <w:r>
        <w:rPr>
          <w:rFonts w:ascii="Arial" w:cs="Arial" w:eastAsia="Arial" w:hAnsi="Arial"/>
          <w:sz w:val="12"/>
          <w:szCs w:val="12"/>
          <w:color w:val="auto"/>
        </w:rPr>
        <w:t>allow customers to comply with, applicable laws and regulations relating to privacy, data protection, cybersecurity, and information security. This helps to underpin our strategy of building trust and providing a strong experience to customers.</w:t>
      </w:r>
    </w:p>
    <w:p>
      <w:pPr>
        <w:spacing w:after="0" w:line="76" w:lineRule="exact"/>
        <w:rPr>
          <w:sz w:val="20"/>
          <w:szCs w:val="20"/>
          <w:color w:val="auto"/>
        </w:rPr>
      </w:pPr>
    </w:p>
    <w:p>
      <w:pPr>
        <w:ind w:left="1520" w:right="1740" w:firstLine="230"/>
        <w:spacing w:after="0" w:line="281" w:lineRule="auto"/>
        <w:rPr>
          <w:sz w:val="20"/>
          <w:szCs w:val="20"/>
          <w:color w:val="auto"/>
        </w:rPr>
      </w:pPr>
      <w:r>
        <w:rPr>
          <w:rFonts w:ascii="Arial" w:cs="Arial" w:eastAsia="Arial" w:hAnsi="Arial"/>
          <w:sz w:val="12"/>
          <w:szCs w:val="12"/>
          <w:color w:val="auto"/>
        </w:rPr>
        <w:t>For example, at the U.S.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cybersecurity).</w:t>
      </w:r>
    </w:p>
    <w:p>
      <w:pPr>
        <w:spacing w:after="0" w:line="81" w:lineRule="exact"/>
        <w:rPr>
          <w:sz w:val="20"/>
          <w:szCs w:val="20"/>
          <w:color w:val="auto"/>
        </w:rPr>
      </w:pPr>
    </w:p>
    <w:p>
      <w:pPr>
        <w:ind w:left="1520" w:right="1720" w:firstLine="230"/>
        <w:spacing w:after="0" w:line="270" w:lineRule="auto"/>
        <w:rPr>
          <w:sz w:val="20"/>
          <w:szCs w:val="20"/>
          <w:color w:val="auto"/>
        </w:rPr>
      </w:pPr>
      <w:r>
        <w:rPr>
          <w:rFonts w:ascii="Arial" w:cs="Arial" w:eastAsia="Arial" w:hAnsi="Arial"/>
          <w:sz w:val="12"/>
          <w:szCs w:val="12"/>
          <w:color w:val="auto"/>
        </w:rPr>
        <w:t>Numerous U.S. states have enacted comprehensive consumer privacy laws that impose certain obligations on covered businesses, including providing specific disclosures in privacy notices and affording consumers with certain rights concerning their personal information. Certain states also impose stricter requirements for processing certain personal information, including sensitive personal information, such as conducting data privacy impact assessments. These state laws allow for statutory fines for noncompliance. For example, the CCPA applies to personal information of consumers, business representatives, employees, and others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Moreover, all U.S. states have enacted state data breach notification laws requiring businesses to provide notice under certain circumstances to consumers whose personal information has been disclosed as a result of a data breach.</w:t>
      </w:r>
    </w:p>
    <w:p>
      <w:pPr>
        <w:spacing w:after="0" w:line="89"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color w:val="auto"/>
        </w:rPr>
        <w:t>Furthermore, as we accept and store debit and credit cards for payment, we are subject to the PCI-DSS, issued by the Payment Card Industry Security Standards Council. PCI-DSS contains compliance guidelines with regard to our security surrounding the physical and electronic storage, processing, and transmission of cardholder data. Costs and potential problems and interruptions associated with the implementation of new or upgraded systems and technology, such as those necessary to achieve compliance with PCI-DSS or with maintenance or adequate support of existing systems could also disrupt or reduce the efficiency of our operations.</w:t>
      </w:r>
    </w:p>
    <w:p>
      <w:pPr>
        <w:spacing w:after="0" w:line="88" w:lineRule="exact"/>
        <w:rPr>
          <w:sz w:val="20"/>
          <w:szCs w:val="20"/>
          <w:color w:val="auto"/>
        </w:rPr>
      </w:pPr>
    </w:p>
    <w:p>
      <w:pPr>
        <w:ind w:left="1520" w:right="1760" w:firstLine="230"/>
        <w:spacing w:after="0" w:line="272" w:lineRule="auto"/>
        <w:rPr>
          <w:sz w:val="20"/>
          <w:szCs w:val="20"/>
          <w:color w:val="auto"/>
        </w:rPr>
      </w:pPr>
      <w:r>
        <w:rPr>
          <w:rFonts w:ascii="Arial" w:cs="Arial" w:eastAsia="Arial" w:hAnsi="Arial"/>
          <w:sz w:val="12"/>
          <w:szCs w:val="12"/>
          <w:color w:val="auto"/>
        </w:rPr>
        <w:t>We contract with third-party service providers, including shared cloud computing services, to store or process data (including personal information) on our behalf in compliance with applicable laws, regulations, rules and standards. To that end, we strive to enter into data processing agreements with all our third-party providers to clearly define the services being provided and the nature of the engagement, for example the protection and ownership of the data being processed by the service provider. We also maintain processes to ensure that all our third-party providers comply with our data processing agreements, as applicable. However, we may at times fail to do so and cannot ensure that our data processing agreements will be sufficient to protect us from claims, proceedings, liability or adverse publicity relating to data privacy or cybersecurity.</w:t>
      </w:r>
    </w:p>
    <w:p>
      <w:pPr>
        <w:spacing w:after="0" w:line="85" w:lineRule="exact"/>
        <w:rPr>
          <w:sz w:val="20"/>
          <w:szCs w:val="20"/>
          <w:color w:val="auto"/>
        </w:rPr>
      </w:pPr>
    </w:p>
    <w:p>
      <w:pPr>
        <w:ind w:left="1520" w:right="1720" w:firstLine="230"/>
        <w:spacing w:after="0" w:line="272" w:lineRule="auto"/>
        <w:rPr>
          <w:sz w:val="20"/>
          <w:szCs w:val="20"/>
          <w:color w:val="auto"/>
        </w:rPr>
      </w:pPr>
      <w:r>
        <w:rPr>
          <w:rFonts w:ascii="Arial" w:cs="Arial" w:eastAsia="Arial" w:hAnsi="Arial"/>
          <w:sz w:val="12"/>
          <w:szCs w:val="12"/>
          <w:color w:val="auto"/>
        </w:rPr>
        <w:t>Furthermore, the evolving regulatory framework complicates data transfers across borders. For example, legal developments in the EEA and the U.K. have created complexity and uncertainty regarding processing and transfers of personal data from the EEA and the U.K. to the United States and other so-called third countries outside the EEA and the U.K. that have not been determined by the relevant data protection authorities to provide an adequate level of protection for privacy rights. Ongoing legal challenges and changes in adequacy decisions, such as the EU-U.S. Data Privacy Framework, may further restrict our ability to transfer personal data internationally, potentially disrupting our operations. In many cases, these laws and regulations apply not only to third-party transactions, but also to transfers of information among our entities.</w:t>
      </w:r>
    </w:p>
    <w:p>
      <w:pPr>
        <w:spacing w:after="0" w:line="85" w:lineRule="exact"/>
        <w:rPr>
          <w:sz w:val="20"/>
          <w:szCs w:val="20"/>
          <w:color w:val="auto"/>
        </w:rPr>
      </w:pPr>
    </w:p>
    <w:p>
      <w:pPr>
        <w:ind w:left="1520" w:right="1700" w:firstLine="230"/>
        <w:spacing w:after="0" w:line="277" w:lineRule="auto"/>
        <w:rPr>
          <w:sz w:val="20"/>
          <w:szCs w:val="20"/>
          <w:color w:val="auto"/>
        </w:rPr>
      </w:pPr>
      <w:r>
        <w:rPr>
          <w:rFonts w:ascii="Arial" w:cs="Arial" w:eastAsia="Arial" w:hAnsi="Arial"/>
          <w:sz w:val="12"/>
          <w:szCs w:val="12"/>
          <w:color w:val="auto"/>
        </w:rPr>
        <w:t>Despite our efforts to comply with applicable laws, regulations and other obligations relating to privacy, data protection, cybersecurity and information security, it is possible that our interpretations of the law, practices or platform could be inconsistent with, or fail or be alleged to fail to meet all requirements of, such laws, regulations, or obligations. Our failure, or the failure by our third-party partners, vendors, service providers, or customers, to comply with applicable laws or regulations or any other obligations</w:t>
      </w: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160</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00"/>
        <w:spacing w:after="0" w:line="268" w:lineRule="auto"/>
        <w:rPr>
          <w:sz w:val="20"/>
          <w:szCs w:val="20"/>
          <w:color w:val="auto"/>
        </w:rPr>
      </w:pPr>
      <w:r>
        <w:rPr>
          <w:rFonts w:ascii="Arial" w:cs="Arial" w:eastAsia="Arial" w:hAnsi="Arial"/>
          <w:sz w:val="12"/>
          <w:szCs w:val="12"/>
          <w:color w:val="auto"/>
        </w:rPr>
        <w:t>relating to privacy, data protection, cybersecurity, or information security, or any compromise of security that results in unauthorized access to, or use, modification, release, or other unauthorized processing of personal information or other data relating to customers, their employees, other personnel and / or other individuals, or the perception that any of the foregoing types of failure or compromise has occurred, could damage our reputation and brand, discourage new and existing customers from using our platform, or result in fines, investigations, or proceedings by governmental agencies, and private claims and litigation, any of which could adversely affect our business, financial condition, and results of operations. Furthermore, we and our third-party partners, vendors and service providers with whom we work are subject to a variety of evolving cybersecurity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While we have implemented security measures designed to protect against security incidents and data breaches, there can be no assurance that these measures will be effective. For more information on risks associated with our information technology systems, see the section titled “Risk Factors—Risks Related to Privacy, Cybersecurity, and Intellectual Property.”</w:t>
      </w:r>
    </w:p>
    <w:p>
      <w:pPr>
        <w:spacing w:after="0" w:line="96"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Our Facilities</w:t>
      </w:r>
    </w:p>
    <w:p>
      <w:pPr>
        <w:sectPr>
          <w:pgSz w:w="11900" w:h="16840" w:orient="portrait"/>
          <w:cols w:equalWidth="0" w:num="1">
            <w:col w:w="9020"/>
          </w:cols>
          <w:pgMar w:left="1440" w:top="560" w:right="1440" w:bottom="229" w:gutter="0" w:footer="0" w:header="0"/>
        </w:sectPr>
      </w:pPr>
    </w:p>
    <w:bookmarkStart w:id="112" w:name="page113"/>
    <w:bookmarkEnd w:id="112"/>
    <w:p>
      <w:pPr>
        <w:ind w:left="1520" w:right="1720" w:firstLine="230"/>
        <w:spacing w:after="0" w:line="201" w:lineRule="auto"/>
        <w:rPr>
          <w:sz w:val="20"/>
          <w:szCs w:val="20"/>
          <w:color w:val="auto"/>
        </w:rPr>
      </w:pPr>
      <w:r>
        <w:rPr>
          <w:rFonts w:ascii="Arial" w:cs="Arial" w:eastAsia="Arial" w:hAnsi="Arial"/>
          <w:sz w:val="12"/>
          <w:szCs w:val="12"/>
          <w:color w:val="auto"/>
        </w:rPr>
        <w:t>We are headquartered in Palo Alto, California, where we occupy approximately 31,500 square feet of office space pursuant to a lease that expires in 2032. In addition, we lease office space in the United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-139700</wp:posOffset>
            </wp:positionV>
            <wp:extent cx="6732270" cy="99707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740"/>
        <w:spacing w:after="0" w:line="279" w:lineRule="auto"/>
        <w:rPr>
          <w:sz w:val="20"/>
          <w:szCs w:val="20"/>
          <w:color w:val="auto"/>
        </w:rPr>
      </w:pPr>
      <w:r>
        <w:rPr>
          <w:rFonts w:ascii="Arial" w:cs="Arial" w:eastAsia="Arial" w:hAnsi="Arial"/>
          <w:sz w:val="12"/>
          <w:szCs w:val="12"/>
          <w:color w:val="auto"/>
        </w:rPr>
        <w:t>States in San Francisco, CA; Coppell and Austin, TX; New York City, NY; and internationally, including in London, Paris, Berlin, Lisbon, United Arab Emirates, Israel, India and Australia, which we use for operations, sales, and engineering, as applicable.</w:t>
      </w:r>
    </w:p>
    <w:p>
      <w:pPr>
        <w:spacing w:after="0" w:line="81" w:lineRule="exact"/>
        <w:rPr>
          <w:sz w:val="20"/>
          <w:szCs w:val="20"/>
          <w:color w:val="auto"/>
        </w:rPr>
      </w:pPr>
    </w:p>
    <w:p>
      <w:pPr>
        <w:ind w:left="1520" w:right="1920" w:firstLine="230"/>
        <w:spacing w:after="0" w:line="281" w:lineRule="auto"/>
        <w:rPr>
          <w:sz w:val="20"/>
          <w:szCs w:val="20"/>
          <w:color w:val="auto"/>
        </w:rPr>
      </w:pPr>
      <w:r>
        <w:rPr>
          <w:rFonts w:ascii="Arial" w:cs="Arial" w:eastAsia="Arial" w:hAnsi="Arial"/>
          <w:sz w:val="12"/>
          <w:szCs w:val="12"/>
          <w:color w:val="auto"/>
        </w:rPr>
        <w:t>We intend to procure additional space in the future as we continue to add employees and expand geographically. We believe that our current facilities are adequate to meet our current needs and that, should it be needed, suitable additional or alternative space will be available to accommodate our operations.</w:t>
      </w:r>
    </w:p>
    <w:p>
      <w:pPr>
        <w:spacing w:after="0" w:line="8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Legal Proceedings</w:t>
      </w:r>
    </w:p>
    <w:p>
      <w:pPr>
        <w:spacing w:after="0" w:line="130" w:lineRule="exact"/>
        <w:rPr>
          <w:sz w:val="20"/>
          <w:szCs w:val="20"/>
          <w:color w:val="auto"/>
        </w:rPr>
      </w:pPr>
    </w:p>
    <w:p>
      <w:pPr>
        <w:ind w:left="1520" w:right="1760" w:firstLine="230"/>
        <w:spacing w:after="0" w:line="272" w:lineRule="auto"/>
        <w:rPr>
          <w:sz w:val="20"/>
          <w:szCs w:val="20"/>
          <w:color w:val="auto"/>
        </w:rPr>
      </w:pPr>
      <w:r>
        <w:rPr>
          <w:rFonts w:ascii="Arial" w:cs="Arial" w:eastAsia="Arial" w:hAnsi="Arial"/>
          <w:sz w:val="12"/>
          <w:szCs w:val="12"/>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results of operations,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161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40"/>
        <w:spacing w:after="0"/>
        <w:rPr>
          <w:sz w:val="20"/>
          <w:szCs w:val="20"/>
          <w:color w:val="auto"/>
        </w:rPr>
      </w:pPr>
      <w:r>
        <w:rPr>
          <w:rFonts w:ascii="Arial" w:cs="Arial" w:eastAsia="Arial" w:hAnsi="Arial"/>
          <w:sz w:val="12"/>
          <w:szCs w:val="12"/>
          <w:b w:val="1"/>
          <w:bCs w:val="1"/>
          <w:color w:val="auto"/>
        </w:rPr>
        <w:t>MANAGEMENT</w:t>
      </w:r>
    </w:p>
    <w:p>
      <w:pPr>
        <w:spacing w:after="0" w:line="130"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Executive Officers and Non-Employee Directors</w:t>
      </w:r>
    </w:p>
    <w:p>
      <w:pPr>
        <w:spacing w:after="0" w:line="130" w:lineRule="exact"/>
        <w:rPr>
          <w:sz w:val="20"/>
          <w:szCs w:val="20"/>
          <w:color w:val="auto"/>
        </w:rPr>
      </w:pPr>
    </w:p>
    <w:p>
      <w:pPr>
        <w:ind w:left="1520" w:right="1740" w:firstLine="230"/>
        <w:spacing w:after="0" w:line="312" w:lineRule="auto"/>
        <w:rPr>
          <w:sz w:val="20"/>
          <w:szCs w:val="20"/>
          <w:color w:val="auto"/>
        </w:rPr>
      </w:pPr>
      <w:r>
        <w:rPr>
          <w:rFonts w:ascii="Arial" w:cs="Arial" w:eastAsia="Arial" w:hAnsi="Arial"/>
          <w:sz w:val="12"/>
          <w:szCs w:val="12"/>
          <w:color w:val="auto"/>
        </w:rPr>
        <w:t>The following table provides information regarding our executive officers and non-employee directors as of September 19, 2025:</w:t>
      </w:r>
    </w:p>
    <w:p>
      <w:pPr>
        <w:spacing w:after="0" w:line="101"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Name</w:t>
            </w:r>
          </w:p>
        </w:tc>
        <w:tc>
          <w:tcPr>
            <w:tcW w:w="4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Age</w:t>
            </w:r>
          </w:p>
        </w:tc>
        <w:tc>
          <w:tcPr>
            <w:tcW w:w="40" w:type="dxa"/>
            <w:vAlign w:val="bottom"/>
            <w:tcBorders>
              <w:bottom w:val="single" w:sz="8" w:color="CCEEFF"/>
            </w:tcBorders>
          </w:tcPr>
          <w:p>
            <w:pPr>
              <w:spacing w:after="0"/>
              <w:rPr>
                <w:sz w:val="13"/>
                <w:szCs w:val="13"/>
                <w:color w:val="auto"/>
              </w:rPr>
            </w:pP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Position(s)</w:t>
            </w:r>
          </w:p>
        </w:tc>
      </w:tr>
      <w:tr>
        <w:trPr>
          <w:trHeight w:val="172"/>
        </w:trPr>
        <w:tc>
          <w:tcPr>
            <w:tcW w:w="1640" w:type="dxa"/>
            <w:vAlign w:val="bottom"/>
            <w:shd w:val="clear" w:color="auto" w:fill="CCEEFF"/>
          </w:tcPr>
          <w:p>
            <w:pPr>
              <w:ind w:left="40"/>
              <w:spacing w:after="0"/>
              <w:rPr>
                <w:sz w:val="20"/>
                <w:szCs w:val="20"/>
                <w:color w:val="auto"/>
              </w:rPr>
            </w:pPr>
            <w:r>
              <w:rPr>
                <w:rFonts w:ascii="Arial" w:cs="Arial" w:eastAsia="Arial" w:hAnsi="Arial"/>
                <w:sz w:val="12"/>
                <w:szCs w:val="12"/>
                <w:b w:val="1"/>
                <w:bCs w:val="1"/>
                <w:i w:val="1"/>
                <w:iCs w:val="1"/>
                <w:color w:val="auto"/>
              </w:rPr>
              <w:t>Executive Officers:</w:t>
            </w: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14"/>
                <w:szCs w:val="14"/>
                <w:color w:val="auto"/>
              </w:rPr>
            </w:pPr>
          </w:p>
        </w:tc>
      </w:tr>
      <w:tr>
        <w:trPr>
          <w:trHeight w:val="173"/>
        </w:trPr>
        <w:tc>
          <w:tcPr>
            <w:tcW w:w="1640" w:type="dxa"/>
            <w:vAlign w:val="bottom"/>
          </w:tcPr>
          <w:p>
            <w:pPr>
              <w:ind w:left="40"/>
              <w:spacing w:after="0"/>
              <w:rPr>
                <w:sz w:val="20"/>
                <w:szCs w:val="20"/>
                <w:color w:val="auto"/>
              </w:rPr>
            </w:pPr>
            <w:r>
              <w:rPr>
                <w:rFonts w:ascii="Arial" w:cs="Arial" w:eastAsia="Arial" w:hAnsi="Arial"/>
                <w:sz w:val="12"/>
                <w:szCs w:val="12"/>
                <w:color w:val="auto"/>
              </w:rPr>
              <w:t xml:space="preserve">Ariel Cohen </w:t>
            </w:r>
            <w:r>
              <w:rPr>
                <w:rFonts w:ascii="Times New Roman" w:cs="Times New Roman" w:eastAsia="Times New Roman" w:hAnsi="Times New Roman"/>
                <w:sz w:val="12"/>
                <w:szCs w:val="12"/>
                <w:color w:val="B4B4B4"/>
              </w:rPr>
              <w:t>............................</w:t>
            </w:r>
          </w:p>
        </w:tc>
        <w:tc>
          <w:tcPr>
            <w:tcW w:w="520" w:type="dxa"/>
            <w:vAlign w:val="bottom"/>
            <w:gridSpan w:val="2"/>
          </w:tcPr>
          <w:p>
            <w:pPr>
              <w:jc w:val="center"/>
              <w:spacing w:after="0"/>
              <w:rPr>
                <w:sz w:val="20"/>
                <w:szCs w:val="20"/>
                <w:color w:val="auto"/>
              </w:rPr>
            </w:pPr>
            <w:r>
              <w:rPr>
                <w:rFonts w:ascii="Arial" w:cs="Arial" w:eastAsia="Arial" w:hAnsi="Arial"/>
                <w:sz w:val="12"/>
                <w:szCs w:val="12"/>
                <w:color w:val="auto"/>
              </w:rPr>
              <w:t>50</w:t>
            </w:r>
          </w:p>
        </w:tc>
        <w:tc>
          <w:tcPr>
            <w:tcW w:w="4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Arial" w:cs="Arial" w:eastAsia="Arial" w:hAnsi="Arial"/>
                <w:sz w:val="12"/>
                <w:szCs w:val="12"/>
                <w:color w:val="auto"/>
              </w:rPr>
              <w:t>Chairperson of our board of directors and Chief Executive Officer</w:t>
            </w:r>
          </w:p>
        </w:tc>
      </w:tr>
      <w:tr>
        <w:trPr>
          <w:trHeight w:val="190"/>
        </w:trPr>
        <w:tc>
          <w:tcPr>
            <w:tcW w:w="164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Ilan Twig </w:t>
            </w:r>
            <w:r>
              <w:rPr>
                <w:rFonts w:ascii="Times New Roman" w:cs="Times New Roman" w:eastAsia="Times New Roman" w:hAnsi="Times New Roman"/>
                <w:sz w:val="12"/>
                <w:szCs w:val="12"/>
                <w:color w:val="B4B4B4"/>
              </w:rPr>
              <w:t>.................................</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51</w:t>
            </w:r>
          </w:p>
        </w:tc>
        <w:tc>
          <w:tcPr>
            <w:tcW w:w="40" w:type="dxa"/>
            <w:vAlign w:val="bottom"/>
            <w:shd w:val="clear" w:color="auto" w:fill="CCEEFF"/>
          </w:tcPr>
          <w:p>
            <w:pPr>
              <w:spacing w:after="0"/>
              <w:rPr>
                <w:sz w:val="16"/>
                <w:szCs w:val="16"/>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Director and Chief Technology Officer</w:t>
            </w:r>
          </w:p>
        </w:tc>
      </w:tr>
      <w:tr>
        <w:trPr>
          <w:trHeight w:val="173"/>
        </w:trPr>
        <w:tc>
          <w:tcPr>
            <w:tcW w:w="1640" w:type="dxa"/>
            <w:vAlign w:val="bottom"/>
          </w:tcPr>
          <w:p>
            <w:pPr>
              <w:ind w:left="40"/>
              <w:spacing w:after="0"/>
              <w:rPr>
                <w:sz w:val="20"/>
                <w:szCs w:val="20"/>
                <w:color w:val="auto"/>
              </w:rPr>
            </w:pPr>
            <w:r>
              <w:rPr>
                <w:rFonts w:ascii="Arial" w:cs="Arial" w:eastAsia="Arial" w:hAnsi="Arial"/>
                <w:sz w:val="12"/>
                <w:szCs w:val="12"/>
                <w:color w:val="auto"/>
              </w:rPr>
              <w:t xml:space="preserve">Amy Butte </w:t>
            </w:r>
            <w:r>
              <w:rPr>
                <w:rFonts w:ascii="Times New Roman" w:cs="Times New Roman" w:eastAsia="Times New Roman" w:hAnsi="Times New Roman"/>
                <w:sz w:val="12"/>
                <w:szCs w:val="12"/>
                <w:color w:val="B4B4B4"/>
              </w:rPr>
              <w:t>...............................</w:t>
            </w:r>
          </w:p>
        </w:tc>
        <w:tc>
          <w:tcPr>
            <w:tcW w:w="520" w:type="dxa"/>
            <w:vAlign w:val="bottom"/>
            <w:gridSpan w:val="2"/>
          </w:tcPr>
          <w:p>
            <w:pPr>
              <w:jc w:val="center"/>
              <w:spacing w:after="0"/>
              <w:rPr>
                <w:sz w:val="20"/>
                <w:szCs w:val="20"/>
                <w:color w:val="auto"/>
              </w:rPr>
            </w:pPr>
            <w:r>
              <w:rPr>
                <w:rFonts w:ascii="Arial" w:cs="Arial" w:eastAsia="Arial" w:hAnsi="Arial"/>
                <w:sz w:val="12"/>
                <w:szCs w:val="12"/>
                <w:color w:val="auto"/>
              </w:rPr>
              <w:t>57</w:t>
            </w:r>
          </w:p>
        </w:tc>
        <w:tc>
          <w:tcPr>
            <w:tcW w:w="4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Arial" w:cs="Arial" w:eastAsia="Arial" w:hAnsi="Arial"/>
                <w:sz w:val="12"/>
                <w:szCs w:val="12"/>
                <w:color w:val="auto"/>
              </w:rPr>
              <w:t>Chief Financial Officer</w:t>
            </w:r>
          </w:p>
        </w:tc>
      </w:tr>
      <w:tr>
        <w:trPr>
          <w:trHeight w:val="190"/>
        </w:trPr>
        <w:tc>
          <w:tcPr>
            <w:tcW w:w="164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Michael Sindicich </w:t>
            </w:r>
            <w:r>
              <w:rPr>
                <w:rFonts w:ascii="Times New Roman" w:cs="Times New Roman" w:eastAsia="Times New Roman" w:hAnsi="Times New Roman"/>
                <w:sz w:val="12"/>
                <w:szCs w:val="12"/>
                <w:color w:val="B4B4B4"/>
              </w:rPr>
              <w:t>..................</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33</w:t>
            </w:r>
          </w:p>
        </w:tc>
        <w:tc>
          <w:tcPr>
            <w:tcW w:w="40" w:type="dxa"/>
            <w:vAlign w:val="bottom"/>
            <w:shd w:val="clear" w:color="auto" w:fill="CCEEFF"/>
          </w:tcPr>
          <w:p>
            <w:pPr>
              <w:spacing w:after="0"/>
              <w:rPr>
                <w:sz w:val="16"/>
                <w:szCs w:val="16"/>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President</w:t>
            </w:r>
          </w:p>
        </w:tc>
      </w:tr>
      <w:tr>
        <w:trPr>
          <w:trHeight w:val="175"/>
        </w:trPr>
        <w:tc>
          <w:tcPr>
            <w:tcW w:w="1640" w:type="dxa"/>
            <w:vAlign w:val="bottom"/>
          </w:tcPr>
          <w:p>
            <w:pPr>
              <w:ind w:left="40"/>
              <w:spacing w:after="0"/>
              <w:rPr>
                <w:sz w:val="20"/>
                <w:szCs w:val="20"/>
                <w:color w:val="auto"/>
              </w:rPr>
            </w:pPr>
            <w:r>
              <w:rPr>
                <w:rFonts w:ascii="Arial" w:cs="Arial" w:eastAsia="Arial" w:hAnsi="Arial"/>
                <w:sz w:val="12"/>
                <w:szCs w:val="12"/>
                <w:b w:val="1"/>
                <w:bCs w:val="1"/>
                <w:i w:val="1"/>
                <w:iCs w:val="1"/>
                <w:color w:val="auto"/>
              </w:rPr>
              <w:t>Non-Employee Directors:</w:t>
            </w: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tcPr>
          <w:p>
            <w:pPr>
              <w:spacing w:after="0"/>
              <w:rPr>
                <w:sz w:val="15"/>
                <w:szCs w:val="15"/>
                <w:color w:val="auto"/>
              </w:rPr>
            </w:pPr>
          </w:p>
        </w:tc>
      </w:tr>
      <w:tr>
        <w:trPr>
          <w:trHeight w:val="188"/>
        </w:trPr>
        <w:tc>
          <w:tcPr>
            <w:tcW w:w="1640" w:type="dxa"/>
            <w:vAlign w:val="bottom"/>
            <w:shd w:val="clear" w:color="auto" w:fill="CCEEFF"/>
          </w:tcPr>
          <w:p>
            <w:pPr>
              <w:ind w:left="40"/>
              <w:spacing w:after="0" w:line="189" w:lineRule="exact"/>
              <w:rPr>
                <w:sz w:val="20"/>
                <w:szCs w:val="20"/>
                <w:color w:val="auto"/>
              </w:rPr>
            </w:pPr>
            <w:r>
              <w:rPr>
                <w:rFonts w:ascii="Arial" w:cs="Arial" w:eastAsia="Arial" w:hAnsi="Arial"/>
                <w:sz w:val="12"/>
                <w:szCs w:val="12"/>
                <w:color w:val="auto"/>
                <w:w w:val="97"/>
              </w:rPr>
              <w:t xml:space="preserve">Ben Horowitz </w:t>
            </w:r>
            <w:r>
              <w:rPr>
                <w:rFonts w:ascii="Arial" w:cs="Arial" w:eastAsia="Arial" w:hAnsi="Arial"/>
                <w:sz w:val="17"/>
                <w:szCs w:val="17"/>
                <w:color w:val="auto"/>
                <w:w w:val="97"/>
                <w:vertAlign w:val="superscript"/>
              </w:rPr>
              <w:t>(2)(4)</w:t>
            </w:r>
            <w:r>
              <w:rPr>
                <w:rFonts w:ascii="Arial" w:cs="Arial" w:eastAsia="Arial" w:hAnsi="Arial"/>
                <w:sz w:val="12"/>
                <w:szCs w:val="12"/>
                <w:color w:val="auto"/>
                <w:w w:val="97"/>
              </w:rPr>
              <w:t xml:space="preserve"> </w:t>
            </w:r>
            <w:r>
              <w:rPr>
                <w:rFonts w:ascii="Times New Roman" w:cs="Times New Roman" w:eastAsia="Times New Roman" w:hAnsi="Times New Roman"/>
                <w:sz w:val="12"/>
                <w:szCs w:val="12"/>
                <w:color w:val="B4B4B4"/>
                <w:w w:val="97"/>
              </w:rPr>
              <w:t>...................</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59</w:t>
            </w:r>
          </w:p>
        </w:tc>
        <w:tc>
          <w:tcPr>
            <w:tcW w:w="40" w:type="dxa"/>
            <w:vAlign w:val="bottom"/>
            <w:shd w:val="clear" w:color="auto" w:fill="CCEEFF"/>
          </w:tcPr>
          <w:p>
            <w:pPr>
              <w:spacing w:after="0"/>
              <w:rPr>
                <w:sz w:val="16"/>
                <w:szCs w:val="16"/>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Director</w:t>
            </w:r>
          </w:p>
        </w:tc>
      </w:tr>
      <w:tr>
        <w:trPr>
          <w:trHeight w:val="182"/>
        </w:trPr>
        <w:tc>
          <w:tcPr>
            <w:tcW w:w="1640" w:type="dxa"/>
            <w:vAlign w:val="bottom"/>
          </w:tcPr>
          <w:p>
            <w:pPr>
              <w:ind w:left="40"/>
              <w:spacing w:after="0" w:line="182" w:lineRule="exact"/>
              <w:rPr>
                <w:sz w:val="20"/>
                <w:szCs w:val="20"/>
                <w:color w:val="auto"/>
              </w:rPr>
            </w:pPr>
            <w:r>
              <w:rPr>
                <w:rFonts w:ascii="Arial" w:cs="Arial" w:eastAsia="Arial" w:hAnsi="Arial"/>
                <w:sz w:val="12"/>
                <w:szCs w:val="12"/>
                <w:color w:val="auto"/>
              </w:rPr>
              <w:t xml:space="preserve">Arif Janmohamed </w:t>
            </w:r>
            <w:r>
              <w:rPr>
                <w:rFonts w:ascii="Arial" w:cs="Arial" w:eastAsia="Arial" w:hAnsi="Arial"/>
                <w:sz w:val="17"/>
                <w:szCs w:val="17"/>
                <w:color w:val="auto"/>
                <w:vertAlign w:val="superscript"/>
              </w:rPr>
              <w:t>(1)</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520" w:type="dxa"/>
            <w:vAlign w:val="bottom"/>
            <w:gridSpan w:val="2"/>
          </w:tcPr>
          <w:p>
            <w:pPr>
              <w:jc w:val="center"/>
              <w:spacing w:after="0"/>
              <w:rPr>
                <w:sz w:val="20"/>
                <w:szCs w:val="20"/>
                <w:color w:val="auto"/>
              </w:rPr>
            </w:pPr>
            <w:r>
              <w:rPr>
                <w:rFonts w:ascii="Arial" w:cs="Arial" w:eastAsia="Arial" w:hAnsi="Arial"/>
                <w:sz w:val="12"/>
                <w:szCs w:val="12"/>
                <w:color w:val="auto"/>
              </w:rPr>
              <w:t>49</w:t>
            </w:r>
          </w:p>
        </w:tc>
        <w:tc>
          <w:tcPr>
            <w:tcW w:w="4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Arial" w:cs="Arial" w:eastAsia="Arial" w:hAnsi="Arial"/>
                <w:sz w:val="12"/>
                <w:szCs w:val="12"/>
                <w:color w:val="auto"/>
              </w:rPr>
              <w:t>Director</w:t>
            </w:r>
          </w:p>
        </w:tc>
      </w:tr>
      <w:tr>
        <w:trPr>
          <w:trHeight w:val="182"/>
        </w:trPr>
        <w:tc>
          <w:tcPr>
            <w:tcW w:w="1640" w:type="dxa"/>
            <w:vAlign w:val="bottom"/>
            <w:shd w:val="clear" w:color="auto" w:fill="CCEEFF"/>
          </w:tcPr>
          <w:p>
            <w:pPr>
              <w:ind w:left="40"/>
              <w:spacing w:after="0" w:line="182" w:lineRule="exact"/>
              <w:rPr>
                <w:sz w:val="20"/>
                <w:szCs w:val="20"/>
                <w:color w:val="auto"/>
              </w:rPr>
            </w:pPr>
            <w:r>
              <w:rPr>
                <w:rFonts w:ascii="Arial" w:cs="Arial" w:eastAsia="Arial" w:hAnsi="Arial"/>
                <w:sz w:val="12"/>
                <w:szCs w:val="12"/>
                <w:color w:val="auto"/>
                <w:w w:val="97"/>
              </w:rPr>
              <w:t xml:space="preserve">Michael Kourey </w:t>
            </w:r>
            <w:r>
              <w:rPr>
                <w:rFonts w:ascii="Arial" w:cs="Arial" w:eastAsia="Arial" w:hAnsi="Arial"/>
                <w:sz w:val="17"/>
                <w:szCs w:val="17"/>
                <w:color w:val="auto"/>
                <w:w w:val="97"/>
                <w:vertAlign w:val="superscript"/>
              </w:rPr>
              <w:t>(1)(2)</w:t>
            </w:r>
            <w:r>
              <w:rPr>
                <w:rFonts w:ascii="Arial" w:cs="Arial" w:eastAsia="Arial" w:hAnsi="Arial"/>
                <w:sz w:val="12"/>
                <w:szCs w:val="12"/>
                <w:color w:val="auto"/>
                <w:w w:val="97"/>
              </w:rPr>
              <w:t xml:space="preserve"> </w:t>
            </w:r>
            <w:r>
              <w:rPr>
                <w:rFonts w:ascii="Times New Roman" w:cs="Times New Roman" w:eastAsia="Times New Roman" w:hAnsi="Times New Roman"/>
                <w:sz w:val="12"/>
                <w:szCs w:val="12"/>
                <w:color w:val="B4B4B4"/>
                <w:w w:val="97"/>
              </w:rPr>
              <w:t>...............</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66</w:t>
            </w:r>
          </w:p>
        </w:tc>
        <w:tc>
          <w:tcPr>
            <w:tcW w:w="40" w:type="dxa"/>
            <w:vAlign w:val="bottom"/>
            <w:shd w:val="clear" w:color="auto" w:fill="CCEEFF"/>
          </w:tcPr>
          <w:p>
            <w:pPr>
              <w:spacing w:after="0"/>
              <w:rPr>
                <w:sz w:val="15"/>
                <w:szCs w:val="15"/>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Director</w:t>
            </w:r>
          </w:p>
        </w:tc>
      </w:tr>
      <w:tr>
        <w:trPr>
          <w:trHeight w:val="182"/>
        </w:trPr>
        <w:tc>
          <w:tcPr>
            <w:tcW w:w="1640" w:type="dxa"/>
            <w:vAlign w:val="bottom"/>
          </w:tcPr>
          <w:p>
            <w:pPr>
              <w:ind w:left="40"/>
              <w:spacing w:after="0" w:line="182" w:lineRule="exact"/>
              <w:rPr>
                <w:sz w:val="20"/>
                <w:szCs w:val="20"/>
                <w:color w:val="auto"/>
              </w:rPr>
            </w:pPr>
            <w:r>
              <w:rPr>
                <w:rFonts w:ascii="Arial" w:cs="Arial" w:eastAsia="Arial" w:hAnsi="Arial"/>
                <w:sz w:val="12"/>
                <w:szCs w:val="12"/>
                <w:color w:val="auto"/>
                <w:w w:val="97"/>
              </w:rPr>
              <w:t xml:space="preserve">Clara Liang </w:t>
            </w:r>
            <w:r>
              <w:rPr>
                <w:rFonts w:ascii="Arial" w:cs="Arial" w:eastAsia="Arial" w:hAnsi="Arial"/>
                <w:sz w:val="17"/>
                <w:szCs w:val="17"/>
                <w:color w:val="auto"/>
                <w:w w:val="97"/>
                <w:vertAlign w:val="superscript"/>
              </w:rPr>
              <w:t>(2)(3)</w:t>
            </w:r>
            <w:r>
              <w:rPr>
                <w:rFonts w:ascii="Arial" w:cs="Arial" w:eastAsia="Arial" w:hAnsi="Arial"/>
                <w:sz w:val="12"/>
                <w:szCs w:val="12"/>
                <w:color w:val="auto"/>
                <w:w w:val="97"/>
              </w:rPr>
              <w:t xml:space="preserve"> </w:t>
            </w:r>
            <w:r>
              <w:rPr>
                <w:rFonts w:ascii="Times New Roman" w:cs="Times New Roman" w:eastAsia="Times New Roman" w:hAnsi="Times New Roman"/>
                <w:sz w:val="12"/>
                <w:szCs w:val="12"/>
                <w:color w:val="B4B4B4"/>
                <w:w w:val="97"/>
              </w:rPr>
              <w:t>......................</w:t>
            </w:r>
          </w:p>
        </w:tc>
        <w:tc>
          <w:tcPr>
            <w:tcW w:w="520" w:type="dxa"/>
            <w:vAlign w:val="bottom"/>
            <w:gridSpan w:val="2"/>
          </w:tcPr>
          <w:p>
            <w:pPr>
              <w:jc w:val="center"/>
              <w:spacing w:after="0"/>
              <w:rPr>
                <w:sz w:val="20"/>
                <w:szCs w:val="20"/>
                <w:color w:val="auto"/>
              </w:rPr>
            </w:pPr>
            <w:r>
              <w:rPr>
                <w:rFonts w:ascii="Arial" w:cs="Arial" w:eastAsia="Arial" w:hAnsi="Arial"/>
                <w:sz w:val="12"/>
                <w:szCs w:val="12"/>
                <w:color w:val="auto"/>
              </w:rPr>
              <w:t>45</w:t>
            </w:r>
          </w:p>
        </w:tc>
        <w:tc>
          <w:tcPr>
            <w:tcW w:w="4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Arial" w:cs="Arial" w:eastAsia="Arial" w:hAnsi="Arial"/>
                <w:sz w:val="12"/>
                <w:szCs w:val="12"/>
                <w:color w:val="auto"/>
              </w:rPr>
              <w:t>Director</w:t>
            </w:r>
          </w:p>
        </w:tc>
      </w:tr>
      <w:tr>
        <w:trPr>
          <w:trHeight w:val="182"/>
        </w:trPr>
        <w:tc>
          <w:tcPr>
            <w:tcW w:w="1640" w:type="dxa"/>
            <w:vAlign w:val="bottom"/>
            <w:shd w:val="clear" w:color="auto" w:fill="CCEEFF"/>
          </w:tcPr>
          <w:p>
            <w:pPr>
              <w:ind w:left="40"/>
              <w:spacing w:after="0" w:line="182" w:lineRule="exact"/>
              <w:rPr>
                <w:sz w:val="20"/>
                <w:szCs w:val="20"/>
                <w:color w:val="auto"/>
              </w:rPr>
            </w:pPr>
            <w:r>
              <w:rPr>
                <w:rFonts w:ascii="Arial" w:cs="Arial" w:eastAsia="Arial" w:hAnsi="Arial"/>
                <w:sz w:val="12"/>
                <w:szCs w:val="12"/>
                <w:color w:val="auto"/>
              </w:rPr>
              <w:t xml:space="preserve">Sandesh Patnam </w:t>
            </w:r>
            <w:r>
              <w:rPr>
                <w:rFonts w:ascii="Arial" w:cs="Arial" w:eastAsia="Arial" w:hAnsi="Arial"/>
                <w:sz w:val="17"/>
                <w:szCs w:val="17"/>
                <w:color w:val="auto"/>
                <w:vertAlign w:val="superscript"/>
              </w:rPr>
              <w:t>(1)</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51</w:t>
            </w:r>
          </w:p>
        </w:tc>
        <w:tc>
          <w:tcPr>
            <w:tcW w:w="40" w:type="dxa"/>
            <w:vAlign w:val="bottom"/>
            <w:shd w:val="clear" w:color="auto" w:fill="CCEEFF"/>
          </w:tcPr>
          <w:p>
            <w:pPr>
              <w:spacing w:after="0"/>
              <w:rPr>
                <w:sz w:val="15"/>
                <w:szCs w:val="15"/>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Director</w:t>
            </w:r>
          </w:p>
        </w:tc>
      </w:tr>
      <w:tr>
        <w:trPr>
          <w:trHeight w:val="182"/>
        </w:trPr>
        <w:tc>
          <w:tcPr>
            <w:tcW w:w="1640" w:type="dxa"/>
            <w:vAlign w:val="bottom"/>
          </w:tcPr>
          <w:p>
            <w:pPr>
              <w:ind w:left="40"/>
              <w:spacing w:after="0" w:line="182" w:lineRule="exact"/>
              <w:rPr>
                <w:sz w:val="20"/>
                <w:szCs w:val="20"/>
                <w:color w:val="auto"/>
              </w:rPr>
            </w:pPr>
            <w:r>
              <w:rPr>
                <w:rFonts w:ascii="Arial" w:cs="Arial" w:eastAsia="Arial" w:hAnsi="Arial"/>
                <w:sz w:val="12"/>
                <w:szCs w:val="12"/>
                <w:color w:val="auto"/>
              </w:rPr>
              <w:t xml:space="preserve">Anré Williams </w:t>
            </w:r>
            <w:r>
              <w:rPr>
                <w:rFonts w:ascii="Arial" w:cs="Arial" w:eastAsia="Arial" w:hAnsi="Arial"/>
                <w:sz w:val="17"/>
                <w:szCs w:val="17"/>
                <w:color w:val="auto"/>
                <w:vertAlign w:val="superscript"/>
              </w:rPr>
              <w:t>(3)</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520" w:type="dxa"/>
            <w:vAlign w:val="bottom"/>
            <w:gridSpan w:val="2"/>
          </w:tcPr>
          <w:p>
            <w:pPr>
              <w:jc w:val="center"/>
              <w:spacing w:after="0"/>
              <w:rPr>
                <w:sz w:val="20"/>
                <w:szCs w:val="20"/>
                <w:color w:val="auto"/>
              </w:rPr>
            </w:pPr>
            <w:r>
              <w:rPr>
                <w:rFonts w:ascii="Arial" w:cs="Arial" w:eastAsia="Arial" w:hAnsi="Arial"/>
                <w:sz w:val="12"/>
                <w:szCs w:val="12"/>
                <w:color w:val="auto"/>
              </w:rPr>
              <w:t>60</w:t>
            </w:r>
          </w:p>
        </w:tc>
        <w:tc>
          <w:tcPr>
            <w:tcW w:w="4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Arial" w:cs="Arial" w:eastAsia="Arial" w:hAnsi="Arial"/>
                <w:sz w:val="12"/>
                <w:szCs w:val="12"/>
                <w:color w:val="auto"/>
              </w:rPr>
              <w:t>Director</w:t>
            </w:r>
          </w:p>
        </w:tc>
      </w:tr>
      <w:tr>
        <w:trPr>
          <w:trHeight w:val="182"/>
        </w:trPr>
        <w:tc>
          <w:tcPr>
            <w:tcW w:w="1640" w:type="dxa"/>
            <w:vAlign w:val="bottom"/>
            <w:shd w:val="clear" w:color="auto" w:fill="CCEEFF"/>
          </w:tcPr>
          <w:p>
            <w:pPr>
              <w:ind w:left="40"/>
              <w:spacing w:after="0" w:line="182" w:lineRule="exact"/>
              <w:rPr>
                <w:sz w:val="20"/>
                <w:szCs w:val="20"/>
                <w:color w:val="auto"/>
              </w:rPr>
            </w:pPr>
            <w:r>
              <w:rPr>
                <w:rFonts w:ascii="Arial" w:cs="Arial" w:eastAsia="Arial" w:hAnsi="Arial"/>
                <w:sz w:val="12"/>
                <w:szCs w:val="12"/>
                <w:color w:val="auto"/>
                <w:w w:val="99"/>
              </w:rPr>
              <w:t xml:space="preserve">Oren Zeev </w:t>
            </w:r>
            <w:r>
              <w:rPr>
                <w:rFonts w:ascii="Arial" w:cs="Arial" w:eastAsia="Arial" w:hAnsi="Arial"/>
                <w:sz w:val="17"/>
                <w:szCs w:val="17"/>
                <w:color w:val="auto"/>
                <w:w w:val="99"/>
                <w:vertAlign w:val="superscript"/>
              </w:rPr>
              <w:t>(1)</w:t>
            </w:r>
            <w:r>
              <w:rPr>
                <w:rFonts w:ascii="Arial" w:cs="Arial" w:eastAsia="Arial" w:hAnsi="Arial"/>
                <w:sz w:val="12"/>
                <w:szCs w:val="12"/>
                <w:color w:val="auto"/>
                <w:w w:val="99"/>
              </w:rPr>
              <w:t xml:space="preserve"> </w:t>
            </w:r>
            <w:r>
              <w:rPr>
                <w:rFonts w:ascii="Times New Roman" w:cs="Times New Roman" w:eastAsia="Times New Roman" w:hAnsi="Times New Roman"/>
                <w:sz w:val="12"/>
                <w:szCs w:val="12"/>
                <w:color w:val="B4B4B4"/>
                <w:w w:val="99"/>
              </w:rPr>
              <w:t>...........................</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60</w:t>
            </w:r>
          </w:p>
        </w:tc>
        <w:tc>
          <w:tcPr>
            <w:tcW w:w="40" w:type="dxa"/>
            <w:vAlign w:val="bottom"/>
            <w:shd w:val="clear" w:color="auto" w:fill="CCEEFF"/>
          </w:tcPr>
          <w:p>
            <w:pPr>
              <w:spacing w:after="0"/>
              <w:rPr>
                <w:sz w:val="15"/>
                <w:szCs w:val="15"/>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Director</w:t>
            </w:r>
          </w:p>
        </w:tc>
      </w:tr>
    </w:tbl>
    <w:p>
      <w:pPr>
        <w:spacing w:after="0" w:line="20"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_______________</w:t>
      </w:r>
    </w:p>
    <w:p>
      <w:pPr>
        <w:ind w:left="1760" w:hanging="238"/>
        <w:spacing w:after="0" w:line="196" w:lineRule="auto"/>
        <w:tabs>
          <w:tab w:leader="none" w:pos="1760" w:val="left"/>
        </w:tabs>
        <w:numPr>
          <w:ilvl w:val="0"/>
          <w:numId w:val="119"/>
        </w:numPr>
        <w:rPr>
          <w:rFonts w:ascii="Arial" w:cs="Arial" w:eastAsia="Arial" w:hAnsi="Arial"/>
          <w:sz w:val="11"/>
          <w:szCs w:val="11"/>
          <w:color w:val="auto"/>
        </w:rPr>
      </w:pPr>
      <w:r>
        <w:rPr>
          <w:rFonts w:ascii="Arial" w:cs="Arial" w:eastAsia="Arial" w:hAnsi="Arial"/>
          <w:sz w:val="11"/>
          <w:szCs w:val="11"/>
          <w:color w:val="auto"/>
        </w:rPr>
        <w:t>Member of the audit committee</w:t>
      </w:r>
    </w:p>
    <w:p>
      <w:pPr>
        <w:ind w:left="1760"/>
        <w:spacing w:after="0" w:line="199" w:lineRule="auto"/>
        <w:rPr>
          <w:rFonts w:ascii="Arial" w:cs="Arial" w:eastAsia="Arial" w:hAnsi="Arial"/>
          <w:sz w:val="11"/>
          <w:szCs w:val="11"/>
          <w:color w:val="auto"/>
        </w:rPr>
      </w:pPr>
      <w:r>
        <w:rPr>
          <w:rFonts w:ascii="Arial" w:cs="Arial" w:eastAsia="Arial" w:hAnsi="Arial"/>
          <w:sz w:val="6"/>
          <w:szCs w:val="6"/>
          <w:color w:val="auto"/>
        </w:rPr>
        <w:t>.</w:t>
      </w:r>
    </w:p>
    <w:p>
      <w:pPr>
        <w:ind w:left="1760" w:hanging="238"/>
        <w:spacing w:after="0"/>
        <w:tabs>
          <w:tab w:leader="none" w:pos="1760" w:val="left"/>
        </w:tabs>
        <w:numPr>
          <w:ilvl w:val="0"/>
          <w:numId w:val="119"/>
        </w:numPr>
        <w:rPr>
          <w:rFonts w:ascii="Arial" w:cs="Arial" w:eastAsia="Arial" w:hAnsi="Arial"/>
          <w:sz w:val="11"/>
          <w:szCs w:val="11"/>
          <w:color w:val="auto"/>
        </w:rPr>
      </w:pPr>
      <w:r>
        <w:rPr>
          <w:rFonts w:ascii="Arial" w:cs="Arial" w:eastAsia="Arial" w:hAnsi="Arial"/>
          <w:sz w:val="11"/>
          <w:szCs w:val="11"/>
          <w:color w:val="auto"/>
        </w:rPr>
        <w:t>Member of the compensation committee.</w:t>
      </w:r>
    </w:p>
    <w:p>
      <w:pPr>
        <w:spacing w:after="0" w:line="7" w:lineRule="exact"/>
        <w:rPr>
          <w:rFonts w:ascii="Arial" w:cs="Arial" w:eastAsia="Arial" w:hAnsi="Arial"/>
          <w:sz w:val="11"/>
          <w:szCs w:val="11"/>
          <w:color w:val="auto"/>
        </w:rPr>
      </w:pPr>
    </w:p>
    <w:p>
      <w:pPr>
        <w:ind w:left="1760" w:hanging="238"/>
        <w:spacing w:after="0" w:line="199" w:lineRule="auto"/>
        <w:tabs>
          <w:tab w:leader="none" w:pos="1760" w:val="left"/>
        </w:tabs>
        <w:numPr>
          <w:ilvl w:val="0"/>
          <w:numId w:val="119"/>
        </w:numPr>
        <w:rPr>
          <w:rFonts w:ascii="Arial" w:cs="Arial" w:eastAsia="Arial" w:hAnsi="Arial"/>
          <w:sz w:val="8"/>
          <w:szCs w:val="8"/>
          <w:color w:val="auto"/>
        </w:rPr>
      </w:pPr>
      <w:r>
        <w:rPr>
          <w:rFonts w:ascii="Arial" w:cs="Arial" w:eastAsia="Arial" w:hAnsi="Arial"/>
          <w:sz w:val="8"/>
          <w:szCs w:val="8"/>
          <w:color w:val="auto"/>
        </w:rPr>
        <w:t>Member of the nominating and governance committee</w:t>
      </w:r>
    </w:p>
    <w:p>
      <w:pPr>
        <w:ind w:left="1760"/>
        <w:spacing w:after="0" w:line="199" w:lineRule="auto"/>
        <w:rPr>
          <w:rFonts w:ascii="Arial" w:cs="Arial" w:eastAsia="Arial" w:hAnsi="Arial"/>
          <w:sz w:val="8"/>
          <w:szCs w:val="8"/>
          <w:color w:val="auto"/>
        </w:rPr>
      </w:pPr>
      <w:r>
        <w:rPr>
          <w:rFonts w:ascii="Arial" w:cs="Arial" w:eastAsia="Arial" w:hAnsi="Arial"/>
          <w:sz w:val="7"/>
          <w:szCs w:val="7"/>
          <w:color w:val="auto"/>
        </w:rPr>
        <w:t>.</w:t>
      </w:r>
    </w:p>
    <w:p>
      <w:pPr>
        <w:ind w:left="1760" w:hanging="238"/>
        <w:spacing w:after="0" w:line="199" w:lineRule="auto"/>
        <w:tabs>
          <w:tab w:leader="none" w:pos="1760" w:val="left"/>
        </w:tabs>
        <w:numPr>
          <w:ilvl w:val="0"/>
          <w:numId w:val="119"/>
        </w:numPr>
        <w:rPr>
          <w:rFonts w:ascii="Arial" w:cs="Arial" w:eastAsia="Arial" w:hAnsi="Arial"/>
          <w:sz w:val="8"/>
          <w:szCs w:val="8"/>
          <w:color w:val="auto"/>
        </w:rPr>
      </w:pPr>
      <w:r>
        <w:rPr>
          <w:rFonts w:ascii="Arial" w:cs="Arial" w:eastAsia="Arial" w:hAnsi="Arial"/>
          <w:sz w:val="8"/>
          <w:szCs w:val="8"/>
          <w:color w:val="auto"/>
        </w:rPr>
        <w:t>Lead independent director</w:t>
      </w:r>
    </w:p>
    <w:p>
      <w:pPr>
        <w:ind w:left="1760"/>
        <w:spacing w:after="0"/>
        <w:rPr>
          <w:rFonts w:ascii="Arial" w:cs="Arial" w:eastAsia="Arial" w:hAnsi="Arial"/>
          <w:sz w:val="8"/>
          <w:szCs w:val="8"/>
          <w:color w:val="auto"/>
        </w:rPr>
      </w:pPr>
      <w:r>
        <w:rPr>
          <w:rFonts w:ascii="Arial" w:cs="Arial" w:eastAsia="Arial" w:hAnsi="Arial"/>
          <w:sz w:val="11"/>
          <w:szCs w:val="11"/>
          <w:color w:val="auto"/>
        </w:rPr>
        <w:t>.</w:t>
      </w:r>
    </w:p>
    <w:p>
      <w:pPr>
        <w:spacing w:after="0" w:line="36" w:lineRule="exact"/>
        <w:rPr>
          <w:rFonts w:ascii="Arial" w:cs="Arial" w:eastAsia="Arial" w:hAnsi="Arial"/>
          <w:sz w:val="8"/>
          <w:szCs w:val="8"/>
          <w:color w:val="auto"/>
        </w:rPr>
      </w:pPr>
    </w:p>
    <w:p>
      <w:pPr>
        <w:ind w:left="1760"/>
        <w:spacing w:after="0"/>
        <w:rPr>
          <w:rFonts w:ascii="Arial" w:cs="Arial" w:eastAsia="Arial" w:hAnsi="Arial"/>
          <w:sz w:val="8"/>
          <w:szCs w:val="8"/>
          <w:color w:val="auto"/>
        </w:rPr>
      </w:pPr>
      <w:r>
        <w:rPr>
          <w:rFonts w:ascii="Arial" w:cs="Arial" w:eastAsia="Arial" w:hAnsi="Arial"/>
          <w:sz w:val="12"/>
          <w:szCs w:val="12"/>
          <w:b w:val="1"/>
          <w:bCs w:val="1"/>
          <w:i w:val="1"/>
          <w:iCs w:val="1"/>
          <w:color w:val="auto"/>
        </w:rPr>
        <w:t>Executive Officers</w:t>
      </w:r>
    </w:p>
    <w:p>
      <w:pPr>
        <w:spacing w:after="0" w:line="128" w:lineRule="exact"/>
        <w:rPr>
          <w:sz w:val="20"/>
          <w:szCs w:val="20"/>
          <w:color w:val="auto"/>
        </w:rPr>
      </w:pPr>
    </w:p>
    <w:p>
      <w:pPr>
        <w:ind w:left="1520" w:right="1700" w:firstLine="230"/>
        <w:spacing w:after="0" w:line="269" w:lineRule="auto"/>
        <w:rPr>
          <w:sz w:val="20"/>
          <w:szCs w:val="20"/>
          <w:color w:val="auto"/>
        </w:rPr>
      </w:pPr>
      <w:r>
        <w:rPr>
          <w:rFonts w:ascii="Arial" w:cs="Arial" w:eastAsia="Arial" w:hAnsi="Arial"/>
          <w:sz w:val="12"/>
          <w:szCs w:val="12"/>
          <w:i w:val="1"/>
          <w:iCs w:val="1"/>
          <w:color w:val="auto"/>
        </w:rPr>
        <w:t xml:space="preserve">Ariel Cohen </w:t>
      </w:r>
      <w:r>
        <w:rPr>
          <w:rFonts w:ascii="Arial" w:cs="Arial" w:eastAsia="Arial" w:hAnsi="Arial"/>
          <w:sz w:val="12"/>
          <w:szCs w:val="12"/>
          <w:color w:val="auto"/>
        </w:rPr>
        <w:t>is our co-founder and has served as our Chief Executive Officer and as a member of our</w:t>
      </w:r>
      <w:r>
        <w:rPr>
          <w:rFonts w:ascii="Arial" w:cs="Arial" w:eastAsia="Arial" w:hAnsi="Arial"/>
          <w:sz w:val="12"/>
          <w:szCs w:val="12"/>
          <w:i w:val="1"/>
          <w:iCs w:val="1"/>
          <w:color w:val="auto"/>
        </w:rPr>
        <w:t xml:space="preserve"> </w:t>
      </w:r>
      <w:r>
        <w:rPr>
          <w:rFonts w:ascii="Arial" w:cs="Arial" w:eastAsia="Arial" w:hAnsi="Arial"/>
          <w:sz w:val="12"/>
          <w:szCs w:val="12"/>
          <w:color w:val="auto"/>
        </w:rPr>
        <w:t>board of directors since our inception in February 2015 and as chairperson of our board of directors since September 2022. Mr. Cohen previously served as our President from February 2015 to March 2025. Prior to our founding, Mr. Cohen served as Vice President, Product Management at Jive Software, Inc., or Jive Software, a provider of social business software, from 2013 to 2015, following the acquisition by Jive Software of StreamOnce, Inc., a business multimedia integration platform, where he served as co-founder and Chief Executive Officer from 2012 to 2013. From 2010 to 2012, Mr. Cohen served as Senior Director, Product Management at Jive Software. Prior to Jive Software, Mr. Cohen served in various senior roles at HP Inc. (formerly Hewlett-Packard Company), a multinational information technology company, from 2006 to 2010. Mr. Cohen served on the board of directors of Lyft, Inc., or Lyft, a publicly traded ridesharing company, from March 2021 to May 2025. Mr. Cohen holds a B.A. in Economics from the College of Management Academic Studies and an Executive M.B.A. from Northwestern University, Kellogg School of Management. We believe Mr. Cohen is qualified to serve on our board of directors because of the historical knowledge, operational expertise, leadership, culture management, and continuity that he brings to our board of directors as our co-founder, President, and Chief Executive Officer.</w:t>
      </w:r>
    </w:p>
    <w:p>
      <w:pPr>
        <w:spacing w:after="0" w:line="91"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i w:val="1"/>
          <w:iCs w:val="1"/>
          <w:color w:val="auto"/>
        </w:rPr>
        <w:t xml:space="preserve">Ilan Twig </w:t>
      </w:r>
      <w:r>
        <w:rPr>
          <w:rFonts w:ascii="Arial" w:cs="Arial" w:eastAsia="Arial" w:hAnsi="Arial"/>
          <w:sz w:val="12"/>
          <w:szCs w:val="12"/>
          <w:color w:val="auto"/>
        </w:rPr>
        <w:t>is our co-founder and has served as our Chief Technology Officer and as a member of our</w:t>
      </w:r>
      <w:r>
        <w:rPr>
          <w:rFonts w:ascii="Arial" w:cs="Arial" w:eastAsia="Arial" w:hAnsi="Arial"/>
          <w:sz w:val="12"/>
          <w:szCs w:val="12"/>
          <w:i w:val="1"/>
          <w:iCs w:val="1"/>
          <w:color w:val="auto"/>
        </w:rPr>
        <w:t xml:space="preserve"> </w:t>
      </w:r>
      <w:r>
        <w:rPr>
          <w:rFonts w:ascii="Arial" w:cs="Arial" w:eastAsia="Arial" w:hAnsi="Arial"/>
          <w:sz w:val="12"/>
          <w:szCs w:val="12"/>
          <w:color w:val="auto"/>
        </w:rPr>
        <w:t>board of directors since our inception in February 2015. Prior to our founding, Mr. Twig served as an Executive Vice President, Engineering at Jive Software during 2015 and a Vice President, Engineering from 2013 to 2014, following the acquisition by Jive Software of StreamOnce, Inc., a business multimedia integration platform, where he served as co-founder and Chief Technology Officer from 2012 to 2013. Prior to Jive Software, Mr. Twig served as the Head of Engineering at RockMelt, Inc., a social media web browsing service, from 2010 to 2012. Mr. Twig holds a B.Sc. in Computer Science from the Academic College of Tel-Aviv, Yaffo. We believe Mr. Twig is qualified to serve as a member of our board of directors</w:t>
      </w:r>
    </w:p>
    <w:p>
      <w:pPr>
        <w:sectPr>
          <w:pgSz w:w="11900" w:h="16840" w:orient="portrait"/>
          <w:cols w:equalWidth="0" w:num="1">
            <w:col w:w="9020"/>
          </w:cols>
          <w:pgMar w:left="1440" w:top="560" w:right="1440" w:bottom="231" w:gutter="0" w:footer="0" w:header="0"/>
        </w:sect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162</w:t>
      </w:r>
    </w:p>
    <w:p>
      <w:pPr>
        <w:sectPr>
          <w:pgSz w:w="11900" w:h="16840" w:orient="portrait"/>
          <w:cols w:equalWidth="0" w:num="1">
            <w:col w:w="9020"/>
          </w:cols>
          <w:pgMar w:left="1440" w:top="560" w:right="1440" w:bottom="231" w:gutter="0" w:footer="0" w:header="0"/>
          <w:type w:val="continuous"/>
        </w:sectPr>
      </w:pPr>
    </w:p>
    <w:bookmarkStart w:id="113" w:name="page114"/>
    <w:bookmarkEnd w:id="113"/>
    <w:p>
      <w:pPr>
        <w:ind w:left="1520"/>
        <w:spacing w:after="0"/>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820"/>
        <w:spacing w:after="0" w:line="312" w:lineRule="auto"/>
        <w:rPr>
          <w:sz w:val="20"/>
          <w:szCs w:val="20"/>
          <w:color w:val="auto"/>
        </w:rPr>
      </w:pPr>
      <w:r>
        <w:rPr>
          <w:rFonts w:ascii="Arial" w:cs="Arial" w:eastAsia="Arial" w:hAnsi="Arial"/>
          <w:sz w:val="12"/>
          <w:szCs w:val="12"/>
          <w:color w:val="auto"/>
        </w:rPr>
        <w:t>given his deep technical understanding of our platform and business and the continuity that he brings to our board of directors as co-founder and Chief Technology Officer.</w:t>
      </w:r>
    </w:p>
    <w:p>
      <w:pPr>
        <w:spacing w:after="0" w:line="62" w:lineRule="exact"/>
        <w:rPr>
          <w:sz w:val="20"/>
          <w:szCs w:val="20"/>
          <w:color w:val="auto"/>
        </w:rPr>
      </w:pPr>
    </w:p>
    <w:p>
      <w:pPr>
        <w:ind w:left="1520" w:right="1700" w:firstLine="230"/>
        <w:spacing w:after="0" w:line="268" w:lineRule="auto"/>
        <w:rPr>
          <w:sz w:val="20"/>
          <w:szCs w:val="20"/>
          <w:color w:val="auto"/>
        </w:rPr>
      </w:pPr>
      <w:r>
        <w:rPr>
          <w:rFonts w:ascii="Arial" w:cs="Arial" w:eastAsia="Arial" w:hAnsi="Arial"/>
          <w:sz w:val="12"/>
          <w:szCs w:val="12"/>
          <w:i w:val="1"/>
          <w:iCs w:val="1"/>
          <w:color w:val="auto"/>
        </w:rPr>
        <w:t xml:space="preserve">Amy Butte </w:t>
      </w:r>
      <w:r>
        <w:rPr>
          <w:rFonts w:ascii="Arial" w:cs="Arial" w:eastAsia="Arial" w:hAnsi="Arial"/>
          <w:sz w:val="12"/>
          <w:szCs w:val="12"/>
          <w:color w:val="auto"/>
        </w:rPr>
        <w:t>has served as our Chief Financial Officer since June 2024. Ms. Butte previously served as</w:t>
      </w:r>
      <w:r>
        <w:rPr>
          <w:rFonts w:ascii="Arial" w:cs="Arial" w:eastAsia="Arial" w:hAnsi="Arial"/>
          <w:sz w:val="12"/>
          <w:szCs w:val="12"/>
          <w:i w:val="1"/>
          <w:iCs w:val="1"/>
          <w:color w:val="auto"/>
        </w:rPr>
        <w:t xml:space="preserve"> </w:t>
      </w:r>
      <w:r>
        <w:rPr>
          <w:rFonts w:ascii="Arial" w:cs="Arial" w:eastAsia="Arial" w:hAnsi="Arial"/>
          <w:sz w:val="12"/>
          <w:szCs w:val="12"/>
          <w:color w:val="auto"/>
        </w:rPr>
        <w:t>a member of our board of directors from April 2024 to June 2024. Ms. Butte has served on the boards of directors of Bain Capital Specialty Finance, Inc., a publicly traded managed specialty finance company, since July 2019 and Bain Capital Private Credit, a public non-traded business development company, since April 2022. For both Bain entities, Ms. Butte also serves on the audit committee and compensation committee and as the chair of the nominating and corporate governance committee. Ms. Butte previously served on the boards of directors of DigitalOcean Holdings, Inc., a publicly traded software company, from April 2018 to June 2025, where she also served as the chair of the audit committee, BNP Paribas USA, Inc., a multinational bank and financial services company, from 2016 to 2023, where she also served on the risk committee and as the chair of the audit committee, and as an independent trustee, for the Fidelity Investments Strategic Advisers Funds from 2011 to 2017, where she also served as the chair of the audit committee. In addition, Ms. Butte is an advisor to several private companies, including the Long-Term Stock Exchange, a national security exchange, since 2015. Ms. Butte served as the founder of TILE Financial Inc., or TILE, a financial technology company, from 2008 to 2012. Prior to TILE, Ms. Butte served as Chief Financial Officer of Man Financial, Inc., or Man Financial, a brokerage firm, from 2006 to 2008. Prior to Man Financial, Ms. Butte served as Chief Financial Officer and Executive Vice President of the New York Stock Exchange from 2004 to 2006. Prior to the New York Stock Exchange, Ms. Butte served as an Equity Research Analyst at Bear Stearns and Merrill Lynch. Ms. Butte holds a B.A. in Psychology from Yale University and an M.B.A. from Harvard Business School.</w:t>
      </w:r>
    </w:p>
    <w:p>
      <w:pPr>
        <w:spacing w:after="0" w:line="96" w:lineRule="exact"/>
        <w:rPr>
          <w:sz w:val="20"/>
          <w:szCs w:val="20"/>
          <w:color w:val="auto"/>
        </w:rPr>
      </w:pPr>
    </w:p>
    <w:p>
      <w:pPr>
        <w:ind w:left="1520" w:right="1700" w:firstLine="230"/>
        <w:spacing w:after="0" w:line="274" w:lineRule="auto"/>
        <w:rPr>
          <w:sz w:val="20"/>
          <w:szCs w:val="20"/>
          <w:color w:val="auto"/>
        </w:rPr>
      </w:pPr>
      <w:r>
        <w:rPr>
          <w:rFonts w:ascii="Arial" w:cs="Arial" w:eastAsia="Arial" w:hAnsi="Arial"/>
          <w:sz w:val="12"/>
          <w:szCs w:val="12"/>
          <w:i w:val="1"/>
          <w:iCs w:val="1"/>
          <w:color w:val="auto"/>
        </w:rPr>
        <w:t xml:space="preserve">Michael Sindicich </w:t>
      </w:r>
      <w:r>
        <w:rPr>
          <w:rFonts w:ascii="Arial" w:cs="Arial" w:eastAsia="Arial" w:hAnsi="Arial"/>
          <w:sz w:val="12"/>
          <w:szCs w:val="12"/>
          <w:color w:val="auto"/>
        </w:rPr>
        <w:t>has served as our President since March 2025. Mr. Sindicich previously served as</w:t>
      </w:r>
      <w:r>
        <w:rPr>
          <w:rFonts w:ascii="Arial" w:cs="Arial" w:eastAsia="Arial" w:hAnsi="Arial"/>
          <w:sz w:val="12"/>
          <w:szCs w:val="12"/>
          <w:i w:val="1"/>
          <w:iCs w:val="1"/>
          <w:color w:val="auto"/>
        </w:rPr>
        <w:t xml:space="preserve"> </w:t>
      </w:r>
      <w:r>
        <w:rPr>
          <w:rFonts w:ascii="Arial" w:cs="Arial" w:eastAsia="Arial" w:hAnsi="Arial"/>
          <w:sz w:val="12"/>
          <w:szCs w:val="12"/>
          <w:color w:val="auto"/>
        </w:rPr>
        <w:t>our Chief Executive Officer of Navan Expense from April 2023 to March 2025, our Executive Vice President and General Manager of Navan Expense from December 2019 to April 2023, our Vice President of Enterprise Sales from December 2018 to December 2019, our Vice President of Sales, West from May 2018 to January 2019, a Director of Sales from 2017 to May 2018, and a Senior Account Executive from April 2016 to April 2017. Mr. Sindicich holds a B.S. in Psychobiology from the University of California, Los Angeles.</w:t>
      </w:r>
    </w:p>
    <w:p>
      <w:pPr>
        <w:spacing w:after="0" w:line="24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Non-Employee Directors</w:t>
      </w:r>
    </w:p>
    <w:p>
      <w:pPr>
        <w:spacing w:after="0" w:line="128"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i w:val="1"/>
          <w:iCs w:val="1"/>
          <w:color w:val="auto"/>
        </w:rPr>
        <w:t xml:space="preserve">Ben Horowitz </w:t>
      </w:r>
      <w:r>
        <w:rPr>
          <w:rFonts w:ascii="Arial" w:cs="Arial" w:eastAsia="Arial" w:hAnsi="Arial"/>
          <w:sz w:val="12"/>
          <w:szCs w:val="12"/>
          <w:color w:val="auto"/>
        </w:rPr>
        <w:t>has served as a member of our board of directors since October 2018. Mr. Horowitz is</w:t>
      </w:r>
      <w:r>
        <w:rPr>
          <w:rFonts w:ascii="Arial" w:cs="Arial" w:eastAsia="Arial" w:hAnsi="Arial"/>
          <w:sz w:val="12"/>
          <w:szCs w:val="12"/>
          <w:i w:val="1"/>
          <w:iCs w:val="1"/>
          <w:color w:val="auto"/>
        </w:rPr>
        <w:t xml:space="preserve"> </w:t>
      </w:r>
      <w:r>
        <w:rPr>
          <w:rFonts w:ascii="Arial" w:cs="Arial" w:eastAsia="Arial" w:hAnsi="Arial"/>
          <w:sz w:val="12"/>
          <w:szCs w:val="12"/>
          <w:color w:val="auto"/>
        </w:rPr>
        <w:t>a co-founder and has served as a General Partner of Andreessen Horowitz, a venture capital firm, since July 2009. Prior to Andreessen Horowitz, Mr. Horowitz served as a Vice President and General Manager of HP Inc. (formerly Hewlett-Packard Company), a multinational information technology company, from 2007 to 2008. Prior to HP, Mr. Horowitz served as co-founder, President, and Chief Executive Officer of Opsware, Inc., a computer software company, from 1999 to 2007. Mr. Horowitz served on the boards of directors of public companies such as Okta, Inc., or Okta, a publicly traded software company, from February 2010 to June 2025 and Lyft from June 2016 to June 2020. In addition, Mr. Horowitz serves on the boards of directors of several private companies. Mr. Horowitz holds a B.A. in Computer Science from Columbia University and an M.S. in Computer Science from the University of California, Los Angeles. We believe Mr. Horowitz is qualified to serve as a member of our board of directors because of his extensive experience in the venture capital industry, his knowledge of technology companies, and his service on other privately and publicly held companies.</w:t>
      </w:r>
    </w:p>
    <w:p>
      <w:pPr>
        <w:spacing w:after="0" w:line="87" w:lineRule="exact"/>
        <w:rPr>
          <w:sz w:val="20"/>
          <w:szCs w:val="20"/>
          <w:color w:val="auto"/>
        </w:rPr>
      </w:pPr>
    </w:p>
    <w:p>
      <w:pPr>
        <w:ind w:left="1520" w:right="1860" w:firstLine="230"/>
        <w:spacing w:after="0" w:line="272" w:lineRule="auto"/>
        <w:rPr>
          <w:sz w:val="20"/>
          <w:szCs w:val="20"/>
          <w:color w:val="auto"/>
        </w:rPr>
      </w:pPr>
      <w:r>
        <w:rPr>
          <w:rFonts w:ascii="Arial" w:cs="Arial" w:eastAsia="Arial" w:hAnsi="Arial"/>
          <w:sz w:val="12"/>
          <w:szCs w:val="12"/>
          <w:i w:val="1"/>
          <w:iCs w:val="1"/>
          <w:color w:val="auto"/>
        </w:rPr>
        <w:t xml:space="preserve">Arif Janmohamed </w:t>
      </w:r>
      <w:r>
        <w:rPr>
          <w:rFonts w:ascii="Arial" w:cs="Arial" w:eastAsia="Arial" w:hAnsi="Arial"/>
          <w:sz w:val="12"/>
          <w:szCs w:val="12"/>
          <w:color w:val="auto"/>
        </w:rPr>
        <w:t>has served as a member of our board of directors since April 2017. Since 2008,</w:t>
      </w:r>
      <w:r>
        <w:rPr>
          <w:rFonts w:ascii="Arial" w:cs="Arial" w:eastAsia="Arial" w:hAnsi="Arial"/>
          <w:sz w:val="12"/>
          <w:szCs w:val="12"/>
          <w:i w:val="1"/>
          <w:iCs w:val="1"/>
          <w:color w:val="auto"/>
        </w:rPr>
        <w:t xml:space="preserve"> </w:t>
      </w:r>
      <w:r>
        <w:rPr>
          <w:rFonts w:ascii="Arial" w:cs="Arial" w:eastAsia="Arial" w:hAnsi="Arial"/>
          <w:sz w:val="12"/>
          <w:szCs w:val="12"/>
          <w:color w:val="auto"/>
        </w:rPr>
        <w:t>Mr. Janmohamed has served as a Partner at Lightspeed Venture Partners, or Lightspeed, a venture capital firm. Prior to joining Lightspeed, Mr. Janmohamed held roles at various technology companies, including Cisco Systems, Inc., a technology solutions company, from 2006 to 2008. Mr. Janmohamed holds a B.Sc. in Computer Engineering from University of Waterloo, Canada and an M.B.A. in Finance from the University of Pennsylvania Wharton School of Business. We believe Mr. Janmohamed is qualified to serve as a member of our board of directors given his leadership and business experience, technical knowledge, and his deep understanding of our business and industry as an early investor.</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163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680" w:firstLine="230"/>
        <w:spacing w:after="0" w:line="268" w:lineRule="auto"/>
        <w:rPr>
          <w:sz w:val="20"/>
          <w:szCs w:val="20"/>
          <w:color w:val="auto"/>
        </w:rPr>
      </w:pPr>
      <w:r>
        <w:rPr>
          <w:rFonts w:ascii="Arial" w:cs="Arial" w:eastAsia="Arial" w:hAnsi="Arial"/>
          <w:sz w:val="12"/>
          <w:szCs w:val="12"/>
          <w:i w:val="1"/>
          <w:iCs w:val="1"/>
          <w:color w:val="auto"/>
        </w:rPr>
        <w:t xml:space="preserve">Michael Kourey </w:t>
      </w:r>
      <w:r>
        <w:rPr>
          <w:rFonts w:ascii="Arial" w:cs="Arial" w:eastAsia="Arial" w:hAnsi="Arial"/>
          <w:sz w:val="12"/>
          <w:szCs w:val="12"/>
          <w:color w:val="auto"/>
        </w:rPr>
        <w:t>has served as a member on our board of directors since October 2024. Mr. Kourey</w:t>
      </w:r>
      <w:r>
        <w:rPr>
          <w:rFonts w:ascii="Arial" w:cs="Arial" w:eastAsia="Arial" w:hAnsi="Arial"/>
          <w:sz w:val="12"/>
          <w:szCs w:val="12"/>
          <w:i w:val="1"/>
          <w:iCs w:val="1"/>
          <w:color w:val="auto"/>
        </w:rPr>
        <w:t xml:space="preserve"> </w:t>
      </w:r>
      <w:r>
        <w:rPr>
          <w:rFonts w:ascii="Arial" w:cs="Arial" w:eastAsia="Arial" w:hAnsi="Arial"/>
          <w:sz w:val="12"/>
          <w:szCs w:val="12"/>
          <w:color w:val="auto"/>
        </w:rPr>
        <w:t>has served on the board of directors of Dialpad, Inc., or Dialpad, an AI-driven communications intelligence company, since February 2024, and previously served as the Chief Financial Officer of Dialpad from September 2021 to February 2025. Prior to Dialpad, Mr. Kourey served as Chief Financial Officer of Okta from March to May 2021. Prior to Okta, Mr. Kourey served as Chief Financial Officer of Vlocity, Inc., or Vlocity (acquired by Salesforce), a provider of industry-specific cloud and mobile software, from January 2019 to December 2020. Prior to Vlocity, Mr. Kourey served as Chief Financial Officer and an Executive Vice President of Medallia, Inc., or Medallia, a cloud-based customer experience management company, from 2015 to 2018. Prior to Medallia, Mr. Kourey served as a Partner at Khosla Ventures, a venture capital firm, from 2013 to 2015, and previously served as Operating Partner at Khosla Ventures from</w:t>
      </w:r>
    </w:p>
    <w:p>
      <w:pPr>
        <w:spacing w:after="0" w:line="2" w:lineRule="exact"/>
        <w:rPr>
          <w:sz w:val="20"/>
          <w:szCs w:val="20"/>
          <w:color w:val="auto"/>
        </w:rPr>
      </w:pPr>
    </w:p>
    <w:p>
      <w:pPr>
        <w:ind w:left="1520" w:right="1720"/>
        <w:spacing w:after="0" w:line="266" w:lineRule="auto"/>
        <w:rPr>
          <w:sz w:val="20"/>
          <w:szCs w:val="20"/>
          <w:color w:val="auto"/>
        </w:rPr>
      </w:pPr>
      <w:r>
        <w:rPr>
          <w:rFonts w:ascii="Arial" w:cs="Arial" w:eastAsia="Arial" w:hAnsi="Arial"/>
          <w:sz w:val="12"/>
          <w:szCs w:val="12"/>
          <w:color w:val="auto"/>
        </w:rPr>
        <w:t>2012 to 2013. Prior to Khosla Ventures, Mr. Kourey served in a variety of roles, most recently as Chief Financial Officer, at Polycom, Inc., or Polycom, a publicly traded communications solutions company, from 1991 to 2012. Mr. Kourey served on the boards of directors of various public companies such as Okta from October 2015 to March 2021, RingCentral, Inc., a publicly traded cloud-based communications company, from 2015 to 2016, Aruba Networks, Inc. (acquired by Hewlett-Packard Company), a formerly publicly traded security and networking company, from 2007 to 2015, Riverbed Technology LLC, a formerly publicly traded information technology solutions company, from 2006 to 2014, Polycom from</w:t>
      </w:r>
    </w:p>
    <w:p>
      <w:pPr>
        <w:spacing w:after="0" w:line="1" w:lineRule="exact"/>
        <w:rPr>
          <w:sz w:val="20"/>
          <w:szCs w:val="20"/>
          <w:color w:val="auto"/>
        </w:rPr>
      </w:pPr>
    </w:p>
    <w:p>
      <w:pPr>
        <w:ind w:left="1520" w:right="1700"/>
        <w:spacing w:after="0" w:line="270" w:lineRule="auto"/>
        <w:rPr>
          <w:sz w:val="20"/>
          <w:szCs w:val="20"/>
          <w:color w:val="auto"/>
        </w:rPr>
      </w:pPr>
      <w:r>
        <w:rPr>
          <w:rFonts w:ascii="Arial" w:cs="Arial" w:eastAsia="Arial" w:hAnsi="Arial"/>
          <w:sz w:val="12"/>
          <w:szCs w:val="12"/>
          <w:color w:val="auto"/>
        </w:rPr>
        <w:t>1999 to 2012, and WatchGuard Technologies, Inc., a formerly publicly traded cybersecurity company, from 2003 to 2006. Mr. Kourey has served on the board of directors of Cribl, Inc., or Cribl, a data observability company, since July 2025, and currently serves as the chair of Cribl’s audit committee. In addition, Mr. Kourey currently serves on the boards of directors of several other private companies. Mr. Kourey holds a B.S. in Agricultural and Managerial Economics from the University of California, Davis and an M.B.A. from the Santa Clara University Leavey School of Business. We believe Mr. Kourey is qualified to serve as a member of our board of directors because of his extensive experience as a public company financial officer, his extensive finance background, and his service on boards of other privately and publicly held companies.</w:t>
      </w:r>
    </w:p>
    <w:p>
      <w:pPr>
        <w:sectPr>
          <w:pgSz w:w="11900" w:h="16840" w:orient="portrait"/>
          <w:cols w:equalWidth="0" w:num="1">
            <w:col w:w="9020"/>
          </w:cols>
          <w:pgMar w:left="1440" w:top="1134" w:right="1440" w:bottom="339" w:gutter="0" w:footer="0" w:header="0"/>
        </w:sectPr>
      </w:pPr>
    </w:p>
    <w:bookmarkStart w:id="114" w:name="page115"/>
    <w:bookmarkEnd w:id="114"/>
    <w:p>
      <w:pPr>
        <w:ind w:left="1520" w:right="1680" w:firstLine="230"/>
        <w:spacing w:after="0" w:line="201" w:lineRule="auto"/>
        <w:rPr>
          <w:sz w:val="20"/>
          <w:szCs w:val="20"/>
          <w:color w:val="auto"/>
        </w:rPr>
      </w:pPr>
      <w:r>
        <w:rPr>
          <w:rFonts w:ascii="Arial" w:cs="Arial" w:eastAsia="Arial" w:hAnsi="Arial"/>
          <w:sz w:val="12"/>
          <w:szCs w:val="12"/>
          <w:i w:val="1"/>
          <w:iCs w:val="1"/>
          <w:color w:val="auto"/>
        </w:rPr>
        <w:t xml:space="preserve">Clara Liang </w:t>
      </w:r>
      <w:r>
        <w:rPr>
          <w:rFonts w:ascii="Arial" w:cs="Arial" w:eastAsia="Arial" w:hAnsi="Arial"/>
          <w:sz w:val="12"/>
          <w:szCs w:val="12"/>
          <w:color w:val="auto"/>
        </w:rPr>
        <w:t>has served as a member of our board of directors since September 2022. Since February</w:t>
      </w:r>
      <w:r>
        <w:rPr>
          <w:rFonts w:ascii="Arial" w:cs="Arial" w:eastAsia="Arial" w:hAnsi="Arial"/>
          <w:sz w:val="12"/>
          <w:szCs w:val="12"/>
          <w:i w:val="1"/>
          <w:iCs w:val="1"/>
          <w:color w:val="auto"/>
        </w:rPr>
        <w:t xml:space="preserve"> </w:t>
      </w:r>
      <w:r>
        <w:rPr>
          <w:rFonts w:ascii="Arial" w:cs="Arial" w:eastAsia="Arial" w:hAnsi="Arial"/>
          <w:sz w:val="12"/>
          <w:szCs w:val="12"/>
          <w:color w:val="auto"/>
        </w:rPr>
        <w:t>2024, Ms. Liang has served as Head of Global Strategic Operations at Stripe, Inc., or Stripe, a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-139700</wp:posOffset>
            </wp:positionV>
            <wp:extent cx="6732270" cy="99707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jc w:val="both"/>
        <w:ind w:left="1520" w:right="1860"/>
        <w:spacing w:after="0" w:line="266" w:lineRule="auto"/>
        <w:rPr>
          <w:sz w:val="20"/>
          <w:szCs w:val="20"/>
          <w:color w:val="auto"/>
        </w:rPr>
      </w:pPr>
      <w:r>
        <w:rPr>
          <w:rFonts w:ascii="Arial" w:cs="Arial" w:eastAsia="Arial" w:hAnsi="Arial"/>
          <w:sz w:val="12"/>
          <w:szCs w:val="12"/>
          <w:color w:val="auto"/>
        </w:rPr>
        <w:t>services company, and previously served as a Business Lead at Stripe from January 2022 to February 2024. Prior to Stripe, Ms. Liang served as a Vice President and General Manager and in other product director roles at Airbnb, Inc., or Airbnb, an online travel marketplace, from July 2016 to January 2022.</w:t>
      </w:r>
    </w:p>
    <w:p>
      <w:pPr>
        <w:ind w:left="1520" w:right="1760"/>
        <w:spacing w:after="0" w:line="270" w:lineRule="auto"/>
        <w:rPr>
          <w:sz w:val="20"/>
          <w:szCs w:val="20"/>
          <w:color w:val="auto"/>
        </w:rPr>
      </w:pPr>
      <w:r>
        <w:rPr>
          <w:rFonts w:ascii="Arial" w:cs="Arial" w:eastAsia="Arial" w:hAnsi="Arial"/>
          <w:sz w:val="12"/>
          <w:szCs w:val="12"/>
          <w:color w:val="auto"/>
        </w:rPr>
        <w:t>Prior to Airbnb, Ms. Liang served as Chief Product Officer at Jive Software from 2012 to 2015. Prior to Jive Software, Ms. Liang served in a number of technology and professional services roles at International Business Machines Corporation, a technology and consulting company, from 2001 to 2011. Ms. Liang has served on the board of directors of SoFi Technologies, Inc., a publicly traded financial services company, since October 2019. Ms. Liang holds a B.Sc. in Symbolic Systems from Stanford University and an M.S. in Technology Commercialization from the University of Texas at Austin. We believe Ms. Liang is qualified to serve as a member of our board of directors because of her experience leading and scaling global technology companies.</w:t>
      </w:r>
    </w:p>
    <w:p>
      <w:pPr>
        <w:spacing w:after="0" w:line="86"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i w:val="1"/>
          <w:iCs w:val="1"/>
          <w:color w:val="auto"/>
        </w:rPr>
        <w:t xml:space="preserve">Sandesh Patnam </w:t>
      </w:r>
      <w:r>
        <w:rPr>
          <w:rFonts w:ascii="Arial" w:cs="Arial" w:eastAsia="Arial" w:hAnsi="Arial"/>
          <w:sz w:val="12"/>
          <w:szCs w:val="12"/>
          <w:color w:val="auto"/>
        </w:rPr>
        <w:t>has served as a member of our board of directors since July 2022. Mr. Patnam has</w:t>
      </w:r>
      <w:r>
        <w:rPr>
          <w:rFonts w:ascii="Arial" w:cs="Arial" w:eastAsia="Arial" w:hAnsi="Arial"/>
          <w:sz w:val="12"/>
          <w:szCs w:val="12"/>
          <w:i w:val="1"/>
          <w:iCs w:val="1"/>
          <w:color w:val="auto"/>
        </w:rPr>
        <w:t xml:space="preserve"> </w:t>
      </w:r>
      <w:r>
        <w:rPr>
          <w:rFonts w:ascii="Arial" w:cs="Arial" w:eastAsia="Arial" w:hAnsi="Arial"/>
          <w:sz w:val="12"/>
          <w:szCs w:val="12"/>
          <w:color w:val="auto"/>
        </w:rPr>
        <w:t>served as the U.S. Managing Partner at Premji Invest, a growth equity firm, since March 2014. Prior to Premji Invest, Mr. Patnam served as a General Partner at DFJ Growth, a venture capital firm, from October 2020 to October 2021. Prior to DFJ Growth, Mr. Patnam served as an Investment Officer and Senior Equity Analyst at Seligman Technology Group at Columbia Management Investment Advisers LLC, or Seligman, an investment company, from 2010 to 2014. Prior to Seligman, Mr. Patnam served as the General Partner at Bay Partners LLC, a venture capital firm, from 2005 to 2010. Mr. Patnam serves on the boards of directors of several private companies and served on the board of directors of Anaplan, Inc., a publicly traded software company, from 2016 to 2022. Mr. Patnam holds a B.S. in Electrical Engineering from the University of Rochester and an M.B.A. in Finance from the University of Pennsylvania Wharton School of Business. We believe Mr. Patnam is qualified to serve as a member of our board of directors because of his business and venture capital expertise and his service on other privately and publicly held companies.</w:t>
      </w: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164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20" w:firstLine="230"/>
        <w:spacing w:after="0" w:line="269" w:lineRule="auto"/>
        <w:rPr>
          <w:sz w:val="20"/>
          <w:szCs w:val="20"/>
          <w:color w:val="auto"/>
        </w:rPr>
      </w:pPr>
      <w:r>
        <w:rPr>
          <w:rFonts w:ascii="Arial" w:cs="Arial" w:eastAsia="Arial" w:hAnsi="Arial"/>
          <w:sz w:val="12"/>
          <w:szCs w:val="12"/>
          <w:i w:val="1"/>
          <w:iCs w:val="1"/>
          <w:color w:val="auto"/>
        </w:rPr>
        <w:t xml:space="preserve">Anré Williams </w:t>
      </w:r>
      <w:r>
        <w:rPr>
          <w:rFonts w:ascii="Arial" w:cs="Arial" w:eastAsia="Arial" w:hAnsi="Arial"/>
          <w:sz w:val="12"/>
          <w:szCs w:val="12"/>
          <w:color w:val="auto"/>
        </w:rPr>
        <w:t>has served as a member on our board of directors since June 2025. Mr. Williams has</w:t>
      </w:r>
      <w:r>
        <w:rPr>
          <w:rFonts w:ascii="Arial" w:cs="Arial" w:eastAsia="Arial" w:hAnsi="Arial"/>
          <w:sz w:val="12"/>
          <w:szCs w:val="12"/>
          <w:i w:val="1"/>
          <w:iCs w:val="1"/>
          <w:color w:val="auto"/>
        </w:rPr>
        <w:t xml:space="preserve"> </w:t>
      </w:r>
      <w:r>
        <w:rPr>
          <w:rFonts w:ascii="Arial" w:cs="Arial" w:eastAsia="Arial" w:hAnsi="Arial"/>
          <w:sz w:val="12"/>
          <w:szCs w:val="12"/>
          <w:color w:val="auto"/>
        </w:rPr>
        <w:t>served as Senior Executive Advisor of American Express Company, or American Express, a publicly traded financial services corporation, since February 2025, and has served on the Executive Committee of American Express since 2018. Prior to his current role at American Express, Mr. Williams served as Chief Executive Officer of American Express National Bank, or AENB, an online bank and subsidiary of American Express, from April 2021 to January 2025. Prior to AENB, Mr. Williams served as Group President, Enterprise Services, of American Express from April 2021 to February 2025 and served as the Group President of Global Merchant &amp; Network Services at American Express from February 2018 to April 2021. Mr. Williams served in a number of leadership and professional roles at American Express from 1990 to 2018. Mr. Williams has served on the boards of directors of publicly traded companies such as Infinite Acquisition Corp, a special-purpose acquisition company, from November 2021 to August 2023, Illinois Tool Works Inc., a publicly traded manufacturing company, from August 2010 to May 2023, and Joseph T. Ryerson &amp; Son, Inc., a metal processing and distribution company, from 2004 to 2007. Mr. Williams holds a B.A. in Economics from Stanford University and an M.B.A. from the University of Pennsylvania Wharton School of Business. We believe Mr. Williams is qualified to serve as a member of our board of directors because of his extensive public company leadership experience and his service on boards of other privately and publicly held companies.</w:t>
      </w:r>
    </w:p>
    <w:p>
      <w:pPr>
        <w:spacing w:after="0" w:line="88" w:lineRule="exact"/>
        <w:rPr>
          <w:sz w:val="20"/>
          <w:szCs w:val="20"/>
          <w:color w:val="auto"/>
        </w:rPr>
      </w:pPr>
    </w:p>
    <w:p>
      <w:pPr>
        <w:ind w:left="1520" w:right="1720" w:firstLine="230"/>
        <w:spacing w:after="0" w:line="271" w:lineRule="auto"/>
        <w:rPr>
          <w:sz w:val="20"/>
          <w:szCs w:val="20"/>
          <w:color w:val="auto"/>
        </w:rPr>
      </w:pPr>
      <w:r>
        <w:rPr>
          <w:rFonts w:ascii="Arial" w:cs="Arial" w:eastAsia="Arial" w:hAnsi="Arial"/>
          <w:sz w:val="12"/>
          <w:szCs w:val="12"/>
          <w:i w:val="1"/>
          <w:iCs w:val="1"/>
          <w:color w:val="auto"/>
        </w:rPr>
        <w:t xml:space="preserve">Oren Zeev </w:t>
      </w:r>
      <w:r>
        <w:rPr>
          <w:rFonts w:ascii="Arial" w:cs="Arial" w:eastAsia="Arial" w:hAnsi="Arial"/>
          <w:sz w:val="12"/>
          <w:szCs w:val="12"/>
          <w:color w:val="auto"/>
        </w:rPr>
        <w:t>has served as a member on our board of directors since April 2015. Since 2015, Mr. Zeev</w:t>
      </w:r>
      <w:r>
        <w:rPr>
          <w:rFonts w:ascii="Arial" w:cs="Arial" w:eastAsia="Arial" w:hAnsi="Arial"/>
          <w:sz w:val="12"/>
          <w:szCs w:val="12"/>
          <w:i w:val="1"/>
          <w:iCs w:val="1"/>
          <w:color w:val="auto"/>
        </w:rPr>
        <w:t xml:space="preserve"> </w:t>
      </w:r>
      <w:r>
        <w:rPr>
          <w:rFonts w:ascii="Arial" w:cs="Arial" w:eastAsia="Arial" w:hAnsi="Arial"/>
          <w:sz w:val="12"/>
          <w:szCs w:val="12"/>
          <w:color w:val="auto"/>
        </w:rPr>
        <w:t>has served as the Sole General Partner of Zeev Ventures, a venture capital firm. Between 2008 and 2015, Mr. Zeev invested his own capital in private technology companies. Prior to that, Mr. Zeev served as a General Partner at Apax Partners, a venture capital firm, from 1995 to 2007. Mr. Zeev currently serves as a member of the boards of directors of various private technology companies. Mr. Zeev previously served on the board of Chegg, Inc., an education technology company, from 2008 to 2013 and Audible, Inc., an online audiobook company, from 2003 to 2008. Mr. Zeev holds a B.Sc. in Electrical Engineering from Technion, Israel Institute of Technology and an M.B.A. from INSEAD. We believe Mr. Zeev is qualified to serve as a member of our board of directors because of his extensive experience in the venture capital industry and his knowledge of technology companies and our industry.</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Family Relationships</w:t>
      </w:r>
    </w:p>
    <w:p>
      <w:pPr>
        <w:spacing w:after="0" w:line="130"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There are no family relationships among any of our executive officers or directors.</w:t>
      </w:r>
    </w:p>
    <w:p>
      <w:pPr>
        <w:spacing w:after="0" w:line="130"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Code of Business Conduct and Ethics</w:t>
      </w:r>
    </w:p>
    <w:p>
      <w:pPr>
        <w:spacing w:after="0" w:line="130" w:lineRule="exact"/>
        <w:rPr>
          <w:sz w:val="20"/>
          <w:szCs w:val="20"/>
          <w:color w:val="auto"/>
        </w:rPr>
      </w:pPr>
    </w:p>
    <w:p>
      <w:pPr>
        <w:ind w:left="1520" w:right="1680" w:firstLine="230"/>
        <w:spacing w:after="0" w:line="275" w:lineRule="auto"/>
        <w:rPr>
          <w:sz w:val="20"/>
          <w:szCs w:val="20"/>
          <w:color w:val="auto"/>
        </w:rPr>
      </w:pPr>
      <w:r>
        <w:rPr>
          <w:rFonts w:ascii="Arial" w:cs="Arial" w:eastAsia="Arial" w:hAnsi="Arial"/>
          <w:sz w:val="12"/>
          <w:szCs w:val="12"/>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will be posted on the investor relations page on our website. We intend to disclose any amendments to our code of business conduct and ethics, or waivers of its requirements, on our website or in filings under the Exchange Act.</w:t>
      </w:r>
    </w:p>
    <w:p>
      <w:pPr>
        <w:spacing w:after="0" w:line="85"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Board of Directors</w:t>
      </w:r>
    </w:p>
    <w:p>
      <w:pPr>
        <w:spacing w:after="0" w:line="130" w:lineRule="exact"/>
        <w:rPr>
          <w:sz w:val="20"/>
          <w:szCs w:val="20"/>
          <w:color w:val="auto"/>
        </w:rPr>
      </w:pPr>
    </w:p>
    <w:p>
      <w:pPr>
        <w:ind w:left="1520" w:right="1760" w:firstLine="230"/>
        <w:spacing w:after="0" w:line="277" w:lineRule="auto"/>
        <w:rPr>
          <w:sz w:val="20"/>
          <w:szCs w:val="20"/>
          <w:color w:val="auto"/>
        </w:rPr>
      </w:pPr>
      <w:r>
        <w:rPr>
          <w:rFonts w:ascii="Arial" w:cs="Arial" w:eastAsia="Arial" w:hAnsi="Arial"/>
          <w:sz w:val="12"/>
          <w:szCs w:val="12"/>
          <w:color w:val="auto"/>
        </w:rPr>
        <w:t>Our business and affairs are managed under the direction of our board of directors. Our board of directors currently consists of nine directors. Pursuant to our amended and restated certificate of incorporation, as currently in effect, and the Amended and Restated Voting Agreement by and among us and other parties, dated July 28, 2022, as amended, or our Voting Agreement, our current directors were elected as follows:</w:t>
      </w:r>
    </w:p>
    <w:p>
      <w:pPr>
        <w:spacing w:after="0" w:line="84" w:lineRule="exact"/>
        <w:rPr>
          <w:sz w:val="20"/>
          <w:szCs w:val="20"/>
          <w:color w:val="auto"/>
        </w:rPr>
      </w:pPr>
    </w:p>
    <w:p>
      <w:pPr>
        <w:ind w:left="1980" w:right="1960" w:hanging="228"/>
        <w:spacing w:after="0" w:line="312" w:lineRule="auto"/>
        <w:tabs>
          <w:tab w:leader="none" w:pos="19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Messrs. Cohen and Twig were elected as the designees nominated by certain holders of our common stock;</w:t>
      </w:r>
    </w:p>
    <w:p>
      <w:pPr>
        <w:spacing w:after="0" w:line="62" w:lineRule="exact"/>
        <w:rPr>
          <w:rFonts w:ascii="Arial" w:cs="Arial" w:eastAsia="Arial" w:hAnsi="Arial"/>
          <w:sz w:val="12"/>
          <w:szCs w:val="12"/>
          <w:color w:val="auto"/>
        </w:rPr>
      </w:pPr>
    </w:p>
    <w:p>
      <w:pPr>
        <w:ind w:left="1980" w:right="2180" w:hanging="228"/>
        <w:spacing w:after="0" w:line="312" w:lineRule="auto"/>
        <w:tabs>
          <w:tab w:leader="none" w:pos="19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Mr. Zeev was elected as the designee nominated by holders of our Series A redeemable convertible preferred stock;</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165</w:t>
      </w:r>
    </w:p>
    <w:p>
      <w:pPr>
        <w:sectPr>
          <w:pgSz w:w="11900" w:h="16840" w:orient="portrait"/>
          <w:cols w:equalWidth="0" w:num="1">
            <w:col w:w="9020"/>
          </w:cols>
          <w:pgMar w:left="1440" w:top="560" w:right="1440" w:bottom="1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ectPr>
          <w:pgSz w:w="11900" w:h="16840" w:orient="portrait"/>
          <w:cols w:equalWidth="0" w:num="1">
            <w:col w:w="9020"/>
          </w:cols>
          <w:pgMar w:left="1440" w:top="560" w:right="1440" w:bottom="105" w:gutter="0" w:footer="0" w:header="0"/>
          <w:type w:val="continuous"/>
        </w:sectPr>
      </w:pPr>
    </w:p>
    <w:bookmarkStart w:id="115" w:name="page116"/>
    <w:bookmarkEnd w:id="115"/>
    <w:p>
      <w:pPr>
        <w:ind w:left="1980" w:right="2240" w:hanging="228"/>
        <w:spacing w:after="0" w:line="312" w:lineRule="auto"/>
        <w:tabs>
          <w:tab w:leader="none" w:pos="19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Mr. Janmohamed was elected as the designee nominated by a holder of our Series A-1 redeemable convertible preferred stock, together with its affiliates;</w:t>
      </w:r>
    </w:p>
    <w:p>
      <w:pPr>
        <w:spacing w:after="0" w:line="62" w:lineRule="exact"/>
        <w:rPr>
          <w:rFonts w:ascii="Arial" w:cs="Arial" w:eastAsia="Arial" w:hAnsi="Arial"/>
          <w:sz w:val="12"/>
          <w:szCs w:val="12"/>
          <w:color w:val="auto"/>
        </w:rPr>
      </w:pPr>
    </w:p>
    <w:p>
      <w:pPr>
        <w:ind w:left="1980" w:right="1920" w:hanging="228"/>
        <w:spacing w:after="0" w:line="312" w:lineRule="auto"/>
        <w:tabs>
          <w:tab w:leader="none" w:pos="19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Mr. Horowitz was elected as the designee nominated by a holder of our Series C redeemable convertible preferred stock, together with its affiliates;</w:t>
      </w:r>
    </w:p>
    <w:p>
      <w:pPr>
        <w:spacing w:after="0" w:line="62" w:lineRule="exact"/>
        <w:rPr>
          <w:rFonts w:ascii="Arial" w:cs="Arial" w:eastAsia="Arial" w:hAnsi="Arial"/>
          <w:sz w:val="12"/>
          <w:szCs w:val="12"/>
          <w:color w:val="auto"/>
        </w:rPr>
      </w:pPr>
    </w:p>
    <w:p>
      <w:pPr>
        <w:ind w:left="1980" w:right="1960" w:hanging="228"/>
        <w:spacing w:after="0" w:line="312" w:lineRule="auto"/>
        <w:tabs>
          <w:tab w:leader="none" w:pos="19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Mr. Patnam was elected as the designee nominated by a holder of our Series G redeemable convertible preferred stock, together with its affiliates;</w:t>
      </w:r>
    </w:p>
    <w:p>
      <w:pPr>
        <w:spacing w:after="0" w:line="62" w:lineRule="exact"/>
        <w:rPr>
          <w:rFonts w:ascii="Arial" w:cs="Arial" w:eastAsia="Arial" w:hAnsi="Arial"/>
          <w:sz w:val="12"/>
          <w:szCs w:val="12"/>
          <w:color w:val="auto"/>
        </w:rPr>
      </w:pPr>
    </w:p>
    <w:p>
      <w:pPr>
        <w:ind w:left="1980" w:right="1680" w:hanging="228"/>
        <w:spacing w:after="0" w:line="312" w:lineRule="auto"/>
        <w:tabs>
          <w:tab w:leader="none" w:pos="19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Ms. Liang was elected as the designee nominated by all of the other directors then-serving on our board of directors;</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Mr. Kourey was appointed by all of the other directors then-serving on our board of directors; and</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Mr. Williams was appointed by all of the other directors then-serving on our board of directors.</w:t>
      </w:r>
    </w:p>
    <w:p>
      <w:pPr>
        <w:spacing w:after="0" w:line="130" w:lineRule="exact"/>
        <w:rPr>
          <w:sz w:val="20"/>
          <w:szCs w:val="20"/>
          <w:color w:val="auto"/>
        </w:rPr>
      </w:pPr>
    </w:p>
    <w:p>
      <w:pPr>
        <w:ind w:left="1520" w:right="1740" w:firstLine="230"/>
        <w:spacing w:after="0" w:line="272" w:lineRule="auto"/>
        <w:rPr>
          <w:sz w:val="20"/>
          <w:szCs w:val="20"/>
          <w:color w:val="auto"/>
        </w:rPr>
      </w:pPr>
      <w:r>
        <w:rPr>
          <w:rFonts w:ascii="Arial" w:cs="Arial" w:eastAsia="Arial" w:hAnsi="Arial"/>
          <w:sz w:val="12"/>
          <w:szCs w:val="12"/>
          <w:color w:val="auto"/>
        </w:rPr>
        <w:t>Our Voting Agreement will terminate and the provisions of our current amended and restated certificate of incorporation by which our directors were elected will be amended and restated in connection with this offering and, following this offering, there will be no contractual obligations regarding the election of our directors. After this offering, the number of directors will be fixed by our board of directors, subject to the terms of our amended and restated certificate of incorporation and amended and restated bylaws that will become effective immediately prior to the completion of this offering. Each of our current directors will continue to serve as a director until the election and qualification of their successor, or until their earlier death, resignation, or removal.</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Classified Board of Directors</w:t>
      </w:r>
    </w:p>
    <w:p>
      <w:pPr>
        <w:spacing w:after="0" w:line="130" w:lineRule="exact"/>
        <w:rPr>
          <w:sz w:val="20"/>
          <w:szCs w:val="20"/>
          <w:color w:val="auto"/>
        </w:rPr>
      </w:pPr>
    </w:p>
    <w:p>
      <w:pPr>
        <w:ind w:left="1520" w:right="1680" w:firstLine="230"/>
        <w:spacing w:after="0" w:line="275" w:lineRule="auto"/>
        <w:rPr>
          <w:sz w:val="20"/>
          <w:szCs w:val="20"/>
          <w:color w:val="auto"/>
        </w:rPr>
      </w:pPr>
      <w:r>
        <w:rPr>
          <w:rFonts w:ascii="Arial" w:cs="Arial" w:eastAsia="Arial" w:hAnsi="Arial"/>
          <w:sz w:val="12"/>
          <w:szCs w:val="12"/>
          <w:color w:val="auto"/>
        </w:rPr>
        <w:t>Upon the completion of this offering, our board of directors will consist of nine members and be divided into three classes of directors that will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85" w:lineRule="exact"/>
        <w:rPr>
          <w:sz w:val="20"/>
          <w:szCs w:val="20"/>
          <w:color w:val="auto"/>
        </w:rPr>
      </w:pPr>
    </w:p>
    <w:p>
      <w:pPr>
        <w:jc w:val="both"/>
        <w:ind w:left="1980" w:right="1800" w:hanging="228"/>
        <w:spacing w:after="0" w:line="312" w:lineRule="auto"/>
        <w:tabs>
          <w:tab w:leader="none" w:pos="198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the Class I directors will be Ariel Cohen, Ben Horowitz, and Michael Kourey, and their terms will expire at the first annual meeting of stockholders to be held after the completion of this offering;</w:t>
      </w:r>
    </w:p>
    <w:p>
      <w:pPr>
        <w:spacing w:after="0" w:line="62" w:lineRule="exact"/>
        <w:rPr>
          <w:sz w:val="20"/>
          <w:szCs w:val="20"/>
          <w:color w:val="auto"/>
        </w:rPr>
      </w:pPr>
    </w:p>
    <w:p>
      <w:pPr>
        <w:ind w:left="1980" w:right="1660" w:hanging="219"/>
        <w:spacing w:after="0" w:line="289" w:lineRule="auto"/>
        <w:tabs>
          <w:tab w:leader="none" w:pos="1960" w:val="left"/>
        </w:tabs>
        <w:rPr>
          <w:sz w:val="20"/>
          <w:szCs w:val="20"/>
          <w:color w:val="auto"/>
        </w:rPr>
      </w:pPr>
      <w:r>
        <w:rPr>
          <w:rFonts w:ascii="Arial" w:cs="Arial" w:eastAsia="Arial" w:hAnsi="Arial"/>
          <w:sz w:val="12"/>
          <w:szCs w:val="12"/>
          <w:color w:val="auto"/>
        </w:rPr>
        <w:t>•</w:t>
        <w:tab/>
        <w:t>the Class II directors will be Arif Janmohamed, Ilan Twig, and Anré Williams , and their terms will expire at the second annual meeting of stockholders to be held after the completion of this offering; and</w:t>
      </w:r>
    </w:p>
    <w:p>
      <w:pPr>
        <w:spacing w:after="0" w:line="76" w:lineRule="exact"/>
        <w:rPr>
          <w:sz w:val="20"/>
          <w:szCs w:val="20"/>
          <w:color w:val="auto"/>
        </w:rPr>
      </w:pPr>
    </w:p>
    <w:p>
      <w:pPr>
        <w:jc w:val="both"/>
        <w:ind w:left="1980" w:right="1760" w:hanging="228"/>
        <w:spacing w:after="0" w:line="312" w:lineRule="auto"/>
        <w:tabs>
          <w:tab w:leader="none" w:pos="198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the Class III directors will be Clara Liang, Sandesh Patnam, and Oren Zeev, and their terms will expire at the third annual meeting of stockholders to be held after the completion of this offering.</w:t>
      </w:r>
    </w:p>
    <w:p>
      <w:pPr>
        <w:spacing w:after="0" w:line="62" w:lineRule="exact"/>
        <w:rPr>
          <w:sz w:val="20"/>
          <w:szCs w:val="20"/>
          <w:color w:val="auto"/>
        </w:rPr>
      </w:pPr>
    </w:p>
    <w:p>
      <w:pPr>
        <w:ind w:left="1520" w:right="1720" w:firstLine="230"/>
        <w:spacing w:after="0" w:line="275" w:lineRule="auto"/>
        <w:rPr>
          <w:sz w:val="20"/>
          <w:szCs w:val="20"/>
          <w:color w:val="auto"/>
        </w:rPr>
      </w:pPr>
      <w:r>
        <w:rPr>
          <w:rFonts w:ascii="Arial" w:cs="Arial" w:eastAsia="Arial" w:hAnsi="Arial"/>
          <w:sz w:val="12"/>
          <w:szCs w:val="12"/>
          <w:color w:val="auto"/>
        </w:rPr>
        <w:t>Each director’s term continues until the election and qualification of his or her successor, or his or her earlier death, resignation, or removal. Our amended and restated certificate of incorporation and amended and restated bylaws to be in effect upon the completion of this offering will authorize only our board of directors to fill vacancies on our board of directors. This classification of our board of directors may have the effect of delaying or preventing changes in control of our company. See the section titled “Description of Capital Stock—Anti-Takeover Provisions.”</w:t>
      </w:r>
    </w:p>
    <w:p>
      <w:pPr>
        <w:spacing w:after="0" w:line="85"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Director Independence</w:t>
      </w:r>
    </w:p>
    <w:p>
      <w:pPr>
        <w:spacing w:after="0" w:line="130" w:lineRule="exact"/>
        <w:rPr>
          <w:sz w:val="20"/>
          <w:szCs w:val="20"/>
          <w:color w:val="auto"/>
        </w:rPr>
      </w:pPr>
    </w:p>
    <w:p>
      <w:pPr>
        <w:ind w:left="1520" w:right="1760" w:firstLine="230"/>
        <w:spacing w:after="0" w:line="281" w:lineRule="auto"/>
        <w:rPr>
          <w:sz w:val="20"/>
          <w:szCs w:val="20"/>
          <w:color w:val="auto"/>
        </w:rPr>
      </w:pPr>
      <w:r>
        <w:rPr>
          <w:rFonts w:ascii="Arial" w:cs="Arial" w:eastAsia="Arial" w:hAnsi="Arial"/>
          <w:sz w:val="12"/>
          <w:szCs w:val="12"/>
          <w:color w:val="auto"/>
        </w:rPr>
        <w:t>In connection with this offering, we intend to list our Class A common stock on Nasdaq. Under Nasdaq rules independent directors must comprise a majority of a listed company’s board of directors within a specified period after the completion of this offering. In addition, Nasdaq rules require that, subject to specified exceptions, each member of a listed company’s audit, compensation and nominating</w:t>
      </w: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166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60"/>
        <w:spacing w:after="0" w:line="281" w:lineRule="auto"/>
        <w:rPr>
          <w:sz w:val="20"/>
          <w:szCs w:val="20"/>
          <w:color w:val="auto"/>
        </w:rPr>
      </w:pPr>
      <w:r>
        <w:rPr>
          <w:rFonts w:ascii="Arial" w:cs="Arial" w:eastAsia="Arial" w:hAnsi="Arial"/>
          <w:sz w:val="12"/>
          <w:szCs w:val="12"/>
          <w:color w:val="auto"/>
        </w:rPr>
        <w:t>and governance committees be independent.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81" w:lineRule="exact"/>
        <w:rPr>
          <w:sz w:val="20"/>
          <w:szCs w:val="20"/>
          <w:color w:val="auto"/>
        </w:rPr>
      </w:pPr>
    </w:p>
    <w:p>
      <w:pPr>
        <w:ind w:left="1520" w:right="1780" w:firstLine="230"/>
        <w:spacing w:after="0" w:line="289" w:lineRule="auto"/>
        <w:rPr>
          <w:sz w:val="20"/>
          <w:szCs w:val="20"/>
          <w:color w:val="auto"/>
        </w:rPr>
      </w:pPr>
      <w:r>
        <w:rPr>
          <w:rFonts w:ascii="Arial" w:cs="Arial" w:eastAsia="Arial" w:hAnsi="Arial"/>
          <w:sz w:val="12"/>
          <w:szCs w:val="12"/>
          <w:color w:val="auto"/>
        </w:rPr>
        <w:t>Additionally, compensation committee members must not have a relationship with us that is material to the director’s ability to be independent from management in connection with the duties of a compensation committee member.</w:t>
      </w:r>
    </w:p>
    <w:p>
      <w:pPr>
        <w:spacing w:after="0" w:line="76" w:lineRule="exact"/>
        <w:rPr>
          <w:sz w:val="20"/>
          <w:szCs w:val="20"/>
          <w:color w:val="auto"/>
        </w:rPr>
      </w:pPr>
    </w:p>
    <w:p>
      <w:pPr>
        <w:ind w:left="1520" w:right="1820" w:firstLine="230"/>
        <w:spacing w:after="0" w:line="273" w:lineRule="auto"/>
        <w:rPr>
          <w:sz w:val="20"/>
          <w:szCs w:val="20"/>
          <w:color w:val="auto"/>
        </w:rPr>
      </w:pPr>
      <w:r>
        <w:rPr>
          <w:rFonts w:ascii="Arial" w:cs="Arial" w:eastAsia="Arial" w:hAnsi="Arial"/>
          <w:sz w:val="12"/>
          <w:szCs w:val="12"/>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We intend to satisfy the audit committee independence requirements of Rule 10A-3 as of the completion of this offering.</w:t>
      </w:r>
    </w:p>
    <w:p>
      <w:pPr>
        <w:spacing w:after="0" w:line="88" w:lineRule="exact"/>
        <w:rPr>
          <w:sz w:val="20"/>
          <w:szCs w:val="20"/>
          <w:color w:val="auto"/>
        </w:rPr>
      </w:pPr>
    </w:p>
    <w:p>
      <w:pPr>
        <w:ind w:left="1520" w:right="1740" w:firstLine="230"/>
        <w:spacing w:after="0" w:line="271" w:lineRule="auto"/>
        <w:rPr>
          <w:sz w:val="20"/>
          <w:szCs w:val="20"/>
          <w:color w:val="auto"/>
        </w:rPr>
      </w:pPr>
      <w:r>
        <w:rPr>
          <w:rFonts w:ascii="Arial" w:cs="Arial" w:eastAsia="Arial" w:hAnsi="Arial"/>
          <w:sz w:val="12"/>
          <w:szCs w:val="12"/>
          <w:color w:val="auto"/>
        </w:rPr>
        <w:t>Our board of directors has undertaken a review of the independence of each director and considered whether each director has a material relationship with us that could compromise their ability to exercise independent judgment in carrying out his or her responsibilities. As a result of this review, our board of directors determined that Ms. Liang and Messrs. Horowitz, Janmohamed, Kourey, Patnam, Williams, and Zeev are “independent directors” as defined under the applicable rules and regulations of the SEC and the listing requirements and rules of Nasdaq. In making these determinations, our board of 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pacing w:after="0" w:line="24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Role of our Board in Risk Oversight Process</w:t>
      </w:r>
    </w:p>
    <w:p>
      <w:pPr>
        <w:spacing w:after="0" w:line="130" w:lineRule="exact"/>
        <w:rPr>
          <w:sz w:val="20"/>
          <w:szCs w:val="20"/>
          <w:color w:val="auto"/>
        </w:rPr>
      </w:pPr>
    </w:p>
    <w:p>
      <w:pPr>
        <w:ind w:left="1520" w:right="1760" w:firstLine="230"/>
        <w:spacing w:after="0" w:line="312" w:lineRule="auto"/>
        <w:rPr>
          <w:sz w:val="20"/>
          <w:szCs w:val="20"/>
          <w:color w:val="auto"/>
        </w:rPr>
      </w:pPr>
      <w:r>
        <w:rPr>
          <w:rFonts w:ascii="Arial" w:cs="Arial" w:eastAsia="Arial" w:hAnsi="Arial"/>
          <w:sz w:val="12"/>
          <w:szCs w:val="12"/>
          <w:color w:val="auto"/>
        </w:rPr>
        <w:t>Risk assessment and oversight are an integral part of our governance and management processes. Our board of directors encourages management to promote a culture that incorporates risk management</w:t>
      </w:r>
    </w:p>
    <w:p>
      <w:pPr>
        <w:sectPr>
          <w:pgSz w:w="11900" w:h="16840" w:orient="portrait"/>
          <w:cols w:equalWidth="0" w:num="1">
            <w:col w:w="9020"/>
          </w:cols>
          <w:pgMar w:left="1440" w:top="1076" w:right="1440" w:bottom="85" w:gutter="0" w:footer="0" w:header="0"/>
        </w:sectPr>
      </w:pPr>
    </w:p>
    <w:bookmarkStart w:id="116" w:name="page117"/>
    <w:bookmarkEnd w:id="116"/>
    <w:p>
      <w:pPr>
        <w:ind w:left="1520" w:right="1880"/>
        <w:spacing w:after="0" w:line="183" w:lineRule="auto"/>
        <w:rPr>
          <w:sz w:val="20"/>
          <w:szCs w:val="20"/>
          <w:color w:val="auto"/>
        </w:rPr>
      </w:pPr>
      <w:r>
        <w:rPr>
          <w:rFonts w:ascii="Arial" w:cs="Arial" w:eastAsia="Arial" w:hAnsi="Arial"/>
          <w:sz w:val="11"/>
          <w:szCs w:val="11"/>
          <w:color w:val="auto"/>
        </w:rPr>
        <w:t>into our corporate strategy and day-to-day business operations. Management discusses strategic and operational risks at regular management meetings and conducts specific strategic planning and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-115570</wp:posOffset>
            </wp:positionV>
            <wp:extent cx="6732270" cy="99707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700"/>
        <w:spacing w:after="0" w:line="275" w:lineRule="auto"/>
        <w:rPr>
          <w:sz w:val="20"/>
          <w:szCs w:val="20"/>
          <w:color w:val="auto"/>
        </w:rPr>
      </w:pPr>
      <w:r>
        <w:rPr>
          <w:rFonts w:ascii="Arial" w:cs="Arial" w:eastAsia="Arial" w:hAnsi="Arial"/>
          <w:sz w:val="12"/>
          <w:szCs w:val="12"/>
          <w:color w:val="auto"/>
        </w:rPr>
        <w:t>sessions during the year that include a focused discussion and analysis of the risks facing us. Throughout the year, senior management reviews these risks with our board of directors at regular board meetings as part of management presentations that focus on particular business functions, operations or strategies, and presents the steps taken by management to mitigate or eliminate such risks.</w:t>
      </w:r>
    </w:p>
    <w:p>
      <w:pPr>
        <w:spacing w:after="0" w:line="83" w:lineRule="exact"/>
        <w:rPr>
          <w:sz w:val="20"/>
          <w:szCs w:val="20"/>
          <w:color w:val="auto"/>
        </w:rPr>
      </w:pPr>
    </w:p>
    <w:p>
      <w:pPr>
        <w:ind w:left="1520" w:right="1680" w:firstLine="230"/>
        <w:spacing w:after="0" w:line="271" w:lineRule="auto"/>
        <w:rPr>
          <w:sz w:val="20"/>
          <w:szCs w:val="20"/>
          <w:color w:val="auto"/>
        </w:rPr>
      </w:pPr>
      <w:r>
        <w:rPr>
          <w:rFonts w:ascii="Arial" w:cs="Arial" w:eastAsia="Arial" w:hAnsi="Arial"/>
          <w:sz w:val="12"/>
          <w:szCs w:val="12"/>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our major financial risk and cybersecurity exposures and the steps our management has taken to monitor and control these exposures. The audit committee also approves or disapproves any related person transactions. Our nominating and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243"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Lead Independent Director</w:t>
      </w:r>
    </w:p>
    <w:p>
      <w:pPr>
        <w:spacing w:after="0" w:line="130" w:lineRule="exact"/>
        <w:rPr>
          <w:sz w:val="20"/>
          <w:szCs w:val="20"/>
          <w:color w:val="auto"/>
        </w:rPr>
      </w:pPr>
    </w:p>
    <w:p>
      <w:pPr>
        <w:jc w:val="both"/>
        <w:ind w:left="1520" w:right="2300" w:firstLine="230"/>
        <w:spacing w:after="0" w:line="289" w:lineRule="auto"/>
        <w:rPr>
          <w:sz w:val="20"/>
          <w:szCs w:val="20"/>
          <w:color w:val="auto"/>
        </w:rPr>
      </w:pPr>
      <w:r>
        <w:rPr>
          <w:rFonts w:ascii="Arial" w:cs="Arial" w:eastAsia="Arial" w:hAnsi="Arial"/>
          <w:sz w:val="12"/>
          <w:szCs w:val="12"/>
          <w:color w:val="auto"/>
        </w:rPr>
        <w:t>Our board of directors will adopt, effective prior to the completion of this offering, corporate governance guidelines that provide that one of our independent directors will serve as our lead independent director. Our board of directors has appointed Ben Horowitz to serve as our lead</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167</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840"/>
        <w:spacing w:after="0" w:line="281" w:lineRule="auto"/>
        <w:rPr>
          <w:sz w:val="20"/>
          <w:szCs w:val="20"/>
          <w:color w:val="auto"/>
        </w:rPr>
      </w:pPr>
      <w:r>
        <w:rPr>
          <w:rFonts w:ascii="Arial" w:cs="Arial" w:eastAsia="Arial" w:hAnsi="Arial"/>
          <w:sz w:val="12"/>
          <w:szCs w:val="12"/>
          <w:color w:val="auto"/>
        </w:rPr>
        <w:t>independent director. As lead independent director, Mr. Horowitz will provide leadership to our board of directors if circumstances arise in which the role of our Chief Executive Officer and chairperson of our board of directors may be, or may be perceived to be, in conflict, and perform such additional duties as our board of directors may otherwise determine and delegate.</w:t>
      </w:r>
    </w:p>
    <w:p>
      <w:pPr>
        <w:spacing w:after="0" w:line="8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Committees of the Board of Directors</w:t>
      </w:r>
    </w:p>
    <w:p>
      <w:pPr>
        <w:spacing w:after="0" w:line="130" w:lineRule="exact"/>
        <w:rPr>
          <w:sz w:val="20"/>
          <w:szCs w:val="20"/>
          <w:color w:val="auto"/>
        </w:rPr>
      </w:pPr>
    </w:p>
    <w:p>
      <w:pPr>
        <w:ind w:left="1520" w:right="1720" w:firstLine="230"/>
        <w:spacing w:after="0" w:line="275" w:lineRule="auto"/>
        <w:rPr>
          <w:sz w:val="20"/>
          <w:szCs w:val="20"/>
          <w:color w:val="auto"/>
        </w:rPr>
      </w:pPr>
      <w:r>
        <w:rPr>
          <w:rFonts w:ascii="Arial" w:cs="Arial" w:eastAsia="Arial" w:hAnsi="Arial"/>
          <w:sz w:val="12"/>
          <w:szCs w:val="12"/>
          <w:color w:val="auto"/>
        </w:rPr>
        <w:t>Our board of directors has an audit committee, a compensation committee, and a nominating and governance committee, each of which, pursuant to its respective charter, will have the composition and responsibilities described below upon the completion of this offering. Following the completion of this offering, copies of the charters for each committee will be available on the investor relations portion of our website. Members serve on these committees until their resignation or until otherwise determined by our board of directors.</w:t>
      </w:r>
    </w:p>
    <w:p>
      <w:pPr>
        <w:spacing w:after="0" w:line="87"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Audit Committee</w:t>
      </w:r>
    </w:p>
    <w:p>
      <w:pPr>
        <w:spacing w:after="0" w:line="128" w:lineRule="exact"/>
        <w:rPr>
          <w:sz w:val="20"/>
          <w:szCs w:val="20"/>
          <w:color w:val="auto"/>
        </w:rPr>
      </w:pPr>
    </w:p>
    <w:p>
      <w:pPr>
        <w:ind w:left="1520" w:right="1740" w:firstLine="230"/>
        <w:spacing w:after="0" w:line="272" w:lineRule="auto"/>
        <w:rPr>
          <w:sz w:val="20"/>
          <w:szCs w:val="20"/>
          <w:color w:val="auto"/>
        </w:rPr>
      </w:pPr>
      <w:r>
        <w:rPr>
          <w:rFonts w:ascii="Arial" w:cs="Arial" w:eastAsia="Arial" w:hAnsi="Arial"/>
          <w:sz w:val="12"/>
          <w:szCs w:val="12"/>
          <w:color w:val="auto"/>
        </w:rPr>
        <w:t>Our audit committee is composed of Arif Janmohamed, Michael Kourey, Sandesh Patnam, and Oren Zeev. Mr. Kourey is the chair of our audit committee. The members of our audit committee meet the independence requirements under Nasdaq listing standards and SEC rules. Each member of our audit committee is financially literate. In addition, our board of directors has determined that Mr. Kourey is an “audit committee financial expert” as that term is defined in Item 407(d)(5)(ii) of Regulation S-K promulgated under the Securities Act. This designation does not, however, impose on them any supplemental duties, obligations or liabilities beyond those that are generally applicable to the other members of our audit committee and board of directors. Our audit committee’s principal functions are to assist our board of directors in its oversight of:</w:t>
      </w:r>
    </w:p>
    <w:p>
      <w:pPr>
        <w:spacing w:after="0" w:line="85" w:lineRule="exact"/>
        <w:rPr>
          <w:sz w:val="20"/>
          <w:szCs w:val="20"/>
          <w:color w:val="auto"/>
        </w:rPr>
      </w:pPr>
    </w:p>
    <w:p>
      <w:pPr>
        <w:ind w:left="1980" w:right="2140" w:hanging="228"/>
        <w:spacing w:after="0" w:line="312" w:lineRule="auto"/>
        <w:tabs>
          <w:tab w:leader="none" w:pos="198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selecting a firm to serve as our independent registered public accounting firm to audit our consolidated financial statements;</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ensuring the independence of the independent registered public accounting firm;</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discussing the scope and results of the audit with the independent registered public accounting</w:t>
      </w:r>
    </w:p>
    <w:p>
      <w:pPr>
        <w:spacing w:after="0" w:line="27" w:lineRule="exact"/>
        <w:rPr>
          <w:sz w:val="20"/>
          <w:szCs w:val="20"/>
          <w:color w:val="auto"/>
        </w:rPr>
      </w:pPr>
    </w:p>
    <w:p>
      <w:pPr>
        <w:ind w:left="1980" w:right="2160"/>
        <w:spacing w:after="0" w:line="292" w:lineRule="auto"/>
        <w:rPr>
          <w:sz w:val="20"/>
          <w:szCs w:val="20"/>
          <w:color w:val="auto"/>
        </w:rPr>
      </w:pPr>
      <w:r>
        <w:rPr>
          <w:rFonts w:ascii="Arial" w:cs="Arial" w:eastAsia="Arial" w:hAnsi="Arial"/>
          <w:sz w:val="12"/>
          <w:szCs w:val="12"/>
          <w:color w:val="auto"/>
        </w:rPr>
        <w:t xml:space="preserve">firm, and reviewing, with management and that firm, our interim and year-end </w:t>
      </w:r>
      <w:r>
        <w:rPr>
          <w:rFonts w:ascii="Arial" w:cs="Arial" w:eastAsia="Arial" w:hAnsi="Arial"/>
          <w:sz w:val="12"/>
          <w:szCs w:val="12"/>
          <w:color w:val="auto"/>
          <w:highlight w:val="white"/>
        </w:rPr>
        <w:t>results of</w:t>
      </w:r>
      <w:r>
        <w:rPr>
          <w:rFonts w:ascii="Arial" w:cs="Arial" w:eastAsia="Arial" w:hAnsi="Arial"/>
          <w:sz w:val="12"/>
          <w:szCs w:val="12"/>
          <w:color w:val="auto"/>
        </w:rPr>
        <w:t xml:space="preserve"> </w:t>
      </w:r>
      <w:r>
        <w:rPr>
          <w:rFonts w:ascii="Arial" w:cs="Arial" w:eastAsia="Arial" w:hAnsi="Arial"/>
          <w:sz w:val="12"/>
          <w:szCs w:val="12"/>
          <w:color w:val="auto"/>
          <w:highlight w:val="white"/>
        </w:rPr>
        <w:t xml:space="preserve">operations </w:t>
      </w:r>
      <w:r>
        <w:rPr>
          <w:rFonts w:ascii="Arial" w:cs="Arial" w:eastAsia="Arial" w:hAnsi="Arial"/>
          <w:sz w:val="12"/>
          <w:szCs w:val="12"/>
          <w:color w:val="auto"/>
        </w:rPr>
        <w:t>;</w:t>
      </w:r>
    </w:p>
    <w:p>
      <w:pPr>
        <w:spacing w:after="0" w:line="74" w:lineRule="exact"/>
        <w:rPr>
          <w:sz w:val="20"/>
          <w:szCs w:val="20"/>
          <w:color w:val="auto"/>
        </w:rPr>
      </w:pPr>
    </w:p>
    <w:p>
      <w:pPr>
        <w:ind w:left="1980" w:right="1980" w:hanging="228"/>
        <w:spacing w:after="0" w:line="312" w:lineRule="auto"/>
        <w:tabs>
          <w:tab w:leader="none" w:pos="198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establishing procedures for employees to anonymously submit concerns about questionable accounting or audit matters;</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considering the adequacy of our internal controls and internal audit function;</w:t>
      </w:r>
    </w:p>
    <w:p>
      <w:pPr>
        <w:spacing w:after="0" w:line="129" w:lineRule="exact"/>
        <w:rPr>
          <w:rFonts w:ascii="Arial" w:cs="Arial" w:eastAsia="Arial" w:hAnsi="Arial"/>
          <w:sz w:val="12"/>
          <w:szCs w:val="12"/>
          <w:color w:val="auto"/>
        </w:rPr>
      </w:pPr>
    </w:p>
    <w:p>
      <w:pPr>
        <w:ind w:left="1980" w:right="2320" w:hanging="228"/>
        <w:spacing w:after="0" w:line="312" w:lineRule="auto"/>
        <w:tabs>
          <w:tab w:leader="none" w:pos="198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reviewing related party transactions that are material or otherwise implicate disclosure requirements;</w:t>
      </w:r>
    </w:p>
    <w:p>
      <w:pPr>
        <w:spacing w:after="0" w:line="62" w:lineRule="exact"/>
        <w:rPr>
          <w:rFonts w:ascii="Arial" w:cs="Arial" w:eastAsia="Arial" w:hAnsi="Arial"/>
          <w:sz w:val="12"/>
          <w:szCs w:val="12"/>
          <w:color w:val="auto"/>
        </w:rPr>
      </w:pPr>
    </w:p>
    <w:p>
      <w:pPr>
        <w:ind w:left="1980" w:right="1720" w:hanging="228"/>
        <w:spacing w:after="0" w:line="312" w:lineRule="auto"/>
        <w:tabs>
          <w:tab w:leader="none" w:pos="198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approving, or as permitted, pre-approving all audit and non-audit services to be performed by the independent registered public accounting firm; and</w:t>
      </w:r>
    </w:p>
    <w:p>
      <w:pPr>
        <w:spacing w:after="0" w:line="62" w:lineRule="exact"/>
        <w:rPr>
          <w:rFonts w:ascii="Arial" w:cs="Arial" w:eastAsia="Arial" w:hAnsi="Arial"/>
          <w:sz w:val="12"/>
          <w:szCs w:val="12"/>
          <w:color w:val="auto"/>
        </w:rPr>
      </w:pPr>
    </w:p>
    <w:p>
      <w:pPr>
        <w:ind w:left="1980" w:right="2140" w:hanging="228"/>
        <w:spacing w:after="0" w:line="312" w:lineRule="auto"/>
        <w:tabs>
          <w:tab w:leader="none" w:pos="198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reviewing legal and regulatory compliance matters, including risks related to data privacy, information security, and cybersecurity.</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Compensation Committee</w:t>
      </w:r>
    </w:p>
    <w:p>
      <w:pPr>
        <w:spacing w:after="0" w:line="128" w:lineRule="exact"/>
        <w:rPr>
          <w:sz w:val="20"/>
          <w:szCs w:val="20"/>
          <w:color w:val="auto"/>
        </w:rPr>
      </w:pPr>
    </w:p>
    <w:p>
      <w:pPr>
        <w:ind w:left="1520" w:right="1700" w:firstLine="230"/>
        <w:spacing w:after="0" w:line="289" w:lineRule="auto"/>
        <w:rPr>
          <w:sz w:val="20"/>
          <w:szCs w:val="20"/>
          <w:color w:val="auto"/>
        </w:rPr>
      </w:pPr>
      <w:r>
        <w:rPr>
          <w:rFonts w:ascii="Arial" w:cs="Arial" w:eastAsia="Arial" w:hAnsi="Arial"/>
          <w:sz w:val="12"/>
          <w:szCs w:val="12"/>
          <w:color w:val="auto"/>
        </w:rPr>
        <w:t>Our compensation committee is composed of Ben Horowitz, Michael Kourey, and Clara Liang. Mr. Horowitz is the chair of our compensation committee. The members of our compensation committee meet the independence requirements under Nasdaq listing standards and SEC rules. Each member of this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168</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ectPr>
          <w:pgSz w:w="11900" w:h="16840" w:orient="portrait"/>
          <w:cols w:equalWidth="0" w:num="1">
            <w:col w:w="9020"/>
          </w:cols>
          <w:pgMar w:left="1440" w:top="560" w:right="1440" w:bottom="1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committee is also a “non-employee director” within the meaning of Rule 16b-3 under the Exchange Act.</w:t>
      </w:r>
    </w:p>
    <w:p>
      <w:pPr>
        <w:sectPr>
          <w:pgSz w:w="11900" w:h="16840" w:orient="portrait"/>
          <w:cols w:equalWidth="0" w:num="1">
            <w:col w:w="9020"/>
          </w:cols>
          <w:pgMar w:left="1440" w:top="560" w:right="1440" w:bottom="162" w:gutter="0" w:footer="0" w:header="0"/>
          <w:type w:val="continuous"/>
        </w:sectPr>
      </w:pPr>
    </w:p>
    <w:bookmarkStart w:id="117" w:name="page118"/>
    <w:bookmarkEnd w:id="117"/>
    <w:p>
      <w:pPr>
        <w:ind w:left="1520"/>
        <w:spacing w:after="0"/>
        <w:rPr>
          <w:sz w:val="20"/>
          <w:szCs w:val="20"/>
          <w:color w:val="auto"/>
        </w:rPr>
      </w:pPr>
      <w:r>
        <w:rPr>
          <w:rFonts w:ascii="Arial" w:cs="Arial" w:eastAsia="Arial" w:hAnsi="Arial"/>
          <w:sz w:val="12"/>
          <w:szCs w:val="12"/>
          <w:color w:val="auto"/>
        </w:rPr>
        <w:t>Our compensation committee is responsible for,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980" w:right="2480" w:hanging="228"/>
        <w:spacing w:after="0" w:line="291" w:lineRule="auto"/>
        <w:tabs>
          <w:tab w:leader="none" w:pos="198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reviewing and approving, or recommending that our board of directors approve, the compensation of our executive officers;</w:t>
      </w:r>
    </w:p>
    <w:p>
      <w:pPr>
        <w:spacing w:after="0" w:line="74" w:lineRule="exact"/>
        <w:rPr>
          <w:rFonts w:ascii="Arial" w:cs="Arial" w:eastAsia="Arial" w:hAnsi="Arial"/>
          <w:sz w:val="12"/>
          <w:szCs w:val="12"/>
          <w:color w:val="auto"/>
        </w:rPr>
      </w:pPr>
    </w:p>
    <w:p>
      <w:pPr>
        <w:ind w:left="1980" w:right="1880" w:hanging="228"/>
        <w:spacing w:after="0" w:line="312" w:lineRule="auto"/>
        <w:tabs>
          <w:tab w:leader="none" w:pos="198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reviewing and recommending to our board of directors the compensation of our non-employee directors;</w:t>
      </w:r>
    </w:p>
    <w:p>
      <w:pPr>
        <w:spacing w:after="0" w:line="62" w:lineRule="exact"/>
        <w:rPr>
          <w:rFonts w:ascii="Arial" w:cs="Arial" w:eastAsia="Arial" w:hAnsi="Arial"/>
          <w:sz w:val="12"/>
          <w:szCs w:val="12"/>
          <w:color w:val="auto"/>
        </w:rPr>
      </w:pPr>
    </w:p>
    <w:p>
      <w:pPr>
        <w:ind w:left="1980" w:right="2320" w:hanging="228"/>
        <w:spacing w:after="0" w:line="312" w:lineRule="auto"/>
        <w:tabs>
          <w:tab w:leader="none" w:pos="198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reviewing and recommending to our board of directors the terms of any compensatory agreements with our executive officers;</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administering our stock and equity incentive plans;</w:t>
      </w:r>
    </w:p>
    <w:p>
      <w:pPr>
        <w:spacing w:after="0" w:line="129" w:lineRule="exact"/>
        <w:rPr>
          <w:rFonts w:ascii="Arial" w:cs="Arial" w:eastAsia="Arial" w:hAnsi="Arial"/>
          <w:sz w:val="12"/>
          <w:szCs w:val="12"/>
          <w:color w:val="auto"/>
        </w:rPr>
      </w:pPr>
    </w:p>
    <w:p>
      <w:pPr>
        <w:ind w:left="1980" w:right="1840" w:hanging="228"/>
        <w:spacing w:after="0" w:line="312" w:lineRule="auto"/>
        <w:tabs>
          <w:tab w:leader="none" w:pos="198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reviewing and approving, or making recommendations to our board of directors with respect to, incentive compensation and equity plans; and</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establishing our overall compensation philosophy.</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Nominating and Governance Committee</w:t>
      </w:r>
    </w:p>
    <w:p>
      <w:pPr>
        <w:spacing w:after="0" w:line="128" w:lineRule="exact"/>
        <w:rPr>
          <w:sz w:val="20"/>
          <w:szCs w:val="20"/>
          <w:color w:val="auto"/>
        </w:rPr>
      </w:pPr>
    </w:p>
    <w:p>
      <w:pPr>
        <w:ind w:left="1520" w:right="1800" w:firstLine="230"/>
        <w:spacing w:after="0" w:line="281" w:lineRule="auto"/>
        <w:rPr>
          <w:sz w:val="20"/>
          <w:szCs w:val="20"/>
          <w:color w:val="auto"/>
        </w:rPr>
      </w:pPr>
      <w:r>
        <w:rPr>
          <w:rFonts w:ascii="Arial" w:cs="Arial" w:eastAsia="Arial" w:hAnsi="Arial"/>
          <w:sz w:val="12"/>
          <w:szCs w:val="12"/>
          <w:color w:val="auto"/>
        </w:rPr>
        <w:t>Our nominating and governance committee is composed of Clara Liang and Anré Williams. Mr. Williams is the chair of our nominating and governance committee. The members of our nominating and governance committee meet the independence requirements under Nasdaq listing standards and SEC rules. Our nominating and governance committee’s principal functions include:</w:t>
      </w:r>
    </w:p>
    <w:p>
      <w:pPr>
        <w:spacing w:after="0" w:line="81" w:lineRule="exact"/>
        <w:rPr>
          <w:sz w:val="20"/>
          <w:szCs w:val="20"/>
          <w:color w:val="auto"/>
        </w:rPr>
      </w:pPr>
    </w:p>
    <w:p>
      <w:pPr>
        <w:ind w:left="1980" w:hanging="228"/>
        <w:spacing w:after="0"/>
        <w:tabs>
          <w:tab w:leader="none" w:pos="19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identifying and recommending candidates for membership on our board of directors;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recommending directors to serve on board committees;</w:t>
      </w:r>
    </w:p>
    <w:p>
      <w:pPr>
        <w:spacing w:after="0" w:line="129" w:lineRule="exact"/>
        <w:rPr>
          <w:rFonts w:ascii="Arial" w:cs="Arial" w:eastAsia="Arial" w:hAnsi="Arial"/>
          <w:sz w:val="12"/>
          <w:szCs w:val="12"/>
          <w:color w:val="auto"/>
        </w:rPr>
      </w:pPr>
    </w:p>
    <w:p>
      <w:pPr>
        <w:ind w:left="1980" w:right="1720" w:hanging="228"/>
        <w:spacing w:after="0" w:line="312" w:lineRule="auto"/>
        <w:tabs>
          <w:tab w:leader="none" w:pos="19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reviewing and recommending to our board of directors any changes to our corporate governance guidelines;</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reviewing proposed waivers of the code of conduct for directors and executive officers;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overseeing any program relating to corporate responsibility and sustainability matters;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overseeing the process of evaluating the performance of our board of directors; and</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advising our board of directors on governance matters.</w:t>
      </w:r>
    </w:p>
    <w:p>
      <w:pPr>
        <w:spacing w:after="0" w:line="130"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Compensation Committee Interlocks and Insider Participation</w:t>
      </w:r>
    </w:p>
    <w:p>
      <w:pPr>
        <w:spacing w:after="0" w:line="130" w:lineRule="exact"/>
        <w:rPr>
          <w:sz w:val="20"/>
          <w:szCs w:val="20"/>
          <w:color w:val="auto"/>
        </w:rPr>
      </w:pPr>
    </w:p>
    <w:p>
      <w:pPr>
        <w:ind w:left="1520" w:right="1680" w:firstLine="230"/>
        <w:spacing w:after="0" w:line="281" w:lineRule="auto"/>
        <w:rPr>
          <w:sz w:val="20"/>
          <w:szCs w:val="20"/>
          <w:color w:val="auto"/>
        </w:rPr>
      </w:pPr>
      <w:r>
        <w:rPr>
          <w:rFonts w:ascii="Arial" w:cs="Arial" w:eastAsia="Arial" w:hAnsi="Arial"/>
          <w:sz w:val="12"/>
          <w:szCs w:val="12"/>
          <w:color w:val="auto"/>
        </w:rPr>
        <w:t>None of the members of the compensation committee is currently, or has been at any time, one of our officers or employees. None of our executive officers has served as a member of the board of directors, or as a member of the compensation or similar committee, of any entity that has one or more executive officers who served on our board or compensation committee during fiscal 2025.</w:t>
      </w:r>
    </w:p>
    <w:p>
      <w:pPr>
        <w:spacing w:after="0" w:line="8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Director Compensation</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Director Compensation Prior to this Offering</w:t>
      </w:r>
    </w:p>
    <w:p>
      <w:pPr>
        <w:spacing w:after="0" w:line="128" w:lineRule="exact"/>
        <w:rPr>
          <w:sz w:val="20"/>
          <w:szCs w:val="20"/>
          <w:color w:val="auto"/>
        </w:rPr>
      </w:pPr>
    </w:p>
    <w:p>
      <w:pPr>
        <w:ind w:left="1520" w:right="1880" w:firstLine="230"/>
        <w:spacing w:after="0" w:line="289" w:lineRule="auto"/>
        <w:rPr>
          <w:sz w:val="20"/>
          <w:szCs w:val="20"/>
          <w:color w:val="auto"/>
        </w:rPr>
      </w:pPr>
      <w:r>
        <w:rPr>
          <w:rFonts w:ascii="Arial" w:cs="Arial" w:eastAsia="Arial" w:hAnsi="Arial"/>
          <w:sz w:val="12"/>
          <w:szCs w:val="12"/>
          <w:color w:val="auto"/>
        </w:rPr>
        <w:t>Before this offering, we did not have a formal policy to provide any cash or equity compensation to our non-employee directors for their service on our board of directors or committees of our board of directors.</w:t>
      </w:r>
    </w:p>
    <w:p>
      <w:pPr>
        <w:spacing w:after="0" w:line="76" w:lineRule="exact"/>
        <w:rPr>
          <w:sz w:val="20"/>
          <w:szCs w:val="20"/>
          <w:color w:val="auto"/>
        </w:rPr>
      </w:pPr>
    </w:p>
    <w:p>
      <w:pPr>
        <w:ind w:left="1520" w:right="1880" w:firstLine="230"/>
        <w:spacing w:after="0" w:line="289" w:lineRule="auto"/>
        <w:rPr>
          <w:sz w:val="20"/>
          <w:szCs w:val="20"/>
          <w:color w:val="auto"/>
        </w:rPr>
      </w:pPr>
      <w:r>
        <w:rPr>
          <w:rFonts w:ascii="Arial" w:cs="Arial" w:eastAsia="Arial" w:hAnsi="Arial"/>
          <w:sz w:val="12"/>
          <w:szCs w:val="12"/>
          <w:color w:val="auto"/>
        </w:rPr>
        <w:t>In October 2024, we granted Michael Kourey an RSU award with respect to 243,294 shares of our Class A common stock in connection with his appointment to our board of directors. These RSUs are subject to the same time-based service and performance-based conditions as those granted to our</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169</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820"/>
        <w:spacing w:after="0" w:line="312" w:lineRule="auto"/>
        <w:rPr>
          <w:sz w:val="20"/>
          <w:szCs w:val="20"/>
          <w:color w:val="auto"/>
        </w:rPr>
      </w:pPr>
      <w:r>
        <w:rPr>
          <w:rFonts w:ascii="Arial" w:cs="Arial" w:eastAsia="Arial" w:hAnsi="Arial"/>
          <w:sz w:val="12"/>
          <w:szCs w:val="12"/>
          <w:color w:val="auto"/>
        </w:rPr>
        <w:t>named executive officers in fiscal 2025. See the section titled “Executive Compensation—Equity-Based Incentive Awards—RSUs Granted in Fiscal 2025.”</w:t>
      </w:r>
    </w:p>
    <w:p>
      <w:pPr>
        <w:spacing w:after="0" w:line="62" w:lineRule="exact"/>
        <w:rPr>
          <w:sz w:val="20"/>
          <w:szCs w:val="20"/>
          <w:color w:val="auto"/>
        </w:rPr>
      </w:pPr>
    </w:p>
    <w:p>
      <w:pPr>
        <w:ind w:left="1520" w:right="1680" w:firstLine="230"/>
        <w:spacing w:after="0" w:line="271" w:lineRule="auto"/>
        <w:rPr>
          <w:sz w:val="20"/>
          <w:szCs w:val="20"/>
          <w:color w:val="auto"/>
        </w:rPr>
      </w:pPr>
      <w:r>
        <w:rPr>
          <w:rFonts w:ascii="Arial" w:cs="Arial" w:eastAsia="Arial" w:hAnsi="Arial"/>
          <w:sz w:val="12"/>
          <w:szCs w:val="12"/>
          <w:color w:val="auto"/>
        </w:rPr>
        <w:t>In addition, in October 2022, we granted Clara Liang an option to purchase 66,666 shares of Class A common stock in connection with her appointment to our board of directors, which option vests as to 25% of the underlying shares on the one-year anniversary of the September 27, 2022 vesting commencement date, and as to the remaining 75% of the underlying shares in equal monthly installments over the following three years, subject to continued service as a director. In connection with the repricing described below under “Executive Compensation—Equity-Based Incentive Awards—Stock Option Repricing,” in August 2024, the exercise price of this option was reduced to $16.26. The number of shares of our Class A common stock underlying the option, the vesting schedule and the expiration date were unchanged. The incremental compensation expense associated with the repricing of this option is set forth in the “Option Awards” column of the Director Compensation for Fiscal 2025 table below.</w:t>
      </w:r>
    </w:p>
    <w:p>
      <w:pPr>
        <w:spacing w:after="0" w:line="88" w:lineRule="exact"/>
        <w:rPr>
          <w:sz w:val="20"/>
          <w:szCs w:val="20"/>
          <w:color w:val="auto"/>
        </w:rPr>
      </w:pPr>
    </w:p>
    <w:p>
      <w:pPr>
        <w:ind w:left="1520" w:right="1960" w:firstLine="230"/>
        <w:spacing w:after="0" w:line="289" w:lineRule="auto"/>
        <w:rPr>
          <w:sz w:val="20"/>
          <w:szCs w:val="20"/>
          <w:color w:val="auto"/>
        </w:rPr>
      </w:pPr>
      <w:r>
        <w:rPr>
          <w:rFonts w:ascii="Arial" w:cs="Arial" w:eastAsia="Arial" w:hAnsi="Arial"/>
          <w:sz w:val="12"/>
          <w:szCs w:val="12"/>
          <w:color w:val="auto"/>
        </w:rPr>
        <w:t>Previously, in June 2021, we granted Ms. Liang an option to purchase 6,666 shares of Class A common stock as compensation for certain consulting services provided to us, which option was fully vested as of January 31, 2025.</w:t>
      </w:r>
    </w:p>
    <w:p>
      <w:pPr>
        <w:spacing w:after="0" w:line="76"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Director Compensation for Fiscal 2025</w:t>
      </w:r>
    </w:p>
    <w:p>
      <w:pPr>
        <w:spacing w:after="0" w:line="130" w:lineRule="exact"/>
        <w:rPr>
          <w:sz w:val="20"/>
          <w:szCs w:val="20"/>
          <w:color w:val="auto"/>
        </w:rPr>
      </w:pPr>
    </w:p>
    <w:p>
      <w:pPr>
        <w:ind w:left="1520" w:right="1700" w:firstLine="230"/>
        <w:spacing w:after="0" w:line="281" w:lineRule="auto"/>
        <w:rPr>
          <w:sz w:val="20"/>
          <w:szCs w:val="20"/>
          <w:color w:val="auto"/>
        </w:rPr>
      </w:pPr>
      <w:r>
        <w:rPr>
          <w:rFonts w:ascii="Arial" w:cs="Arial" w:eastAsia="Arial" w:hAnsi="Arial"/>
          <w:sz w:val="12"/>
          <w:szCs w:val="12"/>
          <w:color w:val="auto"/>
        </w:rPr>
        <w:t>Our employee directors, Messrs. Cohen and Twig, and Ms. Butte, who served on our board of directors during a portion of fiscal 2025 and now serves as our Chief Financial Officer, did not receive any compensation for their service as directors for fiscal 2025. All compensation paid to Messrs. Cohen and Twig is set forth above in the section titled “Executive Compensation—Summary Compensation Table.”</w:t>
      </w:r>
    </w:p>
    <w:p>
      <w:pPr>
        <w:spacing w:after="0" w:line="81" w:lineRule="exact"/>
        <w:rPr>
          <w:sz w:val="20"/>
          <w:szCs w:val="20"/>
          <w:color w:val="auto"/>
        </w:rPr>
      </w:pPr>
    </w:p>
    <w:p>
      <w:pPr>
        <w:ind w:left="1520" w:right="1900" w:firstLine="230"/>
        <w:spacing w:after="0" w:line="289" w:lineRule="auto"/>
        <w:rPr>
          <w:sz w:val="20"/>
          <w:szCs w:val="20"/>
          <w:color w:val="auto"/>
        </w:rPr>
      </w:pPr>
      <w:r>
        <w:rPr>
          <w:rFonts w:ascii="Arial" w:cs="Arial" w:eastAsia="Arial" w:hAnsi="Arial"/>
          <w:sz w:val="12"/>
          <w:szCs w:val="12"/>
          <w:color w:val="auto"/>
        </w:rPr>
        <w:t>Other than as disclosed in the table below, we did not pay any fees to, make any equity awards or non-equity incentive awards to, or pay any other compensation to the non-employee directors of our board of directors in fiscal 2025:</w:t>
      </w:r>
    </w:p>
    <w:p>
      <w:pPr>
        <w:spacing w:after="0" w:line="83"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33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Name</w:t>
            </w:r>
          </w:p>
        </w:tc>
        <w:tc>
          <w:tcPr>
            <w:tcW w:w="4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Stock Awards</w:t>
            </w:r>
          </w:p>
        </w:tc>
        <w:tc>
          <w:tcPr>
            <w:tcW w:w="2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w w:val="99"/>
              </w:rPr>
              <w:t>Option Awards</w:t>
            </w:r>
          </w:p>
        </w:tc>
        <w:tc>
          <w:tcPr>
            <w:tcW w:w="40" w:type="dxa"/>
            <w:vAlign w:val="bottom"/>
          </w:tcPr>
          <w:p>
            <w:pPr>
              <w:spacing w:after="0"/>
              <w:rPr>
                <w:sz w:val="10"/>
                <w:szCs w:val="10"/>
                <w:color w:val="auto"/>
              </w:rPr>
            </w:pPr>
          </w:p>
        </w:tc>
        <w:tc>
          <w:tcPr>
            <w:tcW w:w="8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Total ($</w:t>
            </w:r>
          </w:p>
        </w:tc>
        <w:tc>
          <w:tcPr>
            <w:tcW w:w="0" w:type="dxa"/>
            <w:vAlign w:val="bottom"/>
          </w:tcPr>
          <w:p>
            <w:pPr>
              <w:spacing w:after="0"/>
              <w:rPr>
                <w:sz w:val="1"/>
                <w:szCs w:val="1"/>
                <w:color w:val="auto"/>
              </w:rPr>
            </w:pPr>
          </w:p>
        </w:tc>
      </w:tr>
      <w:tr>
        <w:trPr>
          <w:trHeight w:val="105"/>
        </w:trPr>
        <w:tc>
          <w:tcPr>
            <w:tcW w:w="3360" w:type="dxa"/>
            <w:vAlign w:val="bottom"/>
            <w:vMerge w:val="continue"/>
          </w:tcPr>
          <w:p>
            <w:pPr>
              <w:spacing w:after="0"/>
              <w:rPr>
                <w:sz w:val="9"/>
                <w:szCs w:val="9"/>
                <w:color w:val="auto"/>
              </w:rPr>
            </w:pPr>
          </w:p>
        </w:tc>
        <w:tc>
          <w:tcPr>
            <w:tcW w:w="880" w:type="dxa"/>
            <w:vAlign w:val="bottom"/>
            <w:gridSpan w:val="2"/>
          </w:tcPr>
          <w:p>
            <w:pPr>
              <w:jc w:val="right"/>
              <w:ind w:right="299"/>
              <w:spacing w:after="0" w:line="105" w:lineRule="exact"/>
              <w:rPr>
                <w:sz w:val="20"/>
                <w:szCs w:val="20"/>
                <w:color w:val="auto"/>
              </w:rPr>
            </w:pPr>
            <w:r>
              <w:rPr>
                <w:rFonts w:ascii="Arial" w:cs="Arial" w:eastAsia="Arial" w:hAnsi="Arial"/>
                <w:sz w:val="11"/>
                <w:szCs w:val="11"/>
                <w:b w:val="1"/>
                <w:bCs w:val="1"/>
                <w:color w:val="auto"/>
              </w:rPr>
              <w:t>($)</w:t>
            </w:r>
          </w:p>
        </w:tc>
        <w:tc>
          <w:tcPr>
            <w:tcW w:w="860" w:type="dxa"/>
            <w:vAlign w:val="bottom"/>
            <w:gridSpan w:val="2"/>
          </w:tcPr>
          <w:p>
            <w:pPr>
              <w:jc w:val="right"/>
              <w:ind w:right="259"/>
              <w:spacing w:after="0" w:line="106"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2"/>
                <w:szCs w:val="12"/>
                <w:b w:val="1"/>
                <w:bCs w:val="1"/>
                <w:color w:val="auto"/>
                <w:vertAlign w:val="superscript"/>
              </w:rPr>
              <w:t>(2)</w:t>
            </w:r>
          </w:p>
        </w:tc>
        <w:tc>
          <w:tcPr>
            <w:tcW w:w="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33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ind w:left="220"/>
              <w:spacing w:after="0" w:line="47" w:lineRule="exact"/>
              <w:rPr>
                <w:sz w:val="20"/>
                <w:szCs w:val="20"/>
                <w:color w:val="auto"/>
              </w:rPr>
            </w:pPr>
            <w:r>
              <w:rPr>
                <w:rFonts w:ascii="Arial" w:cs="Arial" w:eastAsia="Arial" w:hAnsi="Arial"/>
                <w:sz w:val="5"/>
                <w:szCs w:val="5"/>
                <w:b w:val="1"/>
                <w:bCs w:val="1"/>
                <w:color w:val="auto"/>
              </w:rPr>
              <w:t>)</w:t>
            </w:r>
          </w:p>
        </w:tc>
        <w:tc>
          <w:tcPr>
            <w:tcW w:w="0" w:type="dxa"/>
            <w:vAlign w:val="bottom"/>
          </w:tcPr>
          <w:p>
            <w:pPr>
              <w:spacing w:after="0"/>
              <w:rPr>
                <w:sz w:val="1"/>
                <w:szCs w:val="1"/>
                <w:color w:val="auto"/>
              </w:rPr>
            </w:pPr>
          </w:p>
        </w:tc>
      </w:tr>
      <w:tr>
        <w:trPr>
          <w:trHeight w:val="158"/>
        </w:trPr>
        <w:tc>
          <w:tcPr>
            <w:tcW w:w="3360" w:type="dxa"/>
            <w:vAlign w:val="bottom"/>
          </w:tcPr>
          <w:p>
            <w:pPr>
              <w:ind w:left="40"/>
              <w:spacing w:after="0"/>
              <w:rPr>
                <w:sz w:val="20"/>
                <w:szCs w:val="20"/>
                <w:color w:val="auto"/>
              </w:rPr>
            </w:pPr>
            <w:r>
              <w:rPr>
                <w:rFonts w:ascii="Arial" w:cs="Arial" w:eastAsia="Arial" w:hAnsi="Arial"/>
                <w:sz w:val="12"/>
                <w:szCs w:val="12"/>
                <w:color w:val="auto"/>
              </w:rPr>
              <w:t xml:space="preserve">Ben Horowitz </w:t>
            </w:r>
            <w:r>
              <w:rPr>
                <w:rFonts w:ascii="Times New Roman" w:cs="Times New Roman" w:eastAsia="Times New Roman" w:hAnsi="Times New Roman"/>
                <w:sz w:val="12"/>
                <w:szCs w:val="12"/>
                <w:color w:val="B4B4B4"/>
              </w:rPr>
              <w:t>...............................................................................</w:t>
            </w:r>
          </w:p>
        </w:tc>
        <w:tc>
          <w:tcPr>
            <w:tcW w:w="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3360" w:type="dxa"/>
            <w:vAlign w:val="bottom"/>
          </w:tcPr>
          <w:p>
            <w:pPr>
              <w:ind w:left="40"/>
              <w:spacing w:after="0"/>
              <w:rPr>
                <w:sz w:val="20"/>
                <w:szCs w:val="20"/>
                <w:color w:val="auto"/>
              </w:rPr>
            </w:pPr>
            <w:r>
              <w:rPr>
                <w:rFonts w:ascii="Arial" w:cs="Arial" w:eastAsia="Arial" w:hAnsi="Arial"/>
                <w:sz w:val="12"/>
                <w:szCs w:val="12"/>
                <w:color w:val="auto"/>
              </w:rPr>
              <w:t xml:space="preserve">Arif Janmohamed </w:t>
            </w:r>
            <w:r>
              <w:rPr>
                <w:rFonts w:ascii="Times New Roman" w:cs="Times New Roman" w:eastAsia="Times New Roman" w:hAnsi="Times New Roman"/>
                <w:sz w:val="12"/>
                <w:szCs w:val="12"/>
                <w:color w:val="B4B4B4"/>
              </w:rPr>
              <w:t>.......................................................................</w:t>
            </w:r>
          </w:p>
        </w:tc>
        <w:tc>
          <w:tcPr>
            <w:tcW w:w="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8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0"/>
        </w:trPr>
        <w:tc>
          <w:tcPr>
            <w:tcW w:w="33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Clara Liang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59,661</w:t>
            </w:r>
          </w:p>
        </w:tc>
        <w:tc>
          <w:tcPr>
            <w:tcW w:w="880" w:type="dxa"/>
            <w:vAlign w:val="bottom"/>
            <w:gridSpan w:val="2"/>
            <w:shd w:val="clear" w:color="auto" w:fill="CCEEFF"/>
          </w:tcPr>
          <w:p>
            <w:pPr>
              <w:jc w:val="right"/>
              <w:ind w:right="23"/>
              <w:spacing w:after="0"/>
              <w:rPr>
                <w:sz w:val="20"/>
                <w:szCs w:val="20"/>
                <w:color w:val="auto"/>
              </w:rPr>
            </w:pPr>
            <w:r>
              <w:rPr>
                <w:rFonts w:ascii="Arial" w:cs="Arial" w:eastAsia="Arial" w:hAnsi="Arial"/>
                <w:sz w:val="12"/>
                <w:szCs w:val="12"/>
                <w:color w:val="auto"/>
              </w:rPr>
              <w:t>59,661</w:t>
            </w:r>
          </w:p>
        </w:tc>
        <w:tc>
          <w:tcPr>
            <w:tcW w:w="0" w:type="dxa"/>
            <w:vAlign w:val="bottom"/>
          </w:tcPr>
          <w:p>
            <w:pPr>
              <w:spacing w:after="0"/>
              <w:rPr>
                <w:sz w:val="1"/>
                <w:szCs w:val="1"/>
                <w:color w:val="auto"/>
              </w:rPr>
            </w:pPr>
          </w:p>
        </w:tc>
      </w:tr>
      <w:tr>
        <w:trPr>
          <w:trHeight w:val="182"/>
        </w:trPr>
        <w:tc>
          <w:tcPr>
            <w:tcW w:w="3360" w:type="dxa"/>
            <w:vAlign w:val="bottom"/>
          </w:tcPr>
          <w:p>
            <w:pPr>
              <w:ind w:left="40"/>
              <w:spacing w:after="0" w:line="182" w:lineRule="exact"/>
              <w:rPr>
                <w:sz w:val="20"/>
                <w:szCs w:val="20"/>
                <w:color w:val="auto"/>
              </w:rPr>
            </w:pPr>
            <w:r>
              <w:rPr>
                <w:rFonts w:ascii="Arial" w:cs="Arial" w:eastAsia="Arial" w:hAnsi="Arial"/>
                <w:sz w:val="12"/>
                <w:szCs w:val="12"/>
                <w:color w:val="auto"/>
              </w:rPr>
              <w:t xml:space="preserve">Michael Kourey </w:t>
            </w:r>
            <w:r>
              <w:rPr>
                <w:rFonts w:ascii="Arial" w:cs="Arial" w:eastAsia="Arial" w:hAnsi="Arial"/>
                <w:sz w:val="17"/>
                <w:szCs w:val="17"/>
                <w:color w:val="auto"/>
                <w:vertAlign w:val="superscript"/>
              </w:rPr>
              <w:t>(1)</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8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2"/>
        </w:trPr>
        <w:tc>
          <w:tcPr>
            <w:tcW w:w="33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Sandesh Patnam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3360" w:type="dxa"/>
            <w:vAlign w:val="bottom"/>
          </w:tcPr>
          <w:p>
            <w:pPr>
              <w:ind w:left="40"/>
              <w:spacing w:after="0"/>
              <w:rPr>
                <w:sz w:val="20"/>
                <w:szCs w:val="20"/>
                <w:color w:val="auto"/>
              </w:rPr>
            </w:pPr>
            <w:r>
              <w:rPr>
                <w:rFonts w:ascii="Arial" w:cs="Arial" w:eastAsia="Arial" w:hAnsi="Arial"/>
                <w:sz w:val="12"/>
                <w:szCs w:val="12"/>
                <w:color w:val="auto"/>
              </w:rPr>
              <w:t xml:space="preserve">Anré Williams </w:t>
            </w:r>
            <w:r>
              <w:rPr>
                <w:rFonts w:ascii="Times New Roman" w:cs="Times New Roman" w:eastAsia="Times New Roman" w:hAnsi="Times New Roman"/>
                <w:sz w:val="12"/>
                <w:szCs w:val="12"/>
                <w:color w:val="B4B4B4"/>
              </w:rPr>
              <w:t>..............................................................................</w:t>
            </w:r>
          </w:p>
        </w:tc>
        <w:tc>
          <w:tcPr>
            <w:tcW w:w="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8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0"/>
        </w:trPr>
        <w:tc>
          <w:tcPr>
            <w:tcW w:w="33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Oren Zeev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ectPr>
          <w:pgSz w:w="11900" w:h="16840" w:orient="portrait"/>
          <w:cols w:equalWidth="0" w:num="1">
            <w:col w:w="9020"/>
          </w:cols>
          <w:pgMar w:left="1440" w:top="560" w:right="1440" w:bottom="23" w:gutter="0" w:footer="0" w:header="0"/>
        </w:sectPr>
      </w:pPr>
    </w:p>
    <w:bookmarkStart w:id="118" w:name="page119"/>
    <w:bookmarkEnd w:id="118"/>
    <w:p>
      <w:pPr>
        <w:ind w:left="152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______________</w:t>
      </w:r>
    </w:p>
    <w:p>
      <w:pPr>
        <w:spacing w:after="0" w:line="23" w:lineRule="exact"/>
        <w:rPr>
          <w:sz w:val="20"/>
          <w:szCs w:val="20"/>
          <w:color w:val="auto"/>
        </w:rPr>
      </w:pPr>
    </w:p>
    <w:p>
      <w:pPr>
        <w:ind w:left="1760" w:right="1900" w:hanging="238"/>
        <w:spacing w:after="0"/>
        <w:tabs>
          <w:tab w:leader="none" w:pos="1760" w:val="left"/>
        </w:tabs>
        <w:numPr>
          <w:ilvl w:val="0"/>
          <w:numId w:val="128"/>
        </w:numPr>
        <w:rPr>
          <w:rFonts w:ascii="Arial" w:cs="Arial" w:eastAsia="Arial" w:hAnsi="Arial"/>
          <w:sz w:val="11"/>
          <w:szCs w:val="11"/>
          <w:color w:val="auto"/>
        </w:rPr>
      </w:pPr>
      <w:r>
        <w:rPr>
          <w:rFonts w:ascii="Arial" w:cs="Arial" w:eastAsia="Arial" w:hAnsi="Arial"/>
          <w:sz w:val="11"/>
          <w:szCs w:val="11"/>
          <w:color w:val="auto"/>
        </w:rPr>
        <w:t>On October 16, 2024, Mr. Kourey was granted a RSU award under our 2015 Plan subject to a performanc e-</w:t>
      </w:r>
    </w:p>
    <w:p>
      <w:pPr>
        <w:spacing w:after="0" w:line="11" w:lineRule="exact"/>
        <w:rPr>
          <w:rFonts w:ascii="Arial" w:cs="Arial" w:eastAsia="Arial" w:hAnsi="Arial"/>
          <w:sz w:val="11"/>
          <w:szCs w:val="11"/>
          <w:color w:val="auto"/>
        </w:rPr>
      </w:pPr>
    </w:p>
    <w:p>
      <w:pPr>
        <w:ind w:left="1760"/>
        <w:spacing w:after="0" w:line="199" w:lineRule="auto"/>
        <w:rPr>
          <w:rFonts w:ascii="Arial" w:cs="Arial" w:eastAsia="Arial" w:hAnsi="Arial"/>
          <w:sz w:val="11"/>
          <w:szCs w:val="11"/>
          <w:color w:val="auto"/>
        </w:rPr>
      </w:pPr>
      <w:r>
        <w:rPr>
          <w:rFonts w:ascii="Arial" w:cs="Arial" w:eastAsia="Arial" w:hAnsi="Arial"/>
          <w:sz w:val="8"/>
          <w:szCs w:val="8"/>
          <w:color w:val="auto"/>
        </w:rPr>
        <w:t>based vesting condition an  time-based service vesting conditions. As of the applicable grant date an</w:t>
      </w:r>
    </w:p>
    <w:p>
      <w:pPr>
        <w:ind w:left="1760"/>
        <w:spacing w:after="0" w:line="199" w:lineRule="auto"/>
        <w:rPr>
          <w:rFonts w:ascii="Arial" w:cs="Arial" w:eastAsia="Arial" w:hAnsi="Arial"/>
          <w:sz w:val="11"/>
          <w:szCs w:val="11"/>
          <w:color w:val="auto"/>
        </w:rPr>
      </w:pPr>
      <w:r>
        <w:rPr>
          <w:rFonts w:ascii="Arial" w:cs="Arial" w:eastAsia="Arial" w:hAnsi="Arial"/>
          <w:sz w:val="6"/>
          <w:szCs w:val="6"/>
          <w:color w:val="auto"/>
        </w:rPr>
        <w:t>dd</w:t>
      </w:r>
    </w:p>
    <w:p>
      <w:pPr>
        <w:ind w:left="1760"/>
        <w:spacing w:after="0"/>
        <w:rPr>
          <w:rFonts w:ascii="Arial" w:cs="Arial" w:eastAsia="Arial" w:hAnsi="Arial"/>
          <w:sz w:val="11"/>
          <w:szCs w:val="11"/>
          <w:color w:val="auto"/>
        </w:rPr>
      </w:pPr>
      <w:r>
        <w:rPr>
          <w:rFonts w:ascii="Arial" w:cs="Arial" w:eastAsia="Arial" w:hAnsi="Arial"/>
          <w:sz w:val="11"/>
          <w:szCs w:val="11"/>
          <w:color w:val="auto"/>
        </w:rPr>
        <w:t>January 31, 2025, we had not recognized stock-based compensation expense for this award because</w:t>
      </w:r>
    </w:p>
    <w:p>
      <w:pPr>
        <w:spacing w:after="0" w:line="13" w:lineRule="exact"/>
        <w:rPr>
          <w:sz w:val="20"/>
          <w:szCs w:val="20"/>
          <w:color w:val="auto"/>
        </w:rPr>
      </w:pPr>
    </w:p>
    <w:p>
      <w:pPr>
        <w:ind w:left="1760" w:right="1800"/>
        <w:spacing w:after="0"/>
        <w:rPr>
          <w:sz w:val="20"/>
          <w:szCs w:val="20"/>
          <w:color w:val="auto"/>
        </w:rPr>
      </w:pPr>
      <w:r>
        <w:rPr>
          <w:rFonts w:ascii="Arial" w:cs="Arial" w:eastAsia="Arial" w:hAnsi="Arial"/>
          <w:sz w:val="11"/>
          <w:szCs w:val="11"/>
          <w:color w:val="auto"/>
        </w:rPr>
        <w:t>achievement of the performance-based vesting condition was not deemed probable as of any such date. As a</w:t>
      </w:r>
    </w:p>
    <w:p>
      <w:pPr>
        <w:spacing w:after="0" w:line="11"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result, no value is included in the table for this award. Assuming achievement of the performance-based vesting</w:t>
      </w:r>
    </w:p>
    <w:p>
      <w:pPr>
        <w:ind w:left="1760"/>
        <w:spacing w:after="0" w:line="195" w:lineRule="auto"/>
        <w:rPr>
          <w:sz w:val="20"/>
          <w:szCs w:val="20"/>
          <w:color w:val="auto"/>
        </w:rPr>
      </w:pPr>
      <w:r>
        <w:rPr>
          <w:rFonts w:ascii="Arial" w:cs="Arial" w:eastAsia="Arial" w:hAnsi="Arial"/>
          <w:sz w:val="10"/>
          <w:szCs w:val="10"/>
          <w:color w:val="auto"/>
        </w:rPr>
        <w:t>condition, the aggregate grant date fair value of the RSU award granted to Mr. Kourey was $4,897,522</w:t>
      </w:r>
    </w:p>
    <w:p>
      <w:pPr>
        <w:ind w:left="1760"/>
        <w:spacing w:after="0" w:line="200" w:lineRule="auto"/>
        <w:rPr>
          <w:sz w:val="20"/>
          <w:szCs w:val="20"/>
          <w:color w:val="auto"/>
        </w:rPr>
      </w:pPr>
      <w:r>
        <w:rPr>
          <w:rFonts w:ascii="Arial" w:cs="Arial" w:eastAsia="Arial" w:hAnsi="Arial"/>
          <w:sz w:val="6"/>
          <w:szCs w:val="6"/>
          <w:color w:val="auto"/>
        </w:rPr>
        <w:t>,</w:t>
      </w:r>
    </w:p>
    <w:p>
      <w:pPr>
        <w:ind w:left="1760" w:right="1760"/>
        <w:spacing w:after="0"/>
        <w:rPr>
          <w:sz w:val="20"/>
          <w:szCs w:val="20"/>
          <w:color w:val="auto"/>
        </w:rPr>
      </w:pPr>
      <w:r>
        <w:rPr>
          <w:rFonts w:ascii="Arial" w:cs="Arial" w:eastAsia="Arial" w:hAnsi="Arial"/>
          <w:sz w:val="11"/>
          <w:szCs w:val="11"/>
          <w:color w:val="auto"/>
        </w:rPr>
        <w:t>computed in accordance with Financial Accounting Standards Board Accounting Standards Codification Topi c</w:t>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718, Compensation—Stock Compensation, or ASC 718. This amount does not necessarily correspond to the</w:t>
      </w:r>
    </w:p>
    <w:p>
      <w:pPr>
        <w:spacing w:after="0" w:line="13" w:lineRule="exact"/>
        <w:rPr>
          <w:sz w:val="20"/>
          <w:szCs w:val="20"/>
          <w:color w:val="auto"/>
        </w:rPr>
      </w:pPr>
    </w:p>
    <w:p>
      <w:pPr>
        <w:ind w:left="1760" w:right="1600"/>
        <w:spacing w:after="0"/>
        <w:rPr>
          <w:sz w:val="20"/>
          <w:szCs w:val="20"/>
          <w:color w:val="auto"/>
        </w:rPr>
      </w:pPr>
      <w:r>
        <w:rPr>
          <w:rFonts w:ascii="Arial" w:cs="Arial" w:eastAsia="Arial" w:hAnsi="Arial"/>
          <w:sz w:val="11"/>
          <w:szCs w:val="11"/>
          <w:color w:val="auto"/>
        </w:rPr>
        <w:t>actual value that may be realized by Mr. Kourey. The assumptions used in calculating the grant date fair value o f</w:t>
      </w:r>
    </w:p>
    <w:p>
      <w:pPr>
        <w:spacing w:after="0" w:line="11" w:lineRule="exact"/>
        <w:rPr>
          <w:sz w:val="20"/>
          <w:szCs w:val="20"/>
          <w:color w:val="auto"/>
        </w:rPr>
      </w:pPr>
    </w:p>
    <w:p>
      <w:pPr>
        <w:ind w:left="1760" w:right="1620"/>
        <w:spacing w:after="0"/>
        <w:rPr>
          <w:sz w:val="20"/>
          <w:szCs w:val="20"/>
          <w:color w:val="auto"/>
        </w:rPr>
      </w:pPr>
      <w:r>
        <w:rPr>
          <w:rFonts w:ascii="Arial" w:cs="Arial" w:eastAsia="Arial" w:hAnsi="Arial"/>
          <w:sz w:val="11"/>
          <w:szCs w:val="11"/>
          <w:color w:val="auto"/>
        </w:rPr>
        <w:t>this RSU award are set forth in Note 10, “Equity Incentive Plan” to our consolidated financial statements include d</w:t>
      </w:r>
    </w:p>
    <w:p>
      <w:pPr>
        <w:ind w:left="1760"/>
        <w:spacing w:after="0" w:line="195" w:lineRule="auto"/>
        <w:rPr>
          <w:sz w:val="20"/>
          <w:szCs w:val="20"/>
          <w:color w:val="auto"/>
        </w:rPr>
      </w:pPr>
      <w:r>
        <w:rPr>
          <w:rFonts w:ascii="Arial" w:cs="Arial" w:eastAsia="Arial" w:hAnsi="Arial"/>
          <w:sz w:val="10"/>
          <w:szCs w:val="10"/>
          <w:color w:val="auto"/>
        </w:rPr>
        <w:t>elsewhere in this prospectus As of January 31, 2025, all 243,294 RSUs granted to Mr. Kourey remaine</w:t>
      </w:r>
    </w:p>
    <w:p>
      <w:pPr>
        <w:ind w:left="1760"/>
        <w:spacing w:after="0" w:line="200" w:lineRule="auto"/>
        <w:tabs>
          <w:tab w:leader="none" w:pos="3200" w:val="left"/>
        </w:tabs>
        <w:rPr>
          <w:sz w:val="20"/>
          <w:szCs w:val="20"/>
          <w:color w:val="auto"/>
        </w:rPr>
      </w:pPr>
      <w:r>
        <w:rPr>
          <w:rFonts w:ascii="Arial" w:cs="Arial" w:eastAsia="Arial" w:hAnsi="Arial"/>
          <w:sz w:val="6"/>
          <w:szCs w:val="6"/>
          <w:color w:val="auto"/>
        </w:rPr>
        <w:t>.</w:t>
      </w:r>
      <w:r>
        <w:rPr>
          <w:sz w:val="20"/>
          <w:szCs w:val="20"/>
          <w:color w:val="auto"/>
        </w:rPr>
        <w:tab/>
      </w:r>
      <w:r>
        <w:rPr>
          <w:rFonts w:ascii="Arial" w:cs="Arial" w:eastAsia="Arial" w:hAnsi="Arial"/>
          <w:sz w:val="6"/>
          <w:szCs w:val="6"/>
          <w:color w:val="auto"/>
        </w:rPr>
        <w:t>d</w:t>
      </w:r>
    </w:p>
    <w:p>
      <w:pPr>
        <w:ind w:left="1760"/>
        <w:spacing w:after="0" w:line="199" w:lineRule="auto"/>
        <w:rPr>
          <w:sz w:val="20"/>
          <w:szCs w:val="20"/>
          <w:color w:val="auto"/>
        </w:rPr>
      </w:pPr>
      <w:r>
        <w:rPr>
          <w:rFonts w:ascii="Arial" w:cs="Arial" w:eastAsia="Arial" w:hAnsi="Arial"/>
          <w:sz w:val="8"/>
          <w:szCs w:val="8"/>
          <w:color w:val="auto"/>
        </w:rPr>
        <w:t>outstanding and unvested</w:t>
      </w:r>
    </w:p>
    <w:p>
      <w:pPr>
        <w:ind w:left="1760"/>
        <w:spacing w:after="0" w:line="200" w:lineRule="auto"/>
        <w:rPr>
          <w:sz w:val="20"/>
          <w:szCs w:val="20"/>
          <w:color w:val="auto"/>
        </w:rPr>
      </w:pPr>
      <w:r>
        <w:rPr>
          <w:rFonts w:ascii="Arial" w:cs="Arial" w:eastAsia="Arial" w:hAnsi="Arial"/>
          <w:sz w:val="6"/>
          <w:szCs w:val="6"/>
          <w:color w:val="auto"/>
        </w:rPr>
        <w:t>.</w:t>
      </w:r>
    </w:p>
    <w:p>
      <w:pPr>
        <w:ind w:left="1760" w:right="1940" w:hanging="239"/>
        <w:spacing w:after="0"/>
        <w:tabs>
          <w:tab w:leader="none" w:pos="1740" w:val="left"/>
        </w:tabs>
        <w:rPr>
          <w:sz w:val="20"/>
          <w:szCs w:val="20"/>
          <w:color w:val="auto"/>
        </w:rPr>
      </w:pPr>
      <w:r>
        <w:rPr>
          <w:rFonts w:ascii="Arial" w:cs="Arial" w:eastAsia="Arial" w:hAnsi="Arial"/>
          <w:sz w:val="11"/>
          <w:szCs w:val="11"/>
          <w:color w:val="auto"/>
        </w:rPr>
        <w:t>(2)</w:t>
        <w:tab/>
        <w:t>The amount reported with respect to Ms. Liang represents the incremental fair value in connection with th e</w:t>
      </w:r>
    </w:p>
    <w:p>
      <w:pPr>
        <w:spacing w:after="0" w:line="17" w:lineRule="exact"/>
        <w:rPr>
          <w:sz w:val="20"/>
          <w:szCs w:val="20"/>
          <w:color w:val="auto"/>
        </w:rPr>
      </w:pPr>
    </w:p>
    <w:p>
      <w:pPr>
        <w:ind w:left="1760" w:right="1800"/>
        <w:spacing w:after="0"/>
        <w:rPr>
          <w:sz w:val="20"/>
          <w:szCs w:val="20"/>
          <w:color w:val="auto"/>
        </w:rPr>
      </w:pPr>
      <w:r>
        <w:rPr>
          <w:rFonts w:ascii="Arial" w:cs="Arial" w:eastAsia="Arial" w:hAnsi="Arial"/>
          <w:sz w:val="11"/>
          <w:szCs w:val="11"/>
          <w:color w:val="auto"/>
        </w:rPr>
        <w:t>repricing on August 12, 2024 of Ms. Liang’s option to purchase 66,666 shares of our Class A common stock ,</w:t>
      </w:r>
    </w:p>
    <w:p>
      <w:pPr>
        <w:spacing w:after="0" w:line="7" w:lineRule="exact"/>
        <w:rPr>
          <w:sz w:val="20"/>
          <w:szCs w:val="20"/>
          <w:color w:val="auto"/>
        </w:rPr>
      </w:pPr>
    </w:p>
    <w:p>
      <w:pPr>
        <w:ind w:left="1760" w:right="1840"/>
        <w:spacing w:after="0"/>
        <w:rPr>
          <w:sz w:val="20"/>
          <w:szCs w:val="20"/>
          <w:color w:val="auto"/>
        </w:rPr>
      </w:pPr>
      <w:r>
        <w:rPr>
          <w:rFonts w:ascii="Arial" w:cs="Arial" w:eastAsia="Arial" w:hAnsi="Arial"/>
          <w:sz w:val="11"/>
          <w:szCs w:val="11"/>
          <w:color w:val="auto"/>
        </w:rPr>
        <w:t>computed in accordance with ASC 718, as described above under “Director Compensation.” See the sectio n</w:t>
      </w:r>
    </w:p>
    <w:p>
      <w:pPr>
        <w:spacing w:after="0" w:line="17" w:lineRule="exact"/>
        <w:rPr>
          <w:sz w:val="20"/>
          <w:szCs w:val="20"/>
          <w:color w:val="auto"/>
        </w:rPr>
      </w:pPr>
    </w:p>
    <w:p>
      <w:pPr>
        <w:ind w:left="1760" w:right="1600"/>
        <w:spacing w:after="0"/>
        <w:rPr>
          <w:sz w:val="20"/>
          <w:szCs w:val="20"/>
          <w:color w:val="auto"/>
        </w:rPr>
      </w:pPr>
      <w:r>
        <w:rPr>
          <w:rFonts w:ascii="Arial" w:cs="Arial" w:eastAsia="Arial" w:hAnsi="Arial"/>
          <w:sz w:val="11"/>
          <w:szCs w:val="11"/>
          <w:color w:val="auto"/>
        </w:rPr>
        <w:t>titled “Executive Compensation—Equity-Based Incentive Awards—Stock Option Repricing” for more information .</w:t>
      </w:r>
    </w:p>
    <w:p>
      <w:pPr>
        <w:spacing w:after="0" w:line="7" w:lineRule="exact"/>
        <w:rPr>
          <w:sz w:val="20"/>
          <w:szCs w:val="20"/>
          <w:color w:val="auto"/>
        </w:rPr>
      </w:pPr>
    </w:p>
    <w:p>
      <w:pPr>
        <w:ind w:left="1760" w:right="1760"/>
        <w:spacing w:after="0"/>
        <w:rPr>
          <w:sz w:val="20"/>
          <w:szCs w:val="20"/>
          <w:color w:val="auto"/>
        </w:rPr>
      </w:pPr>
      <w:r>
        <w:rPr>
          <w:rFonts w:ascii="Arial" w:cs="Arial" w:eastAsia="Arial" w:hAnsi="Arial"/>
          <w:sz w:val="11"/>
          <w:szCs w:val="11"/>
          <w:color w:val="auto"/>
        </w:rPr>
        <w:t>The assumptions used in the calculation of this amount are included in Note 10, “Equity Incentive Plan” to ou r</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170</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consolidated financial statements included elsewhere in this prospectus. As of January 31, 2025, this option was</w:t>
      </w:r>
    </w:p>
    <w:p>
      <w:pPr>
        <w:spacing w:after="0" w:line="17" w:lineRule="exact"/>
        <w:rPr>
          <w:sz w:val="20"/>
          <w:szCs w:val="20"/>
          <w:color w:val="auto"/>
        </w:rPr>
      </w:pPr>
    </w:p>
    <w:p>
      <w:pPr>
        <w:ind w:left="1760" w:right="1640"/>
        <w:spacing w:after="0"/>
        <w:rPr>
          <w:sz w:val="20"/>
          <w:szCs w:val="20"/>
          <w:color w:val="auto"/>
        </w:rPr>
      </w:pPr>
      <w:r>
        <w:rPr>
          <w:rFonts w:ascii="Arial" w:cs="Arial" w:eastAsia="Arial" w:hAnsi="Arial"/>
          <w:sz w:val="11"/>
          <w:szCs w:val="11"/>
          <w:color w:val="auto"/>
        </w:rPr>
        <w:t>vested and exercisable with respect to 38,888 shares and unvested with respect to 27,778 shares. Previously, i n</w:t>
      </w:r>
    </w:p>
    <w:p>
      <w:pPr>
        <w:spacing w:after="0" w:line="7" w:lineRule="exact"/>
        <w:rPr>
          <w:sz w:val="20"/>
          <w:szCs w:val="20"/>
          <w:color w:val="auto"/>
        </w:rPr>
      </w:pPr>
    </w:p>
    <w:p>
      <w:pPr>
        <w:ind w:left="1760" w:right="2320"/>
        <w:spacing w:after="0"/>
        <w:rPr>
          <w:sz w:val="20"/>
          <w:szCs w:val="20"/>
          <w:color w:val="auto"/>
        </w:rPr>
      </w:pPr>
      <w:r>
        <w:rPr>
          <w:rFonts w:ascii="Arial" w:cs="Arial" w:eastAsia="Arial" w:hAnsi="Arial"/>
          <w:sz w:val="11"/>
          <w:szCs w:val="11"/>
          <w:color w:val="auto"/>
        </w:rPr>
        <w:t>June 2021, we granted Ms. Liang an option to purchase 6,666 shares of Class A common stock a s</w:t>
      </w:r>
    </w:p>
    <w:p>
      <w:pPr>
        <w:ind w:left="1760"/>
        <w:spacing w:after="0" w:line="195" w:lineRule="auto"/>
        <w:rPr>
          <w:sz w:val="20"/>
          <w:szCs w:val="20"/>
          <w:color w:val="auto"/>
        </w:rPr>
      </w:pPr>
      <w:r>
        <w:rPr>
          <w:rFonts w:ascii="Arial" w:cs="Arial" w:eastAsia="Arial" w:hAnsi="Arial"/>
          <w:sz w:val="10"/>
          <w:szCs w:val="10"/>
          <w:color w:val="auto"/>
        </w:rPr>
        <w:t>compensation for certain consulting services provided to us, which option was fully vested as of January 31</w:t>
      </w:r>
    </w:p>
    <w:p>
      <w:pPr>
        <w:ind w:left="1760"/>
        <w:spacing w:after="0" w:line="200" w:lineRule="auto"/>
        <w:rPr>
          <w:sz w:val="20"/>
          <w:szCs w:val="20"/>
          <w:color w:val="auto"/>
        </w:rPr>
      </w:pPr>
      <w:r>
        <w:rPr>
          <w:rFonts w:ascii="Arial" w:cs="Arial" w:eastAsia="Arial" w:hAnsi="Arial"/>
          <w:sz w:val="6"/>
          <w:szCs w:val="6"/>
          <w:color w:val="auto"/>
        </w:rPr>
        <w:t>,</w:t>
      </w:r>
    </w:p>
    <w:p>
      <w:pPr>
        <w:ind w:left="1760"/>
        <w:spacing w:after="0"/>
        <w:rPr>
          <w:sz w:val="20"/>
          <w:szCs w:val="20"/>
          <w:color w:val="auto"/>
        </w:rPr>
      </w:pPr>
      <w:r>
        <w:rPr>
          <w:rFonts w:ascii="Arial" w:cs="Arial" w:eastAsia="Arial" w:hAnsi="Arial"/>
          <w:sz w:val="11"/>
          <w:szCs w:val="11"/>
          <w:color w:val="auto"/>
        </w:rPr>
        <w:t>2025.</w:t>
      </w:r>
    </w:p>
    <w:p>
      <w:pPr>
        <w:spacing w:after="0" w:line="85"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Director Compensation Policy</w:t>
      </w:r>
    </w:p>
    <w:p>
      <w:pPr>
        <w:spacing w:after="0" w:line="128" w:lineRule="exact"/>
        <w:rPr>
          <w:sz w:val="20"/>
          <w:szCs w:val="20"/>
          <w:color w:val="auto"/>
        </w:rPr>
      </w:pPr>
    </w:p>
    <w:p>
      <w:pPr>
        <w:ind w:left="1520" w:right="1800" w:firstLine="230"/>
        <w:spacing w:after="0" w:line="289" w:lineRule="auto"/>
        <w:rPr>
          <w:sz w:val="20"/>
          <w:szCs w:val="20"/>
          <w:color w:val="auto"/>
        </w:rPr>
      </w:pPr>
      <w:r>
        <w:rPr>
          <w:rFonts w:ascii="Arial" w:cs="Arial" w:eastAsia="Arial" w:hAnsi="Arial"/>
          <w:sz w:val="12"/>
          <w:szCs w:val="12"/>
          <w:color w:val="auto"/>
        </w:rPr>
        <w:t>In connection with this offering, we intend to adopt a non-employee director compensation policy pursuant to which our non-employee directors will be eligible to receive compensation for service on our board of directors and the committees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171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EXECUTIVE COMPENSATION</w:t>
      </w:r>
    </w:p>
    <w:p>
      <w:pPr>
        <w:spacing w:after="0" w:line="130" w:lineRule="exact"/>
        <w:rPr>
          <w:sz w:val="20"/>
          <w:szCs w:val="20"/>
          <w:color w:val="auto"/>
        </w:rPr>
      </w:pPr>
    </w:p>
    <w:p>
      <w:pPr>
        <w:ind w:left="1520" w:right="1880" w:firstLine="230"/>
        <w:spacing w:after="0" w:line="281" w:lineRule="auto"/>
        <w:rPr>
          <w:sz w:val="20"/>
          <w:szCs w:val="20"/>
          <w:color w:val="auto"/>
        </w:rPr>
      </w:pPr>
      <w:r>
        <w:rPr>
          <w:rFonts w:ascii="Arial" w:cs="Arial" w:eastAsia="Arial" w:hAnsi="Arial"/>
          <w:sz w:val="12"/>
          <w:szCs w:val="12"/>
          <w:color w:val="auto"/>
        </w:rPr>
        <w:t>This section discusses the material components of the executive compensation program for our named executive officers. In fiscal 2025, our named executive officers, consisting of our principal executive officer and the next two most highly compensated executive officers as of January 31, 2025, were:</w:t>
      </w:r>
    </w:p>
    <w:p>
      <w:pPr>
        <w:sectPr>
          <w:pgSz w:w="11900" w:h="16840" w:orient="portrait"/>
          <w:cols w:equalWidth="0" w:num="1">
            <w:col w:w="9020"/>
          </w:cols>
          <w:pgMar w:left="1440" w:top="570" w:right="1440" w:bottom="190" w:gutter="0" w:footer="0" w:header="0"/>
        </w:sectPr>
      </w:pPr>
    </w:p>
    <w:bookmarkStart w:id="119" w:name="page120"/>
    <w:bookmarkEnd w:id="119"/>
    <w:p>
      <w:pPr>
        <w:ind w:left="1980" w:hanging="228"/>
        <w:spacing w:after="0"/>
        <w:tabs>
          <w:tab w:leader="none" w:pos="198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Ariel Cohen, our co-founder, chairperson of our board of directors, and Chief Executive Officer;</w:t>
      </w:r>
    </w:p>
    <w:p>
      <w:pPr>
        <w:spacing w:after="0" w:line="34" w:lineRule="exact"/>
        <w:rPr>
          <w:rFonts w:ascii="Arial" w:cs="Arial" w:eastAsia="Arial" w:hAnsi="Arial"/>
          <w:sz w:val="12"/>
          <w:szCs w:val="12"/>
          <w:color w:val="auto"/>
        </w:rPr>
      </w:pPr>
    </w:p>
    <w:p>
      <w:pPr>
        <w:ind w:left="1980" w:right="1800" w:hanging="228"/>
        <w:spacing w:after="0" w:line="312" w:lineRule="auto"/>
        <w:tabs>
          <w:tab w:leader="none" w:pos="198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Ilan Twig, our co-founder, a member of our board of directors and our Chief Technology Officer; and</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Michael Sindicich, our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-457835</wp:posOffset>
            </wp:positionV>
            <wp:extent cx="6732270" cy="99707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110"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Summary Compensation Table</w:t>
      </w:r>
    </w:p>
    <w:p>
      <w:pPr>
        <w:spacing w:after="0" w:line="130" w:lineRule="exact"/>
        <w:rPr>
          <w:sz w:val="20"/>
          <w:szCs w:val="20"/>
          <w:color w:val="auto"/>
        </w:rPr>
      </w:pPr>
    </w:p>
    <w:p>
      <w:pPr>
        <w:jc w:val="both"/>
        <w:ind w:left="1520" w:right="1960" w:firstLine="230"/>
        <w:spacing w:after="0" w:line="289" w:lineRule="auto"/>
        <w:rPr>
          <w:sz w:val="20"/>
          <w:szCs w:val="20"/>
          <w:color w:val="auto"/>
        </w:rPr>
      </w:pPr>
      <w:r>
        <w:rPr>
          <w:rFonts w:ascii="Arial" w:cs="Arial" w:eastAsia="Arial" w:hAnsi="Arial"/>
          <w:sz w:val="12"/>
          <w:szCs w:val="12"/>
          <w:color w:val="auto"/>
        </w:rPr>
        <w:t>The following table presents summary information regarding the total compensation for services rendered in all capacities that was awarded to, earned by, or paid to our named executive officers for fiscal 2025.</w:t>
      </w:r>
    </w:p>
    <w:p>
      <w:pPr>
        <w:spacing w:after="0" w:line="102"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1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jc w:val="right"/>
              <w:ind w:right="142"/>
              <w:spacing w:after="0"/>
              <w:rPr>
                <w:sz w:val="20"/>
                <w:szCs w:val="20"/>
                <w:color w:val="auto"/>
              </w:rPr>
            </w:pPr>
            <w:r>
              <w:rPr>
                <w:rFonts w:ascii="Arial" w:cs="Arial" w:eastAsia="Arial" w:hAnsi="Arial"/>
                <w:sz w:val="11"/>
                <w:szCs w:val="11"/>
                <w:b w:val="1"/>
                <w:bCs w:val="1"/>
                <w:color w:val="auto"/>
              </w:rPr>
              <w:t>Stock</w:t>
            </w:r>
          </w:p>
        </w:tc>
        <w:tc>
          <w:tcPr>
            <w:tcW w:w="40" w:type="dxa"/>
            <w:vAlign w:val="bottom"/>
          </w:tcPr>
          <w:p>
            <w:pPr>
              <w:spacing w:after="0"/>
              <w:rPr>
                <w:sz w:val="10"/>
                <w:szCs w:val="10"/>
                <w:color w:val="auto"/>
              </w:rPr>
            </w:pPr>
          </w:p>
        </w:tc>
        <w:tc>
          <w:tcPr>
            <w:tcW w:w="68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Option</w:t>
            </w:r>
          </w:p>
        </w:tc>
        <w:tc>
          <w:tcPr>
            <w:tcW w:w="4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4"/>
              </w:rPr>
              <w:t>All Other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5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Name and Principal Position</w:t>
            </w:r>
          </w:p>
        </w:tc>
        <w:tc>
          <w:tcPr>
            <w:tcW w:w="40" w:type="dxa"/>
            <w:vAlign w:val="bottom"/>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Year</w:t>
            </w:r>
          </w:p>
        </w:tc>
        <w:tc>
          <w:tcPr>
            <w:tcW w:w="40" w:type="dxa"/>
            <w:vAlign w:val="bottom"/>
          </w:tcPr>
          <w:p>
            <w:pPr>
              <w:spacing w:after="0"/>
              <w:rPr>
                <w:sz w:val="8"/>
                <w:szCs w:val="8"/>
                <w:color w:val="auto"/>
              </w:rPr>
            </w:pPr>
          </w:p>
        </w:tc>
        <w:tc>
          <w:tcPr>
            <w:tcW w:w="700" w:type="dxa"/>
            <w:vAlign w:val="bottom"/>
            <w:vMerge w:val="restart"/>
          </w:tcPr>
          <w:p>
            <w:pPr>
              <w:jc w:val="right"/>
              <w:ind w:right="67"/>
              <w:spacing w:after="0"/>
              <w:rPr>
                <w:sz w:val="20"/>
                <w:szCs w:val="20"/>
                <w:color w:val="auto"/>
              </w:rPr>
            </w:pPr>
            <w:r>
              <w:rPr>
                <w:rFonts w:ascii="Arial" w:cs="Arial" w:eastAsia="Arial" w:hAnsi="Arial"/>
                <w:sz w:val="11"/>
                <w:szCs w:val="11"/>
                <w:b w:val="1"/>
                <w:bCs w:val="1"/>
                <w:color w:val="auto"/>
              </w:rPr>
              <w:t>Salary($)</w:t>
            </w:r>
          </w:p>
        </w:tc>
        <w:tc>
          <w:tcPr>
            <w:tcW w:w="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jc w:val="center"/>
              <w:spacing w:after="0" w:line="96" w:lineRule="exact"/>
              <w:rPr>
                <w:sz w:val="20"/>
                <w:szCs w:val="20"/>
                <w:color w:val="auto"/>
              </w:rPr>
            </w:pPr>
            <w:r>
              <w:rPr>
                <w:rFonts w:ascii="Arial" w:cs="Arial" w:eastAsia="Arial" w:hAnsi="Arial"/>
                <w:sz w:val="11"/>
                <w:szCs w:val="11"/>
                <w:b w:val="1"/>
                <w:bCs w:val="1"/>
                <w:color w:val="auto"/>
                <w:w w:val="96"/>
              </w:rPr>
              <w:t>Compensation</w:t>
            </w:r>
          </w:p>
        </w:tc>
        <w:tc>
          <w:tcPr>
            <w:tcW w:w="40" w:type="dxa"/>
            <w:vAlign w:val="bottom"/>
          </w:tcPr>
          <w:p>
            <w:pPr>
              <w:spacing w:after="0"/>
              <w:rPr>
                <w:sz w:val="8"/>
                <w:szCs w:val="8"/>
                <w:color w:val="auto"/>
              </w:rPr>
            </w:pP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Total($)</w:t>
            </w:r>
          </w:p>
        </w:tc>
        <w:tc>
          <w:tcPr>
            <w:tcW w:w="0" w:type="dxa"/>
            <w:vAlign w:val="bottom"/>
          </w:tcPr>
          <w:p>
            <w:pPr>
              <w:spacing w:after="0"/>
              <w:rPr>
                <w:sz w:val="1"/>
                <w:szCs w:val="1"/>
                <w:color w:val="auto"/>
              </w:rPr>
            </w:pPr>
          </w:p>
        </w:tc>
      </w:tr>
      <w:tr>
        <w:trPr>
          <w:trHeight w:val="153"/>
        </w:trPr>
        <w:tc>
          <w:tcPr>
            <w:tcW w:w="1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1"/>
                <w:szCs w:val="11"/>
                <w:b w:val="1"/>
                <w:bCs w:val="1"/>
                <w:color w:val="auto"/>
              </w:rPr>
              <w:t>Awards($)</w:t>
            </w:r>
            <w:r>
              <w:rPr>
                <w:rFonts w:ascii="Arial" w:cs="Arial" w:eastAsia="Arial" w:hAnsi="Arial"/>
                <w:sz w:val="6"/>
                <w:szCs w:val="6"/>
                <w:b w:val="1"/>
                <w:bCs w:val="1"/>
                <w:color w:val="auto"/>
              </w:rPr>
              <w:t>(1)</w:t>
            </w:r>
          </w:p>
        </w:tc>
        <w:tc>
          <w:tcPr>
            <w:tcW w:w="4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b w:val="1"/>
                <w:bCs w:val="1"/>
                <w:color w:val="auto"/>
                <w:w w:val="99"/>
              </w:rPr>
              <w:t>Awards($)</w:t>
            </w:r>
            <w:r>
              <w:rPr>
                <w:rFonts w:ascii="Arial" w:cs="Arial" w:eastAsia="Arial" w:hAnsi="Arial"/>
                <w:sz w:val="6"/>
                <w:szCs w:val="6"/>
                <w:b w:val="1"/>
                <w:bCs w:val="1"/>
                <w:color w:val="auto"/>
                <w:w w:val="99"/>
              </w:rPr>
              <w:t>(2)</w:t>
            </w:r>
          </w:p>
        </w:tc>
        <w:tc>
          <w:tcPr>
            <w:tcW w:w="9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w:t>
            </w:r>
            <w:r>
              <w:rPr>
                <w:rFonts w:ascii="Arial" w:cs="Arial" w:eastAsia="Arial" w:hAnsi="Arial"/>
                <w:sz w:val="6"/>
                <w:szCs w:val="6"/>
                <w:b w:val="1"/>
                <w:bCs w:val="1"/>
                <w:color w:val="auto"/>
                <w:w w:val="96"/>
              </w:rPr>
              <w:t>(3)</w:t>
            </w:r>
          </w:p>
        </w:tc>
        <w:tc>
          <w:tcPr>
            <w:tcW w:w="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560" w:type="dxa"/>
            <w:vAlign w:val="bottom"/>
            <w:tcBorders>
              <w:top w:val="single" w:sz="8" w:color="auto"/>
            </w:tcBorders>
            <w:shd w:val="clear" w:color="auto" w:fill="CCEEFF"/>
          </w:tcPr>
          <w:p>
            <w:pPr>
              <w:ind w:left="40"/>
              <w:spacing w:after="0" w:line="106" w:lineRule="exact"/>
              <w:rPr>
                <w:sz w:val="20"/>
                <w:szCs w:val="20"/>
                <w:color w:val="auto"/>
              </w:rPr>
            </w:pPr>
            <w:r>
              <w:rPr>
                <w:rFonts w:ascii="Arial" w:cs="Arial" w:eastAsia="Arial" w:hAnsi="Arial"/>
                <w:sz w:val="12"/>
                <w:szCs w:val="12"/>
                <w:color w:val="auto"/>
              </w:rPr>
              <w:t>Ariel Cohen,</w:t>
            </w:r>
          </w:p>
        </w:tc>
        <w:tc>
          <w:tcPr>
            <w:tcW w:w="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560" w:type="dxa"/>
            <w:vAlign w:val="bottom"/>
            <w:shd w:val="clear" w:color="auto" w:fill="CCEEFF"/>
          </w:tcPr>
          <w:p>
            <w:pPr>
              <w:ind w:left="40"/>
              <w:spacing w:after="0" w:line="134" w:lineRule="exact"/>
              <w:rPr>
                <w:sz w:val="20"/>
                <w:szCs w:val="20"/>
                <w:color w:val="auto"/>
              </w:rPr>
            </w:pPr>
            <w:r>
              <w:rPr>
                <w:rFonts w:ascii="Arial" w:cs="Arial" w:eastAsia="Arial" w:hAnsi="Arial"/>
                <w:sz w:val="12"/>
                <w:szCs w:val="12"/>
                <w:i w:val="1"/>
                <w:iCs w:val="1"/>
                <w:color w:val="auto"/>
              </w:rPr>
              <w:t>Co-founder, Chairperson</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560" w:type="dxa"/>
            <w:vAlign w:val="bottom"/>
            <w:shd w:val="clear" w:color="auto" w:fill="CCEEFF"/>
          </w:tcPr>
          <w:p>
            <w:pPr>
              <w:ind w:left="140"/>
              <w:spacing w:after="0" w:line="125" w:lineRule="exact"/>
              <w:rPr>
                <w:sz w:val="20"/>
                <w:szCs w:val="20"/>
                <w:color w:val="auto"/>
              </w:rPr>
            </w:pPr>
            <w:r>
              <w:rPr>
                <w:rFonts w:ascii="Arial" w:cs="Arial" w:eastAsia="Arial" w:hAnsi="Arial"/>
                <w:sz w:val="12"/>
                <w:szCs w:val="12"/>
                <w:i w:val="1"/>
                <w:iCs w:val="1"/>
                <w:color w:val="auto"/>
              </w:rPr>
              <w:t>of our board of</w:t>
            </w: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560" w:type="dxa"/>
            <w:vAlign w:val="bottom"/>
            <w:shd w:val="clear" w:color="auto" w:fill="CCEEFF"/>
          </w:tcPr>
          <w:p>
            <w:pPr>
              <w:ind w:left="140"/>
              <w:spacing w:after="0" w:line="123" w:lineRule="exact"/>
              <w:rPr>
                <w:sz w:val="20"/>
                <w:szCs w:val="20"/>
                <w:color w:val="auto"/>
              </w:rPr>
            </w:pPr>
            <w:r>
              <w:rPr>
                <w:rFonts w:ascii="Arial" w:cs="Arial" w:eastAsia="Arial" w:hAnsi="Arial"/>
                <w:sz w:val="12"/>
                <w:szCs w:val="12"/>
                <w:i w:val="1"/>
                <w:iCs w:val="1"/>
                <w:color w:val="auto"/>
              </w:rPr>
              <w:t>directors, and Chief</w:t>
            </w:r>
          </w:p>
        </w:tc>
        <w:tc>
          <w:tcPr>
            <w:tcW w:w="520" w:type="dxa"/>
            <w:vAlign w:val="bottom"/>
            <w:gridSpan w:val="2"/>
            <w:vMerge w:val="restart"/>
            <w:shd w:val="clear" w:color="auto" w:fill="CCEEFF"/>
          </w:tcPr>
          <w:p>
            <w:pPr>
              <w:jc w:val="center"/>
              <w:spacing w:after="0"/>
              <w:rPr>
                <w:sz w:val="20"/>
                <w:szCs w:val="20"/>
                <w:color w:val="auto"/>
              </w:rPr>
            </w:pPr>
            <w:r>
              <w:rPr>
                <w:rFonts w:ascii="Arial" w:cs="Arial" w:eastAsia="Arial" w:hAnsi="Arial"/>
                <w:sz w:val="12"/>
                <w:szCs w:val="12"/>
                <w:color w:val="auto"/>
              </w:rPr>
              <w:t>2025</w:t>
            </w:r>
          </w:p>
        </w:tc>
        <w:tc>
          <w:tcPr>
            <w:tcW w:w="740" w:type="dxa"/>
            <w:vAlign w:val="bottom"/>
            <w:gridSpan w:val="2"/>
            <w:vMerge w:val="restart"/>
            <w:shd w:val="clear" w:color="auto" w:fill="CCEEFF"/>
          </w:tcPr>
          <w:p>
            <w:pPr>
              <w:jc w:val="right"/>
              <w:ind w:right="27"/>
              <w:spacing w:after="0"/>
              <w:rPr>
                <w:sz w:val="20"/>
                <w:szCs w:val="20"/>
                <w:color w:val="auto"/>
              </w:rPr>
            </w:pPr>
            <w:r>
              <w:rPr>
                <w:rFonts w:ascii="Arial" w:cs="Arial" w:eastAsia="Arial" w:hAnsi="Arial"/>
                <w:sz w:val="12"/>
                <w:szCs w:val="12"/>
                <w:color w:val="auto"/>
              </w:rPr>
              <w:t>816,667</w:t>
            </w:r>
          </w:p>
        </w:tc>
        <w:tc>
          <w:tcPr>
            <w:tcW w:w="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shd w:val="clear" w:color="auto" w:fill="CCEEFF"/>
          </w:tcPr>
          <w:p>
            <w:pPr>
              <w:jc w:val="right"/>
              <w:ind w:right="7"/>
              <w:spacing w:after="0"/>
              <w:rPr>
                <w:sz w:val="20"/>
                <w:szCs w:val="20"/>
                <w:color w:val="auto"/>
              </w:rPr>
            </w:pPr>
            <w:r>
              <w:rPr>
                <w:rFonts w:ascii="Arial" w:cs="Arial" w:eastAsia="Arial" w:hAnsi="Arial"/>
                <w:sz w:val="12"/>
                <w:szCs w:val="12"/>
                <w:color w:val="auto"/>
              </w:rPr>
              <w:t>812,921</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252</w:t>
            </w:r>
          </w:p>
        </w:tc>
        <w:tc>
          <w:tcPr>
            <w:tcW w:w="740" w:type="dxa"/>
            <w:vAlign w:val="bottom"/>
            <w:gridSpan w:val="2"/>
            <w:vMerge w:val="restart"/>
            <w:shd w:val="clear" w:color="auto" w:fill="CCEEFF"/>
          </w:tcPr>
          <w:p>
            <w:pPr>
              <w:jc w:val="center"/>
              <w:spacing w:after="0"/>
              <w:rPr>
                <w:sz w:val="20"/>
                <w:szCs w:val="20"/>
                <w:color w:val="auto"/>
              </w:rPr>
            </w:pPr>
            <w:r>
              <w:rPr>
                <w:rFonts w:ascii="Arial" w:cs="Arial" w:eastAsia="Arial" w:hAnsi="Arial"/>
                <w:sz w:val="12"/>
                <w:szCs w:val="12"/>
                <w:color w:val="auto"/>
              </w:rPr>
              <w:t>1,629,840</w:t>
            </w:r>
          </w:p>
        </w:tc>
        <w:tc>
          <w:tcPr>
            <w:tcW w:w="0" w:type="dxa"/>
            <w:vAlign w:val="bottom"/>
          </w:tcPr>
          <w:p>
            <w:pPr>
              <w:spacing w:after="0"/>
              <w:rPr>
                <w:sz w:val="1"/>
                <w:szCs w:val="1"/>
                <w:color w:val="auto"/>
              </w:rPr>
            </w:pPr>
          </w:p>
        </w:tc>
      </w:tr>
      <w:tr>
        <w:trPr>
          <w:trHeight w:val="182"/>
        </w:trPr>
        <w:tc>
          <w:tcPr>
            <w:tcW w:w="1560" w:type="dxa"/>
            <w:vAlign w:val="bottom"/>
            <w:shd w:val="clear" w:color="auto" w:fill="CCEEFF"/>
          </w:tcPr>
          <w:p>
            <w:pPr>
              <w:ind w:left="140"/>
              <w:spacing w:after="0"/>
              <w:rPr>
                <w:sz w:val="20"/>
                <w:szCs w:val="20"/>
                <w:color w:val="auto"/>
              </w:rPr>
            </w:pPr>
            <w:r>
              <w:rPr>
                <w:rFonts w:ascii="Arial" w:cs="Arial" w:eastAsia="Arial" w:hAnsi="Arial"/>
                <w:sz w:val="12"/>
                <w:szCs w:val="12"/>
                <w:i w:val="1"/>
                <w:iCs w:val="1"/>
                <w:color w:val="auto"/>
              </w:rPr>
              <w:t xml:space="preserve">Executive Officer </w:t>
            </w:r>
            <w:r>
              <w:rPr>
                <w:rFonts w:ascii="Times New Roman" w:cs="Times New Roman" w:eastAsia="Times New Roman" w:hAnsi="Times New Roman"/>
                <w:sz w:val="12"/>
                <w:szCs w:val="12"/>
                <w:color w:val="B4B4B4"/>
              </w:rPr>
              <w:t>............</w:t>
            </w:r>
          </w:p>
        </w:tc>
        <w:tc>
          <w:tcPr>
            <w:tcW w:w="52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60" w:type="dxa"/>
            <w:vAlign w:val="bottom"/>
          </w:tcPr>
          <w:p>
            <w:pPr>
              <w:ind w:left="40"/>
              <w:spacing w:after="0" w:line="117" w:lineRule="exact"/>
              <w:rPr>
                <w:sz w:val="20"/>
                <w:szCs w:val="20"/>
                <w:color w:val="auto"/>
              </w:rPr>
            </w:pPr>
            <w:r>
              <w:rPr>
                <w:rFonts w:ascii="Arial" w:cs="Arial" w:eastAsia="Arial" w:hAnsi="Arial"/>
                <w:sz w:val="12"/>
                <w:szCs w:val="12"/>
                <w:color w:val="auto"/>
              </w:rPr>
              <w:t>Ilan Twig,</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560" w:type="dxa"/>
            <w:vAlign w:val="bottom"/>
          </w:tcPr>
          <w:p>
            <w:pPr>
              <w:ind w:left="40"/>
              <w:spacing w:after="0" w:line="134" w:lineRule="exact"/>
              <w:rPr>
                <w:sz w:val="20"/>
                <w:szCs w:val="20"/>
                <w:color w:val="auto"/>
              </w:rPr>
            </w:pPr>
            <w:r>
              <w:rPr>
                <w:rFonts w:ascii="Arial" w:cs="Arial" w:eastAsia="Arial" w:hAnsi="Arial"/>
                <w:sz w:val="12"/>
                <w:szCs w:val="12"/>
                <w:i w:val="1"/>
                <w:iCs w:val="1"/>
                <w:color w:val="auto"/>
              </w:rPr>
              <w:t>Co-founder, a member of</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560" w:type="dxa"/>
            <w:vAlign w:val="bottom"/>
          </w:tcPr>
          <w:p>
            <w:pPr>
              <w:ind w:left="140"/>
              <w:spacing w:after="0" w:line="125" w:lineRule="exact"/>
              <w:rPr>
                <w:sz w:val="20"/>
                <w:szCs w:val="20"/>
                <w:color w:val="auto"/>
              </w:rPr>
            </w:pPr>
            <w:r>
              <w:rPr>
                <w:rFonts w:ascii="Arial" w:cs="Arial" w:eastAsia="Arial" w:hAnsi="Arial"/>
                <w:sz w:val="12"/>
                <w:szCs w:val="12"/>
                <w:i w:val="1"/>
                <w:iCs w:val="1"/>
                <w:color w:val="auto"/>
              </w:rPr>
              <w:t>our board of directors,</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560" w:type="dxa"/>
            <w:vAlign w:val="bottom"/>
          </w:tcPr>
          <w:p>
            <w:pPr>
              <w:ind w:left="140"/>
              <w:spacing w:after="0" w:line="123" w:lineRule="exact"/>
              <w:rPr>
                <w:sz w:val="20"/>
                <w:szCs w:val="20"/>
                <w:color w:val="auto"/>
              </w:rPr>
            </w:pPr>
            <w:r>
              <w:rPr>
                <w:rFonts w:ascii="Arial" w:cs="Arial" w:eastAsia="Arial" w:hAnsi="Arial"/>
                <w:sz w:val="12"/>
                <w:szCs w:val="12"/>
                <w:i w:val="1"/>
                <w:iCs w:val="1"/>
                <w:color w:val="auto"/>
              </w:rPr>
              <w:t>and Chief Technology</w:t>
            </w:r>
          </w:p>
        </w:tc>
        <w:tc>
          <w:tcPr>
            <w:tcW w:w="520" w:type="dxa"/>
            <w:vAlign w:val="bottom"/>
            <w:gridSpan w:val="2"/>
            <w:vMerge w:val="restart"/>
          </w:tcPr>
          <w:p>
            <w:pPr>
              <w:jc w:val="center"/>
              <w:spacing w:after="0"/>
              <w:rPr>
                <w:sz w:val="20"/>
                <w:szCs w:val="20"/>
                <w:color w:val="auto"/>
              </w:rPr>
            </w:pPr>
            <w:r>
              <w:rPr>
                <w:rFonts w:ascii="Arial" w:cs="Arial" w:eastAsia="Arial" w:hAnsi="Arial"/>
                <w:sz w:val="12"/>
                <w:szCs w:val="12"/>
                <w:color w:val="auto"/>
              </w:rPr>
              <w:t>2025</w:t>
            </w:r>
          </w:p>
        </w:tc>
        <w:tc>
          <w:tcPr>
            <w:tcW w:w="740" w:type="dxa"/>
            <w:vAlign w:val="bottom"/>
            <w:gridSpan w:val="2"/>
            <w:vMerge w:val="restart"/>
          </w:tcPr>
          <w:p>
            <w:pPr>
              <w:jc w:val="right"/>
              <w:ind w:right="27"/>
              <w:spacing w:after="0"/>
              <w:rPr>
                <w:sz w:val="20"/>
                <w:szCs w:val="20"/>
                <w:color w:val="auto"/>
              </w:rPr>
            </w:pPr>
            <w:r>
              <w:rPr>
                <w:rFonts w:ascii="Arial" w:cs="Arial" w:eastAsia="Arial" w:hAnsi="Arial"/>
                <w:sz w:val="12"/>
                <w:szCs w:val="12"/>
                <w:color w:val="auto"/>
              </w:rPr>
              <w:t>575,357</w:t>
            </w:r>
          </w:p>
        </w:tc>
        <w:tc>
          <w:tcPr>
            <w:tcW w:w="40" w:type="dxa"/>
            <w:vAlign w:val="bottom"/>
          </w:tcPr>
          <w:p>
            <w:pPr>
              <w:spacing w:after="0"/>
              <w:rPr>
                <w:sz w:val="10"/>
                <w:szCs w:val="10"/>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7"/>
              <w:spacing w:after="0"/>
              <w:rPr>
                <w:sz w:val="20"/>
                <w:szCs w:val="20"/>
                <w:color w:val="auto"/>
              </w:rPr>
            </w:pPr>
            <w:r>
              <w:rPr>
                <w:rFonts w:ascii="Arial" w:cs="Arial" w:eastAsia="Arial" w:hAnsi="Arial"/>
                <w:sz w:val="12"/>
                <w:szCs w:val="12"/>
                <w:color w:val="auto"/>
              </w:rPr>
              <w:t>900,087</w:t>
            </w:r>
          </w:p>
        </w:tc>
        <w:tc>
          <w:tcPr>
            <w:tcW w:w="960" w:type="dxa"/>
            <w:vAlign w:val="bottom"/>
            <w:gridSpan w:val="2"/>
            <w:vMerge w:val="restart"/>
          </w:tcPr>
          <w:p>
            <w:pPr>
              <w:jc w:val="right"/>
              <w:spacing w:after="0"/>
              <w:rPr>
                <w:sz w:val="20"/>
                <w:szCs w:val="20"/>
                <w:color w:val="auto"/>
              </w:rPr>
            </w:pPr>
            <w:r>
              <w:rPr>
                <w:rFonts w:ascii="Arial" w:cs="Arial" w:eastAsia="Arial" w:hAnsi="Arial"/>
                <w:sz w:val="12"/>
                <w:szCs w:val="12"/>
                <w:color w:val="auto"/>
              </w:rPr>
              <w:t>30</w:t>
            </w:r>
          </w:p>
        </w:tc>
        <w:tc>
          <w:tcPr>
            <w:tcW w:w="740" w:type="dxa"/>
            <w:vAlign w:val="bottom"/>
            <w:gridSpan w:val="2"/>
            <w:vMerge w:val="restart"/>
          </w:tcPr>
          <w:p>
            <w:pPr>
              <w:jc w:val="center"/>
              <w:spacing w:after="0"/>
              <w:rPr>
                <w:sz w:val="20"/>
                <w:szCs w:val="20"/>
                <w:color w:val="auto"/>
              </w:rPr>
            </w:pPr>
            <w:r>
              <w:rPr>
                <w:rFonts w:ascii="Arial" w:cs="Arial" w:eastAsia="Arial" w:hAnsi="Arial"/>
                <w:sz w:val="12"/>
                <w:szCs w:val="12"/>
                <w:color w:val="auto"/>
              </w:rPr>
              <w:t>1,475,474</w:t>
            </w:r>
          </w:p>
        </w:tc>
        <w:tc>
          <w:tcPr>
            <w:tcW w:w="0" w:type="dxa"/>
            <w:vAlign w:val="bottom"/>
          </w:tcPr>
          <w:p>
            <w:pPr>
              <w:spacing w:after="0"/>
              <w:rPr>
                <w:sz w:val="1"/>
                <w:szCs w:val="1"/>
                <w:color w:val="auto"/>
              </w:rPr>
            </w:pPr>
          </w:p>
        </w:tc>
      </w:tr>
      <w:tr>
        <w:trPr>
          <w:trHeight w:val="182"/>
        </w:trPr>
        <w:tc>
          <w:tcPr>
            <w:tcW w:w="1560" w:type="dxa"/>
            <w:vAlign w:val="bottom"/>
          </w:tcPr>
          <w:p>
            <w:pPr>
              <w:ind w:left="140"/>
              <w:spacing w:after="0" w:line="182" w:lineRule="exact"/>
              <w:rPr>
                <w:sz w:val="20"/>
                <w:szCs w:val="20"/>
                <w:color w:val="auto"/>
              </w:rPr>
            </w:pPr>
            <w:r>
              <w:rPr>
                <w:rFonts w:ascii="Arial" w:cs="Arial" w:eastAsia="Arial" w:hAnsi="Arial"/>
                <w:sz w:val="12"/>
                <w:szCs w:val="12"/>
                <w:i w:val="1"/>
                <w:iCs w:val="1"/>
                <w:color w:val="auto"/>
              </w:rPr>
              <w:t xml:space="preserve">Officer </w:t>
            </w:r>
            <w:r>
              <w:rPr>
                <w:rFonts w:ascii="Arial" w:cs="Arial" w:eastAsia="Arial" w:hAnsi="Arial"/>
                <w:sz w:val="17"/>
                <w:szCs w:val="17"/>
                <w:i w:val="1"/>
                <w:iCs w:val="1"/>
                <w:color w:val="auto"/>
                <w:vertAlign w:val="superscript"/>
              </w:rPr>
              <w:t>(4)</w:t>
            </w:r>
            <w:r>
              <w:rPr>
                <w:rFonts w:ascii="Arial" w:cs="Arial" w:eastAsia="Arial" w:hAnsi="Arial"/>
                <w:sz w:val="12"/>
                <w:szCs w:val="12"/>
                <w:i w:val="1"/>
                <w:iCs w:val="1"/>
                <w:color w:val="auto"/>
              </w:rPr>
              <w:t xml:space="preserve"> </w:t>
            </w:r>
            <w:r>
              <w:rPr>
                <w:rFonts w:ascii="Times New Roman" w:cs="Times New Roman" w:eastAsia="Times New Roman" w:hAnsi="Times New Roman"/>
                <w:sz w:val="12"/>
                <w:szCs w:val="12"/>
                <w:color w:val="B4B4B4"/>
              </w:rPr>
              <w:t>...........................</w:t>
            </w:r>
          </w:p>
        </w:tc>
        <w:tc>
          <w:tcPr>
            <w:tcW w:w="52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560" w:type="dxa"/>
            <w:vAlign w:val="bottom"/>
            <w:shd w:val="clear" w:color="auto" w:fill="CCEEFF"/>
          </w:tcPr>
          <w:p>
            <w:pPr>
              <w:ind w:left="40"/>
              <w:spacing w:after="0" w:line="115" w:lineRule="exact"/>
              <w:rPr>
                <w:sz w:val="20"/>
                <w:szCs w:val="20"/>
                <w:color w:val="auto"/>
              </w:rPr>
            </w:pPr>
            <w:r>
              <w:rPr>
                <w:rFonts w:ascii="Arial" w:cs="Arial" w:eastAsia="Arial" w:hAnsi="Arial"/>
                <w:sz w:val="12"/>
                <w:szCs w:val="12"/>
                <w:color w:val="auto"/>
              </w:rPr>
              <w:t>Michael Sindicich,</w:t>
            </w: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560" w:type="dxa"/>
            <w:vAlign w:val="bottom"/>
            <w:shd w:val="clear" w:color="auto" w:fill="CCEEFF"/>
          </w:tcPr>
          <w:p>
            <w:pPr>
              <w:ind w:left="40"/>
              <w:spacing w:after="0"/>
              <w:rPr>
                <w:sz w:val="20"/>
                <w:szCs w:val="20"/>
                <w:color w:val="auto"/>
              </w:rPr>
            </w:pPr>
            <w:r>
              <w:rPr>
                <w:rFonts w:ascii="Arial" w:cs="Arial" w:eastAsia="Arial" w:hAnsi="Arial"/>
                <w:sz w:val="12"/>
                <w:szCs w:val="12"/>
                <w:i w:val="1"/>
                <w:iCs w:val="1"/>
                <w:color w:val="auto"/>
              </w:rPr>
              <w:t xml:space="preserve">President </w:t>
            </w:r>
            <w:r>
              <w:rPr>
                <w:rFonts w:ascii="Times New Roman" w:cs="Times New Roman" w:eastAsia="Times New Roman" w:hAnsi="Times New Roman"/>
                <w:sz w:val="12"/>
                <w:szCs w:val="12"/>
                <w:color w:val="B4B4B4"/>
              </w:rPr>
              <w:t>.............................</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2025</w:t>
            </w:r>
          </w:p>
        </w:tc>
        <w:tc>
          <w:tcPr>
            <w:tcW w:w="740" w:type="dxa"/>
            <w:vAlign w:val="bottom"/>
            <w:gridSpan w:val="2"/>
            <w:shd w:val="clear" w:color="auto" w:fill="CCEEFF"/>
          </w:tcPr>
          <w:p>
            <w:pPr>
              <w:jc w:val="right"/>
              <w:ind w:right="27"/>
              <w:spacing w:after="0"/>
              <w:rPr>
                <w:sz w:val="20"/>
                <w:szCs w:val="20"/>
                <w:color w:val="auto"/>
              </w:rPr>
            </w:pPr>
            <w:r>
              <w:rPr>
                <w:rFonts w:ascii="Arial" w:cs="Arial" w:eastAsia="Arial" w:hAnsi="Arial"/>
                <w:sz w:val="12"/>
                <w:szCs w:val="12"/>
                <w:color w:val="auto"/>
              </w:rPr>
              <w:t>750,000</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7"/>
              <w:spacing w:after="0"/>
              <w:rPr>
                <w:sz w:val="20"/>
                <w:szCs w:val="20"/>
                <w:color w:val="auto"/>
              </w:rPr>
            </w:pPr>
            <w:r>
              <w:rPr>
                <w:rFonts w:ascii="Arial" w:cs="Arial" w:eastAsia="Arial" w:hAnsi="Arial"/>
                <w:sz w:val="12"/>
                <w:szCs w:val="12"/>
                <w:color w:val="auto"/>
              </w:rPr>
              <w:t>1,363,642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252</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2,113,894</w:t>
            </w:r>
          </w:p>
        </w:tc>
        <w:tc>
          <w:tcPr>
            <w:tcW w:w="0" w:type="dxa"/>
            <w:vAlign w:val="bottom"/>
          </w:tcPr>
          <w:p>
            <w:pPr>
              <w:spacing w:after="0"/>
              <w:rPr>
                <w:sz w:val="1"/>
                <w:szCs w:val="1"/>
                <w:color w:val="auto"/>
              </w:rPr>
            </w:pPr>
          </w:p>
        </w:tc>
      </w:tr>
      <w:tr>
        <w:trPr>
          <w:trHeight w:val="27"/>
        </w:trPr>
        <w:tc>
          <w:tcPr>
            <w:tcW w:w="15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_______________</w:t>
      </w:r>
    </w:p>
    <w:p>
      <w:pPr>
        <w:spacing w:after="0" w:line="23" w:lineRule="exact"/>
        <w:rPr>
          <w:sz w:val="20"/>
          <w:szCs w:val="20"/>
          <w:color w:val="auto"/>
        </w:rPr>
      </w:pPr>
    </w:p>
    <w:p>
      <w:pPr>
        <w:ind w:left="1760" w:right="1860" w:hanging="238"/>
        <w:spacing w:after="0"/>
        <w:tabs>
          <w:tab w:leader="none" w:pos="1760" w:val="left"/>
        </w:tabs>
        <w:numPr>
          <w:ilvl w:val="0"/>
          <w:numId w:val="130"/>
        </w:numPr>
        <w:rPr>
          <w:rFonts w:ascii="Arial" w:cs="Arial" w:eastAsia="Arial" w:hAnsi="Arial"/>
          <w:sz w:val="11"/>
          <w:szCs w:val="11"/>
          <w:color w:val="auto"/>
        </w:rPr>
      </w:pPr>
      <w:r>
        <w:rPr>
          <w:rFonts w:ascii="Arial" w:cs="Arial" w:eastAsia="Arial" w:hAnsi="Arial"/>
          <w:sz w:val="11"/>
          <w:szCs w:val="11"/>
          <w:color w:val="auto"/>
        </w:rPr>
        <w:t>During fiscal 2025, Mr. Sindicich was granted an RSU award under our 2015 Plan, subject to a performanc e-</w:t>
      </w:r>
    </w:p>
    <w:p>
      <w:pPr>
        <w:spacing w:after="0" w:line="11" w:lineRule="exact"/>
        <w:rPr>
          <w:rFonts w:ascii="Arial" w:cs="Arial" w:eastAsia="Arial" w:hAnsi="Arial"/>
          <w:sz w:val="11"/>
          <w:szCs w:val="11"/>
          <w:color w:val="auto"/>
        </w:rPr>
      </w:pPr>
    </w:p>
    <w:p>
      <w:pPr>
        <w:ind w:left="1760" w:right="2140"/>
        <w:spacing w:after="0"/>
        <w:rPr>
          <w:rFonts w:ascii="Arial" w:cs="Arial" w:eastAsia="Arial" w:hAnsi="Arial"/>
          <w:sz w:val="11"/>
          <w:szCs w:val="11"/>
          <w:color w:val="auto"/>
        </w:rPr>
      </w:pPr>
      <w:r>
        <w:rPr>
          <w:rFonts w:ascii="Arial" w:cs="Arial" w:eastAsia="Arial" w:hAnsi="Arial"/>
          <w:sz w:val="11"/>
          <w:szCs w:val="11"/>
          <w:color w:val="auto"/>
        </w:rPr>
        <w:t>based vesting condition and time-based service vesting conditions. As of the applicable grant date an d</w:t>
      </w:r>
    </w:p>
    <w:p>
      <w:pPr>
        <w:spacing w:after="0" w:line="7" w:lineRule="exact"/>
        <w:rPr>
          <w:rFonts w:ascii="Arial" w:cs="Arial" w:eastAsia="Arial" w:hAnsi="Arial"/>
          <w:sz w:val="11"/>
          <w:szCs w:val="11"/>
          <w:color w:val="auto"/>
        </w:rPr>
      </w:pPr>
    </w:p>
    <w:p>
      <w:pPr>
        <w:ind w:left="1760" w:right="1800"/>
        <w:spacing w:after="0"/>
        <w:rPr>
          <w:rFonts w:ascii="Arial" w:cs="Arial" w:eastAsia="Arial" w:hAnsi="Arial"/>
          <w:sz w:val="11"/>
          <w:szCs w:val="11"/>
          <w:color w:val="auto"/>
        </w:rPr>
      </w:pPr>
      <w:r>
        <w:rPr>
          <w:rFonts w:ascii="Arial" w:cs="Arial" w:eastAsia="Arial" w:hAnsi="Arial"/>
          <w:sz w:val="11"/>
          <w:szCs w:val="11"/>
          <w:color w:val="auto"/>
        </w:rPr>
        <w:t>January 31, 2025, we had not recognized stock-based compensation expense for this award because achievement of the performance-based vesting condition was not deemed probable as of any such date. As a</w:t>
      </w:r>
    </w:p>
    <w:p>
      <w:pPr>
        <w:spacing w:after="0" w:line="24" w:lineRule="exact"/>
        <w:rPr>
          <w:rFonts w:ascii="Arial" w:cs="Arial" w:eastAsia="Arial" w:hAnsi="Arial"/>
          <w:sz w:val="11"/>
          <w:szCs w:val="11"/>
          <w:color w:val="auto"/>
        </w:rPr>
      </w:pPr>
    </w:p>
    <w:p>
      <w:pPr>
        <w:ind w:left="1760" w:right="1620"/>
        <w:spacing w:after="0"/>
        <w:rPr>
          <w:rFonts w:ascii="Arial" w:cs="Arial" w:eastAsia="Arial" w:hAnsi="Arial"/>
          <w:sz w:val="11"/>
          <w:szCs w:val="11"/>
          <w:color w:val="auto"/>
        </w:rPr>
      </w:pPr>
      <w:r>
        <w:rPr>
          <w:rFonts w:ascii="Arial" w:cs="Arial" w:eastAsia="Arial" w:hAnsi="Arial"/>
          <w:sz w:val="11"/>
          <w:szCs w:val="11"/>
          <w:color w:val="auto"/>
        </w:rPr>
        <w:t>result, no value is included in the table for this award. Assuming achievement of the performance-based vesting condition, the aggregate grant date fair value of the RSU award for Mr. Sindicich was $2,092,150, computed i n</w:t>
      </w:r>
    </w:p>
    <w:p>
      <w:pPr>
        <w:spacing w:after="0" w:line="24" w:lineRule="exact"/>
        <w:rPr>
          <w:rFonts w:ascii="Arial" w:cs="Arial" w:eastAsia="Arial" w:hAnsi="Arial"/>
          <w:sz w:val="11"/>
          <w:szCs w:val="11"/>
          <w:color w:val="auto"/>
        </w:rPr>
      </w:pPr>
    </w:p>
    <w:p>
      <w:pPr>
        <w:ind w:left="1760" w:right="1720"/>
        <w:spacing w:after="0"/>
        <w:rPr>
          <w:rFonts w:ascii="Arial" w:cs="Arial" w:eastAsia="Arial" w:hAnsi="Arial"/>
          <w:sz w:val="11"/>
          <w:szCs w:val="11"/>
          <w:color w:val="auto"/>
        </w:rPr>
      </w:pPr>
      <w:r>
        <w:rPr>
          <w:rFonts w:ascii="Arial" w:cs="Arial" w:eastAsia="Arial" w:hAnsi="Arial"/>
          <w:sz w:val="11"/>
          <w:szCs w:val="11"/>
          <w:color w:val="auto"/>
        </w:rPr>
        <w:t>accordance with ASC 718. The assumptions used in calculating the grant date fair value of the RSU award ar e</w:t>
      </w:r>
    </w:p>
    <w:p>
      <w:pPr>
        <w:spacing w:after="0" w:line="7" w:lineRule="exact"/>
        <w:rPr>
          <w:rFonts w:ascii="Arial" w:cs="Arial" w:eastAsia="Arial" w:hAnsi="Arial"/>
          <w:sz w:val="11"/>
          <w:szCs w:val="11"/>
          <w:color w:val="auto"/>
        </w:rPr>
      </w:pPr>
    </w:p>
    <w:p>
      <w:pPr>
        <w:ind w:left="1760" w:right="1760"/>
        <w:spacing w:after="0"/>
        <w:rPr>
          <w:rFonts w:ascii="Arial" w:cs="Arial" w:eastAsia="Arial" w:hAnsi="Arial"/>
          <w:sz w:val="11"/>
          <w:szCs w:val="11"/>
          <w:color w:val="auto"/>
        </w:rPr>
      </w:pPr>
      <w:r>
        <w:rPr>
          <w:rFonts w:ascii="Arial" w:cs="Arial" w:eastAsia="Arial" w:hAnsi="Arial"/>
          <w:sz w:val="11"/>
          <w:szCs w:val="11"/>
          <w:color w:val="auto"/>
        </w:rPr>
        <w:t>set forth in Note 10, “Equity Incentive Plan” to our consolidated financial statements included elsewhere in thi s</w:t>
      </w:r>
    </w:p>
    <w:p>
      <w:pPr>
        <w:spacing w:after="0" w:line="17" w:lineRule="exact"/>
        <w:rPr>
          <w:rFonts w:ascii="Arial" w:cs="Arial" w:eastAsia="Arial" w:hAnsi="Arial"/>
          <w:sz w:val="11"/>
          <w:szCs w:val="11"/>
          <w:color w:val="auto"/>
        </w:rPr>
      </w:pPr>
    </w:p>
    <w:p>
      <w:pPr>
        <w:ind w:left="1760"/>
        <w:spacing w:after="0" w:line="199" w:lineRule="auto"/>
        <w:rPr>
          <w:rFonts w:ascii="Arial" w:cs="Arial" w:eastAsia="Arial" w:hAnsi="Arial"/>
          <w:sz w:val="11"/>
          <w:szCs w:val="11"/>
          <w:color w:val="auto"/>
        </w:rPr>
      </w:pPr>
      <w:r>
        <w:rPr>
          <w:rFonts w:ascii="Arial" w:cs="Arial" w:eastAsia="Arial" w:hAnsi="Arial"/>
          <w:sz w:val="8"/>
          <w:szCs w:val="8"/>
          <w:color w:val="auto"/>
        </w:rPr>
        <w:t>prospectus. This amount does not necessarily correspond to the actual value that may be realized by Mr</w:t>
      </w:r>
    </w:p>
    <w:p>
      <w:pPr>
        <w:ind w:left="1760"/>
        <w:spacing w:after="0" w:line="199" w:lineRule="auto"/>
        <w:rPr>
          <w:rFonts w:ascii="Arial" w:cs="Arial" w:eastAsia="Arial" w:hAnsi="Arial"/>
          <w:sz w:val="11"/>
          <w:szCs w:val="11"/>
          <w:color w:val="auto"/>
        </w:rPr>
      </w:pPr>
      <w:r>
        <w:rPr>
          <w:rFonts w:ascii="Arial" w:cs="Arial" w:eastAsia="Arial" w:hAnsi="Arial"/>
          <w:sz w:val="6"/>
          <w:szCs w:val="6"/>
          <w:color w:val="auto"/>
        </w:rPr>
        <w:t>.</w:t>
      </w:r>
    </w:p>
    <w:p>
      <w:pPr>
        <w:ind w:left="1760" w:right="2320"/>
        <w:spacing w:after="0"/>
        <w:rPr>
          <w:rFonts w:ascii="Arial" w:cs="Arial" w:eastAsia="Arial" w:hAnsi="Arial"/>
          <w:sz w:val="11"/>
          <w:szCs w:val="11"/>
          <w:color w:val="auto"/>
        </w:rPr>
      </w:pPr>
      <w:r>
        <w:rPr>
          <w:rFonts w:ascii="Arial" w:cs="Arial" w:eastAsia="Arial" w:hAnsi="Arial"/>
          <w:sz w:val="11"/>
          <w:szCs w:val="11"/>
          <w:color w:val="auto"/>
        </w:rPr>
        <w:t>Sindicich. See the section titled “—Equity-Based Incentive Awards” below for additional informatio n.</w:t>
      </w:r>
    </w:p>
    <w:p>
      <w:pPr>
        <w:spacing w:after="0" w:line="17" w:lineRule="exact"/>
        <w:rPr>
          <w:rFonts w:ascii="Arial" w:cs="Arial" w:eastAsia="Arial" w:hAnsi="Arial"/>
          <w:sz w:val="11"/>
          <w:szCs w:val="11"/>
          <w:color w:val="auto"/>
        </w:rPr>
      </w:pPr>
    </w:p>
    <w:p>
      <w:pPr>
        <w:ind w:left="1760" w:right="1720" w:hanging="238"/>
        <w:spacing w:after="0"/>
        <w:tabs>
          <w:tab w:leader="none" w:pos="1760" w:val="left"/>
        </w:tabs>
        <w:numPr>
          <w:ilvl w:val="0"/>
          <w:numId w:val="130"/>
        </w:numPr>
        <w:rPr>
          <w:rFonts w:ascii="Arial" w:cs="Arial" w:eastAsia="Arial" w:hAnsi="Arial"/>
          <w:sz w:val="11"/>
          <w:szCs w:val="11"/>
          <w:color w:val="auto"/>
        </w:rPr>
      </w:pPr>
      <w:r>
        <w:rPr>
          <w:rFonts w:ascii="Arial" w:cs="Arial" w:eastAsia="Arial" w:hAnsi="Arial"/>
          <w:sz w:val="11"/>
          <w:szCs w:val="11"/>
          <w:color w:val="auto"/>
        </w:rPr>
        <w:t>The amount reported with respect to Mr. Sindicich includes the grant date fair value of an option award grante d</w:t>
      </w:r>
    </w:p>
    <w:p>
      <w:pPr>
        <w:spacing w:after="0" w:line="7" w:lineRule="exact"/>
        <w:rPr>
          <w:rFonts w:ascii="Arial" w:cs="Arial" w:eastAsia="Arial" w:hAnsi="Arial"/>
          <w:sz w:val="11"/>
          <w:szCs w:val="11"/>
          <w:color w:val="auto"/>
        </w:rPr>
      </w:pPr>
    </w:p>
    <w:p>
      <w:pPr>
        <w:ind w:left="1760" w:right="1640"/>
        <w:spacing w:after="0"/>
        <w:rPr>
          <w:rFonts w:ascii="Arial" w:cs="Arial" w:eastAsia="Arial" w:hAnsi="Arial"/>
          <w:sz w:val="11"/>
          <w:szCs w:val="11"/>
          <w:color w:val="auto"/>
        </w:rPr>
      </w:pPr>
      <w:r>
        <w:rPr>
          <w:rFonts w:ascii="Arial" w:cs="Arial" w:eastAsia="Arial" w:hAnsi="Arial"/>
          <w:sz w:val="11"/>
          <w:szCs w:val="11"/>
          <w:color w:val="auto"/>
        </w:rPr>
        <w:t>to him during fiscal 2025 under our 2015 Plan, computed in accordance with ASC 718. The assumptions used i n</w:t>
      </w:r>
    </w:p>
    <w:p>
      <w:pPr>
        <w:spacing w:after="0" w:line="7" w:lineRule="exact"/>
        <w:rPr>
          <w:rFonts w:ascii="Arial" w:cs="Arial" w:eastAsia="Arial" w:hAnsi="Arial"/>
          <w:sz w:val="11"/>
          <w:szCs w:val="11"/>
          <w:color w:val="auto"/>
        </w:rPr>
      </w:pPr>
    </w:p>
    <w:p>
      <w:pPr>
        <w:ind w:left="1760"/>
        <w:spacing w:after="0"/>
        <w:rPr>
          <w:rFonts w:ascii="Arial" w:cs="Arial" w:eastAsia="Arial" w:hAnsi="Arial"/>
          <w:sz w:val="11"/>
          <w:szCs w:val="11"/>
          <w:color w:val="auto"/>
        </w:rPr>
      </w:pPr>
      <w:r>
        <w:rPr>
          <w:rFonts w:ascii="Arial" w:cs="Arial" w:eastAsia="Arial" w:hAnsi="Arial"/>
          <w:sz w:val="11"/>
          <w:szCs w:val="11"/>
          <w:color w:val="auto"/>
        </w:rPr>
        <w:t>the calculation of this amount is included in Note 10, “Equity Incentive Plan” to our consolidated financia</w:t>
      </w:r>
    </w:p>
    <w:p>
      <w:pPr>
        <w:spacing w:after="0" w:line="13" w:lineRule="exact"/>
        <w:rPr>
          <w:rFonts w:ascii="Arial" w:cs="Arial" w:eastAsia="Arial" w:hAnsi="Arial"/>
          <w:sz w:val="11"/>
          <w:szCs w:val="11"/>
          <w:color w:val="auto"/>
        </w:rPr>
      </w:pPr>
    </w:p>
    <w:p>
      <w:pPr>
        <w:ind w:left="1760" w:right="1680"/>
        <w:spacing w:after="0" w:line="183" w:lineRule="auto"/>
        <w:rPr>
          <w:rFonts w:ascii="Arial" w:cs="Arial" w:eastAsia="Arial" w:hAnsi="Arial"/>
          <w:sz w:val="11"/>
          <w:szCs w:val="11"/>
          <w:color w:val="auto"/>
        </w:rPr>
      </w:pPr>
      <w:r>
        <w:rPr>
          <w:rFonts w:ascii="Arial" w:cs="Arial" w:eastAsia="Arial" w:hAnsi="Arial"/>
          <w:sz w:val="21"/>
          <w:szCs w:val="21"/>
          <w:color w:val="auto"/>
          <w:vertAlign w:val="superscript"/>
        </w:rPr>
        <w:t>l</w:t>
      </w:r>
      <w:r>
        <w:rPr>
          <w:rFonts w:ascii="Arial" w:cs="Arial" w:eastAsia="Arial" w:hAnsi="Arial"/>
          <w:sz w:val="11"/>
          <w:szCs w:val="11"/>
          <w:color w:val="auto"/>
        </w:rPr>
        <w:t>statements included elsewhere in this prospectus. This amount does not necessarily correspond to the actual value that may be realized by Mr. Sindicich. See the section titled “—Equity-Based Incentive Awards” below fo r</w:t>
      </w:r>
    </w:p>
    <w:p>
      <w:pPr>
        <w:ind w:left="1760"/>
        <w:spacing w:after="0"/>
        <w:rPr>
          <w:rFonts w:ascii="Arial" w:cs="Arial" w:eastAsia="Arial" w:hAnsi="Arial"/>
          <w:sz w:val="11"/>
          <w:szCs w:val="11"/>
          <w:color w:val="auto"/>
        </w:rPr>
      </w:pPr>
      <w:r>
        <w:rPr>
          <w:rFonts w:ascii="Arial" w:cs="Arial" w:eastAsia="Arial" w:hAnsi="Arial"/>
          <w:sz w:val="11"/>
          <w:szCs w:val="11"/>
          <w:color w:val="auto"/>
        </w:rPr>
        <w:t>additional information.</w:t>
      </w:r>
    </w:p>
    <w:p>
      <w:pPr>
        <w:spacing w:after="0" w:line="7" w:lineRule="exact"/>
        <w:rPr>
          <w:rFonts w:ascii="Arial" w:cs="Arial" w:eastAsia="Arial" w:hAnsi="Arial"/>
          <w:sz w:val="11"/>
          <w:szCs w:val="11"/>
          <w:color w:val="auto"/>
        </w:rPr>
      </w:pPr>
    </w:p>
    <w:p>
      <w:pPr>
        <w:ind w:left="1760" w:right="1900"/>
        <w:spacing w:after="0"/>
        <w:rPr>
          <w:rFonts w:ascii="Arial" w:cs="Arial" w:eastAsia="Arial" w:hAnsi="Arial"/>
          <w:sz w:val="11"/>
          <w:szCs w:val="11"/>
          <w:color w:val="auto"/>
        </w:rPr>
      </w:pPr>
      <w:r>
        <w:rPr>
          <w:rFonts w:ascii="Arial" w:cs="Arial" w:eastAsia="Arial" w:hAnsi="Arial"/>
          <w:sz w:val="11"/>
          <w:szCs w:val="11"/>
          <w:color w:val="auto"/>
        </w:rPr>
        <w:t>The amounts reported with respect to Messrs. Cohen, Twig, and Sindicich include $812,921, $900,087 an d</w:t>
      </w:r>
    </w:p>
    <w:p>
      <w:pPr>
        <w:spacing w:after="0" w:line="7" w:lineRule="exact"/>
        <w:rPr>
          <w:rFonts w:ascii="Arial" w:cs="Arial" w:eastAsia="Arial" w:hAnsi="Arial"/>
          <w:sz w:val="11"/>
          <w:szCs w:val="11"/>
          <w:color w:val="auto"/>
        </w:rPr>
      </w:pPr>
    </w:p>
    <w:p>
      <w:pPr>
        <w:ind w:left="1760" w:right="1900"/>
        <w:spacing w:after="0"/>
        <w:rPr>
          <w:rFonts w:ascii="Arial" w:cs="Arial" w:eastAsia="Arial" w:hAnsi="Arial"/>
          <w:sz w:val="11"/>
          <w:szCs w:val="11"/>
          <w:color w:val="auto"/>
        </w:rPr>
      </w:pPr>
      <w:r>
        <w:rPr>
          <w:rFonts w:ascii="Arial" w:cs="Arial" w:eastAsia="Arial" w:hAnsi="Arial"/>
          <w:sz w:val="11"/>
          <w:szCs w:val="11"/>
          <w:color w:val="auto"/>
        </w:rPr>
        <w:t>$195,101, respectively, of aggregate incremental fair value in connection with the repricing of certain optio n</w:t>
      </w:r>
    </w:p>
    <w:p>
      <w:pPr>
        <w:spacing w:after="0" w:line="17" w:lineRule="exact"/>
        <w:rPr>
          <w:rFonts w:ascii="Arial" w:cs="Arial" w:eastAsia="Arial" w:hAnsi="Arial"/>
          <w:sz w:val="11"/>
          <w:szCs w:val="11"/>
          <w:color w:val="auto"/>
        </w:rPr>
      </w:pPr>
    </w:p>
    <w:p>
      <w:pPr>
        <w:ind w:left="1760" w:right="1660"/>
        <w:spacing w:after="0"/>
        <w:rPr>
          <w:rFonts w:ascii="Arial" w:cs="Arial" w:eastAsia="Arial" w:hAnsi="Arial"/>
          <w:sz w:val="11"/>
          <w:szCs w:val="11"/>
          <w:color w:val="auto"/>
        </w:rPr>
      </w:pPr>
      <w:r>
        <w:rPr>
          <w:rFonts w:ascii="Arial" w:cs="Arial" w:eastAsia="Arial" w:hAnsi="Arial"/>
          <w:sz w:val="11"/>
          <w:szCs w:val="11"/>
          <w:color w:val="auto"/>
        </w:rPr>
        <w:t>awards on August 12, 2024, computed in accordance with ASC 718, as described below under “—Equity-Base d</w:t>
      </w:r>
    </w:p>
    <w:p>
      <w:pPr>
        <w:spacing w:after="0" w:line="7" w:lineRule="exact"/>
        <w:rPr>
          <w:rFonts w:ascii="Arial" w:cs="Arial" w:eastAsia="Arial" w:hAnsi="Arial"/>
          <w:sz w:val="11"/>
          <w:szCs w:val="11"/>
          <w:color w:val="auto"/>
        </w:rPr>
      </w:pPr>
    </w:p>
    <w:p>
      <w:pPr>
        <w:ind w:left="1760" w:right="1920"/>
        <w:spacing w:after="0"/>
        <w:rPr>
          <w:rFonts w:ascii="Arial" w:cs="Arial" w:eastAsia="Arial" w:hAnsi="Arial"/>
          <w:sz w:val="11"/>
          <w:szCs w:val="11"/>
          <w:color w:val="auto"/>
        </w:rPr>
      </w:pPr>
      <w:r>
        <w:rPr>
          <w:rFonts w:ascii="Arial" w:cs="Arial" w:eastAsia="Arial" w:hAnsi="Arial"/>
          <w:sz w:val="11"/>
          <w:szCs w:val="11"/>
          <w:color w:val="auto"/>
        </w:rPr>
        <w:t>Incentive Awards—Stock Option Repricing.” The assumptions used in the calculation of these amounts ar e</w:t>
      </w:r>
    </w:p>
    <w:p>
      <w:pPr>
        <w:spacing w:after="0" w:line="17" w:lineRule="exact"/>
        <w:rPr>
          <w:rFonts w:ascii="Arial" w:cs="Arial" w:eastAsia="Arial" w:hAnsi="Arial"/>
          <w:sz w:val="11"/>
          <w:szCs w:val="11"/>
          <w:color w:val="auto"/>
        </w:rPr>
      </w:pPr>
    </w:p>
    <w:p>
      <w:pPr>
        <w:ind w:left="1760" w:right="1740"/>
        <w:spacing w:after="0"/>
        <w:rPr>
          <w:rFonts w:ascii="Arial" w:cs="Arial" w:eastAsia="Arial" w:hAnsi="Arial"/>
          <w:sz w:val="11"/>
          <w:szCs w:val="11"/>
          <w:color w:val="auto"/>
        </w:rPr>
      </w:pPr>
      <w:r>
        <w:rPr>
          <w:rFonts w:ascii="Arial" w:cs="Arial" w:eastAsia="Arial" w:hAnsi="Arial"/>
          <w:sz w:val="11"/>
          <w:szCs w:val="11"/>
          <w:color w:val="auto"/>
        </w:rPr>
        <w:t>included in Note 10, “Equity Incentive Plan” to our consolidated financial statements included elsewhere in thi s</w:t>
      </w:r>
    </w:p>
    <w:p>
      <w:pPr>
        <w:spacing w:after="0" w:line="7" w:lineRule="exact"/>
        <w:rPr>
          <w:rFonts w:ascii="Arial" w:cs="Arial" w:eastAsia="Arial" w:hAnsi="Arial"/>
          <w:sz w:val="11"/>
          <w:szCs w:val="11"/>
          <w:color w:val="auto"/>
        </w:rPr>
      </w:pPr>
    </w:p>
    <w:p>
      <w:pPr>
        <w:ind w:left="1760"/>
        <w:spacing w:after="0"/>
        <w:rPr>
          <w:rFonts w:ascii="Arial" w:cs="Arial" w:eastAsia="Arial" w:hAnsi="Arial"/>
          <w:sz w:val="11"/>
          <w:szCs w:val="11"/>
          <w:color w:val="auto"/>
        </w:rPr>
      </w:pPr>
      <w:r>
        <w:rPr>
          <w:rFonts w:ascii="Arial" w:cs="Arial" w:eastAsia="Arial" w:hAnsi="Arial"/>
          <w:sz w:val="11"/>
          <w:szCs w:val="11"/>
          <w:color w:val="auto"/>
        </w:rPr>
        <w:t>prospectus.</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172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760" w:right="2080" w:hanging="238"/>
        <w:spacing w:after="0"/>
        <w:tabs>
          <w:tab w:leader="none" w:pos="1760" w:val="left"/>
        </w:tabs>
        <w:numPr>
          <w:ilvl w:val="0"/>
          <w:numId w:val="131"/>
        </w:numPr>
        <w:rPr>
          <w:rFonts w:ascii="Arial" w:cs="Arial" w:eastAsia="Arial" w:hAnsi="Arial"/>
          <w:sz w:val="11"/>
          <w:szCs w:val="11"/>
          <w:color w:val="auto"/>
        </w:rPr>
      </w:pPr>
      <w:r>
        <w:rPr>
          <w:rFonts w:ascii="Arial" w:cs="Arial" w:eastAsia="Arial" w:hAnsi="Arial"/>
          <w:sz w:val="11"/>
          <w:szCs w:val="11"/>
          <w:color w:val="auto"/>
        </w:rPr>
        <w:t>For each of the named executive officers, “All Other Compensation” reflects term life insurance premiu m</w:t>
      </w:r>
    </w:p>
    <w:p>
      <w:pPr>
        <w:spacing w:after="0" w:line="17" w:lineRule="exact"/>
        <w:rPr>
          <w:rFonts w:ascii="Arial" w:cs="Arial" w:eastAsia="Arial" w:hAnsi="Arial"/>
          <w:sz w:val="11"/>
          <w:szCs w:val="11"/>
          <w:color w:val="auto"/>
        </w:rPr>
      </w:pPr>
    </w:p>
    <w:p>
      <w:pPr>
        <w:ind w:left="1760"/>
        <w:spacing w:after="0"/>
        <w:rPr>
          <w:rFonts w:ascii="Arial" w:cs="Arial" w:eastAsia="Arial" w:hAnsi="Arial"/>
          <w:sz w:val="11"/>
          <w:szCs w:val="11"/>
          <w:color w:val="auto"/>
        </w:rPr>
      </w:pPr>
      <w:r>
        <w:rPr>
          <w:rFonts w:ascii="Arial" w:cs="Arial" w:eastAsia="Arial" w:hAnsi="Arial"/>
          <w:sz w:val="11"/>
          <w:szCs w:val="11"/>
          <w:color w:val="auto"/>
        </w:rPr>
        <w:t>payments by us.</w:t>
      </w:r>
    </w:p>
    <w:p>
      <w:pPr>
        <w:spacing w:after="0" w:line="7" w:lineRule="exact"/>
        <w:rPr>
          <w:rFonts w:ascii="Arial" w:cs="Arial" w:eastAsia="Arial" w:hAnsi="Arial"/>
          <w:sz w:val="11"/>
          <w:szCs w:val="11"/>
          <w:color w:val="auto"/>
        </w:rPr>
      </w:pPr>
    </w:p>
    <w:p>
      <w:pPr>
        <w:ind w:left="1760" w:right="1720" w:hanging="238"/>
        <w:spacing w:after="0"/>
        <w:tabs>
          <w:tab w:leader="none" w:pos="1760" w:val="left"/>
        </w:tabs>
        <w:numPr>
          <w:ilvl w:val="0"/>
          <w:numId w:val="131"/>
        </w:numPr>
        <w:rPr>
          <w:rFonts w:ascii="Arial" w:cs="Arial" w:eastAsia="Arial" w:hAnsi="Arial"/>
          <w:sz w:val="11"/>
          <w:szCs w:val="11"/>
          <w:color w:val="auto"/>
        </w:rPr>
      </w:pPr>
      <w:r>
        <w:rPr>
          <w:rFonts w:ascii="Arial" w:cs="Arial" w:eastAsia="Arial" w:hAnsi="Arial"/>
          <w:sz w:val="11"/>
          <w:szCs w:val="11"/>
          <w:color w:val="auto"/>
        </w:rPr>
        <w:t>Mr. Twig was located in the United States for a portion of fiscal 2025, during which he was compensated in U. S.</w:t>
      </w:r>
    </w:p>
    <w:p>
      <w:pPr>
        <w:spacing w:after="0" w:line="17" w:lineRule="exact"/>
        <w:rPr>
          <w:rFonts w:ascii="Arial" w:cs="Arial" w:eastAsia="Arial" w:hAnsi="Arial"/>
          <w:sz w:val="11"/>
          <w:szCs w:val="11"/>
          <w:color w:val="auto"/>
        </w:rPr>
      </w:pPr>
    </w:p>
    <w:p>
      <w:pPr>
        <w:ind w:left="1760" w:right="1680"/>
        <w:spacing w:after="0"/>
        <w:rPr>
          <w:rFonts w:ascii="Arial" w:cs="Arial" w:eastAsia="Arial" w:hAnsi="Arial"/>
          <w:sz w:val="11"/>
          <w:szCs w:val="11"/>
          <w:color w:val="auto"/>
        </w:rPr>
      </w:pPr>
      <w:r>
        <w:rPr>
          <w:rFonts w:ascii="Arial" w:cs="Arial" w:eastAsia="Arial" w:hAnsi="Arial"/>
          <w:sz w:val="11"/>
          <w:szCs w:val="11"/>
          <w:color w:val="auto"/>
        </w:rPr>
        <w:t>dollars, and in Israel for a portion of the year, during which he was compensated in ILS. The 1,571,250 ILS pai d</w:t>
      </w:r>
    </w:p>
    <w:p>
      <w:pPr>
        <w:spacing w:after="0" w:line="7" w:lineRule="exact"/>
        <w:rPr>
          <w:rFonts w:ascii="Arial" w:cs="Arial" w:eastAsia="Arial" w:hAnsi="Arial"/>
          <w:sz w:val="11"/>
          <w:szCs w:val="11"/>
          <w:color w:val="auto"/>
        </w:rPr>
      </w:pPr>
    </w:p>
    <w:p>
      <w:pPr>
        <w:ind w:left="1760" w:right="1600"/>
        <w:spacing w:after="0"/>
        <w:rPr>
          <w:rFonts w:ascii="Arial" w:cs="Arial" w:eastAsia="Arial" w:hAnsi="Arial"/>
          <w:sz w:val="11"/>
          <w:szCs w:val="11"/>
          <w:color w:val="auto"/>
        </w:rPr>
      </w:pPr>
      <w:r>
        <w:rPr>
          <w:rFonts w:ascii="Arial" w:cs="Arial" w:eastAsia="Arial" w:hAnsi="Arial"/>
          <w:sz w:val="11"/>
          <w:szCs w:val="11"/>
          <w:color w:val="auto"/>
        </w:rPr>
        <w:t>to Mr. Twig for the portion of the year he was located in Israel was converted to U.S. dollars at the average ILS t o</w:t>
      </w:r>
    </w:p>
    <w:p>
      <w:pPr>
        <w:spacing w:after="0" w:line="17" w:lineRule="exact"/>
        <w:rPr>
          <w:rFonts w:ascii="Arial" w:cs="Arial" w:eastAsia="Arial" w:hAnsi="Arial"/>
          <w:sz w:val="11"/>
          <w:szCs w:val="11"/>
          <w:color w:val="auto"/>
        </w:rPr>
      </w:pPr>
    </w:p>
    <w:p>
      <w:pPr>
        <w:ind w:left="1760" w:right="2140"/>
        <w:spacing w:after="0"/>
        <w:rPr>
          <w:rFonts w:ascii="Arial" w:cs="Arial" w:eastAsia="Arial" w:hAnsi="Arial"/>
          <w:sz w:val="11"/>
          <w:szCs w:val="11"/>
          <w:color w:val="auto"/>
        </w:rPr>
      </w:pPr>
      <w:r>
        <w:rPr>
          <w:rFonts w:ascii="Arial" w:cs="Arial" w:eastAsia="Arial" w:hAnsi="Arial"/>
          <w:sz w:val="11"/>
          <w:szCs w:val="11"/>
          <w:color w:val="auto"/>
        </w:rPr>
        <w:t>U.S. dollar conversion rate for the period from February 1, 2024 to January 1, 2025, which was 0.271 1.</w:t>
      </w:r>
    </w:p>
    <w:p>
      <w:pPr>
        <w:spacing w:after="0" w:line="11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Employment Agreements</w:t>
      </w:r>
    </w:p>
    <w:p>
      <w:pPr>
        <w:spacing w:after="0" w:line="130" w:lineRule="exact"/>
        <w:rPr>
          <w:sz w:val="20"/>
          <w:szCs w:val="20"/>
          <w:color w:val="auto"/>
        </w:rPr>
      </w:pPr>
    </w:p>
    <w:p>
      <w:pPr>
        <w:ind w:left="1520" w:right="1780" w:firstLine="230"/>
        <w:spacing w:after="0" w:line="312" w:lineRule="auto"/>
        <w:rPr>
          <w:sz w:val="20"/>
          <w:szCs w:val="20"/>
          <w:color w:val="auto"/>
        </w:rPr>
      </w:pPr>
      <w:r>
        <w:rPr>
          <w:rFonts w:ascii="Arial" w:cs="Arial" w:eastAsia="Arial" w:hAnsi="Arial"/>
          <w:sz w:val="12"/>
          <w:szCs w:val="12"/>
          <w:color w:val="auto"/>
        </w:rPr>
        <w:t>Prior to the completion of this offering, we intend to enter into offer letters setting forth the terms and conditions of employment for each of our named executive officers as described below.</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Ariel Cohen</w:t>
      </w:r>
    </w:p>
    <w:p>
      <w:pPr>
        <w:spacing w:after="0" w:line="128" w:lineRule="exact"/>
        <w:rPr>
          <w:sz w:val="20"/>
          <w:szCs w:val="20"/>
          <w:color w:val="auto"/>
        </w:rPr>
      </w:pPr>
    </w:p>
    <w:p>
      <w:pPr>
        <w:ind w:left="1520" w:right="1720" w:firstLine="230"/>
        <w:spacing w:after="0" w:line="281" w:lineRule="auto"/>
        <w:rPr>
          <w:sz w:val="20"/>
          <w:szCs w:val="20"/>
          <w:color w:val="auto"/>
        </w:rPr>
      </w:pPr>
      <w:r>
        <w:rPr>
          <w:rFonts w:ascii="Arial" w:cs="Arial" w:eastAsia="Arial" w:hAnsi="Arial"/>
          <w:sz w:val="12"/>
          <w:szCs w:val="12"/>
          <w:color w:val="auto"/>
        </w:rPr>
        <w:t>Prior to the completion of this offering, we intend to enter into a confirmatory offer letter with Mr. Cohen. The letter agreement is not expected to have a specific term and will provide that Mr. Cohen is an at-will employee. Mr. Cohen’s current annual base salary is $1,000,000, and his target bonus for fiscal 2026 is $400,000.</w:t>
      </w:r>
    </w:p>
    <w:p>
      <w:pPr>
        <w:spacing w:after="0" w:line="8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Ilan Twig</w:t>
      </w:r>
    </w:p>
    <w:p>
      <w:pPr>
        <w:spacing w:after="0" w:line="128" w:lineRule="exact"/>
        <w:rPr>
          <w:sz w:val="20"/>
          <w:szCs w:val="20"/>
          <w:color w:val="auto"/>
        </w:rPr>
      </w:pPr>
    </w:p>
    <w:p>
      <w:pPr>
        <w:ind w:left="1520" w:right="1700" w:firstLine="230"/>
        <w:spacing w:after="0" w:line="281" w:lineRule="auto"/>
        <w:rPr>
          <w:sz w:val="20"/>
          <w:szCs w:val="20"/>
          <w:color w:val="auto"/>
        </w:rPr>
      </w:pPr>
      <w:r>
        <w:rPr>
          <w:rFonts w:ascii="Arial" w:cs="Arial" w:eastAsia="Arial" w:hAnsi="Arial"/>
          <w:sz w:val="12"/>
          <w:szCs w:val="12"/>
          <w:color w:val="auto"/>
        </w:rPr>
        <w:t>Prior to the completion of this offering, we intend to enter into a confirmatory offer letter with Mr. Twig. The letter agreement is not expected to have a specific term and will provide that Mr. Twig is an at-will employee. Mr. Twig’s current annual base salary is $700,000, and his target bonus for fiscal 2026 is $300,000.</w:t>
      </w:r>
    </w:p>
    <w:p>
      <w:pPr>
        <w:spacing w:after="0" w:line="8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Michael Sindicich</w:t>
      </w:r>
    </w:p>
    <w:p>
      <w:pPr>
        <w:spacing w:after="0" w:line="128" w:lineRule="exact"/>
        <w:rPr>
          <w:sz w:val="20"/>
          <w:szCs w:val="20"/>
          <w:color w:val="auto"/>
        </w:rPr>
      </w:pPr>
    </w:p>
    <w:p>
      <w:pPr>
        <w:ind w:left="1520" w:right="1760" w:firstLine="230"/>
        <w:spacing w:after="0" w:line="289" w:lineRule="auto"/>
        <w:rPr>
          <w:sz w:val="20"/>
          <w:szCs w:val="20"/>
          <w:color w:val="auto"/>
        </w:rPr>
      </w:pPr>
      <w:r>
        <w:rPr>
          <w:rFonts w:ascii="Arial" w:cs="Arial" w:eastAsia="Arial" w:hAnsi="Arial"/>
          <w:sz w:val="12"/>
          <w:szCs w:val="12"/>
          <w:color w:val="auto"/>
        </w:rPr>
        <w:t>Prior to the completion of this offering, we intend to enter into a confirmatory offer letter with Mr. Sindicich. The letter agreement is not expected to have a specific term and will provide that Mr. Sindicich is an at-will employee. Mr. Sindicich’s current annual base salary is $750,000.</w:t>
      </w:r>
    </w:p>
    <w:p>
      <w:pPr>
        <w:spacing w:after="0" w:line="76"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Equity-Based Incentive Awards</w:t>
      </w:r>
    </w:p>
    <w:p>
      <w:pPr>
        <w:spacing w:after="0" w:line="130" w:lineRule="exact"/>
        <w:rPr>
          <w:sz w:val="20"/>
          <w:szCs w:val="20"/>
          <w:color w:val="auto"/>
        </w:rPr>
      </w:pPr>
    </w:p>
    <w:p>
      <w:pPr>
        <w:ind w:left="1520" w:right="1700" w:firstLine="230"/>
        <w:spacing w:after="0" w:line="281" w:lineRule="auto"/>
        <w:rPr>
          <w:sz w:val="20"/>
          <w:szCs w:val="20"/>
          <w:color w:val="auto"/>
        </w:rPr>
      </w:pPr>
      <w:r>
        <w:rPr>
          <w:rFonts w:ascii="Arial" w:cs="Arial" w:eastAsia="Arial" w:hAnsi="Arial"/>
          <w:sz w:val="12"/>
          <w:szCs w:val="12"/>
          <w:color w:val="auto"/>
        </w:rPr>
        <w:t>We have historically granted equity incentive compensation to our executive officers primarily in the form of time-vesting stock options. In fiscal 2025, however, we granted RSUs that are subject to both a time-based service condition and a performance condition to Mr. Sindicich, in addition to stock options. All outstanding equity awards held by our named executive officers were granted under our 2015 Plan.</w:t>
      </w:r>
    </w:p>
    <w:p>
      <w:pPr>
        <w:spacing w:after="0" w:line="8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Stock Options Granted in Fiscal 2025</w:t>
      </w:r>
    </w:p>
    <w:p>
      <w:pPr>
        <w:spacing w:after="0" w:line="128" w:lineRule="exact"/>
        <w:rPr>
          <w:sz w:val="20"/>
          <w:szCs w:val="20"/>
          <w:color w:val="auto"/>
        </w:rPr>
      </w:pPr>
    </w:p>
    <w:p>
      <w:pPr>
        <w:ind w:left="1520" w:right="1680" w:firstLine="230"/>
        <w:spacing w:after="0" w:line="277" w:lineRule="auto"/>
        <w:rPr>
          <w:sz w:val="20"/>
          <w:szCs w:val="20"/>
          <w:color w:val="auto"/>
        </w:rPr>
      </w:pPr>
      <w:r>
        <w:rPr>
          <w:rFonts w:ascii="Arial" w:cs="Arial" w:eastAsia="Arial" w:hAnsi="Arial"/>
          <w:sz w:val="12"/>
          <w:szCs w:val="12"/>
          <w:color w:val="auto"/>
        </w:rPr>
        <w:t>In January 2025, we granted Mr. Sindicich an option to purchase 87,565 shares of our Class A common stock. This option has an exercise price of $20.31 per share and vests and becomes exercisable with respect to 25% of the total number of shares subject to such option on the one-year anniversary of vesting commencement date, and 1/48th of the total number of shares subject to such option monthly thereafter, subject to Mr. Sindicich’s continued service on each vesting date.</w:t>
      </w:r>
    </w:p>
    <w:p>
      <w:pPr>
        <w:sectPr>
          <w:pgSz w:w="11900" w:h="16840" w:orient="portrait"/>
          <w:cols w:equalWidth="0" w:num="1">
            <w:col w:w="9020"/>
          </w:cols>
          <w:pgMar w:left="1440" w:top="560" w:right="1440" w:bottom="88" w:gutter="0" w:footer="0" w:header="0"/>
        </w:sectPr>
      </w:pPr>
    </w:p>
    <w:bookmarkStart w:id="120" w:name="page121"/>
    <w:bookmarkEnd w:id="120"/>
    <w:p>
      <w:pPr>
        <w:ind w:left="1760"/>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RSUs Granted in Fiscal 2025</w:t>
      </w:r>
    </w:p>
    <w:p>
      <w:pPr>
        <w:spacing w:after="0" w:line="128" w:lineRule="exact"/>
        <w:rPr>
          <w:sz w:val="20"/>
          <w:szCs w:val="20"/>
          <w:color w:val="auto"/>
        </w:rPr>
      </w:pPr>
    </w:p>
    <w:p>
      <w:pPr>
        <w:ind w:left="1520" w:right="1740" w:firstLine="230"/>
        <w:spacing w:after="0" w:line="273" w:lineRule="auto"/>
        <w:rPr>
          <w:sz w:val="20"/>
          <w:szCs w:val="20"/>
          <w:color w:val="auto"/>
        </w:rPr>
      </w:pPr>
      <w:r>
        <w:rPr>
          <w:rFonts w:ascii="Arial" w:cs="Arial" w:eastAsia="Arial" w:hAnsi="Arial"/>
          <w:sz w:val="12"/>
          <w:szCs w:val="12"/>
          <w:color w:val="auto"/>
        </w:rPr>
        <w:t>In January 2025, we also granted Mr. Sindicich RSUs settleable for 93,483 shares of our Class A common stock. These RSUs become vested on the date that both the applicable time-based service condition and the applicable performance condition have been satisfied. The time and service condition will be satisfied with respect to (i) 25% of the total number of such RSUs on the first anniversary of the vesting commencement date, and (ii) an additional 1/16th of the total number of such RSUs thereafter on each subsequent March 20, June 20, September 20 and December 20, or each, a Quarterly Vesting Date, subject in each case to Mr. Sindicich’s continued service through each such vesting date.</w:t>
      </w:r>
    </w:p>
    <w:p>
      <w:pPr>
        <w:spacing w:after="0" w:line="8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The performance condition will be  deemed satisfied as of the effective date of this offering.</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173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Co-Founder Options and RSUs Granted in April 2025</w:t>
      </w:r>
    </w:p>
    <w:p>
      <w:pPr>
        <w:spacing w:after="0" w:line="13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Ariel Cohen</w:t>
      </w:r>
    </w:p>
    <w:p>
      <w:pPr>
        <w:spacing w:after="0" w:line="128" w:lineRule="exact"/>
        <w:rPr>
          <w:sz w:val="20"/>
          <w:szCs w:val="20"/>
          <w:color w:val="auto"/>
        </w:rPr>
      </w:pPr>
    </w:p>
    <w:p>
      <w:pPr>
        <w:ind w:left="1520" w:right="1620" w:firstLine="230"/>
        <w:spacing w:after="0" w:line="275" w:lineRule="auto"/>
        <w:rPr>
          <w:sz w:val="20"/>
          <w:szCs w:val="20"/>
          <w:color w:val="auto"/>
        </w:rPr>
      </w:pPr>
      <w:r>
        <w:rPr>
          <w:rFonts w:ascii="Arial" w:cs="Arial" w:eastAsia="Arial" w:hAnsi="Arial"/>
          <w:sz w:val="12"/>
          <w:szCs w:val="12"/>
          <w:color w:val="auto"/>
        </w:rPr>
        <w:t>In April 2025, we granted Mr. Cohen an option to purchase 1,250,445 shares of our Class A common stock, which will be exchangeable for an equal number of shares of Class B common stock at the election of Mr. Cohen . This option has an exercise price of $22.62 per share and is scheduled to vest and become exercisable with respect to 25% of the total number of shares subject to such option on the one-year anniversary of vesting commencement date, and as to 1/48th of the total number of shares subject to the option monthly thereafter, subject to Mr. Cohen’s continued service through each vesting date.</w:t>
      </w:r>
    </w:p>
    <w:p>
      <w:pPr>
        <w:spacing w:after="0" w:line="85" w:lineRule="exact"/>
        <w:rPr>
          <w:sz w:val="20"/>
          <w:szCs w:val="20"/>
          <w:color w:val="auto"/>
        </w:rPr>
      </w:pPr>
    </w:p>
    <w:p>
      <w:pPr>
        <w:ind w:left="1520" w:right="1660" w:firstLine="230"/>
        <w:spacing w:after="0" w:line="272" w:lineRule="auto"/>
        <w:rPr>
          <w:sz w:val="20"/>
          <w:szCs w:val="20"/>
          <w:color w:val="auto"/>
        </w:rPr>
      </w:pPr>
      <w:r>
        <w:rPr>
          <w:rFonts w:ascii="Arial" w:cs="Arial" w:eastAsia="Arial" w:hAnsi="Arial"/>
          <w:sz w:val="12"/>
          <w:szCs w:val="12"/>
          <w:color w:val="auto"/>
        </w:rPr>
        <w:t>Additionally, in April 2025, we granted Mr. Cohen RSUs settleable for 1,154,925 shares of our Class A common stock, which will be exchangeable for an equal number of shares of Class B common stock at the election of Mr. Cohen upon settlement . The vesting of these RSUs is subject to a time-based service condition and a performance condition, both of which must be satisfied to vest. The time and service condition will be satisfied with respect to (i) 25% of the total number of such RSUs on the first anniversary of the vesting commencement date, and (ii) an additional 1/16th of the total number of such RSUs thereafter on each subsequent Quarterly Vesting Date, subject in each case to Mr. Cohen’s continued service through each such vesting date. The performance condition is satisfied upon certain liquidity events, including this offering.</w:t>
      </w:r>
    </w:p>
    <w:p>
      <w:pPr>
        <w:spacing w:after="0" w:line="24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Ilan Twig</w:t>
      </w:r>
    </w:p>
    <w:p>
      <w:pPr>
        <w:spacing w:after="0" w:line="128" w:lineRule="exact"/>
        <w:rPr>
          <w:sz w:val="20"/>
          <w:szCs w:val="20"/>
          <w:color w:val="auto"/>
        </w:rPr>
      </w:pPr>
    </w:p>
    <w:p>
      <w:pPr>
        <w:ind w:left="1520" w:right="1680" w:firstLine="230"/>
        <w:spacing w:after="0" w:line="275" w:lineRule="auto"/>
        <w:rPr>
          <w:sz w:val="20"/>
          <w:szCs w:val="20"/>
          <w:color w:val="auto"/>
        </w:rPr>
      </w:pPr>
      <w:r>
        <w:rPr>
          <w:rFonts w:ascii="Arial" w:cs="Arial" w:eastAsia="Arial" w:hAnsi="Arial"/>
          <w:sz w:val="12"/>
          <w:szCs w:val="12"/>
          <w:color w:val="auto"/>
        </w:rPr>
        <w:t>In April 2025, we granted Mr. Twig an option to purchase 635,788 shares of our Class A common stock, which will be exchangeable for an equal number of shares of Class B common stock at the election of Mr. Twig. This option has an exercise price of $22.62 per share and is scheduled to vest and become exercisable with respect to 25% of the total number of shares subject to such option on the one-year anniversary of vesting commencement date, and as to 1/48th of the total number of shares subject to the option monthly thereafter, subject to Mr. Twig’s continued service through each vesting date.</w:t>
      </w:r>
    </w:p>
    <w:p>
      <w:pPr>
        <w:spacing w:after="0" w:line="85" w:lineRule="exact"/>
        <w:rPr>
          <w:sz w:val="20"/>
          <w:szCs w:val="20"/>
          <w:color w:val="auto"/>
        </w:rPr>
      </w:pPr>
    </w:p>
    <w:p>
      <w:pPr>
        <w:ind w:left="1520" w:right="1720" w:firstLine="230"/>
        <w:spacing w:after="0" w:line="270" w:lineRule="auto"/>
        <w:rPr>
          <w:sz w:val="20"/>
          <w:szCs w:val="20"/>
          <w:color w:val="auto"/>
        </w:rPr>
      </w:pPr>
      <w:r>
        <w:rPr>
          <w:rFonts w:ascii="Arial" w:cs="Arial" w:eastAsia="Arial" w:hAnsi="Arial"/>
          <w:sz w:val="12"/>
          <w:szCs w:val="12"/>
          <w:color w:val="auto"/>
        </w:rPr>
        <w:t>Additionally, in April 2025, we granted Mr. Twig RSUs settleable for an aggregate of 587,222 shares of our Class A common stock, which will be exchangeable for an equal number of shares of Class B common stock at the election of Mr. Twig upon settlement . The vesting of 352,333 of these RSUs is subject only to a time-based service condition, which will be satisfied with respect to (i) 25% of such RSUs on the first anniversary of the vesting commencement date, and (ii) an additional 1/16th of the total number of such RSUs thereafter on each subsequent Quarterly Vesting Date, subject in each case to Mr. Twig’s continued service through each such vesting date. The vesting of the remaining 234,899 RSUs is subject to a time-based service condition and a performance condition, both of which must be satisfied to vest. The time and service condition will be satisfied with respect to (i) 25% of the total number of such RSUs on the first anniversary of the vesting commencement date, and (ii) an additional 1/16th of the total number of such RSUs thereafter on each subsequent Quarterly Vesting Date, subject in each case to Mr. Twig’s continued service through each such vesting date. The performance condition is satisfied upon certain liquidity events, including this offering.</w:t>
      </w:r>
    </w:p>
    <w:p>
      <w:pPr>
        <w:spacing w:after="0" w:line="89"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Stock Option Repricing</w:t>
      </w:r>
    </w:p>
    <w:p>
      <w:pPr>
        <w:spacing w:after="0" w:line="12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In July 2024, our board of directors approved the repricing of certain outstanding stock options</w:t>
      </w:r>
    </w:p>
    <w:p>
      <w:pPr>
        <w:spacing w:after="0" w:line="27"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granted under the 2015 Plan pursuant to which the exercise price of certain options was reduced to</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$16.26 per share (the fair market value of our Class A common stock on the repricing date as determined</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by our board of directors). The number of shares of our Class A common stock underlying the options, the</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vesting schedules and the expiration dates, were unchanged. The incremental compensation expense</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associated with the repricing of the stock options held by our named executive officers is set forth in the</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“Option Awards” column of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174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40" w:firstLine="230"/>
        <w:spacing w:after="0" w:line="289" w:lineRule="auto"/>
        <w:rPr>
          <w:sz w:val="20"/>
          <w:szCs w:val="20"/>
          <w:color w:val="auto"/>
        </w:rPr>
      </w:pPr>
      <w:r>
        <w:rPr>
          <w:rFonts w:ascii="Arial" w:cs="Arial" w:eastAsia="Arial" w:hAnsi="Arial"/>
          <w:sz w:val="12"/>
          <w:szCs w:val="12"/>
          <w:color w:val="auto"/>
        </w:rPr>
        <w:t>Our board of directors determined that the repricing was in the best interests of our company and stockholders and provided the most effective means of retaining and incentivizing our employees and the non-employee director who participated in the repricing.</w:t>
      </w:r>
    </w:p>
    <w:p>
      <w:pPr>
        <w:spacing w:after="0" w:line="76"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The repricing affected the following stock options held by our named executive officers:</w:t>
      </w:r>
    </w:p>
    <w:p>
      <w:pPr>
        <w:spacing w:after="0" w:line="138"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20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Name</w:t>
            </w:r>
          </w:p>
        </w:tc>
        <w:tc>
          <w:tcPr>
            <w:tcW w:w="4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1"/>
                <w:szCs w:val="11"/>
                <w:b w:val="1"/>
                <w:bCs w:val="1"/>
                <w:color w:val="auto"/>
                <w:w w:val="95"/>
              </w:rPr>
              <w:t>Shares underlying</w:t>
            </w:r>
          </w:p>
        </w:tc>
        <w:tc>
          <w:tcPr>
            <w:tcW w:w="2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1"/>
                <w:szCs w:val="11"/>
                <w:b w:val="1"/>
                <w:bCs w:val="1"/>
                <w:color w:val="auto"/>
                <w:w w:val="94"/>
              </w:rPr>
              <w:t>Exercise prices prior to</w:t>
            </w:r>
          </w:p>
        </w:tc>
        <w:tc>
          <w:tcPr>
            <w:tcW w:w="4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1"/>
                <w:szCs w:val="11"/>
                <w:b w:val="1"/>
                <w:bCs w:val="1"/>
                <w:color w:val="auto"/>
                <w:w w:val="95"/>
              </w:rPr>
              <w:t>Exercise price of</w:t>
            </w:r>
          </w:p>
        </w:tc>
        <w:tc>
          <w:tcPr>
            <w:tcW w:w="0" w:type="dxa"/>
            <w:vAlign w:val="bottom"/>
          </w:tcPr>
          <w:p>
            <w:pPr>
              <w:spacing w:after="0"/>
              <w:rPr>
                <w:sz w:val="1"/>
                <w:szCs w:val="1"/>
                <w:color w:val="auto"/>
              </w:rPr>
            </w:pPr>
          </w:p>
        </w:tc>
      </w:tr>
      <w:tr>
        <w:trPr>
          <w:trHeight w:val="153"/>
        </w:trPr>
        <w:tc>
          <w:tcPr>
            <w:tcW w:w="20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repriced options</w:t>
            </w:r>
          </w:p>
        </w:tc>
        <w:tc>
          <w:tcPr>
            <w:tcW w:w="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repricing</w:t>
            </w:r>
          </w:p>
        </w:tc>
        <w:tc>
          <w:tcPr>
            <w:tcW w:w="4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repriced options</w:t>
            </w:r>
          </w:p>
        </w:tc>
        <w:tc>
          <w:tcPr>
            <w:tcW w:w="0" w:type="dxa"/>
            <w:vAlign w:val="bottom"/>
          </w:tcPr>
          <w:p>
            <w:pPr>
              <w:spacing w:after="0"/>
              <w:rPr>
                <w:sz w:val="1"/>
                <w:szCs w:val="1"/>
                <w:color w:val="auto"/>
              </w:rPr>
            </w:pPr>
          </w:p>
        </w:tc>
      </w:tr>
      <w:tr>
        <w:trPr>
          <w:trHeight w:val="172"/>
        </w:trPr>
        <w:tc>
          <w:tcPr>
            <w:tcW w:w="204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Ariel Cohen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4"/>
                <w:szCs w:val="14"/>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694,443</w:t>
            </w:r>
          </w:p>
        </w:tc>
        <w:tc>
          <w:tcPr>
            <w:tcW w:w="20" w:type="dxa"/>
            <w:vAlign w:val="bottom"/>
            <w:shd w:val="clear" w:color="auto" w:fill="CCEEFF"/>
          </w:tcPr>
          <w:p>
            <w:pPr>
              <w:spacing w:after="0"/>
              <w:rPr>
                <w:sz w:val="14"/>
                <w:szCs w:val="14"/>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$20.73</w:t>
            </w:r>
          </w:p>
        </w:tc>
        <w:tc>
          <w:tcPr>
            <w:tcW w:w="40" w:type="dxa"/>
            <w:vAlign w:val="bottom"/>
            <w:shd w:val="clear" w:color="auto" w:fill="CCEEFF"/>
          </w:tcPr>
          <w:p>
            <w:pPr>
              <w:spacing w:after="0"/>
              <w:rPr>
                <w:sz w:val="14"/>
                <w:szCs w:val="14"/>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$16.26</w:t>
            </w:r>
          </w:p>
        </w:tc>
        <w:tc>
          <w:tcPr>
            <w:tcW w:w="0" w:type="dxa"/>
            <w:vAlign w:val="bottom"/>
          </w:tcPr>
          <w:p>
            <w:pPr>
              <w:spacing w:after="0"/>
              <w:rPr>
                <w:sz w:val="1"/>
                <w:szCs w:val="1"/>
                <w:color w:val="auto"/>
              </w:rPr>
            </w:pPr>
          </w:p>
        </w:tc>
      </w:tr>
      <w:tr>
        <w:trPr>
          <w:trHeight w:val="173"/>
        </w:trPr>
        <w:tc>
          <w:tcPr>
            <w:tcW w:w="2040" w:type="dxa"/>
            <w:vAlign w:val="bottom"/>
          </w:tcPr>
          <w:p>
            <w:pPr>
              <w:ind w:left="40"/>
              <w:spacing w:after="0"/>
              <w:rPr>
                <w:sz w:val="20"/>
                <w:szCs w:val="20"/>
                <w:color w:val="auto"/>
              </w:rPr>
            </w:pPr>
            <w:r>
              <w:rPr>
                <w:rFonts w:ascii="Arial" w:cs="Arial" w:eastAsia="Arial" w:hAnsi="Arial"/>
                <w:sz w:val="12"/>
                <w:szCs w:val="12"/>
                <w:color w:val="auto"/>
              </w:rPr>
              <w:t xml:space="preserve">Ilan Twig </w:t>
            </w:r>
            <w:r>
              <w:rPr>
                <w:rFonts w:ascii="Times New Roman" w:cs="Times New Roman" w:eastAsia="Times New Roman" w:hAnsi="Times New Roman"/>
                <w:sz w:val="12"/>
                <w:szCs w:val="12"/>
                <w:color w:val="B4B4B4"/>
              </w:rPr>
              <w:t>.............................................</w:t>
            </w:r>
          </w:p>
        </w:tc>
        <w:tc>
          <w:tcPr>
            <w:tcW w:w="1320" w:type="dxa"/>
            <w:vAlign w:val="bottom"/>
            <w:gridSpan w:val="2"/>
          </w:tcPr>
          <w:p>
            <w:pPr>
              <w:jc w:val="center"/>
              <w:spacing w:after="0"/>
              <w:rPr>
                <w:sz w:val="20"/>
                <w:szCs w:val="20"/>
                <w:color w:val="auto"/>
              </w:rPr>
            </w:pPr>
            <w:r>
              <w:rPr>
                <w:rFonts w:ascii="Arial" w:cs="Arial" w:eastAsia="Arial" w:hAnsi="Arial"/>
                <w:sz w:val="12"/>
                <w:szCs w:val="12"/>
                <w:color w:val="auto"/>
              </w:rPr>
              <w:t>867,519</w:t>
            </w:r>
          </w:p>
        </w:tc>
        <w:tc>
          <w:tcPr>
            <w:tcW w:w="1300" w:type="dxa"/>
            <w:vAlign w:val="bottom"/>
            <w:gridSpan w:val="2"/>
          </w:tcPr>
          <w:p>
            <w:pPr>
              <w:jc w:val="right"/>
              <w:ind w:right="164"/>
              <w:spacing w:after="0"/>
              <w:rPr>
                <w:sz w:val="20"/>
                <w:szCs w:val="20"/>
                <w:color w:val="auto"/>
              </w:rPr>
            </w:pPr>
            <w:r>
              <w:rPr>
                <w:rFonts w:ascii="Arial" w:cs="Arial" w:eastAsia="Arial" w:hAnsi="Arial"/>
                <w:sz w:val="12"/>
                <w:szCs w:val="12"/>
                <w:color w:val="auto"/>
              </w:rPr>
              <w:t>$19.98 - $20.73</w:t>
            </w:r>
          </w:p>
        </w:tc>
        <w:tc>
          <w:tcPr>
            <w:tcW w:w="1320" w:type="dxa"/>
            <w:vAlign w:val="bottom"/>
            <w:gridSpan w:val="2"/>
          </w:tcPr>
          <w:p>
            <w:pPr>
              <w:jc w:val="center"/>
              <w:spacing w:after="0"/>
              <w:rPr>
                <w:sz w:val="20"/>
                <w:szCs w:val="20"/>
                <w:color w:val="auto"/>
              </w:rPr>
            </w:pPr>
            <w:r>
              <w:rPr>
                <w:rFonts w:ascii="Arial" w:cs="Arial" w:eastAsia="Arial" w:hAnsi="Arial"/>
                <w:sz w:val="12"/>
                <w:szCs w:val="12"/>
                <w:color w:val="auto"/>
                <w:w w:val="97"/>
              </w:rPr>
              <w:t>$16.26</w:t>
            </w:r>
          </w:p>
        </w:tc>
        <w:tc>
          <w:tcPr>
            <w:tcW w:w="0" w:type="dxa"/>
            <w:vAlign w:val="bottom"/>
          </w:tcPr>
          <w:p>
            <w:pPr>
              <w:spacing w:after="0"/>
              <w:rPr>
                <w:sz w:val="1"/>
                <w:szCs w:val="1"/>
                <w:color w:val="auto"/>
              </w:rPr>
            </w:pPr>
          </w:p>
        </w:tc>
      </w:tr>
      <w:tr>
        <w:trPr>
          <w:trHeight w:val="190"/>
        </w:trPr>
        <w:tc>
          <w:tcPr>
            <w:tcW w:w="204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Michael Sindicich </w:t>
            </w:r>
            <w:r>
              <w:rPr>
                <w:rFonts w:ascii="Times New Roman" w:cs="Times New Roman" w:eastAsia="Times New Roman" w:hAnsi="Times New Roman"/>
                <w:sz w:val="12"/>
                <w:szCs w:val="12"/>
                <w:color w:val="B4B4B4"/>
              </w:rPr>
              <w:t>..............................</w:t>
            </w: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166,666</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$20.73</w:t>
            </w: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7"/>
              </w:rPr>
              <w:t>$16.26</w:t>
            </w:r>
          </w:p>
        </w:tc>
        <w:tc>
          <w:tcPr>
            <w:tcW w:w="0" w:type="dxa"/>
            <w:vAlign w:val="bottom"/>
          </w:tcPr>
          <w:p>
            <w:pPr>
              <w:spacing w:after="0"/>
              <w:rPr>
                <w:sz w:val="1"/>
                <w:szCs w:val="1"/>
                <w:color w:val="auto"/>
              </w:rPr>
            </w:pPr>
          </w:p>
        </w:tc>
      </w:tr>
    </w:tbl>
    <w:p>
      <w:pPr>
        <w:sectPr>
          <w:pgSz w:w="11900" w:h="16840" w:orient="portrait"/>
          <w:cols w:equalWidth="0" w:num="1">
            <w:col w:w="9020"/>
          </w:cols>
          <w:pgMar w:left="1440" w:top="571" w:right="1440" w:bottom="224" w:gutter="0" w:footer="0" w:header="0"/>
        </w:sectPr>
      </w:pPr>
    </w:p>
    <w:bookmarkStart w:id="121" w:name="page122"/>
    <w:bookmarkEnd w:id="121"/>
    <w:p>
      <w:pPr>
        <w:ind w:left="1520"/>
        <w:spacing w:after="0"/>
        <w:rPr>
          <w:sz w:val="20"/>
          <w:szCs w:val="20"/>
          <w:color w:val="auto"/>
        </w:rPr>
      </w:pPr>
      <w:r>
        <w:rPr>
          <w:rFonts w:ascii="Arial" w:cs="Arial" w:eastAsia="Arial" w:hAnsi="Arial"/>
          <w:sz w:val="12"/>
          <w:szCs w:val="12"/>
          <w:b w:val="1"/>
          <w:bCs w:val="1"/>
          <w:color w:val="auto"/>
        </w:rPr>
        <w:t>Outstanding Equity Awards at Fiscal 2025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33" w:lineRule="exact"/>
        <w:rPr>
          <w:sz w:val="20"/>
          <w:szCs w:val="20"/>
          <w:color w:val="auto"/>
        </w:rPr>
      </w:pPr>
    </w:p>
    <w:p>
      <w:pPr>
        <w:ind w:left="1520" w:right="2200" w:firstLine="230"/>
        <w:spacing w:after="0" w:line="312" w:lineRule="auto"/>
        <w:rPr>
          <w:sz w:val="20"/>
          <w:szCs w:val="20"/>
          <w:color w:val="auto"/>
        </w:rPr>
      </w:pPr>
      <w:r>
        <w:rPr>
          <w:rFonts w:ascii="Arial" w:cs="Arial" w:eastAsia="Arial" w:hAnsi="Arial"/>
          <w:sz w:val="12"/>
          <w:szCs w:val="12"/>
          <w:color w:val="auto"/>
        </w:rPr>
        <w:t>The following table presents, for each of our named executive officers, information regarding outstanding stock options and stock awards held as of January 31, 2025.</w:t>
      </w:r>
    </w:p>
    <w:p>
      <w:pPr>
        <w:spacing w:after="0" w:line="100" w:lineRule="exact"/>
        <w:rPr>
          <w:sz w:val="20"/>
          <w:szCs w:val="20"/>
          <w:color w:val="auto"/>
        </w:rPr>
      </w:pPr>
    </w:p>
    <w:tbl>
      <w:tblPr>
        <w:tblLayout w:type="fixed"/>
        <w:tblInd w:w="1520" w:type="dxa"/>
        <w:tblCellMar>
          <w:top w:w="0" w:type="dxa"/>
          <w:left w:w="0" w:type="dxa"/>
          <w:bottom w:w="0" w:type="dxa"/>
          <w:right w:w="0" w:type="dxa"/>
        </w:tblCellMar>
      </w:tblPr>
      <w:tr>
        <w:trPr>
          <w:trHeight w:val="144"/>
        </w:trPr>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277"/>
              <w:spacing w:after="0"/>
              <w:rPr>
                <w:sz w:val="20"/>
                <w:szCs w:val="20"/>
                <w:color w:val="auto"/>
              </w:rPr>
            </w:pPr>
            <w:r>
              <w:rPr>
                <w:rFonts w:ascii="Arial" w:cs="Arial" w:eastAsia="Arial" w:hAnsi="Arial"/>
                <w:sz w:val="9"/>
                <w:szCs w:val="9"/>
                <w:b w:val="1"/>
                <w:bCs w:val="1"/>
                <w:color w:val="auto"/>
              </w:rPr>
              <w:t xml:space="preserve">Option Awards </w:t>
            </w:r>
            <w:r>
              <w:rPr>
                <w:rFonts w:ascii="Arial" w:cs="Arial" w:eastAsia="Arial" w:hAnsi="Arial"/>
                <w:sz w:val="11"/>
                <w:szCs w:val="11"/>
                <w:b w:val="1"/>
                <w:bCs w:val="1"/>
                <w:color w:val="auto"/>
                <w:vertAlign w:val="superscript"/>
              </w:rPr>
              <w:t>(1)</w:t>
            </w:r>
          </w:p>
        </w:tc>
        <w:tc>
          <w:tcPr>
            <w:tcW w:w="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9"/>
                <w:szCs w:val="9"/>
                <w:b w:val="1"/>
                <w:bCs w:val="1"/>
                <w:color w:val="auto"/>
              </w:rPr>
              <w:t xml:space="preserve">Stock Awards </w:t>
            </w:r>
            <w:r>
              <w:rPr>
                <w:rFonts w:ascii="Arial" w:cs="Arial" w:eastAsia="Arial" w:hAnsi="Arial"/>
                <w:sz w:val="11"/>
                <w:szCs w:val="11"/>
                <w:b w:val="1"/>
                <w:bCs w:val="1"/>
                <w:color w:val="auto"/>
                <w:vertAlign w:val="superscript"/>
              </w:rPr>
              <w:t>(1)</w:t>
            </w:r>
          </w:p>
        </w:tc>
        <w:tc>
          <w:tcPr>
            <w:tcW w:w="0" w:type="dxa"/>
            <w:vAlign w:val="bottom"/>
          </w:tcPr>
          <w:p>
            <w:pPr>
              <w:spacing w:after="0"/>
              <w:rPr>
                <w:sz w:val="1"/>
                <w:szCs w:val="1"/>
                <w:color w:val="auto"/>
              </w:rPr>
            </w:pPr>
          </w:p>
        </w:tc>
      </w:tr>
      <w:tr>
        <w:trPr>
          <w:trHeight w:val="85"/>
        </w:trPr>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4"/>
              </w:rPr>
              <w:t>Equity</w:t>
            </w:r>
          </w:p>
        </w:tc>
        <w:tc>
          <w:tcPr>
            <w:tcW w:w="4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96"/>
        </w:trPr>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jc w:val="center"/>
              <w:spacing w:after="0" w:line="96" w:lineRule="exact"/>
              <w:rPr>
                <w:sz w:val="20"/>
                <w:szCs w:val="20"/>
                <w:color w:val="auto"/>
              </w:rPr>
            </w:pPr>
            <w:r>
              <w:rPr>
                <w:rFonts w:ascii="Arial" w:cs="Arial" w:eastAsia="Arial" w:hAnsi="Arial"/>
                <w:sz w:val="9"/>
                <w:szCs w:val="9"/>
                <w:b w:val="1"/>
                <w:bCs w:val="1"/>
                <w:color w:val="auto"/>
                <w:w w:val="92"/>
              </w:rPr>
              <w:t>Incentive</w:t>
            </w:r>
          </w:p>
        </w:tc>
        <w:tc>
          <w:tcPr>
            <w:tcW w:w="0" w:type="dxa"/>
            <w:vAlign w:val="bottom"/>
          </w:tcPr>
          <w:p>
            <w:pPr>
              <w:spacing w:after="0"/>
              <w:rPr>
                <w:sz w:val="1"/>
                <w:szCs w:val="1"/>
                <w:color w:val="auto"/>
              </w:rPr>
            </w:pPr>
          </w:p>
        </w:tc>
      </w:tr>
      <w:tr>
        <w:trPr>
          <w:trHeight w:val="86"/>
        </w:trPr>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2"/>
              </w:rPr>
              <w:t>Incentive</w:t>
            </w:r>
          </w:p>
        </w:tc>
        <w:tc>
          <w:tcPr>
            <w:tcW w:w="40" w:type="dxa"/>
            <w:vAlign w:val="bottom"/>
          </w:tcPr>
          <w:p>
            <w:pPr>
              <w:spacing w:after="0"/>
              <w:rPr>
                <w:sz w:val="7"/>
                <w:szCs w:val="7"/>
                <w:color w:val="auto"/>
              </w:rPr>
            </w:pPr>
          </w:p>
        </w:tc>
        <w:tc>
          <w:tcPr>
            <w:tcW w:w="640" w:type="dxa"/>
            <w:vAlign w:val="bottom"/>
          </w:tcPr>
          <w:p>
            <w:pPr>
              <w:jc w:val="center"/>
              <w:ind w:right="17"/>
              <w:spacing w:after="0" w:line="86" w:lineRule="exact"/>
              <w:rPr>
                <w:sz w:val="20"/>
                <w:szCs w:val="20"/>
                <w:color w:val="auto"/>
              </w:rPr>
            </w:pPr>
            <w:r>
              <w:rPr>
                <w:rFonts w:ascii="Arial" w:cs="Arial" w:eastAsia="Arial" w:hAnsi="Arial"/>
                <w:sz w:val="9"/>
                <w:szCs w:val="9"/>
                <w:b w:val="1"/>
                <w:bCs w:val="1"/>
                <w:color w:val="auto"/>
                <w:w w:val="94"/>
              </w:rPr>
              <w:t>Plan Awards:</w:t>
            </w:r>
          </w:p>
        </w:tc>
        <w:tc>
          <w:tcPr>
            <w:tcW w:w="0" w:type="dxa"/>
            <w:vAlign w:val="bottom"/>
          </w:tcPr>
          <w:p>
            <w:pPr>
              <w:spacing w:after="0"/>
              <w:rPr>
                <w:sz w:val="1"/>
                <w:szCs w:val="1"/>
                <w:color w:val="auto"/>
              </w:rPr>
            </w:pPr>
          </w:p>
        </w:tc>
      </w:tr>
      <w:tr>
        <w:trPr>
          <w:trHeight w:val="86"/>
        </w:trPr>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jc w:val="center"/>
              <w:ind w:right="17"/>
              <w:spacing w:after="0" w:line="86" w:lineRule="exact"/>
              <w:rPr>
                <w:sz w:val="20"/>
                <w:szCs w:val="20"/>
                <w:color w:val="auto"/>
              </w:rPr>
            </w:pPr>
            <w:r>
              <w:rPr>
                <w:rFonts w:ascii="Arial" w:cs="Arial" w:eastAsia="Arial" w:hAnsi="Arial"/>
                <w:sz w:val="9"/>
                <w:szCs w:val="9"/>
                <w:b w:val="1"/>
                <w:bCs w:val="1"/>
                <w:color w:val="auto"/>
                <w:w w:val="94"/>
              </w:rPr>
              <w:t>Plan Awards:</w:t>
            </w:r>
          </w:p>
        </w:tc>
        <w:tc>
          <w:tcPr>
            <w:tcW w:w="4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8"/>
              </w:rPr>
              <w:t>Market or</w:t>
            </w:r>
          </w:p>
        </w:tc>
        <w:tc>
          <w:tcPr>
            <w:tcW w:w="0" w:type="dxa"/>
            <w:vAlign w:val="bottom"/>
          </w:tcPr>
          <w:p>
            <w:pPr>
              <w:spacing w:after="0"/>
              <w:rPr>
                <w:sz w:val="1"/>
                <w:szCs w:val="1"/>
                <w:color w:val="auto"/>
              </w:rPr>
            </w:pPr>
          </w:p>
        </w:tc>
      </w:tr>
      <w:tr>
        <w:trPr>
          <w:trHeight w:val="96"/>
        </w:trPr>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jc w:val="center"/>
              <w:spacing w:after="0" w:line="96" w:lineRule="exact"/>
              <w:rPr>
                <w:sz w:val="20"/>
                <w:szCs w:val="20"/>
                <w:color w:val="auto"/>
              </w:rPr>
            </w:pPr>
            <w:r>
              <w:rPr>
                <w:rFonts w:ascii="Arial" w:cs="Arial" w:eastAsia="Arial" w:hAnsi="Arial"/>
                <w:sz w:val="9"/>
                <w:szCs w:val="9"/>
                <w:b w:val="1"/>
                <w:bCs w:val="1"/>
                <w:color w:val="auto"/>
                <w:w w:val="97"/>
              </w:rPr>
              <w:t>Number of</w:t>
            </w:r>
          </w:p>
        </w:tc>
        <w:tc>
          <w:tcPr>
            <w:tcW w:w="40" w:type="dxa"/>
            <w:vAlign w:val="bottom"/>
          </w:tcPr>
          <w:p>
            <w:pPr>
              <w:spacing w:after="0"/>
              <w:rPr>
                <w:sz w:val="8"/>
                <w:szCs w:val="8"/>
                <w:color w:val="auto"/>
              </w:rPr>
            </w:pPr>
          </w:p>
        </w:tc>
        <w:tc>
          <w:tcPr>
            <w:tcW w:w="640" w:type="dxa"/>
            <w:vAlign w:val="bottom"/>
          </w:tcPr>
          <w:p>
            <w:pPr>
              <w:jc w:val="center"/>
              <w:spacing w:after="0" w:line="96" w:lineRule="exact"/>
              <w:rPr>
                <w:sz w:val="20"/>
                <w:szCs w:val="20"/>
                <w:color w:val="auto"/>
              </w:rPr>
            </w:pPr>
            <w:r>
              <w:rPr>
                <w:rFonts w:ascii="Arial" w:cs="Arial" w:eastAsia="Arial" w:hAnsi="Arial"/>
                <w:sz w:val="9"/>
                <w:szCs w:val="9"/>
                <w:b w:val="1"/>
                <w:bCs w:val="1"/>
                <w:color w:val="auto"/>
                <w:w w:val="91"/>
              </w:rPr>
              <w:t>Payout Value</w:t>
            </w:r>
          </w:p>
        </w:tc>
        <w:tc>
          <w:tcPr>
            <w:tcW w:w="0" w:type="dxa"/>
            <w:vAlign w:val="bottom"/>
          </w:tcPr>
          <w:p>
            <w:pPr>
              <w:spacing w:after="0"/>
              <w:rPr>
                <w:sz w:val="1"/>
                <w:szCs w:val="1"/>
                <w:color w:val="auto"/>
              </w:rPr>
            </w:pPr>
          </w:p>
        </w:tc>
      </w:tr>
      <w:tr>
        <w:trPr>
          <w:trHeight w:val="86"/>
        </w:trPr>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7"/>
              </w:rPr>
              <w:t>Number of</w:t>
            </w:r>
          </w:p>
        </w:tc>
        <w:tc>
          <w:tcPr>
            <w:tcW w:w="40" w:type="dxa"/>
            <w:vAlign w:val="bottom"/>
          </w:tcPr>
          <w:p>
            <w:pPr>
              <w:spacing w:after="0"/>
              <w:rPr>
                <w:sz w:val="7"/>
                <w:szCs w:val="7"/>
                <w:color w:val="auto"/>
              </w:rPr>
            </w:pPr>
          </w:p>
        </w:tc>
        <w:tc>
          <w:tcPr>
            <w:tcW w:w="68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7"/>
              </w:rPr>
              <w:t>Number of</w:t>
            </w: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6"/>
              </w:rPr>
              <w:t>Unearned</w:t>
            </w:r>
          </w:p>
        </w:tc>
        <w:tc>
          <w:tcPr>
            <w:tcW w:w="4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8"/>
              </w:rPr>
              <w:t>of Unearned</w:t>
            </w:r>
          </w:p>
        </w:tc>
        <w:tc>
          <w:tcPr>
            <w:tcW w:w="0" w:type="dxa"/>
            <w:vAlign w:val="bottom"/>
          </w:tcPr>
          <w:p>
            <w:pPr>
              <w:spacing w:after="0"/>
              <w:rPr>
                <w:sz w:val="1"/>
                <w:szCs w:val="1"/>
                <w:color w:val="auto"/>
              </w:rPr>
            </w:pPr>
          </w:p>
        </w:tc>
      </w:tr>
      <w:tr>
        <w:trPr>
          <w:trHeight w:val="86"/>
        </w:trPr>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2"/>
              </w:rPr>
              <w:t>Securities</w:t>
            </w:r>
          </w:p>
        </w:tc>
        <w:tc>
          <w:tcPr>
            <w:tcW w:w="40" w:type="dxa"/>
            <w:vAlign w:val="bottom"/>
          </w:tcPr>
          <w:p>
            <w:pPr>
              <w:spacing w:after="0"/>
              <w:rPr>
                <w:sz w:val="7"/>
                <w:szCs w:val="7"/>
                <w:color w:val="auto"/>
              </w:rPr>
            </w:pPr>
          </w:p>
        </w:tc>
        <w:tc>
          <w:tcPr>
            <w:tcW w:w="68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2"/>
              </w:rPr>
              <w:t>Securities</w:t>
            </w: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7"/>
              </w:rPr>
              <w:t>Shares, Units</w:t>
            </w:r>
          </w:p>
        </w:tc>
        <w:tc>
          <w:tcPr>
            <w:tcW w:w="40" w:type="dxa"/>
            <w:vAlign w:val="bottom"/>
          </w:tcPr>
          <w:p>
            <w:pPr>
              <w:spacing w:after="0"/>
              <w:rPr>
                <w:sz w:val="7"/>
                <w:szCs w:val="7"/>
                <w:color w:val="auto"/>
              </w:rPr>
            </w:pPr>
          </w:p>
        </w:tc>
        <w:tc>
          <w:tcPr>
            <w:tcW w:w="640" w:type="dxa"/>
            <w:vAlign w:val="bottom"/>
          </w:tcPr>
          <w:p>
            <w:pPr>
              <w:jc w:val="center"/>
              <w:ind w:right="17"/>
              <w:spacing w:after="0" w:line="86" w:lineRule="exact"/>
              <w:rPr>
                <w:sz w:val="20"/>
                <w:szCs w:val="20"/>
                <w:color w:val="auto"/>
              </w:rPr>
            </w:pPr>
            <w:r>
              <w:rPr>
                <w:rFonts w:ascii="Arial" w:cs="Arial" w:eastAsia="Arial" w:hAnsi="Arial"/>
                <w:sz w:val="9"/>
                <w:szCs w:val="9"/>
                <w:b w:val="1"/>
                <w:bCs w:val="1"/>
                <w:color w:val="auto"/>
                <w:w w:val="93"/>
              </w:rPr>
              <w:t>Shares, Units</w:t>
            </w:r>
          </w:p>
        </w:tc>
        <w:tc>
          <w:tcPr>
            <w:tcW w:w="0" w:type="dxa"/>
            <w:vAlign w:val="bottom"/>
          </w:tcPr>
          <w:p>
            <w:pPr>
              <w:spacing w:after="0"/>
              <w:rPr>
                <w:sz w:val="1"/>
                <w:szCs w:val="1"/>
                <w:color w:val="auto"/>
              </w:rPr>
            </w:pPr>
          </w:p>
        </w:tc>
      </w:tr>
      <w:tr>
        <w:trPr>
          <w:trHeight w:val="96"/>
        </w:trPr>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jc w:val="center"/>
              <w:spacing w:after="0" w:line="96" w:lineRule="exact"/>
              <w:rPr>
                <w:sz w:val="20"/>
                <w:szCs w:val="20"/>
                <w:color w:val="auto"/>
              </w:rPr>
            </w:pPr>
            <w:r>
              <w:rPr>
                <w:rFonts w:ascii="Arial" w:cs="Arial" w:eastAsia="Arial" w:hAnsi="Arial"/>
                <w:sz w:val="9"/>
                <w:szCs w:val="9"/>
                <w:b w:val="1"/>
                <w:bCs w:val="1"/>
                <w:color w:val="auto"/>
                <w:w w:val="93"/>
              </w:rPr>
              <w:t>Underlying</w:t>
            </w:r>
          </w:p>
        </w:tc>
        <w:tc>
          <w:tcPr>
            <w:tcW w:w="40" w:type="dxa"/>
            <w:vAlign w:val="bottom"/>
          </w:tcPr>
          <w:p>
            <w:pPr>
              <w:spacing w:after="0"/>
              <w:rPr>
                <w:sz w:val="8"/>
                <w:szCs w:val="8"/>
                <w:color w:val="auto"/>
              </w:rPr>
            </w:pPr>
          </w:p>
        </w:tc>
        <w:tc>
          <w:tcPr>
            <w:tcW w:w="680" w:type="dxa"/>
            <w:vAlign w:val="bottom"/>
          </w:tcPr>
          <w:p>
            <w:pPr>
              <w:jc w:val="center"/>
              <w:spacing w:after="0" w:line="96" w:lineRule="exact"/>
              <w:rPr>
                <w:sz w:val="20"/>
                <w:szCs w:val="20"/>
                <w:color w:val="auto"/>
              </w:rPr>
            </w:pPr>
            <w:r>
              <w:rPr>
                <w:rFonts w:ascii="Arial" w:cs="Arial" w:eastAsia="Arial" w:hAnsi="Arial"/>
                <w:sz w:val="9"/>
                <w:szCs w:val="9"/>
                <w:b w:val="1"/>
                <w:bCs w:val="1"/>
                <w:color w:val="auto"/>
                <w:w w:val="93"/>
              </w:rPr>
              <w:t>Underlying</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jc w:val="center"/>
              <w:spacing w:after="0" w:line="96" w:lineRule="exact"/>
              <w:rPr>
                <w:sz w:val="20"/>
                <w:szCs w:val="20"/>
                <w:color w:val="auto"/>
              </w:rPr>
            </w:pPr>
            <w:r>
              <w:rPr>
                <w:rFonts w:ascii="Arial" w:cs="Arial" w:eastAsia="Arial" w:hAnsi="Arial"/>
                <w:sz w:val="9"/>
                <w:szCs w:val="9"/>
                <w:b w:val="1"/>
                <w:bCs w:val="1"/>
                <w:color w:val="auto"/>
                <w:w w:val="95"/>
              </w:rPr>
              <w:t>or Other</w:t>
            </w:r>
          </w:p>
        </w:tc>
        <w:tc>
          <w:tcPr>
            <w:tcW w:w="40" w:type="dxa"/>
            <w:vAlign w:val="bottom"/>
          </w:tcPr>
          <w:p>
            <w:pPr>
              <w:spacing w:after="0"/>
              <w:rPr>
                <w:sz w:val="8"/>
                <w:szCs w:val="8"/>
                <w:color w:val="auto"/>
              </w:rPr>
            </w:pPr>
          </w:p>
        </w:tc>
        <w:tc>
          <w:tcPr>
            <w:tcW w:w="640" w:type="dxa"/>
            <w:vAlign w:val="bottom"/>
          </w:tcPr>
          <w:p>
            <w:pPr>
              <w:jc w:val="center"/>
              <w:spacing w:after="0" w:line="96" w:lineRule="exact"/>
              <w:rPr>
                <w:sz w:val="20"/>
                <w:szCs w:val="20"/>
                <w:color w:val="auto"/>
              </w:rPr>
            </w:pPr>
            <w:r>
              <w:rPr>
                <w:rFonts w:ascii="Arial" w:cs="Arial" w:eastAsia="Arial" w:hAnsi="Arial"/>
                <w:sz w:val="9"/>
                <w:szCs w:val="9"/>
                <w:b w:val="1"/>
                <w:bCs w:val="1"/>
                <w:color w:val="auto"/>
                <w:w w:val="95"/>
              </w:rPr>
              <w:t>or Other</w:t>
            </w:r>
          </w:p>
        </w:tc>
        <w:tc>
          <w:tcPr>
            <w:tcW w:w="0" w:type="dxa"/>
            <w:vAlign w:val="bottom"/>
          </w:tcPr>
          <w:p>
            <w:pPr>
              <w:spacing w:after="0"/>
              <w:rPr>
                <w:sz w:val="1"/>
                <w:szCs w:val="1"/>
                <w:color w:val="auto"/>
              </w:rPr>
            </w:pPr>
          </w:p>
        </w:tc>
      </w:tr>
      <w:tr>
        <w:trPr>
          <w:trHeight w:val="86"/>
        </w:trPr>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8"/>
              </w:rPr>
              <w:t>Vesting</w:t>
            </w: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3"/>
              </w:rPr>
              <w:t>Unexercised</w:t>
            </w:r>
          </w:p>
        </w:tc>
        <w:tc>
          <w:tcPr>
            <w:tcW w:w="40" w:type="dxa"/>
            <w:vAlign w:val="bottom"/>
          </w:tcPr>
          <w:p>
            <w:pPr>
              <w:spacing w:after="0"/>
              <w:rPr>
                <w:sz w:val="7"/>
                <w:szCs w:val="7"/>
                <w:color w:val="auto"/>
              </w:rPr>
            </w:pPr>
          </w:p>
        </w:tc>
        <w:tc>
          <w:tcPr>
            <w:tcW w:w="68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3"/>
              </w:rPr>
              <w:t>Unexercised</w:t>
            </w:r>
          </w:p>
        </w:tc>
        <w:tc>
          <w:tcPr>
            <w:tcW w:w="40" w:type="dxa"/>
            <w:vAlign w:val="bottom"/>
          </w:tcPr>
          <w:p>
            <w:pPr>
              <w:spacing w:after="0"/>
              <w:rPr>
                <w:sz w:val="7"/>
                <w:szCs w:val="7"/>
                <w:color w:val="auto"/>
              </w:rPr>
            </w:pPr>
          </w:p>
        </w:tc>
        <w:tc>
          <w:tcPr>
            <w:tcW w:w="52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6"/>
              </w:rPr>
              <w:t>Option</w:t>
            </w:r>
          </w:p>
        </w:tc>
        <w:tc>
          <w:tcPr>
            <w:tcW w:w="20" w:type="dxa"/>
            <w:vAlign w:val="bottom"/>
          </w:tcPr>
          <w:p>
            <w:pPr>
              <w:spacing w:after="0"/>
              <w:rPr>
                <w:sz w:val="7"/>
                <w:szCs w:val="7"/>
                <w:color w:val="auto"/>
              </w:rPr>
            </w:pPr>
          </w:p>
        </w:tc>
        <w:tc>
          <w:tcPr>
            <w:tcW w:w="56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89"/>
              </w:rPr>
              <w:t>Option</w:t>
            </w:r>
          </w:p>
        </w:tc>
        <w:tc>
          <w:tcPr>
            <w:tcW w:w="4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6"/>
              </w:rPr>
              <w:t>Rights That</w:t>
            </w:r>
          </w:p>
        </w:tc>
        <w:tc>
          <w:tcPr>
            <w:tcW w:w="4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6"/>
              </w:rPr>
              <w:t>Rights That</w:t>
            </w:r>
          </w:p>
        </w:tc>
        <w:tc>
          <w:tcPr>
            <w:tcW w:w="0" w:type="dxa"/>
            <w:vAlign w:val="bottom"/>
          </w:tcPr>
          <w:p>
            <w:pPr>
              <w:spacing w:after="0"/>
              <w:rPr>
                <w:sz w:val="1"/>
                <w:szCs w:val="1"/>
                <w:color w:val="auto"/>
              </w:rPr>
            </w:pPr>
          </w:p>
        </w:tc>
      </w:tr>
      <w:tr>
        <w:trPr>
          <w:trHeight w:val="86"/>
        </w:trPr>
        <w:tc>
          <w:tcPr>
            <w:tcW w:w="660" w:type="dxa"/>
            <w:vAlign w:val="bottom"/>
            <w:vMerge w:val="restart"/>
          </w:tcPr>
          <w:p>
            <w:pPr>
              <w:ind w:left="40"/>
              <w:spacing w:after="0"/>
              <w:rPr>
                <w:sz w:val="20"/>
                <w:szCs w:val="20"/>
                <w:color w:val="auto"/>
              </w:rPr>
            </w:pPr>
            <w:r>
              <w:rPr>
                <w:rFonts w:ascii="Arial" w:cs="Arial" w:eastAsia="Arial" w:hAnsi="Arial"/>
                <w:sz w:val="9"/>
                <w:szCs w:val="9"/>
                <w:b w:val="1"/>
                <w:bCs w:val="1"/>
                <w:color w:val="auto"/>
              </w:rPr>
              <w:t>Name</w:t>
            </w:r>
          </w:p>
        </w:tc>
        <w:tc>
          <w:tcPr>
            <w:tcW w:w="40" w:type="dxa"/>
            <w:vAlign w:val="bottom"/>
          </w:tcPr>
          <w:p>
            <w:pPr>
              <w:spacing w:after="0"/>
              <w:rPr>
                <w:sz w:val="7"/>
                <w:szCs w:val="7"/>
                <w:color w:val="auto"/>
              </w:rPr>
            </w:pPr>
          </w:p>
        </w:tc>
        <w:tc>
          <w:tcPr>
            <w:tcW w:w="780" w:type="dxa"/>
            <w:vAlign w:val="bottom"/>
          </w:tcPr>
          <w:p>
            <w:pPr>
              <w:jc w:val="center"/>
              <w:ind w:right="17"/>
              <w:spacing w:after="0" w:line="86" w:lineRule="exact"/>
              <w:rPr>
                <w:sz w:val="20"/>
                <w:szCs w:val="20"/>
                <w:color w:val="auto"/>
              </w:rPr>
            </w:pPr>
            <w:r>
              <w:rPr>
                <w:rFonts w:ascii="Arial" w:cs="Arial" w:eastAsia="Arial" w:hAnsi="Arial"/>
                <w:sz w:val="9"/>
                <w:szCs w:val="9"/>
                <w:b w:val="1"/>
                <w:bCs w:val="1"/>
                <w:color w:val="auto"/>
                <w:w w:val="97"/>
              </w:rPr>
              <w:t>Commencement</w:t>
            </w:r>
          </w:p>
        </w:tc>
        <w:tc>
          <w:tcPr>
            <w:tcW w:w="4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9"/>
                <w:szCs w:val="9"/>
                <w:b w:val="1"/>
                <w:bCs w:val="1"/>
                <w:color w:val="auto"/>
              </w:rPr>
              <w:t>Grant Date</w:t>
            </w:r>
          </w:p>
        </w:tc>
        <w:tc>
          <w:tcPr>
            <w:tcW w:w="4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6"/>
              </w:rPr>
              <w:t>Options (#)</w:t>
            </w:r>
          </w:p>
        </w:tc>
        <w:tc>
          <w:tcPr>
            <w:tcW w:w="40" w:type="dxa"/>
            <w:vAlign w:val="bottom"/>
          </w:tcPr>
          <w:p>
            <w:pPr>
              <w:spacing w:after="0"/>
              <w:rPr>
                <w:sz w:val="7"/>
                <w:szCs w:val="7"/>
                <w:color w:val="auto"/>
              </w:rPr>
            </w:pPr>
          </w:p>
        </w:tc>
        <w:tc>
          <w:tcPr>
            <w:tcW w:w="68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6"/>
              </w:rPr>
              <w:t>Options (#)</w:t>
            </w:r>
          </w:p>
        </w:tc>
        <w:tc>
          <w:tcPr>
            <w:tcW w:w="40" w:type="dxa"/>
            <w:vAlign w:val="bottom"/>
          </w:tcPr>
          <w:p>
            <w:pPr>
              <w:spacing w:after="0"/>
              <w:rPr>
                <w:sz w:val="7"/>
                <w:szCs w:val="7"/>
                <w:color w:val="auto"/>
              </w:rPr>
            </w:pPr>
          </w:p>
        </w:tc>
        <w:tc>
          <w:tcPr>
            <w:tcW w:w="52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1"/>
              </w:rPr>
              <w:t>Exercise</w:t>
            </w:r>
          </w:p>
        </w:tc>
        <w:tc>
          <w:tcPr>
            <w:tcW w:w="20" w:type="dxa"/>
            <w:vAlign w:val="bottom"/>
          </w:tcPr>
          <w:p>
            <w:pPr>
              <w:spacing w:after="0"/>
              <w:rPr>
                <w:sz w:val="7"/>
                <w:szCs w:val="7"/>
                <w:color w:val="auto"/>
              </w:rPr>
            </w:pPr>
          </w:p>
        </w:tc>
        <w:tc>
          <w:tcPr>
            <w:tcW w:w="56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5"/>
              </w:rPr>
              <w:t>Expiration</w:t>
            </w:r>
          </w:p>
        </w:tc>
        <w:tc>
          <w:tcPr>
            <w:tcW w:w="4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2"/>
              </w:rPr>
              <w:t>Have Not</w:t>
            </w:r>
          </w:p>
        </w:tc>
        <w:tc>
          <w:tcPr>
            <w:tcW w:w="4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2"/>
              </w:rPr>
              <w:t>Have Not</w:t>
            </w:r>
          </w:p>
        </w:tc>
        <w:tc>
          <w:tcPr>
            <w:tcW w:w="0" w:type="dxa"/>
            <w:vAlign w:val="bottom"/>
          </w:tcPr>
          <w:p>
            <w:pPr>
              <w:spacing w:after="0"/>
              <w:rPr>
                <w:sz w:val="1"/>
                <w:szCs w:val="1"/>
                <w:color w:val="auto"/>
              </w:rPr>
            </w:pPr>
          </w:p>
        </w:tc>
      </w:tr>
      <w:tr>
        <w:trPr>
          <w:trHeight w:val="134"/>
        </w:trPr>
        <w:tc>
          <w:tcPr>
            <w:tcW w:w="66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Date</w:t>
            </w:r>
          </w:p>
        </w:tc>
        <w:tc>
          <w:tcPr>
            <w:tcW w:w="4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Exercisable</w:t>
            </w:r>
          </w:p>
        </w:tc>
        <w:tc>
          <w:tcPr>
            <w:tcW w:w="4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4"/>
              </w:rPr>
              <w:t>Unexercisable</w:t>
            </w:r>
          </w:p>
        </w:tc>
        <w:tc>
          <w:tcPr>
            <w:tcW w:w="4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5"/>
              </w:rPr>
              <w:t xml:space="preserve">Price($) </w:t>
            </w:r>
            <w:r>
              <w:rPr>
                <w:rFonts w:ascii="Arial" w:cs="Arial" w:eastAsia="Arial" w:hAnsi="Arial"/>
                <w:sz w:val="11"/>
                <w:szCs w:val="11"/>
                <w:b w:val="1"/>
                <w:bCs w:val="1"/>
                <w:color w:val="auto"/>
                <w:w w:val="85"/>
                <w:vertAlign w:val="superscript"/>
              </w:rPr>
              <w:t>(2)</w:t>
            </w:r>
          </w:p>
        </w:tc>
        <w:tc>
          <w:tcPr>
            <w:tcW w:w="2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Date</w:t>
            </w:r>
          </w:p>
        </w:tc>
        <w:tc>
          <w:tcPr>
            <w:tcW w:w="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Vested (#)</w:t>
            </w:r>
          </w:p>
        </w:tc>
        <w:tc>
          <w:tcPr>
            <w:tcW w:w="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 xml:space="preserve">Vested ($) </w:t>
            </w:r>
            <w:r>
              <w:rPr>
                <w:rFonts w:ascii="Arial" w:cs="Arial" w:eastAsia="Arial" w:hAnsi="Arial"/>
                <w:sz w:val="11"/>
                <w:szCs w:val="11"/>
                <w:b w:val="1"/>
                <w:bCs w:val="1"/>
                <w:color w:val="auto"/>
                <w:w w:val="91"/>
                <w:vertAlign w:val="superscript"/>
              </w:rPr>
              <w:t>(3)</w:t>
            </w:r>
          </w:p>
        </w:tc>
        <w:tc>
          <w:tcPr>
            <w:tcW w:w="0" w:type="dxa"/>
            <w:vAlign w:val="bottom"/>
          </w:tcPr>
          <w:p>
            <w:pPr>
              <w:spacing w:after="0"/>
              <w:rPr>
                <w:sz w:val="1"/>
                <w:szCs w:val="1"/>
                <w:color w:val="auto"/>
              </w:rPr>
            </w:pPr>
          </w:p>
        </w:tc>
      </w:tr>
      <w:tr>
        <w:trPr>
          <w:trHeight w:val="124"/>
        </w:trPr>
        <w:tc>
          <w:tcPr>
            <w:tcW w:w="660" w:type="dxa"/>
            <w:vAlign w:val="bottom"/>
            <w:shd w:val="clear" w:color="auto" w:fill="CCEEFF"/>
          </w:tcPr>
          <w:p>
            <w:pPr>
              <w:ind w:left="40"/>
              <w:spacing w:after="0"/>
              <w:rPr>
                <w:sz w:val="20"/>
                <w:szCs w:val="20"/>
                <w:color w:val="auto"/>
              </w:rPr>
            </w:pPr>
            <w:r>
              <w:rPr>
                <w:rFonts w:ascii="Arial" w:cs="Arial" w:eastAsia="Arial" w:hAnsi="Arial"/>
                <w:sz w:val="9"/>
                <w:szCs w:val="9"/>
                <w:color w:val="auto"/>
                <w:w w:val="98"/>
              </w:rPr>
              <w:t xml:space="preserve">Ariel Cohen </w:t>
            </w:r>
            <w:r>
              <w:rPr>
                <w:rFonts w:ascii="Times New Roman" w:cs="Times New Roman" w:eastAsia="Times New Roman" w:hAnsi="Times New Roman"/>
                <w:sz w:val="9"/>
                <w:szCs w:val="9"/>
                <w:color w:val="B4B4B4"/>
                <w:w w:val="98"/>
              </w:rPr>
              <w:t>.....</w:t>
            </w: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ind w:left="20"/>
              <w:spacing w:after="0" w:line="124" w:lineRule="exact"/>
              <w:rPr>
                <w:sz w:val="20"/>
                <w:szCs w:val="20"/>
                <w:color w:val="auto"/>
              </w:rPr>
            </w:pPr>
            <w:r>
              <w:rPr>
                <w:rFonts w:ascii="Arial" w:cs="Arial" w:eastAsia="Arial" w:hAnsi="Arial"/>
                <w:sz w:val="9"/>
                <w:szCs w:val="9"/>
                <w:color w:val="auto"/>
              </w:rPr>
              <w:t xml:space="preserve">02/01/2021 </w:t>
            </w:r>
            <w:r>
              <w:rPr>
                <w:rFonts w:ascii="Arial" w:cs="Arial" w:eastAsia="Arial" w:hAnsi="Arial"/>
                <w:sz w:val="11"/>
                <w:szCs w:val="11"/>
                <w:color w:val="auto"/>
                <w:vertAlign w:val="superscript"/>
              </w:rPr>
              <w:t>(4)(5)</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03/18/2021</w:t>
            </w:r>
          </w:p>
        </w:tc>
        <w:tc>
          <w:tcPr>
            <w:tcW w:w="68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rPr>
              <w:t>1,594,752</w:t>
            </w: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rPr>
              <w:t>10.05</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9"/>
                <w:szCs w:val="9"/>
                <w:color w:val="auto"/>
                <w:w w:val="93"/>
              </w:rPr>
              <w:t>03/17/2031</w:t>
            </w: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4"/>
        </w:trPr>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9"/>
                <w:szCs w:val="9"/>
                <w:color w:val="auto"/>
              </w:rPr>
              <w:t xml:space="preserve">02/01/2023 </w:t>
            </w:r>
            <w:r>
              <w:rPr>
                <w:rFonts w:ascii="Arial" w:cs="Arial" w:eastAsia="Arial" w:hAnsi="Arial"/>
                <w:sz w:val="11"/>
                <w:szCs w:val="11"/>
                <w:color w:val="auto"/>
                <w:vertAlign w:val="superscript"/>
              </w:rPr>
              <w:t>(4)(6)</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4/14/2022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665,789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997,873</w:t>
            </w:r>
          </w:p>
        </w:tc>
        <w:tc>
          <w:tcPr>
            <w:tcW w:w="56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rPr>
              <w:t>16.26</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9"/>
                <w:szCs w:val="9"/>
                <w:color w:val="auto"/>
                <w:w w:val="93"/>
              </w:rPr>
              <w:t>04/13/2032</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4"/>
        </w:trPr>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9"/>
                <w:szCs w:val="9"/>
                <w:color w:val="auto"/>
                <w:w w:val="99"/>
              </w:rPr>
              <w:t xml:space="preserve">02/01/2023 </w:t>
            </w:r>
            <w:r>
              <w:rPr>
                <w:rFonts w:ascii="Arial" w:cs="Arial" w:eastAsia="Arial" w:hAnsi="Arial"/>
                <w:sz w:val="11"/>
                <w:szCs w:val="11"/>
                <w:color w:val="auto"/>
                <w:w w:val="99"/>
                <w:vertAlign w:val="superscript"/>
              </w:rPr>
              <w:t>(4)(6)(7)</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04/13/2023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210,960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316,184</w:t>
            </w:r>
          </w:p>
        </w:tc>
        <w:tc>
          <w:tcPr>
            <w:tcW w:w="56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rPr>
              <w:t>16.26</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9"/>
                <w:szCs w:val="9"/>
                <w:color w:val="auto"/>
                <w:w w:val="93"/>
              </w:rPr>
              <w:t>04/12/2033</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4"/>
        </w:trPr>
        <w:tc>
          <w:tcPr>
            <w:tcW w:w="660" w:type="dxa"/>
            <w:vAlign w:val="bottom"/>
          </w:tcPr>
          <w:p>
            <w:pPr>
              <w:ind w:left="40"/>
              <w:spacing w:after="0"/>
              <w:rPr>
                <w:sz w:val="20"/>
                <w:szCs w:val="20"/>
                <w:color w:val="auto"/>
              </w:rPr>
            </w:pPr>
            <w:r>
              <w:rPr>
                <w:rFonts w:ascii="Arial" w:cs="Arial" w:eastAsia="Arial" w:hAnsi="Arial"/>
                <w:sz w:val="9"/>
                <w:szCs w:val="9"/>
                <w:color w:val="auto"/>
                <w:w w:val="98"/>
              </w:rPr>
              <w:t xml:space="preserve">Ilan Twig </w:t>
            </w:r>
            <w:r>
              <w:rPr>
                <w:rFonts w:ascii="Times New Roman" w:cs="Times New Roman" w:eastAsia="Times New Roman" w:hAnsi="Times New Roman"/>
                <w:sz w:val="9"/>
                <w:szCs w:val="9"/>
                <w:color w:val="B4B4B4"/>
                <w:w w:val="98"/>
              </w:rPr>
              <w:t>..........</w:t>
            </w:r>
          </w:p>
        </w:tc>
        <w:tc>
          <w:tcPr>
            <w:tcW w:w="820" w:type="dxa"/>
            <w:vAlign w:val="bottom"/>
            <w:gridSpan w:val="2"/>
          </w:tcPr>
          <w:p>
            <w:pPr>
              <w:ind w:left="60"/>
              <w:spacing w:after="0"/>
              <w:rPr>
                <w:sz w:val="20"/>
                <w:szCs w:val="20"/>
                <w:color w:val="auto"/>
              </w:rPr>
            </w:pPr>
            <w:r>
              <w:rPr>
                <w:rFonts w:ascii="Arial" w:cs="Arial" w:eastAsia="Arial" w:hAnsi="Arial"/>
                <w:sz w:val="9"/>
                <w:szCs w:val="9"/>
                <w:color w:val="auto"/>
              </w:rPr>
              <w:t xml:space="preserve">02/01/2021 </w:t>
            </w:r>
            <w:r>
              <w:rPr>
                <w:rFonts w:ascii="Arial" w:cs="Arial" w:eastAsia="Arial" w:hAnsi="Arial"/>
                <w:sz w:val="11"/>
                <w:szCs w:val="11"/>
                <w:color w:val="auto"/>
                <w:vertAlign w:val="superscript"/>
              </w:rPr>
              <w:t>(5)</w:t>
            </w:r>
          </w:p>
        </w:tc>
        <w:tc>
          <w:tcPr>
            <w:tcW w:w="600" w:type="dxa"/>
            <w:vAlign w:val="bottom"/>
            <w:gridSpan w:val="2"/>
          </w:tcPr>
          <w:p>
            <w:pPr>
              <w:ind w:left="60"/>
              <w:spacing w:after="0"/>
              <w:rPr>
                <w:sz w:val="20"/>
                <w:szCs w:val="20"/>
                <w:color w:val="auto"/>
              </w:rPr>
            </w:pPr>
            <w:r>
              <w:rPr>
                <w:rFonts w:ascii="Arial" w:cs="Arial" w:eastAsia="Arial" w:hAnsi="Arial"/>
                <w:sz w:val="9"/>
                <w:szCs w:val="9"/>
                <w:color w:val="auto"/>
              </w:rPr>
              <w:t>03/18/2021</w:t>
            </w:r>
          </w:p>
        </w:tc>
        <w:tc>
          <w:tcPr>
            <w:tcW w:w="680" w:type="dxa"/>
            <w:vAlign w:val="bottom"/>
            <w:gridSpan w:val="2"/>
          </w:tcPr>
          <w:p>
            <w:pPr>
              <w:jc w:val="right"/>
              <w:ind w:right="17"/>
              <w:spacing w:after="0"/>
              <w:rPr>
                <w:sz w:val="20"/>
                <w:szCs w:val="20"/>
                <w:color w:val="auto"/>
              </w:rPr>
            </w:pPr>
            <w:r>
              <w:rPr>
                <w:rFonts w:ascii="Arial" w:cs="Arial" w:eastAsia="Arial" w:hAnsi="Arial"/>
                <w:sz w:val="9"/>
                <w:szCs w:val="9"/>
                <w:color w:val="auto"/>
              </w:rPr>
              <w:t>2,072,340</w:t>
            </w: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7"/>
              <w:spacing w:after="0"/>
              <w:rPr>
                <w:sz w:val="20"/>
                <w:szCs w:val="20"/>
                <w:color w:val="auto"/>
              </w:rPr>
            </w:pPr>
            <w:r>
              <w:rPr>
                <w:rFonts w:ascii="Arial" w:cs="Arial" w:eastAsia="Arial" w:hAnsi="Arial"/>
                <w:sz w:val="9"/>
                <w:szCs w:val="9"/>
                <w:color w:val="auto"/>
              </w:rPr>
              <w:t>10.05</w:t>
            </w:r>
          </w:p>
        </w:tc>
        <w:tc>
          <w:tcPr>
            <w:tcW w:w="580" w:type="dxa"/>
            <w:vAlign w:val="bottom"/>
            <w:gridSpan w:val="2"/>
          </w:tcPr>
          <w:p>
            <w:pPr>
              <w:jc w:val="center"/>
              <w:spacing w:after="0"/>
              <w:rPr>
                <w:sz w:val="20"/>
                <w:szCs w:val="20"/>
                <w:color w:val="auto"/>
              </w:rPr>
            </w:pPr>
            <w:r>
              <w:rPr>
                <w:rFonts w:ascii="Arial" w:cs="Arial" w:eastAsia="Arial" w:hAnsi="Arial"/>
                <w:sz w:val="9"/>
                <w:szCs w:val="9"/>
                <w:color w:val="auto"/>
                <w:w w:val="93"/>
              </w:rPr>
              <w:t>03/17/2031</w:t>
            </w:r>
          </w:p>
        </w:tc>
        <w:tc>
          <w:tcPr>
            <w:tcW w:w="40" w:type="dxa"/>
            <w:vAlign w:val="bottom"/>
          </w:tcPr>
          <w:p>
            <w:pPr>
              <w:spacing w:after="0"/>
              <w:rPr>
                <w:sz w:val="12"/>
                <w:szCs w:val="12"/>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2"/>
                <w:szCs w:val="12"/>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Arial" w:cs="Arial" w:eastAsia="Arial" w:hAnsi="Arial"/>
                <w:sz w:val="9"/>
                <w:szCs w:val="9"/>
                <w:color w:val="auto"/>
              </w:rPr>
              <w:t xml:space="preserve">02/01/2023 </w:t>
            </w:r>
            <w:r>
              <w:rPr>
                <w:rFonts w:ascii="Arial" w:cs="Arial" w:eastAsia="Arial" w:hAnsi="Arial"/>
                <w:sz w:val="11"/>
                <w:szCs w:val="11"/>
                <w:color w:val="auto"/>
                <w:vertAlign w:val="superscript"/>
              </w:rPr>
              <w:t>(6)(7)</w:t>
            </w:r>
          </w:p>
        </w:tc>
        <w:tc>
          <w:tcPr>
            <w:tcW w:w="600" w:type="dxa"/>
            <w:vAlign w:val="bottom"/>
            <w:gridSpan w:val="2"/>
          </w:tcPr>
          <w:p>
            <w:pPr>
              <w:ind w:left="60"/>
              <w:spacing w:after="0"/>
              <w:rPr>
                <w:sz w:val="20"/>
                <w:szCs w:val="20"/>
                <w:color w:val="auto"/>
              </w:rPr>
            </w:pPr>
            <w:r>
              <w:rPr>
                <w:rFonts w:ascii="Arial" w:cs="Arial" w:eastAsia="Arial" w:hAnsi="Arial"/>
                <w:sz w:val="9"/>
                <w:szCs w:val="9"/>
                <w:color w:val="auto"/>
              </w:rPr>
              <w:t>01/17/2023</w:t>
            </w:r>
          </w:p>
        </w:tc>
        <w:tc>
          <w:tcPr>
            <w:tcW w:w="680" w:type="dxa"/>
            <w:vAlign w:val="bottom"/>
            <w:gridSpan w:val="2"/>
          </w:tcPr>
          <w:p>
            <w:pPr>
              <w:jc w:val="right"/>
              <w:spacing w:after="0"/>
              <w:rPr>
                <w:sz w:val="20"/>
                <w:szCs w:val="20"/>
                <w:color w:val="auto"/>
              </w:rPr>
            </w:pPr>
            <w:r>
              <w:rPr>
                <w:rFonts w:ascii="Arial" w:cs="Arial" w:eastAsia="Arial" w:hAnsi="Arial"/>
                <w:sz w:val="9"/>
                <w:szCs w:val="9"/>
                <w:color w:val="auto"/>
              </w:rPr>
              <w:t>319,444</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347,222</w:t>
            </w:r>
          </w:p>
        </w:tc>
        <w:tc>
          <w:tcPr>
            <w:tcW w:w="560" w:type="dxa"/>
            <w:vAlign w:val="bottom"/>
            <w:gridSpan w:val="2"/>
          </w:tcPr>
          <w:p>
            <w:pPr>
              <w:jc w:val="right"/>
              <w:ind w:right="17"/>
              <w:spacing w:after="0"/>
              <w:rPr>
                <w:sz w:val="20"/>
                <w:szCs w:val="20"/>
                <w:color w:val="auto"/>
              </w:rPr>
            </w:pPr>
            <w:r>
              <w:rPr>
                <w:rFonts w:ascii="Arial" w:cs="Arial" w:eastAsia="Arial" w:hAnsi="Arial"/>
                <w:sz w:val="9"/>
                <w:szCs w:val="9"/>
                <w:color w:val="auto"/>
              </w:rPr>
              <w:t>16.26</w:t>
            </w:r>
          </w:p>
        </w:tc>
        <w:tc>
          <w:tcPr>
            <w:tcW w:w="580" w:type="dxa"/>
            <w:vAlign w:val="bottom"/>
            <w:gridSpan w:val="2"/>
          </w:tcPr>
          <w:p>
            <w:pPr>
              <w:jc w:val="center"/>
              <w:spacing w:after="0"/>
              <w:rPr>
                <w:sz w:val="20"/>
                <w:szCs w:val="20"/>
                <w:color w:val="auto"/>
              </w:rPr>
            </w:pPr>
            <w:r>
              <w:rPr>
                <w:rFonts w:ascii="Arial" w:cs="Arial" w:eastAsia="Arial" w:hAnsi="Arial"/>
                <w:sz w:val="9"/>
                <w:szCs w:val="9"/>
                <w:color w:val="auto"/>
                <w:w w:val="93"/>
              </w:rPr>
              <w:t>01/16/2033</w:t>
            </w:r>
          </w:p>
        </w:tc>
        <w:tc>
          <w:tcPr>
            <w:tcW w:w="40" w:type="dxa"/>
            <w:vAlign w:val="bottom"/>
          </w:tcPr>
          <w:p>
            <w:pPr>
              <w:spacing w:after="0"/>
              <w:rPr>
                <w:sz w:val="12"/>
                <w:szCs w:val="12"/>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2"/>
                <w:szCs w:val="12"/>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ind w:left="20"/>
              <w:spacing w:after="0"/>
              <w:rPr>
                <w:sz w:val="20"/>
                <w:szCs w:val="20"/>
                <w:color w:val="auto"/>
              </w:rPr>
            </w:pPr>
            <w:r>
              <w:rPr>
                <w:rFonts w:ascii="Arial" w:cs="Arial" w:eastAsia="Arial" w:hAnsi="Arial"/>
                <w:sz w:val="9"/>
                <w:szCs w:val="9"/>
                <w:color w:val="auto"/>
              </w:rPr>
              <w:t xml:space="preserve">02/01/2023 </w:t>
            </w:r>
            <w:r>
              <w:rPr>
                <w:rFonts w:ascii="Arial" w:cs="Arial" w:eastAsia="Arial" w:hAnsi="Arial"/>
                <w:sz w:val="11"/>
                <w:szCs w:val="11"/>
                <w:color w:val="auto"/>
                <w:vertAlign w:val="superscript"/>
              </w:rPr>
              <w:t>(6)(7)</w:t>
            </w:r>
          </w:p>
        </w:tc>
        <w:tc>
          <w:tcPr>
            <w:tcW w:w="600" w:type="dxa"/>
            <w:vAlign w:val="bottom"/>
            <w:gridSpan w:val="2"/>
          </w:tcPr>
          <w:p>
            <w:pPr>
              <w:ind w:left="60"/>
              <w:spacing w:after="0"/>
              <w:rPr>
                <w:sz w:val="20"/>
                <w:szCs w:val="20"/>
                <w:color w:val="auto"/>
              </w:rPr>
            </w:pPr>
            <w:r>
              <w:rPr>
                <w:rFonts w:ascii="Arial" w:cs="Arial" w:eastAsia="Arial" w:hAnsi="Arial"/>
                <w:sz w:val="9"/>
                <w:szCs w:val="9"/>
                <w:color w:val="auto"/>
              </w:rPr>
              <w:t>04/13/2023</w:t>
            </w:r>
          </w:p>
        </w:tc>
        <w:tc>
          <w:tcPr>
            <w:tcW w:w="680" w:type="dxa"/>
            <w:vAlign w:val="bottom"/>
            <w:gridSpan w:val="2"/>
          </w:tcPr>
          <w:p>
            <w:pPr>
              <w:jc w:val="right"/>
              <w:spacing w:after="0"/>
              <w:rPr>
                <w:sz w:val="20"/>
                <w:szCs w:val="20"/>
                <w:color w:val="auto"/>
              </w:rPr>
            </w:pPr>
            <w:r>
              <w:rPr>
                <w:rFonts w:ascii="Arial" w:cs="Arial" w:eastAsia="Arial" w:hAnsi="Arial"/>
                <w:sz w:val="9"/>
                <w:szCs w:val="9"/>
                <w:color w:val="auto"/>
              </w:rPr>
              <w:t>96,242</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104,611</w:t>
            </w:r>
          </w:p>
        </w:tc>
        <w:tc>
          <w:tcPr>
            <w:tcW w:w="560" w:type="dxa"/>
            <w:vAlign w:val="bottom"/>
            <w:gridSpan w:val="2"/>
          </w:tcPr>
          <w:p>
            <w:pPr>
              <w:jc w:val="right"/>
              <w:ind w:right="17"/>
              <w:spacing w:after="0"/>
              <w:rPr>
                <w:sz w:val="20"/>
                <w:szCs w:val="20"/>
                <w:color w:val="auto"/>
              </w:rPr>
            </w:pPr>
            <w:r>
              <w:rPr>
                <w:rFonts w:ascii="Arial" w:cs="Arial" w:eastAsia="Arial" w:hAnsi="Arial"/>
                <w:sz w:val="9"/>
                <w:szCs w:val="9"/>
                <w:color w:val="auto"/>
              </w:rPr>
              <w:t>16.26</w:t>
            </w:r>
          </w:p>
        </w:tc>
        <w:tc>
          <w:tcPr>
            <w:tcW w:w="580" w:type="dxa"/>
            <w:vAlign w:val="bottom"/>
            <w:gridSpan w:val="2"/>
          </w:tcPr>
          <w:p>
            <w:pPr>
              <w:jc w:val="center"/>
              <w:spacing w:after="0"/>
              <w:rPr>
                <w:sz w:val="20"/>
                <w:szCs w:val="20"/>
                <w:color w:val="auto"/>
              </w:rPr>
            </w:pPr>
            <w:r>
              <w:rPr>
                <w:rFonts w:ascii="Arial" w:cs="Arial" w:eastAsia="Arial" w:hAnsi="Arial"/>
                <w:sz w:val="9"/>
                <w:szCs w:val="9"/>
                <w:color w:val="auto"/>
                <w:w w:val="93"/>
              </w:rPr>
              <w:t>04/12/2033</w:t>
            </w:r>
          </w:p>
        </w:tc>
        <w:tc>
          <w:tcPr>
            <w:tcW w:w="40" w:type="dxa"/>
            <w:vAlign w:val="bottom"/>
          </w:tcPr>
          <w:p>
            <w:pPr>
              <w:spacing w:after="0"/>
              <w:rPr>
                <w:sz w:val="12"/>
                <w:szCs w:val="12"/>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2"/>
                <w:szCs w:val="12"/>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5"/>
        </w:trPr>
        <w:tc>
          <w:tcPr>
            <w:tcW w:w="660" w:type="dxa"/>
            <w:vAlign w:val="bottom"/>
            <w:shd w:val="clear" w:color="auto" w:fill="CCEEFF"/>
          </w:tcPr>
          <w:p>
            <w:pPr>
              <w:ind w:left="40"/>
              <w:spacing w:after="0"/>
              <w:rPr>
                <w:sz w:val="20"/>
                <w:szCs w:val="20"/>
                <w:color w:val="auto"/>
              </w:rPr>
            </w:pPr>
            <w:r>
              <w:rPr>
                <w:rFonts w:ascii="Arial" w:cs="Arial" w:eastAsia="Arial" w:hAnsi="Arial"/>
                <w:sz w:val="9"/>
                <w:szCs w:val="9"/>
                <w:color w:val="auto"/>
              </w:rPr>
              <w:t>Michael</w:t>
            </w:r>
          </w:p>
        </w:tc>
        <w:tc>
          <w:tcPr>
            <w:tcW w:w="820" w:type="dxa"/>
            <w:vAlign w:val="bottom"/>
            <w:gridSpan w:val="2"/>
            <w:vMerge w:val="restart"/>
            <w:shd w:val="clear" w:color="auto" w:fill="CCEEFF"/>
          </w:tcPr>
          <w:p>
            <w:pPr>
              <w:ind w:left="60"/>
              <w:spacing w:after="0"/>
              <w:rPr>
                <w:sz w:val="20"/>
                <w:szCs w:val="20"/>
                <w:color w:val="auto"/>
              </w:rPr>
            </w:pPr>
            <w:r>
              <w:rPr>
                <w:rFonts w:ascii="Arial" w:cs="Arial" w:eastAsia="Arial" w:hAnsi="Arial"/>
                <w:sz w:val="9"/>
                <w:szCs w:val="9"/>
                <w:color w:val="auto"/>
              </w:rPr>
              <w:t xml:space="preserve">09/14/2018 </w:t>
            </w:r>
            <w:r>
              <w:rPr>
                <w:rFonts w:ascii="Arial" w:cs="Arial" w:eastAsia="Arial" w:hAnsi="Arial"/>
                <w:sz w:val="11"/>
                <w:szCs w:val="11"/>
                <w:color w:val="auto"/>
                <w:vertAlign w:val="superscript"/>
              </w:rPr>
              <w:t>(8)</w:t>
            </w: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660" w:type="dxa"/>
            <w:vAlign w:val="bottom"/>
            <w:shd w:val="clear" w:color="auto" w:fill="CCEEFF"/>
          </w:tcPr>
          <w:p>
            <w:pPr>
              <w:ind w:left="140"/>
              <w:spacing w:after="0"/>
              <w:rPr>
                <w:sz w:val="20"/>
                <w:szCs w:val="20"/>
                <w:color w:val="auto"/>
              </w:rPr>
            </w:pPr>
            <w:r>
              <w:rPr>
                <w:rFonts w:ascii="Arial" w:cs="Arial" w:eastAsia="Arial" w:hAnsi="Arial"/>
                <w:sz w:val="9"/>
                <w:szCs w:val="9"/>
                <w:color w:val="auto"/>
              </w:rPr>
              <w:t xml:space="preserve">Sindicich </w:t>
            </w:r>
            <w:r>
              <w:rPr>
                <w:rFonts w:ascii="Times New Roman" w:cs="Times New Roman" w:eastAsia="Times New Roman" w:hAnsi="Times New Roman"/>
                <w:sz w:val="9"/>
                <w:szCs w:val="9"/>
                <w:color w:val="B4B4B4"/>
              </w:rPr>
              <w:t>.....</w:t>
            </w:r>
          </w:p>
        </w:tc>
        <w:tc>
          <w:tcPr>
            <w:tcW w:w="820" w:type="dxa"/>
            <w:vAlign w:val="bottom"/>
            <w:gridSpan w:val="2"/>
            <w:vMerge w:val="continue"/>
            <w:shd w:val="clear" w:color="auto" w:fill="CCEEFF"/>
          </w:tcPr>
          <w:p>
            <w:pPr>
              <w:spacing w:after="0"/>
              <w:rPr>
                <w:sz w:val="11"/>
                <w:szCs w:val="11"/>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09/16/2018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49,758</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rPr>
              <w:t>0.6825</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9"/>
                <w:szCs w:val="9"/>
                <w:color w:val="auto"/>
                <w:w w:val="93"/>
              </w:rPr>
              <w:t>09/15/2028</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4"/>
        </w:trPr>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9"/>
                <w:szCs w:val="9"/>
                <w:color w:val="auto"/>
              </w:rPr>
              <w:t xml:space="preserve">04/01/2020 </w:t>
            </w:r>
            <w:r>
              <w:rPr>
                <w:rFonts w:ascii="Arial" w:cs="Arial" w:eastAsia="Arial" w:hAnsi="Arial"/>
                <w:sz w:val="11"/>
                <w:szCs w:val="11"/>
                <w:color w:val="auto"/>
                <w:vertAlign w:val="superscript"/>
              </w:rPr>
              <w:t>(9)</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05/30/2020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33,333</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rPr>
              <w:t>4.29</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9"/>
                <w:szCs w:val="9"/>
                <w:color w:val="auto"/>
                <w:w w:val="93"/>
              </w:rPr>
              <w:t>05/29/2030</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4"/>
        </w:trPr>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9"/>
                <w:szCs w:val="9"/>
                <w:color w:val="auto"/>
              </w:rPr>
              <w:t xml:space="preserve">02/06/2021 </w:t>
            </w:r>
            <w:r>
              <w:rPr>
                <w:rFonts w:ascii="Arial" w:cs="Arial" w:eastAsia="Arial" w:hAnsi="Arial"/>
                <w:sz w:val="11"/>
                <w:szCs w:val="11"/>
                <w:color w:val="auto"/>
                <w:vertAlign w:val="superscript"/>
              </w:rPr>
              <w:t>(10)</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03/18/2021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248,055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5,278</w:t>
            </w:r>
          </w:p>
        </w:tc>
        <w:tc>
          <w:tcPr>
            <w:tcW w:w="56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rPr>
              <w:t>10.05</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9"/>
                <w:szCs w:val="9"/>
                <w:color w:val="auto"/>
                <w:w w:val="93"/>
              </w:rPr>
              <w:t>03/17/2031</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4"/>
        </w:trPr>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9"/>
                <w:szCs w:val="9"/>
                <w:color w:val="auto"/>
              </w:rPr>
              <w:t xml:space="preserve">02/01/2022 </w:t>
            </w:r>
            <w:r>
              <w:rPr>
                <w:rFonts w:ascii="Arial" w:cs="Arial" w:eastAsia="Arial" w:hAnsi="Arial"/>
                <w:sz w:val="11"/>
                <w:szCs w:val="11"/>
                <w:color w:val="auto"/>
                <w:vertAlign w:val="superscript"/>
              </w:rPr>
              <w:t>(11)</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9"/>
                <w:szCs w:val="9"/>
                <w:color w:val="auto"/>
              </w:rPr>
              <w:t>04/14/2022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243,517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90,449</w:t>
            </w:r>
          </w:p>
        </w:tc>
        <w:tc>
          <w:tcPr>
            <w:tcW w:w="56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rPr>
              <w:t>16.26</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9"/>
                <w:szCs w:val="9"/>
                <w:color w:val="auto"/>
                <w:w w:val="93"/>
              </w:rPr>
              <w:t>04/13/2032</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4"/>
        </w:trPr>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9"/>
                <w:szCs w:val="9"/>
                <w:color w:val="auto"/>
              </w:rPr>
              <w:t xml:space="preserve">02/01/2023 </w:t>
            </w:r>
            <w:r>
              <w:rPr>
                <w:rFonts w:ascii="Arial" w:cs="Arial" w:eastAsia="Arial" w:hAnsi="Arial"/>
                <w:sz w:val="11"/>
                <w:szCs w:val="11"/>
                <w:color w:val="auto"/>
                <w:vertAlign w:val="superscript"/>
              </w:rPr>
              <w:t>(7)(11)</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9"/>
                <w:szCs w:val="9"/>
                <w:color w:val="auto"/>
              </w:rPr>
              <w:t>04/13/2023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79,861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86,805</w:t>
            </w:r>
          </w:p>
        </w:tc>
        <w:tc>
          <w:tcPr>
            <w:tcW w:w="56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rPr>
              <w:t>16.26</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9"/>
                <w:szCs w:val="9"/>
                <w:color w:val="auto"/>
                <w:w w:val="93"/>
              </w:rPr>
              <w:t>04/12/2033</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4"/>
        </w:trPr>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9"/>
                <w:szCs w:val="9"/>
                <w:color w:val="auto"/>
              </w:rPr>
              <w:t xml:space="preserve">12/01/2023 </w:t>
            </w:r>
            <w:r>
              <w:rPr>
                <w:rFonts w:ascii="Arial" w:cs="Arial" w:eastAsia="Arial" w:hAnsi="Arial"/>
                <w:sz w:val="11"/>
                <w:szCs w:val="11"/>
                <w:color w:val="auto"/>
                <w:vertAlign w:val="superscript"/>
              </w:rPr>
              <w:t>(12)</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9"/>
                <w:szCs w:val="9"/>
                <w:color w:val="auto"/>
              </w:rPr>
              <w:t>01/25/2024</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117,361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315,972</w:t>
            </w:r>
          </w:p>
        </w:tc>
        <w:tc>
          <w:tcPr>
            <w:tcW w:w="56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rPr>
              <w:t>16.26</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9"/>
                <w:szCs w:val="9"/>
                <w:color w:val="auto"/>
                <w:w w:val="93"/>
              </w:rPr>
              <w:t>01/24/2034</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4"/>
        </w:trPr>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9"/>
                <w:szCs w:val="9"/>
                <w:color w:val="auto"/>
              </w:rPr>
              <w:t xml:space="preserve">12/20/2024 </w:t>
            </w:r>
            <w:r>
              <w:rPr>
                <w:rFonts w:ascii="Arial" w:cs="Arial" w:eastAsia="Arial" w:hAnsi="Arial"/>
                <w:sz w:val="11"/>
                <w:szCs w:val="11"/>
                <w:color w:val="auto"/>
                <w:vertAlign w:val="superscript"/>
              </w:rPr>
              <w:t>(13)</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9"/>
                <w:szCs w:val="9"/>
                <w:color w:val="auto"/>
              </w:rPr>
              <w:t>01/22/2025</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ind w:left="42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rPr>
              <w:t>93,483</w:t>
            </w:r>
          </w:p>
        </w:tc>
        <w:tc>
          <w:tcPr>
            <w:tcW w:w="68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rPr>
              <w:t>2,114,585</w:t>
            </w:r>
          </w:p>
        </w:tc>
        <w:tc>
          <w:tcPr>
            <w:tcW w:w="0" w:type="dxa"/>
            <w:vAlign w:val="bottom"/>
          </w:tcPr>
          <w:p>
            <w:pPr>
              <w:spacing w:after="0"/>
              <w:rPr>
                <w:sz w:val="1"/>
                <w:szCs w:val="1"/>
                <w:color w:val="auto"/>
              </w:rPr>
            </w:pPr>
          </w:p>
        </w:tc>
      </w:tr>
      <w:tr>
        <w:trPr>
          <w:trHeight w:val="144"/>
        </w:trPr>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9"/>
                <w:szCs w:val="9"/>
                <w:color w:val="auto"/>
              </w:rPr>
              <w:t xml:space="preserve">12/01/2024 </w:t>
            </w:r>
            <w:r>
              <w:rPr>
                <w:rFonts w:ascii="Arial" w:cs="Arial" w:eastAsia="Arial" w:hAnsi="Arial"/>
                <w:sz w:val="11"/>
                <w:szCs w:val="11"/>
                <w:color w:val="auto"/>
                <w:vertAlign w:val="superscript"/>
              </w:rPr>
              <w:t>(12)</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9"/>
                <w:szCs w:val="9"/>
                <w:color w:val="auto"/>
              </w:rPr>
              <w:t>01/22/2025</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87,565</w:t>
            </w:r>
          </w:p>
        </w:tc>
        <w:tc>
          <w:tcPr>
            <w:tcW w:w="56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rPr>
              <w:t>20.31</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9"/>
                <w:szCs w:val="9"/>
                <w:color w:val="auto"/>
                <w:w w:val="93"/>
              </w:rPr>
              <w:t>01/21/2035</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w:t>
      </w:r>
    </w:p>
    <w:p>
      <w:pPr>
        <w:ind w:left="1760" w:hanging="238"/>
        <w:spacing w:after="0" w:line="196" w:lineRule="auto"/>
        <w:tabs>
          <w:tab w:leader="none" w:pos="1760" w:val="left"/>
        </w:tabs>
        <w:numPr>
          <w:ilvl w:val="0"/>
          <w:numId w:val="132"/>
        </w:numPr>
        <w:rPr>
          <w:rFonts w:ascii="Arial" w:cs="Arial" w:eastAsia="Arial" w:hAnsi="Arial"/>
          <w:sz w:val="10"/>
          <w:szCs w:val="10"/>
          <w:color w:val="auto"/>
        </w:rPr>
      </w:pPr>
      <w:r>
        <w:rPr>
          <w:rFonts w:ascii="Arial" w:cs="Arial" w:eastAsia="Arial" w:hAnsi="Arial"/>
          <w:sz w:val="10"/>
          <w:szCs w:val="10"/>
          <w:color w:val="auto"/>
        </w:rPr>
        <w:t>All of the outstanding stock options and stock awards were granted under our 2015 Plan</w:t>
      </w:r>
    </w:p>
    <w:p>
      <w:pPr>
        <w:ind w:left="1760"/>
        <w:spacing w:after="0" w:line="199" w:lineRule="auto"/>
        <w:rPr>
          <w:rFonts w:ascii="Arial" w:cs="Arial" w:eastAsia="Arial" w:hAnsi="Arial"/>
          <w:sz w:val="10"/>
          <w:szCs w:val="10"/>
          <w:color w:val="auto"/>
        </w:rPr>
      </w:pPr>
      <w:r>
        <w:rPr>
          <w:rFonts w:ascii="Arial" w:cs="Arial" w:eastAsia="Arial" w:hAnsi="Arial"/>
          <w:sz w:val="7"/>
          <w:szCs w:val="7"/>
          <w:color w:val="auto"/>
        </w:rPr>
        <w:t>.</w:t>
      </w:r>
    </w:p>
    <w:p>
      <w:pPr>
        <w:ind w:left="1760" w:right="1700" w:hanging="238"/>
        <w:spacing w:after="0"/>
        <w:tabs>
          <w:tab w:leader="none" w:pos="1760" w:val="left"/>
        </w:tabs>
        <w:numPr>
          <w:ilvl w:val="0"/>
          <w:numId w:val="132"/>
        </w:numPr>
        <w:rPr>
          <w:rFonts w:ascii="Arial" w:cs="Arial" w:eastAsia="Arial" w:hAnsi="Arial"/>
          <w:sz w:val="11"/>
          <w:szCs w:val="11"/>
          <w:color w:val="auto"/>
        </w:rPr>
      </w:pPr>
      <w:r>
        <w:rPr>
          <w:rFonts w:ascii="Arial" w:cs="Arial" w:eastAsia="Arial" w:hAnsi="Arial"/>
          <w:sz w:val="11"/>
          <w:szCs w:val="11"/>
          <w:color w:val="auto"/>
        </w:rPr>
        <w:t>This column represents the fair value of a share of our Class A common stock on the grant date, as determine d</w:t>
      </w:r>
    </w:p>
    <w:p>
      <w:pPr>
        <w:spacing w:after="0" w:line="7" w:lineRule="exact"/>
        <w:rPr>
          <w:rFonts w:ascii="Arial" w:cs="Arial" w:eastAsia="Arial" w:hAnsi="Arial"/>
          <w:sz w:val="11"/>
          <w:szCs w:val="11"/>
          <w:color w:val="auto"/>
        </w:rPr>
      </w:pPr>
    </w:p>
    <w:p>
      <w:pPr>
        <w:ind w:left="1760"/>
        <w:spacing w:after="0" w:line="199" w:lineRule="auto"/>
        <w:rPr>
          <w:rFonts w:ascii="Arial" w:cs="Arial" w:eastAsia="Arial" w:hAnsi="Arial"/>
          <w:sz w:val="11"/>
          <w:szCs w:val="11"/>
          <w:color w:val="auto"/>
        </w:rPr>
      </w:pPr>
      <w:r>
        <w:rPr>
          <w:rFonts w:ascii="Arial" w:cs="Arial" w:eastAsia="Arial" w:hAnsi="Arial"/>
          <w:sz w:val="8"/>
          <w:szCs w:val="8"/>
          <w:color w:val="auto"/>
        </w:rPr>
        <w:t>by our board of directors</w:t>
      </w:r>
    </w:p>
    <w:p>
      <w:pPr>
        <w:ind w:left="1760"/>
        <w:spacing w:after="0" w:line="199" w:lineRule="auto"/>
        <w:rPr>
          <w:rFonts w:ascii="Arial" w:cs="Arial" w:eastAsia="Arial" w:hAnsi="Arial"/>
          <w:sz w:val="11"/>
          <w:szCs w:val="11"/>
          <w:color w:val="auto"/>
        </w:rPr>
      </w:pPr>
      <w:r>
        <w:rPr>
          <w:rFonts w:ascii="Arial" w:cs="Arial" w:eastAsia="Arial" w:hAnsi="Arial"/>
          <w:sz w:val="6"/>
          <w:szCs w:val="6"/>
          <w:color w:val="auto"/>
        </w:rPr>
        <w:t>.</w:t>
      </w:r>
    </w:p>
    <w:p>
      <w:pPr>
        <w:ind w:left="1760" w:hanging="238"/>
        <w:spacing w:after="0" w:line="199" w:lineRule="auto"/>
        <w:tabs>
          <w:tab w:leader="none" w:pos="1760" w:val="left"/>
        </w:tabs>
        <w:numPr>
          <w:ilvl w:val="0"/>
          <w:numId w:val="132"/>
        </w:numPr>
        <w:rPr>
          <w:rFonts w:ascii="Arial" w:cs="Arial" w:eastAsia="Arial" w:hAnsi="Arial"/>
          <w:sz w:val="8"/>
          <w:szCs w:val="8"/>
          <w:color w:val="auto"/>
        </w:rPr>
      </w:pPr>
      <w:r>
        <w:rPr>
          <w:rFonts w:ascii="Arial" w:cs="Arial" w:eastAsia="Arial" w:hAnsi="Arial"/>
          <w:sz w:val="8"/>
          <w:szCs w:val="8"/>
          <w:color w:val="auto"/>
        </w:rPr>
        <w:t>Amounts reported represent the fair value of our Class A common stock of $22.62 per share as of January 31</w:t>
      </w:r>
    </w:p>
    <w:p>
      <w:pPr>
        <w:ind w:left="1760"/>
        <w:spacing w:after="0" w:line="199" w:lineRule="auto"/>
        <w:rPr>
          <w:rFonts w:ascii="Arial" w:cs="Arial" w:eastAsia="Arial" w:hAnsi="Arial"/>
          <w:sz w:val="8"/>
          <w:szCs w:val="8"/>
          <w:color w:val="auto"/>
        </w:rPr>
      </w:pPr>
      <w:r>
        <w:rPr>
          <w:rFonts w:ascii="Arial" w:cs="Arial" w:eastAsia="Arial" w:hAnsi="Arial"/>
          <w:sz w:val="7"/>
          <w:szCs w:val="7"/>
          <w:color w:val="auto"/>
        </w:rPr>
        <w:t>,</w:t>
      </w:r>
    </w:p>
    <w:p>
      <w:pPr>
        <w:ind w:left="1760"/>
        <w:spacing w:after="0" w:line="199" w:lineRule="auto"/>
        <w:rPr>
          <w:rFonts w:ascii="Arial" w:cs="Arial" w:eastAsia="Arial" w:hAnsi="Arial"/>
          <w:sz w:val="8"/>
          <w:szCs w:val="8"/>
          <w:color w:val="auto"/>
        </w:rPr>
      </w:pPr>
      <w:r>
        <w:rPr>
          <w:rFonts w:ascii="Arial" w:cs="Arial" w:eastAsia="Arial" w:hAnsi="Arial"/>
          <w:sz w:val="8"/>
          <w:szCs w:val="8"/>
          <w:color w:val="auto"/>
        </w:rPr>
        <w:t>2025 as determined by an independent valuation, multiplied by the number of shares reported</w:t>
      </w:r>
    </w:p>
    <w:p>
      <w:pPr>
        <w:ind w:left="1760"/>
        <w:spacing w:after="0" w:line="199" w:lineRule="auto"/>
        <w:rPr>
          <w:rFonts w:ascii="Arial" w:cs="Arial" w:eastAsia="Arial" w:hAnsi="Arial"/>
          <w:sz w:val="8"/>
          <w:szCs w:val="8"/>
          <w:color w:val="auto"/>
        </w:rPr>
      </w:pPr>
      <w:r>
        <w:rPr>
          <w:rFonts w:ascii="Arial" w:cs="Arial" w:eastAsia="Arial" w:hAnsi="Arial"/>
          <w:sz w:val="6"/>
          <w:szCs w:val="6"/>
          <w:color w:val="auto"/>
        </w:rPr>
        <w:t>.</w:t>
      </w:r>
    </w:p>
    <w:p>
      <w:pPr>
        <w:ind w:left="1760" w:right="1720" w:hanging="238"/>
        <w:spacing w:after="0" w:line="208" w:lineRule="auto"/>
        <w:tabs>
          <w:tab w:leader="none" w:pos="1760" w:val="left"/>
        </w:tabs>
        <w:numPr>
          <w:ilvl w:val="0"/>
          <w:numId w:val="132"/>
        </w:numPr>
        <w:rPr>
          <w:rFonts w:ascii="Arial" w:cs="Arial" w:eastAsia="Arial" w:hAnsi="Arial"/>
          <w:sz w:val="11"/>
          <w:szCs w:val="11"/>
          <w:color w:val="auto"/>
        </w:rPr>
      </w:pPr>
      <w:r>
        <w:rPr>
          <w:rFonts w:ascii="Arial" w:cs="Arial" w:eastAsia="Arial" w:hAnsi="Arial"/>
          <w:sz w:val="11"/>
          <w:szCs w:val="11"/>
          <w:color w:val="auto"/>
        </w:rPr>
        <w:t>The number of securities reported reflects the transfer of a portion of the awards to a constructive trust for the benefit of Mr. Cohen’s former spouse pursuant to a qualified domestic relations order</w:t>
      </w:r>
    </w:p>
    <w:p>
      <w:pPr>
        <w:ind w:left="1760"/>
        <w:spacing w:after="0" w:line="199" w:lineRule="auto"/>
        <w:rPr>
          <w:rFonts w:ascii="Arial" w:cs="Arial" w:eastAsia="Arial" w:hAnsi="Arial"/>
          <w:sz w:val="11"/>
          <w:szCs w:val="11"/>
          <w:color w:val="auto"/>
        </w:rPr>
      </w:pPr>
      <w:r>
        <w:rPr>
          <w:rFonts w:ascii="Arial" w:cs="Arial" w:eastAsia="Arial" w:hAnsi="Arial"/>
          <w:sz w:val="6"/>
          <w:szCs w:val="6"/>
          <w:color w:val="auto"/>
        </w:rPr>
        <w:t>.</w:t>
      </w:r>
    </w:p>
    <w:p>
      <w:pPr>
        <w:ind w:left="1760" w:right="1680" w:hanging="238"/>
        <w:spacing w:after="0"/>
        <w:tabs>
          <w:tab w:leader="none" w:pos="1760" w:val="left"/>
        </w:tabs>
        <w:numPr>
          <w:ilvl w:val="0"/>
          <w:numId w:val="132"/>
        </w:numPr>
        <w:rPr>
          <w:rFonts w:ascii="Arial" w:cs="Arial" w:eastAsia="Arial" w:hAnsi="Arial"/>
          <w:sz w:val="11"/>
          <w:szCs w:val="11"/>
          <w:color w:val="auto"/>
        </w:rPr>
      </w:pPr>
      <w:r>
        <w:rPr>
          <w:rFonts w:ascii="Arial" w:cs="Arial" w:eastAsia="Arial" w:hAnsi="Arial"/>
          <w:sz w:val="11"/>
          <w:szCs w:val="11"/>
          <w:color w:val="auto"/>
        </w:rPr>
        <w:t>This stock option vested in equal monthly installments over 24 months beginning on the one-month anniversar y</w:t>
      </w:r>
    </w:p>
    <w:p>
      <w:pPr>
        <w:spacing w:after="0" w:line="7" w:lineRule="exact"/>
        <w:rPr>
          <w:rFonts w:ascii="Arial" w:cs="Arial" w:eastAsia="Arial" w:hAnsi="Arial"/>
          <w:sz w:val="11"/>
          <w:szCs w:val="11"/>
          <w:color w:val="auto"/>
        </w:rPr>
      </w:pPr>
    </w:p>
    <w:p>
      <w:pPr>
        <w:ind w:left="1760"/>
        <w:spacing w:after="0" w:line="199" w:lineRule="auto"/>
        <w:rPr>
          <w:rFonts w:ascii="Arial" w:cs="Arial" w:eastAsia="Arial" w:hAnsi="Arial"/>
          <w:sz w:val="11"/>
          <w:szCs w:val="11"/>
          <w:color w:val="auto"/>
        </w:rPr>
      </w:pPr>
      <w:r>
        <w:rPr>
          <w:rFonts w:ascii="Arial" w:cs="Arial" w:eastAsia="Arial" w:hAnsi="Arial"/>
          <w:sz w:val="8"/>
          <w:szCs w:val="8"/>
          <w:color w:val="auto"/>
        </w:rPr>
        <w:t>of the vesting commencement date and is fully vested</w:t>
      </w:r>
    </w:p>
    <w:p>
      <w:pPr>
        <w:ind w:left="1760"/>
        <w:spacing w:after="0" w:line="199" w:lineRule="auto"/>
        <w:rPr>
          <w:rFonts w:ascii="Arial" w:cs="Arial" w:eastAsia="Arial" w:hAnsi="Arial"/>
          <w:sz w:val="11"/>
          <w:szCs w:val="11"/>
          <w:color w:val="auto"/>
        </w:rPr>
      </w:pPr>
      <w:r>
        <w:rPr>
          <w:rFonts w:ascii="Arial" w:cs="Arial" w:eastAsia="Arial" w:hAnsi="Arial"/>
          <w:sz w:val="7"/>
          <w:szCs w:val="7"/>
          <w:color w:val="auto"/>
        </w:rPr>
        <w:t>.</w:t>
      </w:r>
    </w:p>
    <w:p>
      <w:pPr>
        <w:ind w:left="1760" w:right="1700" w:hanging="238"/>
        <w:spacing w:after="0"/>
        <w:tabs>
          <w:tab w:leader="none" w:pos="1760" w:val="left"/>
        </w:tabs>
        <w:numPr>
          <w:ilvl w:val="0"/>
          <w:numId w:val="132"/>
        </w:numPr>
        <w:rPr>
          <w:rFonts w:ascii="Arial" w:cs="Arial" w:eastAsia="Arial" w:hAnsi="Arial"/>
          <w:sz w:val="11"/>
          <w:szCs w:val="11"/>
          <w:color w:val="auto"/>
        </w:rPr>
      </w:pPr>
      <w:r>
        <w:rPr>
          <w:rFonts w:ascii="Arial" w:cs="Arial" w:eastAsia="Arial" w:hAnsi="Arial"/>
          <w:sz w:val="11"/>
          <w:szCs w:val="11"/>
          <w:color w:val="auto"/>
        </w:rPr>
        <w:t>This stock option vests monthly in equal installments over 48 months beginning on the one-month anniversary of</w:t>
      </w:r>
    </w:p>
    <w:p>
      <w:pPr>
        <w:spacing w:after="0" w:line="7" w:lineRule="exact"/>
        <w:rPr>
          <w:rFonts w:ascii="Arial" w:cs="Arial" w:eastAsia="Arial" w:hAnsi="Arial"/>
          <w:sz w:val="11"/>
          <w:szCs w:val="11"/>
          <w:color w:val="auto"/>
        </w:rPr>
      </w:pPr>
    </w:p>
    <w:p>
      <w:pPr>
        <w:ind w:left="1760" w:right="1560"/>
        <w:spacing w:after="0"/>
        <w:rPr>
          <w:rFonts w:ascii="Arial" w:cs="Arial" w:eastAsia="Arial" w:hAnsi="Arial"/>
          <w:sz w:val="11"/>
          <w:szCs w:val="11"/>
          <w:color w:val="auto"/>
        </w:rPr>
      </w:pPr>
      <w:r>
        <w:rPr>
          <w:rFonts w:ascii="Arial" w:cs="Arial" w:eastAsia="Arial" w:hAnsi="Arial"/>
          <w:sz w:val="11"/>
          <w:szCs w:val="11"/>
          <w:color w:val="auto"/>
        </w:rPr>
        <w:t>the vesting commencement date, subject to continued service through each applicable vesting date. All shares o f</w:t>
      </w:r>
    </w:p>
    <w:p>
      <w:pPr>
        <w:spacing w:after="0" w:line="17" w:lineRule="exact"/>
        <w:rPr>
          <w:rFonts w:ascii="Arial" w:cs="Arial" w:eastAsia="Arial" w:hAnsi="Arial"/>
          <w:sz w:val="11"/>
          <w:szCs w:val="11"/>
          <w:color w:val="auto"/>
        </w:rPr>
      </w:pPr>
    </w:p>
    <w:p>
      <w:pPr>
        <w:ind w:left="1760" w:right="1600"/>
        <w:spacing w:after="0"/>
        <w:rPr>
          <w:rFonts w:ascii="Arial" w:cs="Arial" w:eastAsia="Arial" w:hAnsi="Arial"/>
          <w:sz w:val="11"/>
          <w:szCs w:val="11"/>
          <w:color w:val="auto"/>
        </w:rPr>
      </w:pPr>
      <w:r>
        <w:rPr>
          <w:rFonts w:ascii="Arial" w:cs="Arial" w:eastAsia="Arial" w:hAnsi="Arial"/>
          <w:sz w:val="11"/>
          <w:szCs w:val="11"/>
          <w:color w:val="auto"/>
        </w:rPr>
        <w:t>Class A common stock underlying this option will be exchangeable for shares of Class B common stock upon th e</w:t>
      </w:r>
    </w:p>
    <w:p>
      <w:pPr>
        <w:spacing w:after="0" w:line="7" w:lineRule="exact"/>
        <w:rPr>
          <w:rFonts w:ascii="Arial" w:cs="Arial" w:eastAsia="Arial" w:hAnsi="Arial"/>
          <w:sz w:val="11"/>
          <w:szCs w:val="11"/>
          <w:color w:val="auto"/>
        </w:rPr>
      </w:pPr>
    </w:p>
    <w:p>
      <w:pPr>
        <w:ind w:left="1760" w:right="1640"/>
        <w:spacing w:after="0"/>
        <w:rPr>
          <w:rFonts w:ascii="Arial" w:cs="Arial" w:eastAsia="Arial" w:hAnsi="Arial"/>
          <w:sz w:val="11"/>
          <w:szCs w:val="11"/>
          <w:color w:val="auto"/>
        </w:rPr>
      </w:pPr>
      <w:r>
        <w:rPr>
          <w:rFonts w:ascii="Arial" w:cs="Arial" w:eastAsia="Arial" w:hAnsi="Arial"/>
          <w:sz w:val="11"/>
          <w:szCs w:val="11"/>
          <w:color w:val="auto"/>
        </w:rPr>
        <w:t>election of Mr. Cohen or Mr. Twig, as applicable, following exercise. This stock option is subject to early exercis e</w:t>
      </w:r>
    </w:p>
    <w:p>
      <w:pPr>
        <w:spacing w:after="0" w:line="7" w:lineRule="exact"/>
        <w:rPr>
          <w:rFonts w:ascii="Arial" w:cs="Arial" w:eastAsia="Arial" w:hAnsi="Arial"/>
          <w:sz w:val="11"/>
          <w:szCs w:val="11"/>
          <w:color w:val="auto"/>
        </w:rPr>
      </w:pPr>
    </w:p>
    <w:p>
      <w:pPr>
        <w:ind w:left="1760" w:right="1560"/>
        <w:spacing w:after="0"/>
        <w:rPr>
          <w:rFonts w:ascii="Arial" w:cs="Arial" w:eastAsia="Arial" w:hAnsi="Arial"/>
          <w:sz w:val="11"/>
          <w:szCs w:val="11"/>
          <w:color w:val="auto"/>
        </w:rPr>
      </w:pPr>
      <w:r>
        <w:rPr>
          <w:rFonts w:ascii="Arial" w:cs="Arial" w:eastAsia="Arial" w:hAnsi="Arial"/>
          <w:sz w:val="11"/>
          <w:szCs w:val="11"/>
          <w:color w:val="auto"/>
        </w:rPr>
        <w:t>and, to the extent shares are issued and unvested as of a given date, such shares will remain subject to a right o f</w:t>
      </w:r>
    </w:p>
    <w:p>
      <w:pPr>
        <w:spacing w:after="0" w:line="17" w:lineRule="exact"/>
        <w:rPr>
          <w:rFonts w:ascii="Arial" w:cs="Arial" w:eastAsia="Arial" w:hAnsi="Arial"/>
          <w:sz w:val="11"/>
          <w:szCs w:val="11"/>
          <w:color w:val="auto"/>
        </w:rPr>
      </w:pPr>
    </w:p>
    <w:p>
      <w:pPr>
        <w:ind w:left="1760"/>
        <w:spacing w:after="0"/>
        <w:rPr>
          <w:rFonts w:ascii="Arial" w:cs="Arial" w:eastAsia="Arial" w:hAnsi="Arial"/>
          <w:sz w:val="11"/>
          <w:szCs w:val="11"/>
          <w:color w:val="auto"/>
        </w:rPr>
      </w:pPr>
      <w:r>
        <w:rPr>
          <w:rFonts w:ascii="Arial" w:cs="Arial" w:eastAsia="Arial" w:hAnsi="Arial"/>
          <w:sz w:val="11"/>
          <w:szCs w:val="11"/>
          <w:color w:val="auto"/>
        </w:rPr>
        <w:t>repurchase held by us.</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175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760" w:right="1780" w:hanging="238"/>
        <w:spacing w:after="0"/>
        <w:tabs>
          <w:tab w:leader="none" w:pos="1760" w:val="left"/>
        </w:tabs>
        <w:numPr>
          <w:ilvl w:val="0"/>
          <w:numId w:val="133"/>
        </w:numPr>
        <w:rPr>
          <w:rFonts w:ascii="Arial" w:cs="Arial" w:eastAsia="Arial" w:hAnsi="Arial"/>
          <w:sz w:val="11"/>
          <w:szCs w:val="11"/>
          <w:color w:val="auto"/>
        </w:rPr>
      </w:pPr>
      <w:r>
        <w:rPr>
          <w:rFonts w:ascii="Arial" w:cs="Arial" w:eastAsia="Arial" w:hAnsi="Arial"/>
          <w:sz w:val="11"/>
          <w:szCs w:val="11"/>
          <w:color w:val="auto"/>
        </w:rPr>
        <w:t>Exercise price reflects the repricing on August 12, 2024 of these stock options as described under the sectio n</w:t>
      </w:r>
    </w:p>
    <w:p>
      <w:pPr>
        <w:spacing w:after="0" w:line="17" w:lineRule="exact"/>
        <w:rPr>
          <w:rFonts w:ascii="Arial" w:cs="Arial" w:eastAsia="Arial" w:hAnsi="Arial"/>
          <w:sz w:val="11"/>
          <w:szCs w:val="11"/>
          <w:color w:val="auto"/>
        </w:rPr>
      </w:pPr>
    </w:p>
    <w:p>
      <w:pPr>
        <w:ind w:left="1760"/>
        <w:spacing w:after="0"/>
        <w:rPr>
          <w:rFonts w:ascii="Arial" w:cs="Arial" w:eastAsia="Arial" w:hAnsi="Arial"/>
          <w:sz w:val="11"/>
          <w:szCs w:val="11"/>
          <w:color w:val="auto"/>
        </w:rPr>
      </w:pPr>
      <w:r>
        <w:rPr>
          <w:rFonts w:ascii="Arial" w:cs="Arial" w:eastAsia="Arial" w:hAnsi="Arial"/>
          <w:sz w:val="11"/>
          <w:szCs w:val="11"/>
          <w:color w:val="auto"/>
        </w:rPr>
        <w:t>titled “—Equity-Based Incentive Awards—Stock Option Repricing.”</w:t>
      </w:r>
    </w:p>
    <w:p>
      <w:pPr>
        <w:spacing w:after="0" w:line="7" w:lineRule="exact"/>
        <w:rPr>
          <w:rFonts w:ascii="Arial" w:cs="Arial" w:eastAsia="Arial" w:hAnsi="Arial"/>
          <w:sz w:val="11"/>
          <w:szCs w:val="11"/>
          <w:color w:val="auto"/>
        </w:rPr>
      </w:pPr>
    </w:p>
    <w:p>
      <w:pPr>
        <w:ind w:left="1760" w:right="2160" w:hanging="238"/>
        <w:spacing w:after="0"/>
        <w:tabs>
          <w:tab w:leader="none" w:pos="1760" w:val="left"/>
        </w:tabs>
        <w:numPr>
          <w:ilvl w:val="0"/>
          <w:numId w:val="133"/>
        </w:numPr>
        <w:rPr>
          <w:rFonts w:ascii="Arial" w:cs="Arial" w:eastAsia="Arial" w:hAnsi="Arial"/>
          <w:sz w:val="11"/>
          <w:szCs w:val="11"/>
          <w:color w:val="auto"/>
        </w:rPr>
      </w:pPr>
      <w:r>
        <w:rPr>
          <w:rFonts w:ascii="Arial" w:cs="Arial" w:eastAsia="Arial" w:hAnsi="Arial"/>
          <w:sz w:val="11"/>
          <w:szCs w:val="11"/>
          <w:color w:val="auto"/>
        </w:rPr>
        <w:t>This stock option vested with respect to 25% of the shares subject to the stock option on the one-yea r</w:t>
      </w:r>
    </w:p>
    <w:p>
      <w:pPr>
        <w:spacing w:after="0" w:line="17" w:lineRule="exact"/>
        <w:rPr>
          <w:rFonts w:ascii="Arial" w:cs="Arial" w:eastAsia="Arial" w:hAnsi="Arial"/>
          <w:sz w:val="11"/>
          <w:szCs w:val="11"/>
          <w:color w:val="auto"/>
        </w:rPr>
      </w:pPr>
    </w:p>
    <w:p>
      <w:pPr>
        <w:ind w:left="1760" w:right="1660"/>
        <w:spacing w:after="0"/>
        <w:rPr>
          <w:rFonts w:ascii="Arial" w:cs="Arial" w:eastAsia="Arial" w:hAnsi="Arial"/>
          <w:sz w:val="11"/>
          <w:szCs w:val="11"/>
          <w:color w:val="auto"/>
        </w:rPr>
      </w:pPr>
      <w:r>
        <w:rPr>
          <w:rFonts w:ascii="Arial" w:cs="Arial" w:eastAsia="Arial" w:hAnsi="Arial"/>
          <w:sz w:val="11"/>
          <w:szCs w:val="11"/>
          <w:color w:val="auto"/>
        </w:rPr>
        <w:t>anniversary of the vesting commencement date and the remaining 75% of the shares subject to the stock optio n</w:t>
      </w:r>
    </w:p>
    <w:p>
      <w:pPr>
        <w:spacing w:after="0" w:line="7" w:lineRule="exact"/>
        <w:rPr>
          <w:rFonts w:ascii="Arial" w:cs="Arial" w:eastAsia="Arial" w:hAnsi="Arial"/>
          <w:sz w:val="11"/>
          <w:szCs w:val="11"/>
          <w:color w:val="auto"/>
        </w:rPr>
      </w:pPr>
    </w:p>
    <w:p>
      <w:pPr>
        <w:ind w:left="1760" w:right="3380"/>
        <w:spacing w:after="0"/>
        <w:rPr>
          <w:rFonts w:ascii="Arial" w:cs="Arial" w:eastAsia="Arial" w:hAnsi="Arial"/>
          <w:sz w:val="11"/>
          <w:szCs w:val="11"/>
          <w:color w:val="auto"/>
        </w:rPr>
      </w:pPr>
      <w:r>
        <w:rPr>
          <w:rFonts w:ascii="Arial" w:cs="Arial" w:eastAsia="Arial" w:hAnsi="Arial"/>
          <w:sz w:val="11"/>
          <w:szCs w:val="11"/>
          <w:color w:val="auto"/>
        </w:rPr>
        <w:t>in equal monthly installments over the following three years and is fully veste d.</w:t>
      </w:r>
    </w:p>
    <w:p>
      <w:pPr>
        <w:spacing w:after="0" w:line="17" w:lineRule="exact"/>
        <w:rPr>
          <w:rFonts w:ascii="Arial" w:cs="Arial" w:eastAsia="Arial" w:hAnsi="Arial"/>
          <w:sz w:val="11"/>
          <w:szCs w:val="11"/>
          <w:color w:val="auto"/>
        </w:rPr>
      </w:pPr>
    </w:p>
    <w:p>
      <w:pPr>
        <w:ind w:left="1760" w:right="1700" w:hanging="238"/>
        <w:spacing w:after="0"/>
        <w:tabs>
          <w:tab w:leader="none" w:pos="1760" w:val="left"/>
        </w:tabs>
        <w:numPr>
          <w:ilvl w:val="0"/>
          <w:numId w:val="133"/>
        </w:numPr>
        <w:rPr>
          <w:rFonts w:ascii="Arial" w:cs="Arial" w:eastAsia="Arial" w:hAnsi="Arial"/>
          <w:sz w:val="11"/>
          <w:szCs w:val="11"/>
          <w:color w:val="auto"/>
        </w:rPr>
      </w:pPr>
      <w:r>
        <w:rPr>
          <w:rFonts w:ascii="Arial" w:cs="Arial" w:eastAsia="Arial" w:hAnsi="Arial"/>
          <w:sz w:val="11"/>
          <w:szCs w:val="11"/>
          <w:color w:val="auto"/>
        </w:rPr>
        <w:t>This stock option vested in equal annual installments on the one-year and two-year anniversaries of the vestin g</w:t>
      </w:r>
    </w:p>
    <w:p>
      <w:pPr>
        <w:spacing w:after="0" w:line="7" w:lineRule="exact"/>
        <w:rPr>
          <w:rFonts w:ascii="Arial" w:cs="Arial" w:eastAsia="Arial" w:hAnsi="Arial"/>
          <w:sz w:val="11"/>
          <w:szCs w:val="11"/>
          <w:color w:val="auto"/>
        </w:rPr>
      </w:pPr>
    </w:p>
    <w:p>
      <w:pPr>
        <w:ind w:left="1760"/>
        <w:spacing w:after="0" w:line="199" w:lineRule="auto"/>
        <w:rPr>
          <w:rFonts w:ascii="Arial" w:cs="Arial" w:eastAsia="Arial" w:hAnsi="Arial"/>
          <w:sz w:val="11"/>
          <w:szCs w:val="11"/>
          <w:color w:val="auto"/>
        </w:rPr>
      </w:pPr>
      <w:r>
        <w:rPr>
          <w:rFonts w:ascii="Arial" w:cs="Arial" w:eastAsia="Arial" w:hAnsi="Arial"/>
          <w:sz w:val="8"/>
          <w:szCs w:val="8"/>
          <w:color w:val="auto"/>
        </w:rPr>
        <w:t>commencement date and is fully vested</w:t>
      </w:r>
    </w:p>
    <w:p>
      <w:pPr>
        <w:ind w:left="1760"/>
        <w:spacing w:after="0" w:line="199" w:lineRule="auto"/>
        <w:rPr>
          <w:rFonts w:ascii="Arial" w:cs="Arial" w:eastAsia="Arial" w:hAnsi="Arial"/>
          <w:sz w:val="11"/>
          <w:szCs w:val="11"/>
          <w:color w:val="auto"/>
        </w:rPr>
      </w:pPr>
      <w:r>
        <w:rPr>
          <w:rFonts w:ascii="Arial" w:cs="Arial" w:eastAsia="Arial" w:hAnsi="Arial"/>
          <w:sz w:val="6"/>
          <w:szCs w:val="6"/>
          <w:color w:val="auto"/>
        </w:rPr>
        <w:t>.</w:t>
      </w:r>
    </w:p>
    <w:p>
      <w:pPr>
        <w:ind w:left="1760" w:right="1620" w:hanging="238"/>
        <w:spacing w:after="0"/>
        <w:tabs>
          <w:tab w:leader="none" w:pos="1760" w:val="left"/>
        </w:tabs>
        <w:numPr>
          <w:ilvl w:val="0"/>
          <w:numId w:val="133"/>
        </w:numPr>
        <w:rPr>
          <w:rFonts w:ascii="Arial" w:cs="Arial" w:eastAsia="Arial" w:hAnsi="Arial"/>
          <w:sz w:val="11"/>
          <w:szCs w:val="11"/>
          <w:color w:val="auto"/>
        </w:rPr>
      </w:pPr>
      <w:r>
        <w:rPr>
          <w:rFonts w:ascii="Arial" w:cs="Arial" w:eastAsia="Arial" w:hAnsi="Arial"/>
          <w:sz w:val="11"/>
          <w:szCs w:val="11"/>
          <w:color w:val="auto"/>
        </w:rPr>
        <w:t>This stock option vests with respect to 25% of the shares subject to the stock option on the one-year anniversar y</w:t>
      </w:r>
    </w:p>
    <w:p>
      <w:pPr>
        <w:spacing w:after="0" w:line="17" w:lineRule="exact"/>
        <w:rPr>
          <w:rFonts w:ascii="Arial" w:cs="Arial" w:eastAsia="Arial" w:hAnsi="Arial"/>
          <w:sz w:val="11"/>
          <w:szCs w:val="11"/>
          <w:color w:val="auto"/>
        </w:rPr>
      </w:pPr>
    </w:p>
    <w:p>
      <w:pPr>
        <w:ind w:left="1760" w:right="1560"/>
        <w:spacing w:after="0" w:line="180" w:lineRule="auto"/>
        <w:rPr>
          <w:rFonts w:ascii="Arial" w:cs="Arial" w:eastAsia="Arial" w:hAnsi="Arial"/>
          <w:sz w:val="11"/>
          <w:szCs w:val="11"/>
          <w:color w:val="auto"/>
        </w:rPr>
      </w:pPr>
      <w:r>
        <w:rPr>
          <w:rFonts w:ascii="Arial" w:cs="Arial" w:eastAsia="Arial" w:hAnsi="Arial"/>
          <w:sz w:val="11"/>
          <w:szCs w:val="11"/>
          <w:color w:val="auto"/>
        </w:rPr>
        <w:t xml:space="preserve">of the vesting commencement date and the remaining 75% of the shares subject to the stock option vest in equa </w:t>
      </w:r>
      <w:r>
        <w:rPr>
          <w:rFonts w:ascii="Arial" w:cs="Arial" w:eastAsia="Arial" w:hAnsi="Arial"/>
          <w:sz w:val="21"/>
          <w:szCs w:val="21"/>
          <w:color w:val="auto"/>
          <w:vertAlign w:val="superscript"/>
        </w:rPr>
        <w:t>l</w:t>
      </w:r>
      <w:r>
        <w:rPr>
          <w:rFonts w:ascii="Arial" w:cs="Arial" w:eastAsia="Arial" w:hAnsi="Arial"/>
          <w:sz w:val="11"/>
          <w:szCs w:val="11"/>
          <w:color w:val="auto"/>
        </w:rPr>
        <w:t>monthly installments over the following three years, subject to continued service through each applicable vestin g</w:t>
      </w:r>
    </w:p>
    <w:p>
      <w:pPr>
        <w:spacing w:after="0" w:line="1" w:lineRule="exact"/>
        <w:rPr>
          <w:rFonts w:ascii="Arial" w:cs="Arial" w:eastAsia="Arial" w:hAnsi="Arial"/>
          <w:sz w:val="11"/>
          <w:szCs w:val="11"/>
          <w:color w:val="auto"/>
        </w:rPr>
      </w:pPr>
    </w:p>
    <w:p>
      <w:pPr>
        <w:ind w:left="1760" w:right="1880"/>
        <w:spacing w:after="0"/>
        <w:rPr>
          <w:rFonts w:ascii="Arial" w:cs="Arial" w:eastAsia="Arial" w:hAnsi="Arial"/>
          <w:sz w:val="11"/>
          <w:szCs w:val="11"/>
          <w:color w:val="auto"/>
        </w:rPr>
      </w:pPr>
      <w:r>
        <w:rPr>
          <w:rFonts w:ascii="Arial" w:cs="Arial" w:eastAsia="Arial" w:hAnsi="Arial"/>
          <w:sz w:val="11"/>
          <w:szCs w:val="11"/>
          <w:color w:val="auto"/>
        </w:rPr>
        <w:t>date. This stock option is subject to early exercise and, to the extent shares are issued and unvested as of a</w:t>
      </w:r>
    </w:p>
    <w:p>
      <w:pPr>
        <w:spacing w:after="0" w:line="7" w:lineRule="exact"/>
        <w:rPr>
          <w:rFonts w:ascii="Arial" w:cs="Arial" w:eastAsia="Arial" w:hAnsi="Arial"/>
          <w:sz w:val="11"/>
          <w:szCs w:val="11"/>
          <w:color w:val="auto"/>
        </w:rPr>
      </w:pPr>
    </w:p>
    <w:p>
      <w:pPr>
        <w:ind w:left="1760"/>
        <w:spacing w:after="0" w:line="199" w:lineRule="auto"/>
        <w:rPr>
          <w:rFonts w:ascii="Arial" w:cs="Arial" w:eastAsia="Arial" w:hAnsi="Arial"/>
          <w:sz w:val="11"/>
          <w:szCs w:val="11"/>
          <w:color w:val="auto"/>
        </w:rPr>
      </w:pPr>
      <w:r>
        <w:rPr>
          <w:rFonts w:ascii="Arial" w:cs="Arial" w:eastAsia="Arial" w:hAnsi="Arial"/>
          <w:sz w:val="8"/>
          <w:szCs w:val="8"/>
          <w:color w:val="auto"/>
        </w:rPr>
        <w:t>given date, such shares will remain subject to a right of repurchase held by us</w:t>
      </w:r>
    </w:p>
    <w:p>
      <w:pPr>
        <w:ind w:left="1760"/>
        <w:spacing w:after="0" w:line="199" w:lineRule="auto"/>
        <w:rPr>
          <w:rFonts w:ascii="Arial" w:cs="Arial" w:eastAsia="Arial" w:hAnsi="Arial"/>
          <w:sz w:val="11"/>
          <w:szCs w:val="11"/>
          <w:color w:val="auto"/>
        </w:rPr>
      </w:pPr>
      <w:r>
        <w:rPr>
          <w:rFonts w:ascii="Arial" w:cs="Arial" w:eastAsia="Arial" w:hAnsi="Arial"/>
          <w:sz w:val="6"/>
          <w:szCs w:val="6"/>
          <w:color w:val="auto"/>
        </w:rPr>
        <w:t>.</w:t>
      </w:r>
    </w:p>
    <w:p>
      <w:pPr>
        <w:ind w:left="1760" w:right="1700" w:hanging="238"/>
        <w:spacing w:after="0"/>
        <w:tabs>
          <w:tab w:leader="none" w:pos="1760" w:val="left"/>
        </w:tabs>
        <w:numPr>
          <w:ilvl w:val="0"/>
          <w:numId w:val="133"/>
        </w:numPr>
        <w:rPr>
          <w:rFonts w:ascii="Arial" w:cs="Arial" w:eastAsia="Arial" w:hAnsi="Arial"/>
          <w:sz w:val="11"/>
          <w:szCs w:val="11"/>
          <w:color w:val="auto"/>
        </w:rPr>
      </w:pPr>
      <w:r>
        <w:rPr>
          <w:rFonts w:ascii="Arial" w:cs="Arial" w:eastAsia="Arial" w:hAnsi="Arial"/>
          <w:sz w:val="11"/>
          <w:szCs w:val="11"/>
          <w:color w:val="auto"/>
        </w:rPr>
        <w:t>This stock option vests monthly in equal installments over 48 months beginning on the one-month anniversary of</w:t>
      </w:r>
    </w:p>
    <w:p>
      <w:pPr>
        <w:spacing w:after="0" w:line="17" w:lineRule="exact"/>
        <w:rPr>
          <w:rFonts w:ascii="Arial" w:cs="Arial" w:eastAsia="Arial" w:hAnsi="Arial"/>
          <w:sz w:val="11"/>
          <w:szCs w:val="11"/>
          <w:color w:val="auto"/>
        </w:rPr>
      </w:pPr>
    </w:p>
    <w:p>
      <w:pPr>
        <w:ind w:left="1760" w:right="1640"/>
        <w:spacing w:after="0" w:line="199" w:lineRule="auto"/>
        <w:rPr>
          <w:rFonts w:ascii="Arial" w:cs="Arial" w:eastAsia="Arial" w:hAnsi="Arial"/>
          <w:sz w:val="11"/>
          <w:szCs w:val="11"/>
          <w:color w:val="auto"/>
        </w:rPr>
      </w:pPr>
      <w:r>
        <w:rPr>
          <w:rFonts w:ascii="Arial" w:cs="Arial" w:eastAsia="Arial" w:hAnsi="Arial"/>
          <w:sz w:val="11"/>
          <w:szCs w:val="11"/>
          <w:color w:val="auto"/>
        </w:rPr>
        <w:t>the vesting commencement date, subject to continued service through each applicable vesting date. This stock option is subject to early exercise and, to the extent shares are issued and unvested as of a given date, suc</w:t>
      </w:r>
    </w:p>
    <w:p>
      <w:pPr>
        <w:ind w:left="1760"/>
        <w:spacing w:after="0" w:line="199" w:lineRule="auto"/>
        <w:rPr>
          <w:rFonts w:ascii="Arial" w:cs="Arial" w:eastAsia="Arial" w:hAnsi="Arial"/>
          <w:sz w:val="11"/>
          <w:szCs w:val="11"/>
          <w:color w:val="auto"/>
        </w:rPr>
      </w:pPr>
      <w:r>
        <w:rPr>
          <w:rFonts w:ascii="Arial" w:cs="Arial" w:eastAsia="Arial" w:hAnsi="Arial"/>
          <w:sz w:val="7"/>
          <w:szCs w:val="7"/>
          <w:color w:val="auto"/>
        </w:rPr>
        <w:t>h</w:t>
      </w:r>
    </w:p>
    <w:p>
      <w:pPr>
        <w:ind w:left="1760"/>
        <w:spacing w:after="0" w:line="199" w:lineRule="auto"/>
        <w:rPr>
          <w:rFonts w:ascii="Arial" w:cs="Arial" w:eastAsia="Arial" w:hAnsi="Arial"/>
          <w:sz w:val="11"/>
          <w:szCs w:val="11"/>
          <w:color w:val="auto"/>
        </w:rPr>
      </w:pPr>
      <w:r>
        <w:rPr>
          <w:rFonts w:ascii="Arial" w:cs="Arial" w:eastAsia="Arial" w:hAnsi="Arial"/>
          <w:sz w:val="8"/>
          <w:szCs w:val="8"/>
          <w:color w:val="auto"/>
        </w:rPr>
        <w:t>shares will remain subject to a right of repurchase held by us</w:t>
      </w:r>
    </w:p>
    <w:p>
      <w:pPr>
        <w:ind w:left="1760"/>
        <w:spacing w:after="0" w:line="199" w:lineRule="auto"/>
        <w:rPr>
          <w:rFonts w:ascii="Arial" w:cs="Arial" w:eastAsia="Arial" w:hAnsi="Arial"/>
          <w:sz w:val="11"/>
          <w:szCs w:val="11"/>
          <w:color w:val="auto"/>
        </w:rPr>
      </w:pPr>
      <w:r>
        <w:rPr>
          <w:rFonts w:ascii="Arial" w:cs="Arial" w:eastAsia="Arial" w:hAnsi="Arial"/>
          <w:sz w:val="6"/>
          <w:szCs w:val="6"/>
          <w:color w:val="auto"/>
        </w:rPr>
        <w:t>.</w:t>
      </w:r>
    </w:p>
    <w:p>
      <w:pPr>
        <w:ind w:left="1760" w:right="1620" w:hanging="238"/>
        <w:spacing w:after="0"/>
        <w:tabs>
          <w:tab w:leader="none" w:pos="1760" w:val="left"/>
        </w:tabs>
        <w:numPr>
          <w:ilvl w:val="0"/>
          <w:numId w:val="133"/>
        </w:numPr>
        <w:rPr>
          <w:rFonts w:ascii="Arial" w:cs="Arial" w:eastAsia="Arial" w:hAnsi="Arial"/>
          <w:sz w:val="11"/>
          <w:szCs w:val="11"/>
          <w:color w:val="auto"/>
        </w:rPr>
      </w:pPr>
      <w:r>
        <w:rPr>
          <w:rFonts w:ascii="Arial" w:cs="Arial" w:eastAsia="Arial" w:hAnsi="Arial"/>
          <w:sz w:val="11"/>
          <w:szCs w:val="11"/>
          <w:color w:val="auto"/>
        </w:rPr>
        <w:t>This stock option vests with respect to 25% of the shares subject to the stock option on the one-year anniversar y</w:t>
      </w:r>
    </w:p>
    <w:p>
      <w:pPr>
        <w:spacing w:after="0" w:line="7" w:lineRule="exact"/>
        <w:rPr>
          <w:rFonts w:ascii="Arial" w:cs="Arial" w:eastAsia="Arial" w:hAnsi="Arial"/>
          <w:sz w:val="11"/>
          <w:szCs w:val="11"/>
          <w:color w:val="auto"/>
        </w:rPr>
      </w:pPr>
    </w:p>
    <w:p>
      <w:pPr>
        <w:ind w:left="1760" w:right="1560"/>
        <w:spacing w:after="0" w:line="180" w:lineRule="auto"/>
        <w:rPr>
          <w:rFonts w:ascii="Arial" w:cs="Arial" w:eastAsia="Arial" w:hAnsi="Arial"/>
          <w:sz w:val="11"/>
          <w:szCs w:val="11"/>
          <w:color w:val="auto"/>
        </w:rPr>
      </w:pPr>
      <w:r>
        <w:rPr>
          <w:rFonts w:ascii="Arial" w:cs="Arial" w:eastAsia="Arial" w:hAnsi="Arial"/>
          <w:sz w:val="11"/>
          <w:szCs w:val="11"/>
          <w:color w:val="auto"/>
        </w:rPr>
        <w:t xml:space="preserve">of the vesting commencement date and the remaining 75% of the shares subject to the stock option vest in equa </w:t>
      </w:r>
      <w:r>
        <w:rPr>
          <w:rFonts w:ascii="Arial" w:cs="Arial" w:eastAsia="Arial" w:hAnsi="Arial"/>
          <w:sz w:val="21"/>
          <w:szCs w:val="21"/>
          <w:color w:val="auto"/>
          <w:vertAlign w:val="superscript"/>
        </w:rPr>
        <w:t>l</w:t>
      </w:r>
      <w:r>
        <w:rPr>
          <w:rFonts w:ascii="Arial" w:cs="Arial" w:eastAsia="Arial" w:hAnsi="Arial"/>
          <w:sz w:val="11"/>
          <w:szCs w:val="11"/>
          <w:color w:val="auto"/>
        </w:rPr>
        <w:t>monthly installments over the following three years, subject to continued service through each applicable vestin g</w:t>
      </w:r>
    </w:p>
    <w:p>
      <w:pPr>
        <w:spacing w:after="0" w:line="1" w:lineRule="exact"/>
        <w:rPr>
          <w:rFonts w:ascii="Arial" w:cs="Arial" w:eastAsia="Arial" w:hAnsi="Arial"/>
          <w:sz w:val="11"/>
          <w:szCs w:val="11"/>
          <w:color w:val="auto"/>
        </w:rPr>
      </w:pPr>
    </w:p>
    <w:p>
      <w:pPr>
        <w:ind w:left="1760"/>
        <w:spacing w:after="0"/>
        <w:rPr>
          <w:rFonts w:ascii="Arial" w:cs="Arial" w:eastAsia="Arial" w:hAnsi="Arial"/>
          <w:sz w:val="11"/>
          <w:szCs w:val="11"/>
          <w:color w:val="auto"/>
        </w:rPr>
      </w:pPr>
      <w:r>
        <w:rPr>
          <w:rFonts w:ascii="Arial" w:cs="Arial" w:eastAsia="Arial" w:hAnsi="Arial"/>
          <w:sz w:val="11"/>
          <w:szCs w:val="11"/>
          <w:color w:val="auto"/>
        </w:rPr>
        <w:t>date.</w:t>
      </w:r>
    </w:p>
    <w:p>
      <w:pPr>
        <w:spacing w:after="0" w:line="13" w:lineRule="exact"/>
        <w:rPr>
          <w:rFonts w:ascii="Arial" w:cs="Arial" w:eastAsia="Arial" w:hAnsi="Arial"/>
          <w:sz w:val="11"/>
          <w:szCs w:val="11"/>
          <w:color w:val="auto"/>
        </w:rPr>
      </w:pPr>
    </w:p>
    <w:p>
      <w:pPr>
        <w:ind w:left="1760" w:right="1700" w:hanging="238"/>
        <w:spacing w:after="0"/>
        <w:tabs>
          <w:tab w:leader="none" w:pos="1760" w:val="left"/>
        </w:tabs>
        <w:numPr>
          <w:ilvl w:val="0"/>
          <w:numId w:val="133"/>
        </w:numPr>
        <w:rPr>
          <w:rFonts w:ascii="Arial" w:cs="Arial" w:eastAsia="Arial" w:hAnsi="Arial"/>
          <w:sz w:val="11"/>
          <w:szCs w:val="11"/>
          <w:color w:val="auto"/>
        </w:rPr>
      </w:pPr>
      <w:r>
        <w:rPr>
          <w:rFonts w:ascii="Arial" w:cs="Arial" w:eastAsia="Arial" w:hAnsi="Arial"/>
          <w:sz w:val="11"/>
          <w:szCs w:val="11"/>
          <w:color w:val="auto"/>
        </w:rPr>
        <w:t>The RSUs vest on the first date upon which both a service-based condition and a performance-based conditio n</w:t>
      </w:r>
    </w:p>
    <w:p>
      <w:pPr>
        <w:spacing w:after="0" w:line="11" w:lineRule="exact"/>
        <w:rPr>
          <w:rFonts w:ascii="Arial" w:cs="Arial" w:eastAsia="Arial" w:hAnsi="Arial"/>
          <w:sz w:val="11"/>
          <w:szCs w:val="11"/>
          <w:color w:val="auto"/>
        </w:rPr>
      </w:pPr>
    </w:p>
    <w:p>
      <w:pPr>
        <w:ind w:left="1760"/>
        <w:spacing w:after="0" w:line="199" w:lineRule="auto"/>
        <w:rPr>
          <w:rFonts w:ascii="Arial" w:cs="Arial" w:eastAsia="Arial" w:hAnsi="Arial"/>
          <w:sz w:val="11"/>
          <w:szCs w:val="11"/>
          <w:color w:val="auto"/>
        </w:rPr>
      </w:pPr>
      <w:r>
        <w:rPr>
          <w:rFonts w:ascii="Arial" w:cs="Arial" w:eastAsia="Arial" w:hAnsi="Arial"/>
          <w:sz w:val="8"/>
          <w:szCs w:val="8"/>
          <w:color w:val="auto"/>
        </w:rPr>
        <w:t>are satisfied. See the section titled “—Equity-Based Incentive Awards—RSUs Granted in Fiscal 2025</w:t>
      </w:r>
    </w:p>
    <w:p>
      <w:pPr>
        <w:ind w:left="1760"/>
        <w:spacing w:after="0"/>
        <w:rPr>
          <w:rFonts w:ascii="Arial" w:cs="Arial" w:eastAsia="Arial" w:hAnsi="Arial"/>
          <w:sz w:val="11"/>
          <w:szCs w:val="11"/>
          <w:color w:val="auto"/>
        </w:rPr>
      </w:pPr>
      <w:r>
        <w:rPr>
          <w:rFonts w:ascii="Arial" w:cs="Arial" w:eastAsia="Arial" w:hAnsi="Arial"/>
          <w:sz w:val="11"/>
          <w:szCs w:val="11"/>
          <w:color w:val="auto"/>
        </w:rPr>
        <w:t>.”</w:t>
      </w:r>
    </w:p>
    <w:p>
      <w:pPr>
        <w:spacing w:after="0" w:line="35"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Change in Control and Severance Agreements</w:t>
      </w:r>
    </w:p>
    <w:p>
      <w:pPr>
        <w:spacing w:after="0" w:line="130" w:lineRule="exact"/>
        <w:rPr>
          <w:sz w:val="20"/>
          <w:szCs w:val="20"/>
          <w:color w:val="auto"/>
        </w:rPr>
      </w:pPr>
    </w:p>
    <w:p>
      <w:pPr>
        <w:ind w:left="1520" w:right="2120" w:firstLine="230"/>
        <w:spacing w:after="0" w:line="312" w:lineRule="auto"/>
        <w:rPr>
          <w:sz w:val="20"/>
          <w:szCs w:val="20"/>
          <w:color w:val="auto"/>
        </w:rPr>
      </w:pPr>
      <w:r>
        <w:rPr>
          <w:rFonts w:ascii="Arial" w:cs="Arial" w:eastAsia="Arial" w:hAnsi="Arial"/>
          <w:sz w:val="12"/>
          <w:szCs w:val="12"/>
          <w:color w:val="auto"/>
        </w:rPr>
        <w:t>Before the completion of this offering, we intend to enter into change in control and severance agreements with each of our named executive officers.</w:t>
      </w:r>
    </w:p>
    <w:p>
      <w:pPr>
        <w:spacing w:after="0" w:line="62" w:lineRule="exact"/>
        <w:rPr>
          <w:sz w:val="20"/>
          <w:szCs w:val="20"/>
          <w:color w:val="auto"/>
        </w:rPr>
      </w:pPr>
    </w:p>
    <w:p>
      <w:pPr>
        <w:ind w:left="1520" w:right="1780" w:firstLine="230"/>
        <w:spacing w:after="0" w:line="277" w:lineRule="auto"/>
        <w:rPr>
          <w:sz w:val="20"/>
          <w:szCs w:val="20"/>
          <w:color w:val="auto"/>
        </w:rPr>
      </w:pPr>
      <w:r>
        <w:rPr>
          <w:rFonts w:ascii="Arial" w:cs="Arial" w:eastAsia="Arial" w:hAnsi="Arial"/>
          <w:sz w:val="12"/>
          <w:szCs w:val="12"/>
          <w:color w:val="auto"/>
        </w:rPr>
        <w:t>Under each named executive officer’s change in control and severance agreement, if, outside of the applicable Change in Control Period (as defined below), a named executive officer’s employment is terminated by us without cause (excluding by reason of the named executive officer’s death or disability) or by the named executive officer for good reason, the named executive officer would be entitled to receive the following severance benefits:</w:t>
      </w:r>
    </w:p>
    <w:p>
      <w:pPr>
        <w:spacing w:after="0" w:line="84" w:lineRule="exact"/>
        <w:rPr>
          <w:sz w:val="20"/>
          <w:szCs w:val="20"/>
          <w:color w:val="auto"/>
        </w:rPr>
      </w:pPr>
    </w:p>
    <w:p>
      <w:pPr>
        <w:ind w:left="1980" w:right="1660" w:hanging="228"/>
        <w:spacing w:after="0" w:line="272" w:lineRule="auto"/>
        <w:tabs>
          <w:tab w:leader="none" w:pos="198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a lump sum cash severance payment equal to (i) six months (or in Mr. Cohen’s case, 12 months) of the named executive officer’s annual base salary, (ii) a prorated portion of the annual bonus that the named executive officer otherwise would have received for the year in which such termination occurs had the named executive officer remained employed through the date required to earn such bonus or as in effect immediately prior to the change in control, whichever is greater, and (iii) the amount of any cash performance incentive or bonus that the named executive officer otherwise would have received for any performance period that had ended before such termination had the named executive officer remained employed through the date required to earn such incentive or bonus;</w:t>
      </w:r>
    </w:p>
    <w:p>
      <w:pPr>
        <w:spacing w:after="0" w:line="241" w:lineRule="exact"/>
        <w:rPr>
          <w:rFonts w:ascii="Arial" w:cs="Arial" w:eastAsia="Arial" w:hAnsi="Arial"/>
          <w:sz w:val="12"/>
          <w:szCs w:val="12"/>
          <w:color w:val="auto"/>
        </w:rPr>
      </w:pPr>
    </w:p>
    <w:p>
      <w:pPr>
        <w:ind w:left="1980" w:right="1680" w:hanging="228"/>
        <w:spacing w:after="0" w:line="276" w:lineRule="auto"/>
        <w:tabs>
          <w:tab w:leader="none" w:pos="198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payment of premiums for coverage under the Consolidated Omnibus Budget Reconciliation Act of 1985, as amended, or COBRA, for the named executive officer and the named executive officer’s eligible dependents, if any, for up to 12 months (or in Mr. Cohen’s case, 18 months) following the date of such termination or taxable monthly payments for the equivalent period in the event payment of the COBRA premiums would violate or be subject to an excise tax under applicable law;</w:t>
      </w:r>
    </w:p>
    <w:p>
      <w:pPr>
        <w:spacing w:after="0" w:line="239" w:lineRule="exact"/>
        <w:rPr>
          <w:rFonts w:ascii="Arial" w:cs="Arial" w:eastAsia="Arial" w:hAnsi="Arial"/>
          <w:sz w:val="12"/>
          <w:szCs w:val="12"/>
          <w:color w:val="auto"/>
        </w:rPr>
      </w:pPr>
    </w:p>
    <w:p>
      <w:pPr>
        <w:ind w:left="1980" w:hanging="228"/>
        <w:spacing w:after="0"/>
        <w:tabs>
          <w:tab w:leader="none" w:pos="198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accelerated vesting of any unvested time-based service equity awards that would have vested</w:t>
      </w:r>
    </w:p>
    <w:p>
      <w:pPr>
        <w:sectPr>
          <w:pgSz w:w="11900" w:h="16840" w:orient="portrait"/>
          <w:cols w:equalWidth="0" w:num="1">
            <w:col w:w="9020"/>
          </w:cols>
          <w:pgMar w:left="1440" w:top="560" w:right="1440" w:bottom="38" w:gutter="0" w:footer="0" w:header="0"/>
        </w:sectPr>
      </w:pPr>
    </w:p>
    <w:bookmarkStart w:id="122" w:name="page123"/>
    <w:bookmarkEnd w:id="122"/>
    <w:p>
      <w:pPr>
        <w:ind w:left="1980"/>
        <w:spacing w:after="0"/>
        <w:rPr>
          <w:sz w:val="20"/>
          <w:szCs w:val="20"/>
          <w:color w:val="auto"/>
        </w:rPr>
      </w:pPr>
      <w:r>
        <w:rPr>
          <w:rFonts w:ascii="Arial" w:cs="Arial" w:eastAsia="Arial" w:hAnsi="Arial"/>
          <w:sz w:val="12"/>
          <w:szCs w:val="12"/>
          <w:color w:val="auto"/>
        </w:rPr>
        <w:t>during the 12 months following the termination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100" w:lineRule="exact"/>
        <w:rPr>
          <w:sz w:val="20"/>
          <w:szCs w:val="20"/>
          <w:color w:val="auto"/>
        </w:rPr>
      </w:pPr>
    </w:p>
    <w:p>
      <w:pPr>
        <w:ind w:left="1980" w:right="1880" w:hanging="228"/>
        <w:spacing w:after="0" w:line="289" w:lineRule="auto"/>
        <w:tabs>
          <w:tab w:leader="none" w:pos="198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extension of the period that each of the named executive officer’s vested options will remain exercisable until the earlier of (i) 24 months following the date of the named executive officer’s termination of employment (or if the termination occurs when Company’s common stock is not</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176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80" w:right="1860"/>
        <w:spacing w:after="0" w:line="312" w:lineRule="auto"/>
        <w:rPr>
          <w:sz w:val="20"/>
          <w:szCs w:val="20"/>
          <w:color w:val="auto"/>
        </w:rPr>
      </w:pPr>
      <w:r>
        <w:rPr>
          <w:rFonts w:ascii="Arial" w:cs="Arial" w:eastAsia="Arial" w:hAnsi="Arial"/>
          <w:sz w:val="12"/>
          <w:szCs w:val="12"/>
          <w:color w:val="auto"/>
        </w:rPr>
        <w:t>listed on any established stock exchange or national market system, seven years following the date of the termination) or (ii) the expiration of the option’s term.</w:t>
      </w:r>
    </w:p>
    <w:p>
      <w:pPr>
        <w:spacing w:after="0" w:line="62" w:lineRule="exact"/>
        <w:rPr>
          <w:sz w:val="20"/>
          <w:szCs w:val="20"/>
          <w:color w:val="auto"/>
        </w:rPr>
      </w:pPr>
    </w:p>
    <w:p>
      <w:pPr>
        <w:ind w:left="1520" w:right="1740" w:firstLine="230"/>
        <w:spacing w:after="0" w:line="275" w:lineRule="auto"/>
        <w:rPr>
          <w:sz w:val="20"/>
          <w:szCs w:val="20"/>
          <w:color w:val="auto"/>
        </w:rPr>
      </w:pPr>
      <w:r>
        <w:rPr>
          <w:rFonts w:ascii="Arial" w:cs="Arial" w:eastAsia="Arial" w:hAnsi="Arial"/>
          <w:sz w:val="12"/>
          <w:szCs w:val="12"/>
          <w:color w:val="auto"/>
        </w:rPr>
        <w:t>Under each named executive officer’s change in control and severance agreement, if, during the period beginning three months before a change in control and ending 12 months (or in Mr. Cohen’s case, 18 months) after a change in control, or the Change in Control Period, a named executive officer’s employment is terminated by us without cause (excluding by reason of the named executive officer’s death or disability) or by the named executive officer for good reason, the named executive officer would be entitled to receive the following severance benefits:</w:t>
      </w:r>
    </w:p>
    <w:p>
      <w:pPr>
        <w:spacing w:after="0" w:line="85" w:lineRule="exact"/>
        <w:rPr>
          <w:sz w:val="20"/>
          <w:szCs w:val="20"/>
          <w:color w:val="auto"/>
        </w:rPr>
      </w:pPr>
    </w:p>
    <w:p>
      <w:pPr>
        <w:ind w:left="1980" w:right="1740" w:hanging="228"/>
        <w:spacing w:after="0" w:line="273" w:lineRule="auto"/>
        <w:tabs>
          <w:tab w:leader="none" w:pos="198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a lump sum cash severance payment equal to (i) 12 months (or in Mr. Cohen’s case, 18 months) of the named executive officer’s annual base salary, (ii) 100% (or in Mr. Cohen’s case, 150%) of the named executive officer’s target annual bonus as in effect for the fiscal year in which the termination occurs, and (iii) the amount of any cash performance incentive or bonus that the named executive officer otherwise would have received for any performance period that had ended before such termination had the named executive officer remained employed through the date required to earn such incentive or bonus;</w:t>
      </w:r>
    </w:p>
    <w:p>
      <w:pPr>
        <w:spacing w:after="0" w:line="87" w:lineRule="exact"/>
        <w:rPr>
          <w:rFonts w:ascii="Arial" w:cs="Arial" w:eastAsia="Arial" w:hAnsi="Arial"/>
          <w:sz w:val="12"/>
          <w:szCs w:val="12"/>
          <w:color w:val="auto"/>
        </w:rPr>
      </w:pPr>
    </w:p>
    <w:p>
      <w:pPr>
        <w:ind w:left="1980" w:right="1700" w:hanging="228"/>
        <w:spacing w:after="0" w:line="276" w:lineRule="auto"/>
        <w:tabs>
          <w:tab w:leader="none" w:pos="198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payment of premiums for coverage under COBRA for the named executive officer and the named executive officer’s eligible dependents, if any, for up to 12 months (or in Mr. Cohen’s case,</w:t>
      </w:r>
    </w:p>
    <w:p>
      <w:pPr>
        <w:jc w:val="both"/>
        <w:ind w:left="1980" w:right="1700"/>
        <w:spacing w:after="0" w:line="279" w:lineRule="auto"/>
        <w:rPr>
          <w:rFonts w:ascii="Arial" w:cs="Arial" w:eastAsia="Arial" w:hAnsi="Arial"/>
          <w:sz w:val="12"/>
          <w:szCs w:val="12"/>
          <w:color w:val="auto"/>
        </w:rPr>
      </w:pPr>
      <w:r>
        <w:rPr>
          <w:rFonts w:ascii="Arial" w:cs="Arial" w:eastAsia="Arial" w:hAnsi="Arial"/>
          <w:sz w:val="12"/>
          <w:szCs w:val="12"/>
          <w:color w:val="auto"/>
        </w:rPr>
        <w:t>18 months) following the date of such termination or taxable monthly payments for the equivalent period in the event payment of the COBRA premiums would violate or be subject to an excise tax under applicable law;</w:t>
      </w:r>
    </w:p>
    <w:p>
      <w:pPr>
        <w:spacing w:after="0" w:line="81" w:lineRule="exact"/>
        <w:rPr>
          <w:rFonts w:ascii="Arial" w:cs="Arial" w:eastAsia="Arial" w:hAnsi="Arial"/>
          <w:sz w:val="12"/>
          <w:szCs w:val="12"/>
          <w:color w:val="auto"/>
        </w:rPr>
      </w:pPr>
    </w:p>
    <w:p>
      <w:pPr>
        <w:ind w:left="1980" w:hanging="228"/>
        <w:spacing w:after="0"/>
        <w:tabs>
          <w:tab w:leader="none" w:pos="198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accelerated vesting of all outstanding, unvested time-based service equity awards; and</w:t>
      </w:r>
    </w:p>
    <w:p>
      <w:pPr>
        <w:spacing w:after="0" w:line="129" w:lineRule="exact"/>
        <w:rPr>
          <w:rFonts w:ascii="Arial" w:cs="Arial" w:eastAsia="Arial" w:hAnsi="Arial"/>
          <w:sz w:val="12"/>
          <w:szCs w:val="12"/>
          <w:color w:val="auto"/>
        </w:rPr>
      </w:pPr>
    </w:p>
    <w:p>
      <w:pPr>
        <w:ind w:left="1980" w:right="1860" w:hanging="228"/>
        <w:spacing w:after="0" w:line="277" w:lineRule="auto"/>
        <w:tabs>
          <w:tab w:leader="none" w:pos="198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extension of the period that each of the named executive officer’s vested options will remain exercisable until the earlier of (i) 24 months following the date of the named executive officer’s termination of employment (or if the termination occurs when Company’s common stock is not listed on any established stock exchange or national market system, seven years following the date of the termination) or (ii) the expiration of the option’s term.</w:t>
      </w:r>
    </w:p>
    <w:p>
      <w:pPr>
        <w:spacing w:after="0" w:line="84"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Severance will be conditioned upon (i) the execution and non-revocation of a release of claims,</w:t>
      </w:r>
    </w:p>
    <w:p>
      <w:pPr>
        <w:spacing w:after="0" w:line="27" w:lineRule="exact"/>
        <w:rPr>
          <w:sz w:val="20"/>
          <w:szCs w:val="20"/>
          <w:color w:val="auto"/>
        </w:rPr>
      </w:pPr>
    </w:p>
    <w:p>
      <w:pPr>
        <w:ind w:left="1520" w:right="1720" w:firstLine="2"/>
        <w:spacing w:after="0" w:line="270" w:lineRule="auto"/>
        <w:tabs>
          <w:tab w:leader="none" w:pos="1692" w:val="left"/>
        </w:tabs>
        <w:numPr>
          <w:ilvl w:val="0"/>
          <w:numId w:val="137"/>
        </w:numPr>
        <w:rPr>
          <w:rFonts w:ascii="Arial" w:cs="Arial" w:eastAsia="Arial" w:hAnsi="Arial"/>
          <w:sz w:val="12"/>
          <w:szCs w:val="12"/>
          <w:color w:val="auto"/>
        </w:rPr>
      </w:pPr>
      <w:r>
        <w:rPr>
          <w:rFonts w:ascii="Arial" w:cs="Arial" w:eastAsia="Arial" w:hAnsi="Arial"/>
          <w:sz w:val="12"/>
          <w:szCs w:val="12"/>
          <w:color w:val="auto"/>
        </w:rPr>
        <w:t>return of all Company documents and other property, and (iii) continued compliance with any confidential information agreement between us and him. The change in control and severance agreements do not provide for any excise tax gross-ups. If the merger-related payments or benefits of the named executive officer are subject to the 20% excise tax under Section 4999 of the Internal Revenue Code of 1986, as amended, or the Code, then the named executive officer will either receive all such payments and benefits subject to the excise tax or such payments and benefits will be reduced so that the excise tax does not apply, whichever approach yields the best after-tax outcome for the named executive officer.</w:t>
      </w:r>
    </w:p>
    <w:p>
      <w:pPr>
        <w:spacing w:after="0" w:line="24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Cash Incentive Bonus Plan</w:t>
      </w:r>
    </w:p>
    <w:p>
      <w:pPr>
        <w:spacing w:after="0" w:line="130" w:lineRule="exact"/>
        <w:rPr>
          <w:sz w:val="20"/>
          <w:szCs w:val="20"/>
          <w:color w:val="auto"/>
        </w:rPr>
      </w:pPr>
    </w:p>
    <w:p>
      <w:pPr>
        <w:ind w:left="1520" w:right="1720" w:firstLine="230"/>
        <w:spacing w:after="0" w:line="286" w:lineRule="auto"/>
        <w:rPr>
          <w:sz w:val="20"/>
          <w:szCs w:val="20"/>
          <w:color w:val="auto"/>
        </w:rPr>
      </w:pPr>
      <w:r>
        <w:rPr>
          <w:rFonts w:ascii="Arial" w:cs="Arial" w:eastAsia="Arial" w:hAnsi="Arial"/>
          <w:sz w:val="12"/>
          <w:szCs w:val="12"/>
          <w:color w:val="auto"/>
        </w:rPr>
        <w:t>Before the completion of this offering, our board of directors intends to adopt our Cash Incentive Bonus Plan, or the Bonus Plan. Our Bonus Plan allows us to grant incentive awards (generally payable in cash) to employees selected by the administrator of the Bonus Plan, including our named executive officers.</w:t>
      </w:r>
    </w:p>
    <w:p>
      <w:pPr>
        <w:spacing w:after="0" w:line="234" w:lineRule="exact"/>
        <w:rPr>
          <w:sz w:val="20"/>
          <w:szCs w:val="20"/>
          <w:color w:val="auto"/>
        </w:rPr>
      </w:pPr>
    </w:p>
    <w:p>
      <w:pPr>
        <w:ind w:left="1520" w:right="1760" w:firstLine="230"/>
        <w:spacing w:after="0" w:line="281" w:lineRule="auto"/>
        <w:rPr>
          <w:sz w:val="20"/>
          <w:szCs w:val="20"/>
          <w:color w:val="auto"/>
        </w:rPr>
      </w:pPr>
      <w:r>
        <w:rPr>
          <w:rFonts w:ascii="Arial" w:cs="Arial" w:eastAsia="Arial" w:hAnsi="Arial"/>
          <w:sz w:val="12"/>
          <w:szCs w:val="12"/>
          <w:color w:val="auto"/>
        </w:rPr>
        <w:t>Our board of directors or a committee appointed by our board of directors (which, until our board of directors determines otherwise, will be our compensation committee) will administer our Bonus Plan. In this summary of the 2025 Plan, we sometimes refer to our board of directors or the applicable committee with the power to administer the Bonus Plan as the administrator.</w:t>
      </w:r>
    </w:p>
    <w:p>
      <w:pPr>
        <w:spacing w:after="0" w:line="81" w:lineRule="exact"/>
        <w:rPr>
          <w:sz w:val="20"/>
          <w:szCs w:val="20"/>
          <w:color w:val="auto"/>
        </w:rPr>
      </w:pPr>
    </w:p>
    <w:p>
      <w:pPr>
        <w:ind w:left="1520" w:right="1960" w:firstLine="230"/>
        <w:spacing w:after="0" w:line="312" w:lineRule="auto"/>
        <w:rPr>
          <w:sz w:val="20"/>
          <w:szCs w:val="20"/>
          <w:color w:val="auto"/>
        </w:rPr>
      </w:pPr>
      <w:r>
        <w:rPr>
          <w:rFonts w:ascii="Arial" w:cs="Arial" w:eastAsia="Arial" w:hAnsi="Arial"/>
          <w:sz w:val="12"/>
          <w:szCs w:val="12"/>
          <w:color w:val="auto"/>
        </w:rPr>
        <w:t>The administrator will determine the performance goals that apply to any award under our Bonus Plan. The performance goals may be based on GAAP or non-GAAP results, and when determining</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177</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20"/>
        <w:spacing w:after="0" w:line="272" w:lineRule="auto"/>
        <w:rPr>
          <w:sz w:val="20"/>
          <w:szCs w:val="20"/>
          <w:color w:val="auto"/>
        </w:rPr>
      </w:pPr>
      <w:r>
        <w:rPr>
          <w:rFonts w:ascii="Arial" w:cs="Arial" w:eastAsia="Arial" w:hAnsi="Arial"/>
          <w:sz w:val="12"/>
          <w:szCs w:val="12"/>
          <w:color w:val="auto"/>
        </w:rPr>
        <w:t>whether the performance goals have been met, any actual results may be adjusted by the administrator for one-time items or unbudgeted or unexpected items and/or payments of actual awards under the Bonus Plan. The performance goals may be based on any factors that the administrator determines relevant, such as on an individual, divisional, portfolio, project, business unit, or company-wide basis. Any criteria used may be measured on such basis as the administrator determines. The performance goals may differ from participant to participant and from award to award. The administrator also may determine that a target award (or a portion of a target award) will not have a performance goal associated with it but instead will be granted in the administrator’s discretion.</w:t>
      </w:r>
    </w:p>
    <w:p>
      <w:pPr>
        <w:spacing w:after="0" w:line="88" w:lineRule="exact"/>
        <w:rPr>
          <w:sz w:val="20"/>
          <w:szCs w:val="20"/>
          <w:color w:val="auto"/>
        </w:rPr>
      </w:pPr>
    </w:p>
    <w:p>
      <w:pPr>
        <w:ind w:left="1520" w:right="1680" w:firstLine="230"/>
        <w:spacing w:after="0" w:line="277" w:lineRule="auto"/>
        <w:rPr>
          <w:sz w:val="20"/>
          <w:szCs w:val="20"/>
          <w:color w:val="auto"/>
        </w:rPr>
      </w:pPr>
      <w:r>
        <w:rPr>
          <w:rFonts w:ascii="Arial" w:cs="Arial" w:eastAsia="Arial" w:hAnsi="Arial"/>
          <w:sz w:val="12"/>
          <w:szCs w:val="12"/>
          <w:color w:val="auto"/>
        </w:rPr>
        <w:t>The administrator has the discretion at any time before payment of a participant’s award to increase, reduce or eliminate the award and/or the bonus pool for a particular performance period. The administrator may determine the amount of any increase, reduction, or elimination on the basis of any factors that it deems relevant, and the administrator is not required to establish any allocation or weighting with respect to the factors it considers. The actual award may be below, at, or above the target award.</w:t>
      </w:r>
    </w:p>
    <w:p>
      <w:pPr>
        <w:spacing w:after="0" w:line="84" w:lineRule="exact"/>
        <w:rPr>
          <w:sz w:val="20"/>
          <w:szCs w:val="20"/>
          <w:color w:val="auto"/>
        </w:rPr>
      </w:pPr>
    </w:p>
    <w:p>
      <w:pPr>
        <w:ind w:left="1520" w:right="1760" w:firstLine="230"/>
        <w:spacing w:after="0" w:line="289" w:lineRule="auto"/>
        <w:rPr>
          <w:sz w:val="20"/>
          <w:szCs w:val="20"/>
          <w:color w:val="auto"/>
        </w:rPr>
      </w:pPr>
      <w:r>
        <w:rPr>
          <w:rFonts w:ascii="Arial" w:cs="Arial" w:eastAsia="Arial" w:hAnsi="Arial"/>
          <w:sz w:val="12"/>
          <w:szCs w:val="12"/>
          <w:color w:val="auto"/>
        </w:rPr>
        <w:t>Actual awards generally will be paid in cash (or its equivalent) only after they are earned and approved. Unless the administrator determines otherwise, to earn an actual award, a participant must be employed by us through the date the actual award is paid. The administrator will have the right to settle</w:t>
      </w:r>
    </w:p>
    <w:p>
      <w:pPr>
        <w:sectPr>
          <w:pgSz w:w="11900" w:h="16840" w:orient="portrait"/>
          <w:cols w:equalWidth="0" w:num="1">
            <w:col w:w="9020"/>
          </w:cols>
          <w:pgMar w:left="1440" w:top="560" w:right="1440" w:bottom="0" w:gutter="0" w:footer="0" w:header="0"/>
        </w:sectPr>
      </w:pPr>
    </w:p>
    <w:bookmarkStart w:id="123" w:name="page124"/>
    <w:bookmarkEnd w:id="123"/>
    <w:p>
      <w:pPr>
        <w:ind w:left="1520" w:right="1800"/>
        <w:spacing w:after="0" w:line="259" w:lineRule="auto"/>
        <w:rPr>
          <w:sz w:val="20"/>
          <w:szCs w:val="20"/>
          <w:color w:val="auto"/>
        </w:rPr>
      </w:pPr>
      <w:r>
        <w:rPr>
          <w:rFonts w:ascii="Arial" w:cs="Arial" w:eastAsia="Arial" w:hAnsi="Arial"/>
          <w:sz w:val="12"/>
          <w:szCs w:val="12"/>
          <w:color w:val="auto"/>
        </w:rPr>
        <w:t>an actual award with a grant of an equity award under our then-current equity compensation plan, which will have such terms and conditions that the administrator determines. Payment of an award occurs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-182245</wp:posOffset>
            </wp:positionV>
            <wp:extent cx="6732270" cy="99707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2040"/>
        <w:spacing w:after="0" w:line="292" w:lineRule="auto"/>
        <w:rPr>
          <w:sz w:val="20"/>
          <w:szCs w:val="20"/>
          <w:color w:val="auto"/>
        </w:rPr>
      </w:pPr>
      <w:r>
        <w:rPr>
          <w:rFonts w:ascii="Arial" w:cs="Arial" w:eastAsia="Arial" w:hAnsi="Arial"/>
          <w:sz w:val="12"/>
          <w:szCs w:val="12"/>
          <w:color w:val="auto"/>
        </w:rPr>
        <w:t>soon as practicable after the award is approved by the administrator following the end of the related performance period but not later than the date specified in the Bonus Plan.</w:t>
      </w:r>
    </w:p>
    <w:p>
      <w:pPr>
        <w:spacing w:after="0" w:line="74" w:lineRule="exact"/>
        <w:rPr>
          <w:sz w:val="20"/>
          <w:szCs w:val="20"/>
          <w:color w:val="auto"/>
        </w:rPr>
      </w:pPr>
    </w:p>
    <w:p>
      <w:pPr>
        <w:ind w:left="1520" w:right="1680" w:firstLine="230"/>
        <w:spacing w:after="0" w:line="272" w:lineRule="auto"/>
        <w:rPr>
          <w:sz w:val="20"/>
          <w:szCs w:val="20"/>
          <w:color w:val="auto"/>
        </w:rPr>
      </w:pPr>
      <w:r>
        <w:rPr>
          <w:rFonts w:ascii="Arial" w:cs="Arial" w:eastAsia="Arial" w:hAnsi="Arial"/>
          <w:sz w:val="12"/>
          <w:szCs w:val="12"/>
          <w:color w:val="auto"/>
        </w:rPr>
        <w:t>Each award under the Bonus Plan will be subject to reduction, cancellation, forfeiture, or recoupment in accordance with any clawback policy of ours (or any of our parents or subsidiaries) in effect as of the date the award is granted or any other clawback policy that we (or any parent or subsidiary of ours) are required to adopt by the listing standards of any national securities exchange or association on which our securities are listed or by applicable laws. In addition, the administrator may impose any other reduction, cancellation, forfeiture, clawback, recovery, or recoupment provisions with respect to an award that it determines necessary or appropriate. In the event of an accounting restatement, the recipient of an award will be required to repay a portion of the proceeds received with respect to an award earned or accrued under certain circumstances.</w:t>
      </w:r>
    </w:p>
    <w:p>
      <w:pPr>
        <w:spacing w:after="0" w:line="85" w:lineRule="exact"/>
        <w:rPr>
          <w:sz w:val="20"/>
          <w:szCs w:val="20"/>
          <w:color w:val="auto"/>
        </w:rPr>
      </w:pPr>
    </w:p>
    <w:p>
      <w:pPr>
        <w:ind w:left="1520" w:right="1840" w:firstLine="230"/>
        <w:spacing w:after="0" w:line="289" w:lineRule="auto"/>
        <w:rPr>
          <w:sz w:val="20"/>
          <w:szCs w:val="20"/>
          <w:color w:val="auto"/>
        </w:rPr>
      </w:pPr>
      <w:r>
        <w:rPr>
          <w:rFonts w:ascii="Arial" w:cs="Arial" w:eastAsia="Arial" w:hAnsi="Arial"/>
          <w:sz w:val="12"/>
          <w:szCs w:val="12"/>
          <w:color w:val="auto"/>
        </w:rPr>
        <w:t>The administrator will have the authority to amend, suspend, or terminate the Bonus Plan, but such actions will not alter or impair any participant’s rights or obligations with respect to an earned award without the participant’s consent.</w:t>
      </w:r>
    </w:p>
    <w:p>
      <w:pPr>
        <w:spacing w:after="0" w:line="76"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Welfare and Other Benefits</w:t>
      </w:r>
    </w:p>
    <w:p>
      <w:pPr>
        <w:spacing w:after="0" w:line="130" w:lineRule="exact"/>
        <w:rPr>
          <w:sz w:val="20"/>
          <w:szCs w:val="20"/>
          <w:color w:val="auto"/>
        </w:rPr>
      </w:pPr>
    </w:p>
    <w:p>
      <w:pPr>
        <w:ind w:left="1520" w:right="2080" w:firstLine="230"/>
        <w:spacing w:after="0" w:line="312" w:lineRule="auto"/>
        <w:rPr>
          <w:sz w:val="20"/>
          <w:szCs w:val="20"/>
          <w:color w:val="auto"/>
        </w:rPr>
      </w:pPr>
      <w:r>
        <w:rPr>
          <w:rFonts w:ascii="Arial" w:cs="Arial" w:eastAsia="Arial" w:hAnsi="Arial"/>
          <w:sz w:val="12"/>
          <w:szCs w:val="12"/>
          <w:color w:val="auto"/>
        </w:rPr>
        <w:t>We provide health, dental, vision, life, and disability insurance benefits to our named executive officers, on the same terms and conditions as provided to all other eligible U.S. employees.</w:t>
      </w:r>
    </w:p>
    <w:p>
      <w:pPr>
        <w:spacing w:after="0" w:line="62"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We also maintain a 401(k) plan that provides eligible U.S. employees with an opportunity to save for retirement on a tax advantaged basis. Eligible employees are able to make pre-tax and after-tax contributions of eligible compensation up to certain Code limits, which are updated annually. We have the ability to make matching and discretionary contributions to the 401(k) plan. Currently, we do not make matching contributions or discretionary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pre-tax contributions and earnings on pre-tax and after-tax contributions are not generally taxable to the employees until withdrawn or distributed from the 401(k) plan.</w:t>
      </w:r>
    </w:p>
    <w:p>
      <w:pPr>
        <w:spacing w:after="0" w:line="85"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Compensation Recovery Policy</w:t>
      </w:r>
    </w:p>
    <w:p>
      <w:pPr>
        <w:spacing w:after="0" w:line="130" w:lineRule="exact"/>
        <w:rPr>
          <w:sz w:val="20"/>
          <w:szCs w:val="20"/>
          <w:color w:val="auto"/>
        </w:rPr>
      </w:pPr>
    </w:p>
    <w:p>
      <w:pPr>
        <w:ind w:left="1520" w:right="1820" w:firstLine="230"/>
        <w:spacing w:after="0" w:line="312" w:lineRule="auto"/>
        <w:rPr>
          <w:sz w:val="20"/>
          <w:szCs w:val="20"/>
          <w:color w:val="auto"/>
        </w:rPr>
      </w:pPr>
      <w:r>
        <w:rPr>
          <w:rFonts w:ascii="Arial" w:cs="Arial" w:eastAsia="Arial" w:hAnsi="Arial"/>
          <w:sz w:val="12"/>
          <w:szCs w:val="12"/>
          <w:color w:val="auto"/>
        </w:rPr>
        <w:t>Before the completion of this offering, we intend to adopt a Compensation Recovery Policy, or the Compensation Recovery Policy. The Compensation Recovery Policy will be in accordance with the final</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178</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00"/>
        <w:spacing w:after="0" w:line="270" w:lineRule="auto"/>
        <w:rPr>
          <w:sz w:val="20"/>
          <w:szCs w:val="20"/>
          <w:color w:val="auto"/>
        </w:rPr>
      </w:pPr>
      <w:r>
        <w:rPr>
          <w:rFonts w:ascii="Arial" w:cs="Arial" w:eastAsia="Arial" w:hAnsi="Arial"/>
          <w:sz w:val="12"/>
          <w:szCs w:val="12"/>
          <w:color w:val="auto"/>
        </w:rPr>
        <w:t>rules regarding recovery of erroneously awarded executive officer compensation in connection with an accounting restatement, as adopted by the SEC in October 2022, and consistent with the corresponding listing standards, or together, the Clawback Rules. Pursuant to the Compensation Recovery Policy, and subject to certain limited exceptions in the Clawback Rules, in the event we are required to restate our financial statements, we will be required to recoup erroneously awarded incentive-based compensation (as described in the Clawback Rules, including both cash and equity compensation) paid to any current or former executive officer (as described in the Clawback Rules) during the three completed fiscal years immediately prior to the date the accounting restatement was required. The amount recoverable will be the amount of any incentive-based compensation received by the executive officer based on the financial statements prior to the restatement that exceeds the amount that such executive officer would have received had the incentive-based compensation been determined based on the financial restatement.</w:t>
      </w:r>
    </w:p>
    <w:p>
      <w:pPr>
        <w:spacing w:after="0" w:line="9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Equity Plans</w:t>
      </w:r>
    </w:p>
    <w:p>
      <w:pPr>
        <w:spacing w:after="0" w:line="130" w:lineRule="exact"/>
        <w:rPr>
          <w:sz w:val="20"/>
          <w:szCs w:val="20"/>
          <w:color w:val="auto"/>
        </w:rPr>
      </w:pPr>
    </w:p>
    <w:p>
      <w:pPr>
        <w:ind w:left="1520" w:right="1740" w:firstLine="230"/>
        <w:spacing w:after="0" w:line="277" w:lineRule="auto"/>
        <w:rPr>
          <w:sz w:val="20"/>
          <w:szCs w:val="20"/>
          <w:color w:val="auto"/>
        </w:rPr>
      </w:pPr>
      <w:r>
        <w:rPr>
          <w:rFonts w:ascii="Arial" w:cs="Arial" w:eastAsia="Arial" w:hAnsi="Arial"/>
          <w:sz w:val="12"/>
          <w:szCs w:val="12"/>
          <w:color w:val="auto"/>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8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2015 Equity Incentive Plan</w:t>
      </w:r>
    </w:p>
    <w:p>
      <w:pPr>
        <w:spacing w:after="0" w:line="128" w:lineRule="exact"/>
        <w:rPr>
          <w:sz w:val="20"/>
          <w:szCs w:val="20"/>
          <w:color w:val="auto"/>
        </w:rPr>
      </w:pPr>
    </w:p>
    <w:p>
      <w:pPr>
        <w:ind w:left="1520" w:right="1800" w:firstLine="230"/>
        <w:spacing w:after="0" w:line="289" w:lineRule="auto"/>
        <w:rPr>
          <w:sz w:val="20"/>
          <w:szCs w:val="20"/>
          <w:color w:val="auto"/>
        </w:rPr>
      </w:pPr>
      <w:r>
        <w:rPr>
          <w:rFonts w:ascii="Arial" w:cs="Arial" w:eastAsia="Arial" w:hAnsi="Arial"/>
          <w:sz w:val="12"/>
          <w:szCs w:val="12"/>
          <w:color w:val="auto"/>
        </w:rPr>
        <w:t>In February 2015, we adopted the 2015 Plan, as most recently amended in April 2025. The purpose of the 2015 Plan is to provide incentives to attract, retain, and motivate eligible persons whose present and potential contributions are important to our success.</w:t>
      </w:r>
    </w:p>
    <w:p>
      <w:pPr>
        <w:spacing w:after="0" w:line="76" w:lineRule="exact"/>
        <w:rPr>
          <w:sz w:val="20"/>
          <w:szCs w:val="20"/>
          <w:color w:val="auto"/>
        </w:rPr>
      </w:pPr>
    </w:p>
    <w:p>
      <w:pPr>
        <w:ind w:left="1520" w:right="1560" w:firstLine="230"/>
        <w:spacing w:after="0" w:line="268" w:lineRule="auto"/>
        <w:rPr>
          <w:sz w:val="20"/>
          <w:szCs w:val="20"/>
          <w:color w:val="auto"/>
        </w:rPr>
      </w:pPr>
      <w:r>
        <w:rPr>
          <w:rFonts w:ascii="Arial" w:cs="Arial" w:eastAsia="Arial" w:hAnsi="Arial"/>
          <w:sz w:val="12"/>
          <w:szCs w:val="12"/>
          <w:i w:val="1"/>
          <w:iCs w:val="1"/>
          <w:color w:val="auto"/>
        </w:rPr>
        <w:t xml:space="preserve">Share Reserve. </w:t>
      </w:r>
      <w:r>
        <w:rPr>
          <w:rFonts w:ascii="Arial" w:cs="Arial" w:eastAsia="Arial" w:hAnsi="Arial"/>
          <w:sz w:val="12"/>
          <w:szCs w:val="12"/>
          <w:color w:val="auto"/>
        </w:rPr>
        <w:t>As of July 31, 2025, we had 69,378,362 shares of our Class A common stock</w:t>
      </w:r>
      <w:r>
        <w:rPr>
          <w:rFonts w:ascii="Arial" w:cs="Arial" w:eastAsia="Arial" w:hAnsi="Arial"/>
          <w:sz w:val="12"/>
          <w:szCs w:val="12"/>
          <w:i w:val="1"/>
          <w:iCs w:val="1"/>
          <w:color w:val="auto"/>
        </w:rPr>
        <w:t xml:space="preserve"> </w:t>
      </w:r>
      <w:r>
        <w:rPr>
          <w:rFonts w:ascii="Arial" w:cs="Arial" w:eastAsia="Arial" w:hAnsi="Arial"/>
          <w:sz w:val="12"/>
          <w:szCs w:val="12"/>
          <w:color w:val="auto"/>
        </w:rPr>
        <w:t>reserved for issuance through grants under our 2015 Plan, of which 5,876,145 shares remained available for grant. As of July 31, 2025, options to purchase 15,531,646 shares had been exercised; options to purchase 41,581,733 shares remained outstanding, with a weighted-average exercise price of $13.32 per share, of which 8,611,649 shares will be exchangeable for an equal number of shares of Class B common stock at the election of our co-founders upon exercise ; and 7,771,766 RSUs were issued and outstanding, of which 1,742,147 shares will be exchangeable for an equal number of shares of Class B common stock at the election of our co-founders upon exercise . As of July 31, 2025, no shares of restricted stock were granted and outstanding under the 2015 Plan. Certain options granted under the</w:t>
      </w:r>
    </w:p>
    <w:p>
      <w:pPr>
        <w:spacing w:after="0" w:line="3" w:lineRule="exact"/>
        <w:rPr>
          <w:sz w:val="20"/>
          <w:szCs w:val="20"/>
          <w:color w:val="auto"/>
        </w:rPr>
      </w:pPr>
    </w:p>
    <w:p>
      <w:pPr>
        <w:ind w:left="1520" w:right="1740"/>
        <w:spacing w:after="0" w:line="292" w:lineRule="auto"/>
        <w:rPr>
          <w:sz w:val="20"/>
          <w:szCs w:val="20"/>
          <w:color w:val="auto"/>
        </w:rPr>
      </w:pPr>
      <w:r>
        <w:rPr>
          <w:rFonts w:ascii="Arial" w:cs="Arial" w:eastAsia="Arial" w:hAnsi="Arial"/>
          <w:sz w:val="12"/>
          <w:szCs w:val="12"/>
          <w:color w:val="auto"/>
        </w:rPr>
        <w:t>2015 Plan are early exercisable and may be exercised for unvested shares of our Class A common stock subject to a repurchase right. No new awards will be granted under the 2015 Plan after the offering.</w:t>
      </w:r>
    </w:p>
    <w:p>
      <w:pPr>
        <w:spacing w:after="0" w:line="74" w:lineRule="exact"/>
        <w:rPr>
          <w:sz w:val="20"/>
          <w:szCs w:val="20"/>
          <w:color w:val="auto"/>
        </w:rPr>
      </w:pPr>
    </w:p>
    <w:p>
      <w:pPr>
        <w:ind w:left="1520" w:right="1700" w:firstLine="230"/>
        <w:spacing w:after="0" w:line="277" w:lineRule="auto"/>
        <w:rPr>
          <w:sz w:val="20"/>
          <w:szCs w:val="20"/>
          <w:color w:val="auto"/>
        </w:rPr>
      </w:pPr>
      <w:r>
        <w:rPr>
          <w:rFonts w:ascii="Arial" w:cs="Arial" w:eastAsia="Arial" w:hAnsi="Arial"/>
          <w:sz w:val="12"/>
          <w:szCs w:val="12"/>
          <w:i w:val="1"/>
          <w:iCs w:val="1"/>
          <w:color w:val="auto"/>
        </w:rPr>
        <w:t xml:space="preserve">Administration. </w:t>
      </w:r>
      <w:r>
        <w:rPr>
          <w:rFonts w:ascii="Arial" w:cs="Arial" w:eastAsia="Arial" w:hAnsi="Arial"/>
          <w:sz w:val="12"/>
          <w:szCs w:val="12"/>
          <w:color w:val="auto"/>
        </w:rPr>
        <w:t>Our board of directors, or a duly authorized committee of our board of directors, will</w:t>
      </w:r>
      <w:r>
        <w:rPr>
          <w:rFonts w:ascii="Arial" w:cs="Arial" w:eastAsia="Arial" w:hAnsi="Arial"/>
          <w:sz w:val="12"/>
          <w:szCs w:val="12"/>
          <w:i w:val="1"/>
          <w:iCs w:val="1"/>
          <w:color w:val="auto"/>
        </w:rPr>
        <w:t xml:space="preserve"> </w:t>
      </w:r>
      <w:r>
        <w:rPr>
          <w:rFonts w:ascii="Arial" w:cs="Arial" w:eastAsia="Arial" w:hAnsi="Arial"/>
          <w:sz w:val="12"/>
          <w:szCs w:val="12"/>
          <w:color w:val="auto"/>
        </w:rPr>
        <w:t>administer our 2015 Plan. We sometimes refer to our board of directors, or the applicable committee with the power to administer our equity incentive plans, as the administrator. In this summary of the 2015 Plan, we sometimes refer to our board of directors or the applicable committee with the power to administer the 2015 Plan as the administrator.</w:t>
      </w:r>
    </w:p>
    <w:p>
      <w:pPr>
        <w:spacing w:after="0" w:line="84"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Subject to the limitations of the 2015 Plan, the administrator’s powers include the authority to</w:t>
      </w:r>
    </w:p>
    <w:p>
      <w:pPr>
        <w:spacing w:after="0" w:line="27" w:lineRule="exact"/>
        <w:rPr>
          <w:sz w:val="20"/>
          <w:szCs w:val="20"/>
          <w:color w:val="auto"/>
        </w:rPr>
      </w:pPr>
    </w:p>
    <w:p>
      <w:pPr>
        <w:ind w:left="1520" w:right="1720" w:firstLine="2"/>
        <w:spacing w:after="0" w:line="270" w:lineRule="auto"/>
        <w:tabs>
          <w:tab w:leader="none" w:pos="1665" w:val="left"/>
        </w:tabs>
        <w:numPr>
          <w:ilvl w:val="0"/>
          <w:numId w:val="138"/>
        </w:numPr>
        <w:rPr>
          <w:rFonts w:ascii="Arial" w:cs="Arial" w:eastAsia="Arial" w:hAnsi="Arial"/>
          <w:sz w:val="12"/>
          <w:szCs w:val="12"/>
          <w:color w:val="auto"/>
        </w:rPr>
      </w:pPr>
      <w:r>
        <w:rPr>
          <w:rFonts w:ascii="Arial" w:cs="Arial" w:eastAsia="Arial" w:hAnsi="Arial"/>
          <w:sz w:val="12"/>
          <w:szCs w:val="12"/>
          <w:color w:val="auto"/>
        </w:rPr>
        <w:t>construe and interpret the 2015 Plan, any award agreement and any other agreement or document executed pursuant to the 2015 Plan, (ii) prescribe, amend, expand, modify and rescind or terminate rules and regulations relating to the 2015 Plan, (iii) approve persons to receive awards and determine the form and terms of awards, (iv) grant waivers of any conditions of the 2015 Plan or any award, (v) adopt rules and/or procedures (including the adoption of any subplan under the 2015 Plan) relating to the operation and administration of the 2015 Plan to accommodate requirements of local law and procedures outside of the United States, and (vi) make all other determinations necessary or advisable in connection with the administration of the 2015 Plan.</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2"/>
          <w:szCs w:val="12"/>
          <w:i w:val="1"/>
          <w:iCs w:val="1"/>
          <w:color w:val="auto"/>
        </w:rPr>
        <w:t xml:space="preserve">Eligibility. </w:t>
      </w:r>
      <w:r>
        <w:rPr>
          <w:rFonts w:ascii="Arial" w:cs="Arial" w:eastAsia="Arial" w:hAnsi="Arial"/>
          <w:sz w:val="12"/>
          <w:szCs w:val="12"/>
          <w:color w:val="auto"/>
        </w:rPr>
        <w:t>Under the 2015 Plan, we may grant incentive stock options, or ISOs, only to our employees</w:t>
      </w:r>
    </w:p>
    <w:p>
      <w:pPr>
        <w:sectPr>
          <w:pgSz w:w="11900" w:h="16840" w:orient="portrait"/>
          <w:cols w:equalWidth="0" w:num="1">
            <w:col w:w="9020"/>
          </w:cols>
          <w:pgMar w:left="1440" w:top="560" w:right="1440" w:bottom="115" w:gutter="0" w:footer="0" w:header="0"/>
        </w:sectPr>
      </w:pPr>
    </w:p>
    <w:bookmarkStart w:id="124" w:name="page125"/>
    <w:bookmarkEnd w:id="124"/>
    <w:p>
      <w:pPr>
        <w:jc w:val="center"/>
        <w:ind w:right="240"/>
        <w:spacing w:after="0"/>
        <w:rPr>
          <w:sz w:val="20"/>
          <w:szCs w:val="20"/>
          <w:color w:val="auto"/>
        </w:rPr>
      </w:pPr>
      <w:r>
        <w:rPr>
          <w:rFonts w:ascii="Arial" w:cs="Arial" w:eastAsia="Arial" w:hAnsi="Arial"/>
          <w:sz w:val="12"/>
          <w:szCs w:val="12"/>
          <w:color w:val="auto"/>
        </w:rPr>
        <w:t>or the employees of our parent or subsidiaries (including officers and directors who are also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179</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2080"/>
        <w:spacing w:after="0" w:line="289" w:lineRule="auto"/>
        <w:rPr>
          <w:sz w:val="20"/>
          <w:szCs w:val="20"/>
          <w:color w:val="auto"/>
        </w:rPr>
      </w:pPr>
      <w:r>
        <w:rPr>
          <w:rFonts w:ascii="Arial" w:cs="Arial" w:eastAsia="Arial" w:hAnsi="Arial"/>
          <w:sz w:val="12"/>
          <w:szCs w:val="12"/>
          <w:color w:val="auto"/>
        </w:rPr>
        <w:t>We may grant nonstatutory stock options, or NSOs, RSUs, and shares of restricted stock to our employees (including officers and directors who are also employees), non-employee directors, and consultants or the employees, directors, and consultants of our parents and subsidiaries.</w:t>
      </w:r>
    </w:p>
    <w:p>
      <w:pPr>
        <w:spacing w:after="0" w:line="76" w:lineRule="exact"/>
        <w:rPr>
          <w:sz w:val="20"/>
          <w:szCs w:val="20"/>
          <w:color w:val="auto"/>
        </w:rPr>
      </w:pPr>
    </w:p>
    <w:p>
      <w:pPr>
        <w:ind w:left="1520" w:right="1720" w:firstLine="230"/>
        <w:spacing w:after="0" w:line="270" w:lineRule="auto"/>
        <w:rPr>
          <w:sz w:val="20"/>
          <w:szCs w:val="20"/>
          <w:color w:val="auto"/>
        </w:rPr>
      </w:pPr>
      <w:r>
        <w:rPr>
          <w:rFonts w:ascii="Arial" w:cs="Arial" w:eastAsia="Arial" w:hAnsi="Arial"/>
          <w:sz w:val="12"/>
          <w:szCs w:val="12"/>
          <w:i w:val="1"/>
          <w:iCs w:val="1"/>
          <w:color w:val="auto"/>
        </w:rPr>
        <w:t xml:space="preserve">Options. </w:t>
      </w:r>
      <w:r>
        <w:rPr>
          <w:rFonts w:ascii="Arial" w:cs="Arial" w:eastAsia="Arial" w:hAnsi="Arial"/>
          <w:sz w:val="12"/>
          <w:szCs w:val="12"/>
          <w:color w:val="auto"/>
        </w:rPr>
        <w:t>The 2015 Plan allows for the grant of options, with terms as generally determined by the</w:t>
      </w:r>
      <w:r>
        <w:rPr>
          <w:rFonts w:ascii="Arial" w:cs="Arial" w:eastAsia="Arial" w:hAnsi="Arial"/>
          <w:sz w:val="12"/>
          <w:szCs w:val="12"/>
          <w:i w:val="1"/>
          <w:iCs w:val="1"/>
          <w:color w:val="auto"/>
        </w:rPr>
        <w:t xml:space="preserve"> </w:t>
      </w:r>
      <w:r>
        <w:rPr>
          <w:rFonts w:ascii="Arial" w:cs="Arial" w:eastAsia="Arial" w:hAnsi="Arial"/>
          <w:sz w:val="12"/>
          <w:szCs w:val="12"/>
          <w:color w:val="auto"/>
        </w:rPr>
        <w:t>administrator (in accordance with the 2015 Plan) and set forth in an award agreement. However, the per share exercise price of a stock option generally cannot be less than 100% of the fair market value of a share of our Class A common stock on the date of grant, and an option may not have a term exceeding ten years. In addition, no ISO may be granted to any person who, at the time of the grant, owns or is deemed to own stock possessing more than 10% of the total combined voting power or value of all classes of capital stock of ours or of any parent or subsidiary of ours unless (i) the option exercise price is at least 110% of the fair market value of the stock subject to the option on the date of grant and (ii) the option does not have a term exceeding five years. The aggregate fair market value, determined at the time of grant, of our common stock with respect to ISOs that are exercisable for the first time by a participant during any calendar year under all stock plans of ours or any parent or subsidiary of ours may not exceed $100,000. Options or portions thereof that exceed such limit will generally be treated as NSOs. An option vests based on the satisfaction of the vesting conditions specified in the award agreement.</w:t>
      </w:r>
    </w:p>
    <w:p>
      <w:pPr>
        <w:spacing w:after="0" w:line="240" w:lineRule="exact"/>
        <w:rPr>
          <w:sz w:val="20"/>
          <w:szCs w:val="20"/>
          <w:color w:val="auto"/>
        </w:rPr>
      </w:pPr>
    </w:p>
    <w:p>
      <w:pPr>
        <w:ind w:left="1520" w:right="1720" w:firstLine="230"/>
        <w:spacing w:after="0" w:line="272" w:lineRule="auto"/>
        <w:rPr>
          <w:sz w:val="20"/>
          <w:szCs w:val="20"/>
          <w:color w:val="auto"/>
        </w:rPr>
      </w:pPr>
      <w:r>
        <w:rPr>
          <w:rFonts w:ascii="Arial" w:cs="Arial" w:eastAsia="Arial" w:hAnsi="Arial"/>
          <w:sz w:val="12"/>
          <w:szCs w:val="12"/>
          <w:color w:val="auto"/>
        </w:rPr>
        <w:t>After a participant’s service relationship with us terminates, the participant will be able to exercise the vested portion of the participant’s option for the period of time stated in the participant’s award agreement. In the absence of a specified time in the award agreement, the vested portion of the option will remain exercisable (i) if such termination is for cause, until the termination date, (ii) if such termination is for any reason other than for cause, due to the participant’s disability, or due to the participant’s death, for three months following the date of such termination, or (iii) if such termination is due to the participant’s death or disability (or if participant’s death occurs within three months after a termination without cause), for 12 months following the date of such termination. However, an option may not be exercised later than the expiration of its term.</w:t>
      </w:r>
    </w:p>
    <w:p>
      <w:pPr>
        <w:spacing w:after="0" w:line="85" w:lineRule="exact"/>
        <w:rPr>
          <w:sz w:val="20"/>
          <w:szCs w:val="20"/>
          <w:color w:val="auto"/>
        </w:rPr>
      </w:pPr>
    </w:p>
    <w:p>
      <w:pPr>
        <w:ind w:left="1520" w:right="1720" w:firstLine="230"/>
        <w:spacing w:after="0" w:line="272" w:lineRule="auto"/>
        <w:rPr>
          <w:sz w:val="20"/>
          <w:szCs w:val="20"/>
          <w:color w:val="auto"/>
        </w:rPr>
      </w:pPr>
      <w:r>
        <w:rPr>
          <w:rFonts w:ascii="Arial" w:cs="Arial" w:eastAsia="Arial" w:hAnsi="Arial"/>
          <w:sz w:val="12"/>
          <w:szCs w:val="12"/>
          <w:i w:val="1"/>
          <w:iCs w:val="1"/>
          <w:color w:val="auto"/>
        </w:rPr>
        <w:t xml:space="preserve">Restricted Stock and RSUs. </w:t>
      </w:r>
      <w:r>
        <w:rPr>
          <w:rFonts w:ascii="Arial" w:cs="Arial" w:eastAsia="Arial" w:hAnsi="Arial"/>
          <w:sz w:val="12"/>
          <w:szCs w:val="12"/>
          <w:color w:val="auto"/>
        </w:rPr>
        <w:t>The 2015 Plan allows for the grant of restricted stock awards, or RSAs</w:t>
      </w:r>
      <w:r>
        <w:rPr>
          <w:rFonts w:ascii="Arial" w:cs="Arial" w:eastAsia="Arial" w:hAnsi="Arial"/>
          <w:sz w:val="12"/>
          <w:szCs w:val="12"/>
          <w:i w:val="1"/>
          <w:iCs w:val="1"/>
          <w:color w:val="auto"/>
        </w:rPr>
        <w:t xml:space="preserve"> </w:t>
      </w:r>
      <w:r>
        <w:rPr>
          <w:rFonts w:ascii="Arial" w:cs="Arial" w:eastAsia="Arial" w:hAnsi="Arial"/>
          <w:sz w:val="12"/>
          <w:szCs w:val="12"/>
          <w:color w:val="auto"/>
        </w:rPr>
        <w:t>(and for the early exercise of options for restricted stock), and RSUs, with terms as generally determined by the administrator (in accordance with the 2015 Plan) and set forth in an award agreement. Unless otherwise determined by the administrator, a participant will have voting and other rights as a stockholder of ours with respect to any shares subject to an RSA. If any such dividends or distributions are paid in shares, the shares will be subject to the same restrictions on transferability and forfeitability as the shares of restricted stock with respect to which they were paid. As of July 31, 2025, there were no RSAs and 7,771,766 RSUs issued and outstanding under the 2015 Plan.</w:t>
      </w:r>
    </w:p>
    <w:p>
      <w:pPr>
        <w:spacing w:after="0" w:line="88" w:lineRule="exact"/>
        <w:rPr>
          <w:sz w:val="20"/>
          <w:szCs w:val="20"/>
          <w:color w:val="auto"/>
        </w:rPr>
      </w:pPr>
    </w:p>
    <w:p>
      <w:pPr>
        <w:ind w:left="1520" w:right="1600" w:firstLine="230"/>
        <w:spacing w:after="0" w:line="272" w:lineRule="auto"/>
        <w:rPr>
          <w:sz w:val="20"/>
          <w:szCs w:val="20"/>
          <w:color w:val="auto"/>
        </w:rPr>
      </w:pPr>
      <w:r>
        <w:rPr>
          <w:rFonts w:ascii="Arial" w:cs="Arial" w:eastAsia="Arial" w:hAnsi="Arial"/>
          <w:sz w:val="12"/>
          <w:szCs w:val="12"/>
          <w:i w:val="1"/>
          <w:iCs w:val="1"/>
          <w:color w:val="auto"/>
        </w:rPr>
        <w:t xml:space="preserve">Stock Appreciation Rights. </w:t>
      </w:r>
      <w:r>
        <w:rPr>
          <w:rFonts w:ascii="Arial" w:cs="Arial" w:eastAsia="Arial" w:hAnsi="Arial"/>
          <w:sz w:val="12"/>
          <w:szCs w:val="12"/>
          <w:color w:val="auto"/>
        </w:rPr>
        <w:t>The 2015 Plan allows for the grant of stock appreciation rights, with terms</w:t>
      </w:r>
      <w:r>
        <w:rPr>
          <w:rFonts w:ascii="Arial" w:cs="Arial" w:eastAsia="Arial" w:hAnsi="Arial"/>
          <w:sz w:val="12"/>
          <w:szCs w:val="12"/>
          <w:i w:val="1"/>
          <w:iCs w:val="1"/>
          <w:color w:val="auto"/>
        </w:rPr>
        <w:t xml:space="preserve"> </w:t>
      </w:r>
      <w:r>
        <w:rPr>
          <w:rFonts w:ascii="Arial" w:cs="Arial" w:eastAsia="Arial" w:hAnsi="Arial"/>
          <w:sz w:val="12"/>
          <w:szCs w:val="12"/>
          <w:color w:val="auto"/>
        </w:rPr>
        <w:t>as generally determined by the administrator (in accordance with the 2015 Plan) and set forth in an award agreement. However, the per share exercise price of a stock appreciation right generally cannot be less than 100% of the fair market value of a share of our Class A common stock on the date of grant, and a stock appreciation right may not have a term exceeding ten years. A stock appreciation right vests based on the satisfaction of the vesting conditions specified in the award agreement. When a participant’s service relationship with us ends, the same rules relating to the exercise of options will apply to the participant’s stock appreciation rights. As of July 31, 2025, we have no stock appreciation rights issued and outstanding.</w:t>
      </w:r>
    </w:p>
    <w:p>
      <w:pPr>
        <w:spacing w:after="0" w:line="242" w:lineRule="exact"/>
        <w:rPr>
          <w:sz w:val="20"/>
          <w:szCs w:val="20"/>
          <w:color w:val="auto"/>
        </w:rPr>
      </w:pPr>
    </w:p>
    <w:p>
      <w:pPr>
        <w:ind w:left="1520" w:right="1760" w:firstLine="230"/>
        <w:spacing w:after="0" w:line="281" w:lineRule="auto"/>
        <w:rPr>
          <w:sz w:val="20"/>
          <w:szCs w:val="20"/>
          <w:color w:val="auto"/>
        </w:rPr>
      </w:pPr>
      <w:r>
        <w:rPr>
          <w:rFonts w:ascii="Arial" w:cs="Arial" w:eastAsia="Arial" w:hAnsi="Arial"/>
          <w:sz w:val="12"/>
          <w:szCs w:val="12"/>
          <w:i w:val="1"/>
          <w:iCs w:val="1"/>
          <w:color w:val="auto"/>
        </w:rPr>
        <w:t xml:space="preserve">Limited Transferability. </w:t>
      </w:r>
      <w:r>
        <w:rPr>
          <w:rFonts w:ascii="Arial" w:cs="Arial" w:eastAsia="Arial" w:hAnsi="Arial"/>
          <w:sz w:val="12"/>
          <w:szCs w:val="12"/>
          <w:color w:val="auto"/>
        </w:rPr>
        <w:t>Unless otherwise determined by the administrator, awards under the 2015</w:t>
      </w:r>
      <w:r>
        <w:rPr>
          <w:rFonts w:ascii="Arial" w:cs="Arial" w:eastAsia="Arial" w:hAnsi="Arial"/>
          <w:sz w:val="12"/>
          <w:szCs w:val="12"/>
          <w:i w:val="1"/>
          <w:iCs w:val="1"/>
          <w:color w:val="auto"/>
        </w:rPr>
        <w:t xml:space="preserve"> </w:t>
      </w:r>
      <w:r>
        <w:rPr>
          <w:rFonts w:ascii="Arial" w:cs="Arial" w:eastAsia="Arial" w:hAnsi="Arial"/>
          <w:sz w:val="12"/>
          <w:szCs w:val="12"/>
          <w:color w:val="auto"/>
        </w:rPr>
        <w:t>Plan generally may not be transferred or assigned other than by will, the laws of descent and distribution and, with respect to NSOs, by instrument to an inter vivos or testamentary trust in which the NSOs are to be passed to beneficiaries upon the death of the trustor or by gift to a qualified family member.</w:t>
      </w:r>
    </w:p>
    <w:p>
      <w:pPr>
        <w:spacing w:after="0" w:line="81" w:lineRule="exact"/>
        <w:rPr>
          <w:sz w:val="20"/>
          <w:szCs w:val="20"/>
          <w:color w:val="auto"/>
        </w:rPr>
      </w:pPr>
    </w:p>
    <w:p>
      <w:pPr>
        <w:ind w:left="1520" w:right="1900" w:firstLine="230"/>
        <w:spacing w:after="0" w:line="312" w:lineRule="auto"/>
        <w:rPr>
          <w:sz w:val="20"/>
          <w:szCs w:val="20"/>
          <w:color w:val="auto"/>
        </w:rPr>
      </w:pPr>
      <w:r>
        <w:rPr>
          <w:rFonts w:ascii="Arial" w:cs="Arial" w:eastAsia="Arial" w:hAnsi="Arial"/>
          <w:sz w:val="12"/>
          <w:szCs w:val="12"/>
          <w:i w:val="1"/>
          <w:iCs w:val="1"/>
          <w:color w:val="auto"/>
        </w:rPr>
        <w:t xml:space="preserve">Change of Control. </w:t>
      </w:r>
      <w:r>
        <w:rPr>
          <w:rFonts w:ascii="Arial" w:cs="Arial" w:eastAsia="Arial" w:hAnsi="Arial"/>
          <w:sz w:val="12"/>
          <w:szCs w:val="12"/>
          <w:color w:val="auto"/>
        </w:rPr>
        <w:t>In the event that we are subject to an “acquisition” or “other combination” (as</w:t>
      </w:r>
      <w:r>
        <w:rPr>
          <w:rFonts w:ascii="Arial" w:cs="Arial" w:eastAsia="Arial" w:hAnsi="Arial"/>
          <w:sz w:val="12"/>
          <w:szCs w:val="12"/>
          <w:i w:val="1"/>
          <w:iCs w:val="1"/>
          <w:color w:val="auto"/>
        </w:rPr>
        <w:t xml:space="preserve"> </w:t>
      </w:r>
      <w:r>
        <w:rPr>
          <w:rFonts w:ascii="Arial" w:cs="Arial" w:eastAsia="Arial" w:hAnsi="Arial"/>
          <w:sz w:val="12"/>
          <w:szCs w:val="12"/>
          <w:color w:val="auto"/>
        </w:rPr>
        <w:t>defined in the 2015 Plan and generally meaning, collectively, a merger, a sale or transfer of more than</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180</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00"/>
        <w:spacing w:after="0" w:line="274" w:lineRule="auto"/>
        <w:rPr>
          <w:sz w:val="20"/>
          <w:szCs w:val="20"/>
          <w:color w:val="auto"/>
        </w:rPr>
      </w:pPr>
      <w:r>
        <w:rPr>
          <w:rFonts w:ascii="Arial" w:cs="Arial" w:eastAsia="Arial" w:hAnsi="Arial"/>
          <w:sz w:val="12"/>
          <w:szCs w:val="12"/>
          <w:color w:val="auto"/>
        </w:rPr>
        <w:t>50% of the voting power of all of our outstanding securities, or a sale of all or substantially all of our assets), the 2015 Plan provides that awards will be subject to the agreement evidencing such acquisition or other combination, which agreement need not treat all awards in a similar manner. Such agreement may, without the participant’s consent, provide for the continuation of outstanding awards, the assumption or substitution of awards, full or partial acceleration of vesting of awards, the settlement of awards (whether or not vested) in cash, securities, or other consideration, or the cancellation of such awards for no consideration.</w:t>
      </w:r>
    </w:p>
    <w:p>
      <w:pPr>
        <w:spacing w:after="0" w:line="241" w:lineRule="exact"/>
        <w:rPr>
          <w:sz w:val="20"/>
          <w:szCs w:val="20"/>
          <w:color w:val="auto"/>
        </w:rPr>
      </w:pPr>
    </w:p>
    <w:p>
      <w:pPr>
        <w:ind w:left="1760"/>
        <w:spacing w:after="0"/>
        <w:rPr>
          <w:sz w:val="20"/>
          <w:szCs w:val="20"/>
          <w:color w:val="auto"/>
        </w:rPr>
      </w:pPr>
      <w:r>
        <w:rPr>
          <w:rFonts w:ascii="Arial" w:cs="Arial" w:eastAsia="Arial" w:hAnsi="Arial"/>
          <w:sz w:val="12"/>
          <w:szCs w:val="12"/>
          <w:i w:val="1"/>
          <w:iCs w:val="1"/>
          <w:color w:val="auto"/>
        </w:rPr>
        <w:t xml:space="preserve">Adjustments. </w:t>
      </w:r>
      <w:r>
        <w:rPr>
          <w:rFonts w:ascii="Arial" w:cs="Arial" w:eastAsia="Arial" w:hAnsi="Arial"/>
          <w:sz w:val="12"/>
          <w:szCs w:val="12"/>
          <w:color w:val="auto"/>
        </w:rPr>
        <w:t>In the event that the number of outstanding shares of our common stock is changed by</w:t>
      </w:r>
    </w:p>
    <w:p>
      <w:pPr>
        <w:spacing w:after="0" w:line="27" w:lineRule="exact"/>
        <w:rPr>
          <w:sz w:val="20"/>
          <w:szCs w:val="20"/>
          <w:color w:val="auto"/>
        </w:rPr>
      </w:pPr>
    </w:p>
    <w:p>
      <w:pPr>
        <w:ind w:left="1520"/>
        <w:spacing w:after="0"/>
        <w:tabs>
          <w:tab w:leader="none" w:pos="6600" w:val="left"/>
        </w:tabs>
        <w:rPr>
          <w:sz w:val="20"/>
          <w:szCs w:val="20"/>
          <w:color w:val="auto"/>
        </w:rPr>
      </w:pPr>
      <w:r>
        <w:rPr>
          <w:rFonts w:ascii="Arial" w:cs="Arial" w:eastAsia="Arial" w:hAnsi="Arial"/>
          <w:sz w:val="12"/>
          <w:szCs w:val="12"/>
          <w:color w:val="auto"/>
        </w:rPr>
        <w:t>a stock dividend, recapitalization, stock split, reverse stock split, subdivision, combination,</w:t>
        <w:tab/>
        <w:t>reclassification,</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or similar change in our capital structure affecting our shares without consideration, then in order to</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prevent diminution or enlargement of the benefits or potential benefits intended to be made available</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under the 2015 Plan (i) the number of shares reserved for issuance under the 2015 Plan, (ii) the exercise</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prices of and number of shares subject to outstanding options and stock appreciation rights, and (iii) the</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purchase prices of and/or number of shares subject to other outstanding awards will be proportionately</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adjusted (subject to required action by our board of directors or our stockholders).</w:t>
      </w:r>
    </w:p>
    <w:p>
      <w:pPr>
        <w:spacing w:after="0" w:line="118" w:lineRule="exact"/>
        <w:rPr>
          <w:sz w:val="20"/>
          <w:szCs w:val="20"/>
          <w:color w:val="auto"/>
        </w:rPr>
      </w:pPr>
    </w:p>
    <w:p>
      <w:pPr>
        <w:ind w:left="1520" w:right="1760" w:firstLine="230"/>
        <w:spacing w:after="0" w:line="275" w:lineRule="auto"/>
        <w:rPr>
          <w:sz w:val="20"/>
          <w:szCs w:val="20"/>
          <w:color w:val="auto"/>
        </w:rPr>
      </w:pPr>
      <w:r>
        <w:rPr>
          <w:rFonts w:ascii="Arial" w:cs="Arial" w:eastAsia="Arial" w:hAnsi="Arial"/>
          <w:sz w:val="12"/>
          <w:szCs w:val="12"/>
          <w:i w:val="1"/>
          <w:iCs w:val="1"/>
          <w:color w:val="auto"/>
        </w:rPr>
        <w:t xml:space="preserve">Exchange, Repricing, and Buyout of Awards. </w:t>
      </w:r>
      <w:r>
        <w:rPr>
          <w:rFonts w:ascii="Arial" w:cs="Arial" w:eastAsia="Arial" w:hAnsi="Arial"/>
          <w:sz w:val="12"/>
          <w:szCs w:val="12"/>
          <w:color w:val="auto"/>
        </w:rPr>
        <w:t>The administrator may, with the consent of the</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 participants, issue new awards in exchange for the surrender and cancellation of any or all outstanding awards. The administrator may also buy an award previously granted with payment in cash, shares, or other consideration, in each case, subject to the terms of the 2015 Plan. Without prior stockholder approval, the administrator may reprice options or stock appreciation rights (and where such repricing is a reduction in the exercise price of outstanding options or stock appreciation rights, the</w:t>
      </w:r>
    </w:p>
    <w:p>
      <w:pPr>
        <w:sectPr>
          <w:pgSz w:w="11900" w:h="16840" w:orient="portrait"/>
          <w:cols w:equalWidth="0" w:num="1">
            <w:col w:w="9020"/>
          </w:cols>
          <w:pgMar w:left="1440" w:top="560" w:right="1440" w:bottom="41" w:gutter="0" w:footer="0" w:header="0"/>
        </w:sectPr>
      </w:pPr>
    </w:p>
    <w:bookmarkStart w:id="125" w:name="page126"/>
    <w:bookmarkEnd w:id="125"/>
    <w:p>
      <w:pPr>
        <w:ind w:left="1520"/>
        <w:spacing w:after="0"/>
        <w:rPr>
          <w:sz w:val="20"/>
          <w:szCs w:val="20"/>
          <w:color w:val="auto"/>
        </w:rPr>
      </w:pPr>
      <w:r>
        <w:rPr>
          <w:rFonts w:ascii="Arial" w:cs="Arial" w:eastAsia="Arial" w:hAnsi="Arial"/>
          <w:sz w:val="12"/>
          <w:szCs w:val="12"/>
          <w:color w:val="auto"/>
        </w:rPr>
        <w:t>consent of the affected participants is not required provided written notice is provided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53" w:lineRule="exact"/>
        <w:rPr>
          <w:sz w:val="20"/>
          <w:szCs w:val="20"/>
          <w:color w:val="auto"/>
        </w:rPr>
      </w:pPr>
    </w:p>
    <w:p>
      <w:pPr>
        <w:ind w:left="1520" w:right="1740" w:firstLine="230"/>
        <w:spacing w:after="0" w:line="273" w:lineRule="auto"/>
        <w:rPr>
          <w:sz w:val="20"/>
          <w:szCs w:val="20"/>
          <w:color w:val="auto"/>
        </w:rPr>
      </w:pPr>
      <w:r>
        <w:rPr>
          <w:rFonts w:ascii="Arial" w:cs="Arial" w:eastAsia="Arial" w:hAnsi="Arial"/>
          <w:sz w:val="12"/>
          <w:szCs w:val="12"/>
          <w:i w:val="1"/>
          <w:iCs w:val="1"/>
          <w:color w:val="auto"/>
        </w:rPr>
        <w:t xml:space="preserve">Amendment; Termination </w:t>
      </w:r>
      <w:r>
        <w:rPr>
          <w:rFonts w:ascii="Arial" w:cs="Arial" w:eastAsia="Arial" w:hAnsi="Arial"/>
          <w:sz w:val="12"/>
          <w:szCs w:val="12"/>
          <w:color w:val="auto"/>
        </w:rPr>
        <w:t>. Our board of directors may amend or terminate the 2015 Plan at any time</w:t>
      </w:r>
      <w:r>
        <w:rPr>
          <w:rFonts w:ascii="Arial" w:cs="Arial" w:eastAsia="Arial" w:hAnsi="Arial"/>
          <w:sz w:val="12"/>
          <w:szCs w:val="12"/>
          <w:i w:val="1"/>
          <w:iCs w:val="1"/>
          <w:color w:val="auto"/>
        </w:rPr>
        <w:t xml:space="preserve"> </w:t>
      </w:r>
      <w:r>
        <w:rPr>
          <w:rFonts w:ascii="Arial" w:cs="Arial" w:eastAsia="Arial" w:hAnsi="Arial"/>
          <w:sz w:val="12"/>
          <w:szCs w:val="12"/>
          <w:color w:val="auto"/>
        </w:rPr>
        <w:t>and may terminate any and all outstanding options or stock appreciation rights upon a dissolution or liquidation of us, provided that certain amendments will require stockholder approval or participant consent. We expect to terminate the 2015 Plan and will cease issuing awards thereunder upon the effectiveness of the 2025 Plan (as described below). Any outstanding awards granted under the 2015 Plan will remain outstanding following the termination of the 2015 Plan, subject to the terms of our 2015 Plan and applicable award agreements, until such awards are exercised or until they terminate or expire by their terms.</w:t>
      </w:r>
    </w:p>
    <w:p>
      <w:pPr>
        <w:spacing w:after="0" w:line="24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2025 Equity Incentive Plan</w:t>
      </w:r>
    </w:p>
    <w:p>
      <w:pPr>
        <w:spacing w:after="0" w:line="128" w:lineRule="exact"/>
        <w:rPr>
          <w:sz w:val="20"/>
          <w:szCs w:val="20"/>
          <w:color w:val="auto"/>
        </w:rPr>
      </w:pPr>
    </w:p>
    <w:p>
      <w:pPr>
        <w:jc w:val="both"/>
        <w:ind w:left="1520" w:right="1680" w:firstLine="230"/>
        <w:spacing w:after="0" w:line="281" w:lineRule="auto"/>
        <w:rPr>
          <w:sz w:val="20"/>
          <w:szCs w:val="20"/>
          <w:color w:val="auto"/>
        </w:rPr>
      </w:pPr>
      <w:r>
        <w:rPr>
          <w:rFonts w:ascii="Arial" w:cs="Arial" w:eastAsia="Arial" w:hAnsi="Arial"/>
          <w:sz w:val="12"/>
          <w:szCs w:val="12"/>
          <w:color w:val="auto"/>
        </w:rPr>
        <w:t>Before the completion of this offering, our board of directors intends to adopt the 2025 Plan. The 2025 Plan will come into existence and become effective upon the effectiveness of the registration statement of which this prospectus forms a part. Once the 2025 Plan becomes effective, no further grants will be made under our 2015 Plan.</w:t>
      </w:r>
    </w:p>
    <w:p>
      <w:pPr>
        <w:spacing w:after="0" w:line="81" w:lineRule="exact"/>
        <w:rPr>
          <w:sz w:val="20"/>
          <w:szCs w:val="20"/>
          <w:color w:val="auto"/>
        </w:rPr>
      </w:pPr>
    </w:p>
    <w:p>
      <w:pPr>
        <w:ind w:left="1520" w:right="1680" w:firstLine="230"/>
        <w:spacing w:after="0" w:line="281" w:lineRule="auto"/>
        <w:rPr>
          <w:sz w:val="20"/>
          <w:szCs w:val="20"/>
          <w:color w:val="auto"/>
        </w:rPr>
      </w:pPr>
      <w:r>
        <w:rPr>
          <w:rFonts w:ascii="Arial" w:cs="Arial" w:eastAsia="Arial" w:hAnsi="Arial"/>
          <w:sz w:val="12"/>
          <w:szCs w:val="12"/>
          <w:i w:val="1"/>
          <w:iCs w:val="1"/>
          <w:color w:val="auto"/>
        </w:rPr>
        <w:t xml:space="preserve">Types of Awards </w:t>
      </w:r>
      <w:r>
        <w:rPr>
          <w:rFonts w:ascii="Arial" w:cs="Arial" w:eastAsia="Arial" w:hAnsi="Arial"/>
          <w:sz w:val="12"/>
          <w:szCs w:val="12"/>
          <w:color w:val="auto"/>
        </w:rPr>
        <w:t>. The 2025 Plan provides for the grant of ISOs to employees, including employees of</w:t>
      </w:r>
      <w:r>
        <w:rPr>
          <w:rFonts w:ascii="Arial" w:cs="Arial" w:eastAsia="Arial" w:hAnsi="Arial"/>
          <w:sz w:val="12"/>
          <w:szCs w:val="12"/>
          <w:i w:val="1"/>
          <w:iCs w:val="1"/>
          <w:color w:val="auto"/>
        </w:rPr>
        <w:t xml:space="preserve"> </w:t>
      </w:r>
      <w:r>
        <w:rPr>
          <w:rFonts w:ascii="Arial" w:cs="Arial" w:eastAsia="Arial" w:hAnsi="Arial"/>
          <w:sz w:val="12"/>
          <w:szCs w:val="12"/>
          <w:color w:val="auto"/>
        </w:rPr>
        <w:t>any parent or subsidiary, and for the grant of NSOs, stock appreciation rights, restricted stock awards, restricted stock unit awards, performance awards and other forms of awards to employees, directors, and consultants, including employees and consultants of our affiliates.</w:t>
      </w:r>
    </w:p>
    <w:p>
      <w:pPr>
        <w:spacing w:after="0" w:line="81" w:lineRule="exact"/>
        <w:rPr>
          <w:sz w:val="20"/>
          <w:szCs w:val="20"/>
          <w:color w:val="auto"/>
        </w:rPr>
      </w:pPr>
    </w:p>
    <w:p>
      <w:pPr>
        <w:ind w:left="1520" w:right="1640" w:firstLine="230"/>
        <w:spacing w:after="0" w:line="268" w:lineRule="auto"/>
        <w:rPr>
          <w:sz w:val="20"/>
          <w:szCs w:val="20"/>
          <w:color w:val="auto"/>
        </w:rPr>
      </w:pPr>
      <w:r>
        <w:rPr>
          <w:rFonts w:ascii="Arial" w:cs="Arial" w:eastAsia="Arial" w:hAnsi="Arial"/>
          <w:sz w:val="12"/>
          <w:szCs w:val="12"/>
          <w:i w:val="1"/>
          <w:iCs w:val="1"/>
          <w:color w:val="auto"/>
        </w:rPr>
        <w:t xml:space="preserve">Authorized Shares </w:t>
      </w:r>
      <w:r>
        <w:rPr>
          <w:rFonts w:ascii="Arial" w:cs="Arial" w:eastAsia="Arial" w:hAnsi="Arial"/>
          <w:sz w:val="12"/>
          <w:szCs w:val="12"/>
          <w:color w:val="auto"/>
        </w:rPr>
        <w:t>. Initially, the maximum number of shares of our Class A common stock that may</w:t>
      </w:r>
      <w:r>
        <w:rPr>
          <w:rFonts w:ascii="Arial" w:cs="Arial" w:eastAsia="Arial" w:hAnsi="Arial"/>
          <w:sz w:val="12"/>
          <w:szCs w:val="12"/>
          <w:i w:val="1"/>
          <w:iCs w:val="1"/>
          <w:color w:val="auto"/>
        </w:rPr>
        <w:t xml:space="preserve"> </w:t>
      </w:r>
      <w:r>
        <w:rPr>
          <w:rFonts w:ascii="Arial" w:cs="Arial" w:eastAsia="Arial" w:hAnsi="Arial"/>
          <w:sz w:val="12"/>
          <w:szCs w:val="12"/>
          <w:color w:val="auto"/>
        </w:rPr>
        <w:t>be issued under the 2025 Plan after it becomes effective will not exceed 82,887,502 shares, which is the sum of (i) 35,000,000 new shares, plus (ii) up to 47,887,502 shares subject to awards granted under our 2015 Plan that, after the date the 2025 Plan becomes effective, (A) are not issued because any portion of such awards expires or otherwise terminates without all of the shares covered by such awards having been issued, (B) are not issued because any portion of such awards is settled in cash, (C) are forfeited back to or repurchased by us because of the failure to meet a contingency or condition required for the vesting of such shares, (D) are withheld or reacquired to satisfy the exercise, strike, or purchase price, or</w:t>
      </w:r>
    </w:p>
    <w:p>
      <w:pPr>
        <w:spacing w:after="0" w:line="4" w:lineRule="exact"/>
        <w:rPr>
          <w:sz w:val="20"/>
          <w:szCs w:val="20"/>
          <w:color w:val="auto"/>
        </w:rPr>
      </w:pPr>
    </w:p>
    <w:p>
      <w:pPr>
        <w:ind w:left="1720" w:hanging="198"/>
        <w:spacing w:after="0"/>
        <w:tabs>
          <w:tab w:leader="none" w:pos="172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are withheld or reacquired to satisfy a tax withholding obligation. In addition, the number of shares of</w:t>
      </w:r>
    </w:p>
    <w:p>
      <w:pPr>
        <w:spacing w:after="0" w:line="386" w:lineRule="exact"/>
        <w:rPr>
          <w:rFonts w:ascii="Arial" w:cs="Arial" w:eastAsia="Arial" w:hAnsi="Arial"/>
          <w:sz w:val="12"/>
          <w:szCs w:val="12"/>
          <w:color w:val="auto"/>
        </w:rPr>
      </w:pPr>
    </w:p>
    <w:p>
      <w:pPr>
        <w:ind w:left="4400"/>
        <w:spacing w:after="0"/>
        <w:rPr>
          <w:rFonts w:ascii="Arial" w:cs="Arial" w:eastAsia="Arial" w:hAnsi="Arial"/>
          <w:sz w:val="12"/>
          <w:szCs w:val="12"/>
          <w:color w:val="auto"/>
        </w:rPr>
      </w:pPr>
      <w:r>
        <w:rPr>
          <w:rFonts w:ascii="Arial" w:cs="Arial" w:eastAsia="Arial" w:hAnsi="Arial"/>
          <w:sz w:val="12"/>
          <w:szCs w:val="12"/>
          <w:color w:val="auto"/>
        </w:rPr>
        <w:t>181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00"/>
        <w:spacing w:after="0" w:line="273" w:lineRule="auto"/>
        <w:rPr>
          <w:sz w:val="20"/>
          <w:szCs w:val="20"/>
          <w:color w:val="auto"/>
        </w:rPr>
      </w:pPr>
      <w:r>
        <w:rPr>
          <w:rFonts w:ascii="Arial" w:cs="Arial" w:eastAsia="Arial" w:hAnsi="Arial"/>
          <w:sz w:val="12"/>
          <w:szCs w:val="12"/>
          <w:color w:val="auto"/>
        </w:rPr>
        <w:t>our Class A common stock reserved for issuance under the 2025 Plan will automatically increase on the first day of each of our 2027 through 2036 fiscal years (assuming the 2025 Plan becomes effective in our 2026 fiscal year), by 5% of the total number of shares of all classes of our common stock outstanding on the last day of the previous fiscal year; provided that before the date of any such increase, the 2025 Plan’s administrator may determine that such increase will be less than such amount. As of the date hereof, no shares have been issued under the 2025 Plan. The maximum number of shares of our Class A common stock that may be issued on the exercise of ISOs under the 2025 Plan is 175,000,000 .</w:t>
      </w:r>
    </w:p>
    <w:p>
      <w:pPr>
        <w:spacing w:after="0" w:line="88" w:lineRule="exact"/>
        <w:rPr>
          <w:sz w:val="20"/>
          <w:szCs w:val="20"/>
          <w:color w:val="auto"/>
        </w:rPr>
      </w:pPr>
    </w:p>
    <w:p>
      <w:pPr>
        <w:ind w:left="1520" w:right="1740" w:firstLine="230"/>
        <w:spacing w:after="0" w:line="272" w:lineRule="auto"/>
        <w:rPr>
          <w:sz w:val="20"/>
          <w:szCs w:val="20"/>
          <w:color w:val="auto"/>
        </w:rPr>
      </w:pPr>
      <w:r>
        <w:rPr>
          <w:rFonts w:ascii="Arial" w:cs="Arial" w:eastAsia="Arial" w:hAnsi="Arial"/>
          <w:sz w:val="12"/>
          <w:szCs w:val="12"/>
          <w:color w:val="auto"/>
        </w:rPr>
        <w:t>Shares subject to awards granted under the 2025 Plan do not reduce the number of shares available for issuance under the 2025 Plan to the extent the awards expire or terminate without the issuance of shares, the awards are paid out in cash rather than in shares, or the shares are withheld to satisfy the exercise, strike, or purchase price of an award or the tax withholding obligations related to an award. Additionally, shares issued through awards granted under the 2025 Plan will become available for future grant under the 2025 Plan if they are (i) forfeited back to or repurchased by us because of a failure to meet a contingency or condition required for the vesting of such shares or (i) reacquired by us to satisfy the exercise, strike, or purchase price of an award or the tax withholding obligations related to an award.</w:t>
      </w:r>
    </w:p>
    <w:p>
      <w:pPr>
        <w:spacing w:after="0" w:line="88" w:lineRule="exact"/>
        <w:rPr>
          <w:sz w:val="20"/>
          <w:szCs w:val="20"/>
          <w:color w:val="auto"/>
        </w:rPr>
      </w:pPr>
    </w:p>
    <w:p>
      <w:pPr>
        <w:ind w:left="1520" w:right="1740" w:firstLine="230"/>
        <w:spacing w:after="0" w:line="289" w:lineRule="auto"/>
        <w:rPr>
          <w:sz w:val="20"/>
          <w:szCs w:val="20"/>
          <w:color w:val="auto"/>
        </w:rPr>
      </w:pPr>
      <w:r>
        <w:rPr>
          <w:rFonts w:ascii="Arial" w:cs="Arial" w:eastAsia="Arial" w:hAnsi="Arial"/>
          <w:sz w:val="12"/>
          <w:szCs w:val="12"/>
          <w:i w:val="1"/>
          <w:iCs w:val="1"/>
          <w:color w:val="auto"/>
        </w:rPr>
        <w:t xml:space="preserve">Plan Administration </w:t>
      </w:r>
      <w:r>
        <w:rPr>
          <w:rFonts w:ascii="Arial" w:cs="Arial" w:eastAsia="Arial" w:hAnsi="Arial"/>
          <w:sz w:val="12"/>
          <w:szCs w:val="12"/>
          <w:color w:val="auto"/>
        </w:rPr>
        <w:t>. Our board of directors, or a duly authorized committee of our board of directors,</w:t>
      </w:r>
      <w:r>
        <w:rPr>
          <w:rFonts w:ascii="Arial" w:cs="Arial" w:eastAsia="Arial" w:hAnsi="Arial"/>
          <w:sz w:val="12"/>
          <w:szCs w:val="12"/>
          <w:i w:val="1"/>
          <w:iCs w:val="1"/>
          <w:color w:val="auto"/>
        </w:rPr>
        <w:t xml:space="preserve"> </w:t>
      </w:r>
      <w:r>
        <w:rPr>
          <w:rFonts w:ascii="Arial" w:cs="Arial" w:eastAsia="Arial" w:hAnsi="Arial"/>
          <w:sz w:val="12"/>
          <w:szCs w:val="12"/>
          <w:color w:val="auto"/>
        </w:rPr>
        <w:t>will administer the 2025 Plan. In this summary of the 2025 Plan, we sometimes refer to our board of directors or the applicable committee with the power to administer the 2025 Plan as the administrator.</w:t>
      </w:r>
    </w:p>
    <w:p>
      <w:pPr>
        <w:spacing w:after="0" w:line="76" w:lineRule="exact"/>
        <w:rPr>
          <w:sz w:val="20"/>
          <w:szCs w:val="20"/>
          <w:color w:val="auto"/>
        </w:rPr>
      </w:pPr>
    </w:p>
    <w:p>
      <w:pPr>
        <w:ind w:left="1520" w:right="1780" w:firstLine="230"/>
        <w:spacing w:after="0" w:line="276" w:lineRule="auto"/>
        <w:rPr>
          <w:sz w:val="20"/>
          <w:szCs w:val="20"/>
          <w:color w:val="auto"/>
        </w:rPr>
      </w:pPr>
      <w:r>
        <w:rPr>
          <w:rFonts w:ascii="Arial" w:cs="Arial" w:eastAsia="Arial" w:hAnsi="Arial"/>
          <w:sz w:val="12"/>
          <w:szCs w:val="12"/>
          <w:color w:val="auto"/>
        </w:rPr>
        <w:t>Subject to the limitations of the 2025 Plan, the administrator’s powers include the authority to (i) determine the eligible persons who will be granted awards and the terms and conditions of such awards,</w:t>
      </w:r>
    </w:p>
    <w:p>
      <w:pPr>
        <w:ind w:left="1520" w:right="1720" w:firstLine="2"/>
        <w:spacing w:after="0" w:line="270" w:lineRule="auto"/>
        <w:tabs>
          <w:tab w:leader="none" w:pos="1692" w:val="left"/>
        </w:tabs>
        <w:numPr>
          <w:ilvl w:val="0"/>
          <w:numId w:val="140"/>
        </w:numPr>
        <w:rPr>
          <w:rFonts w:ascii="Arial" w:cs="Arial" w:eastAsia="Arial" w:hAnsi="Arial"/>
          <w:sz w:val="12"/>
          <w:szCs w:val="12"/>
          <w:color w:val="auto"/>
        </w:rPr>
      </w:pPr>
      <w:r>
        <w:rPr>
          <w:rFonts w:ascii="Arial" w:cs="Arial" w:eastAsia="Arial" w:hAnsi="Arial"/>
          <w:sz w:val="12"/>
          <w:szCs w:val="12"/>
          <w:color w:val="auto"/>
        </w:rPr>
        <w:t>construe and interpret the 2025 Plan and awards granted under it, (iii) establish, amend and revoke rules and regulations for the 2025 Plan’s administration, (iv) amend the terms of any award (provided that such amendment does not materially impair the existing rights of the participant holding such award without such participant’s written consent), (v) adopt such procedures and sub-plans as are necessary or appropriate to permit and facilitate participation in the 2025 Plan by, or take advantage of specific tax treatment for awards granted to, persons who are non-U.S. nationals or employed outside the United States, and (vi) exercise such powers and perform such acts as the administrator deems necessary or expedient to promote our best interests and that are not in conflict with the provisions of the 2025 Plan or the awards granted under it.</w:t>
      </w:r>
    </w:p>
    <w:p>
      <w:pPr>
        <w:spacing w:after="0" w:line="239" w:lineRule="exact"/>
        <w:rPr>
          <w:sz w:val="20"/>
          <w:szCs w:val="20"/>
          <w:color w:val="auto"/>
        </w:rPr>
      </w:pPr>
    </w:p>
    <w:p>
      <w:pPr>
        <w:ind w:left="1520" w:right="1920" w:firstLine="230"/>
        <w:spacing w:after="0" w:line="275" w:lineRule="auto"/>
        <w:rPr>
          <w:sz w:val="20"/>
          <w:szCs w:val="20"/>
          <w:color w:val="auto"/>
        </w:rPr>
      </w:pPr>
      <w:r>
        <w:rPr>
          <w:rFonts w:ascii="Arial" w:cs="Arial" w:eastAsia="Arial" w:hAnsi="Arial"/>
          <w:sz w:val="12"/>
          <w:szCs w:val="12"/>
          <w:color w:val="auto"/>
        </w:rPr>
        <w:t>In addition, subject to the terms of the 2025 Plan, the administrator also has the power to modify outstanding awards under the 2025 Plan, including the authority to reprice any outstanding option or stock appreciation right, cancel and re-grant any outstanding option or stock appreciation right in exchange for new awards, cash or other consideration, or take any other action that is treated as a repricing under generally accepted accounting principles, with the consent of any materially adversely affected participant.</w:t>
      </w:r>
    </w:p>
    <w:p>
      <w:pPr>
        <w:spacing w:after="0" w:line="85" w:lineRule="exact"/>
        <w:rPr>
          <w:sz w:val="20"/>
          <w:szCs w:val="20"/>
          <w:color w:val="auto"/>
        </w:rPr>
      </w:pPr>
    </w:p>
    <w:p>
      <w:pPr>
        <w:ind w:left="1520" w:right="1720" w:firstLine="230"/>
        <w:spacing w:after="0" w:line="312" w:lineRule="auto"/>
        <w:rPr>
          <w:sz w:val="20"/>
          <w:szCs w:val="20"/>
          <w:color w:val="auto"/>
        </w:rPr>
      </w:pPr>
      <w:r>
        <w:rPr>
          <w:rFonts w:ascii="Arial" w:cs="Arial" w:eastAsia="Arial" w:hAnsi="Arial"/>
          <w:sz w:val="12"/>
          <w:szCs w:val="12"/>
          <w:color w:val="auto"/>
        </w:rPr>
        <w:t>The administrator may also delegate to one or more persons or bodies the authority to administer the plan to the extent permitted by applicable laws.</w:t>
      </w:r>
    </w:p>
    <w:p>
      <w:pPr>
        <w:spacing w:after="0" w:line="62" w:lineRule="exact"/>
        <w:rPr>
          <w:sz w:val="20"/>
          <w:szCs w:val="20"/>
          <w:color w:val="auto"/>
        </w:rPr>
      </w:pPr>
    </w:p>
    <w:p>
      <w:pPr>
        <w:ind w:left="1520" w:right="1820" w:firstLine="230"/>
        <w:spacing w:after="0" w:line="289" w:lineRule="auto"/>
        <w:rPr>
          <w:sz w:val="20"/>
          <w:szCs w:val="20"/>
          <w:color w:val="auto"/>
        </w:rPr>
      </w:pPr>
      <w:r>
        <w:rPr>
          <w:rFonts w:ascii="Arial" w:cs="Arial" w:eastAsia="Arial" w:hAnsi="Arial"/>
          <w:sz w:val="12"/>
          <w:szCs w:val="12"/>
          <w:color w:val="auto"/>
        </w:rPr>
        <w:t>In addition, except to the extent prohibited by applicable laws, the person(s) or third-party administrator will be delegated the day-to-day administration of the 2025 Plan and the functions to them by the administrator of the 2025 Plan, but this delegation may be revoked at any time.</w:t>
      </w:r>
    </w:p>
    <w:p>
      <w:pPr>
        <w:spacing w:after="0" w:line="76" w:lineRule="exact"/>
        <w:rPr>
          <w:sz w:val="20"/>
          <w:szCs w:val="20"/>
          <w:color w:val="auto"/>
        </w:rPr>
      </w:pPr>
    </w:p>
    <w:p>
      <w:pPr>
        <w:ind w:left="1520" w:right="1680" w:firstLine="230"/>
        <w:spacing w:after="0" w:line="272" w:lineRule="auto"/>
        <w:rPr>
          <w:sz w:val="20"/>
          <w:szCs w:val="20"/>
          <w:color w:val="auto"/>
        </w:rPr>
      </w:pPr>
      <w:r>
        <w:rPr>
          <w:rFonts w:ascii="Arial" w:cs="Arial" w:eastAsia="Arial" w:hAnsi="Arial"/>
          <w:sz w:val="12"/>
          <w:szCs w:val="12"/>
          <w:i w:val="1"/>
          <w:iCs w:val="1"/>
          <w:color w:val="auto"/>
        </w:rPr>
        <w:t xml:space="preserve">Stock Options </w:t>
      </w:r>
      <w:r>
        <w:rPr>
          <w:rFonts w:ascii="Arial" w:cs="Arial" w:eastAsia="Arial" w:hAnsi="Arial"/>
          <w:sz w:val="12"/>
          <w:szCs w:val="12"/>
          <w:color w:val="auto"/>
        </w:rPr>
        <w:t>. The 2025 Plan allows for the grant of options, with terms as generally determined by</w:t>
      </w:r>
      <w:r>
        <w:rPr>
          <w:rFonts w:ascii="Arial" w:cs="Arial" w:eastAsia="Arial" w:hAnsi="Arial"/>
          <w:sz w:val="12"/>
          <w:szCs w:val="12"/>
          <w:i w:val="1"/>
          <w:iCs w:val="1"/>
          <w:color w:val="auto"/>
        </w:rPr>
        <w:t xml:space="preserve"> </w:t>
      </w:r>
      <w:r>
        <w:rPr>
          <w:rFonts w:ascii="Arial" w:cs="Arial" w:eastAsia="Arial" w:hAnsi="Arial"/>
          <w:sz w:val="12"/>
          <w:szCs w:val="12"/>
          <w:color w:val="auto"/>
        </w:rPr>
        <w:t>the administrator (in accordance with the 2025 Plan) and set forth in an award agreement. However, the per share exercise price of a stock option generally cannot be less than 100% of the fair market value of a share of our Class A common stock on the date of grant, and an option may not have a term exceeding ten years. In addition, no ISO may be granted to any person who, at the time of the grant, owns or is deemed to own stock possessing more than 10% of the total combined voting power or value of all classes of capital stock of ours or of any parent or subsidiary of ours unless (i) the option exercise price is at least 110% of the fair market value of the stock subject to the option on the date of grant and (ii) the</w:t>
      </w:r>
    </w:p>
    <w:p>
      <w:pPr>
        <w:sectPr>
          <w:pgSz w:w="11900" w:h="16840" w:orient="portrait"/>
          <w:cols w:equalWidth="0" w:num="1">
            <w:col w:w="9020"/>
          </w:cols>
          <w:pgMar w:left="1440" w:top="560" w:right="1440" w:bottom="356" w:gutter="0" w:footer="0" w:header="0"/>
        </w:sect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182</w:t>
      </w:r>
    </w:p>
    <w:p>
      <w:pPr>
        <w:sectPr>
          <w:pgSz w:w="11900" w:h="16840" w:orient="portrait"/>
          <w:cols w:equalWidth="0" w:num="1">
            <w:col w:w="9020"/>
          </w:cols>
          <w:pgMar w:left="1440" w:top="560" w:right="1440" w:bottom="356" w:gutter="0" w:footer="0" w:header="0"/>
          <w:type w:val="continuous"/>
        </w:sectPr>
      </w:pPr>
    </w:p>
    <w:bookmarkStart w:id="126" w:name="page127"/>
    <w:bookmarkEnd w:id="126"/>
    <w:p>
      <w:pPr>
        <w:ind w:left="1520"/>
        <w:spacing w:after="0"/>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80"/>
        <w:spacing w:after="0" w:line="276" w:lineRule="auto"/>
        <w:rPr>
          <w:sz w:val="20"/>
          <w:szCs w:val="20"/>
          <w:color w:val="auto"/>
        </w:rPr>
      </w:pPr>
      <w:r>
        <w:rPr>
          <w:rFonts w:ascii="Arial" w:cs="Arial" w:eastAsia="Arial" w:hAnsi="Arial"/>
          <w:sz w:val="12"/>
          <w:szCs w:val="12"/>
          <w:color w:val="auto"/>
        </w:rPr>
        <w:t>option does not have a term exceeding five years. The aggregate fair market value, determined at the time of grant, of the shares of our common stock subject to ISOs that are exercisable for the first time by a participant during any calendar year under all stock plans of ours or any parent or subsidiary of ours may not exceed $100,000. Options or portions thereof that exceed such limit will generally be treated as NSOs. An option vests based on the satisfaction of the vesting conditions specified in the award agreement.</w:t>
      </w:r>
    </w:p>
    <w:p>
      <w:pPr>
        <w:spacing w:after="0" w:line="240" w:lineRule="exact"/>
        <w:rPr>
          <w:sz w:val="20"/>
          <w:szCs w:val="20"/>
          <w:color w:val="auto"/>
        </w:rPr>
      </w:pPr>
    </w:p>
    <w:p>
      <w:pPr>
        <w:ind w:left="1520" w:right="1720" w:firstLine="230"/>
        <w:spacing w:after="0" w:line="271" w:lineRule="auto"/>
        <w:rPr>
          <w:sz w:val="20"/>
          <w:szCs w:val="20"/>
          <w:color w:val="auto"/>
        </w:rPr>
      </w:pPr>
      <w:r>
        <w:rPr>
          <w:rFonts w:ascii="Arial" w:cs="Arial" w:eastAsia="Arial" w:hAnsi="Arial"/>
          <w:sz w:val="12"/>
          <w:szCs w:val="12"/>
          <w:color w:val="auto"/>
        </w:rPr>
        <w:t>After a participant’s service relationship with us terminates, the participant will be able to exercise the vested portion of the participant’s option for the period of time stated in the participant’s award agreement. In the absence of a specified time in the award agreement, the option will be immediately forfeited upon a termination for cause, and the vested portion of the option will remain exercisable (i) if such termination is for any reason other than for cause, due to the participant’s disability, or due to the participant’s death, for three months following the date of such termination, (ii) if such termination is due to the participant’s disability, for 12 months following the date of such termination, (iii) if such termination is due to the participant’s death, for 18 months following the date of such termination, or (iv) if such death occurs following the date of such termination but during the period such award is otherwise exercisable, for 18 months following the date of the participant’s death. However, an option may not be exercised later than the expiration of its term.</w:t>
      </w:r>
    </w:p>
    <w:p>
      <w:pPr>
        <w:spacing w:after="0" w:line="241" w:lineRule="exact"/>
        <w:rPr>
          <w:sz w:val="20"/>
          <w:szCs w:val="20"/>
          <w:color w:val="auto"/>
        </w:rPr>
      </w:pPr>
    </w:p>
    <w:p>
      <w:pPr>
        <w:ind w:left="1520" w:right="1600" w:firstLine="230"/>
        <w:spacing w:after="0" w:line="272" w:lineRule="auto"/>
        <w:rPr>
          <w:sz w:val="20"/>
          <w:szCs w:val="20"/>
          <w:color w:val="auto"/>
        </w:rPr>
      </w:pPr>
      <w:r>
        <w:rPr>
          <w:rFonts w:ascii="Arial" w:cs="Arial" w:eastAsia="Arial" w:hAnsi="Arial"/>
          <w:sz w:val="12"/>
          <w:szCs w:val="12"/>
          <w:i w:val="1"/>
          <w:iCs w:val="1"/>
          <w:color w:val="auto"/>
        </w:rPr>
        <w:t xml:space="preserve">Stock Appreciation Rights </w:t>
      </w:r>
      <w:r>
        <w:rPr>
          <w:rFonts w:ascii="Arial" w:cs="Arial" w:eastAsia="Arial" w:hAnsi="Arial"/>
          <w:sz w:val="12"/>
          <w:szCs w:val="12"/>
          <w:color w:val="auto"/>
        </w:rPr>
        <w:t>. The 2025 Plan allows for the grant of stock appreciation rights, with terms</w:t>
      </w:r>
      <w:r>
        <w:rPr>
          <w:rFonts w:ascii="Arial" w:cs="Arial" w:eastAsia="Arial" w:hAnsi="Arial"/>
          <w:sz w:val="12"/>
          <w:szCs w:val="12"/>
          <w:i w:val="1"/>
          <w:iCs w:val="1"/>
          <w:color w:val="auto"/>
        </w:rPr>
        <w:t xml:space="preserve"> </w:t>
      </w:r>
      <w:r>
        <w:rPr>
          <w:rFonts w:ascii="Arial" w:cs="Arial" w:eastAsia="Arial" w:hAnsi="Arial"/>
          <w:sz w:val="12"/>
          <w:szCs w:val="12"/>
          <w:color w:val="auto"/>
        </w:rPr>
        <w:t>as generally determined by the administrator (in accordance with the 2025 Plan) and set forth in an award agreement. However, the per share strike price for a stock appreciation right generally cannot be less than 100% of the fair market value of a share of our Class A common stock on the date of grant, and a stock appreciation right may not have a term exceeding ten years. A stock appreciation right vests based on the satisfaction of the vesting conditions specified in the award agreement. When a participant’s service relationship with us ends, the same rules relating to the exercise of options will apply to the participant’s stock appreciation rights.</w:t>
      </w:r>
    </w:p>
    <w:p>
      <w:pPr>
        <w:spacing w:after="0" w:line="88" w:lineRule="exact"/>
        <w:rPr>
          <w:sz w:val="20"/>
          <w:szCs w:val="20"/>
          <w:color w:val="auto"/>
        </w:rPr>
      </w:pPr>
    </w:p>
    <w:p>
      <w:pPr>
        <w:ind w:left="1760"/>
        <w:spacing w:after="0"/>
        <w:rPr>
          <w:sz w:val="20"/>
          <w:szCs w:val="20"/>
          <w:color w:val="auto"/>
        </w:rPr>
      </w:pPr>
      <w:r>
        <w:rPr>
          <w:rFonts w:ascii="Arial" w:cs="Arial" w:eastAsia="Arial" w:hAnsi="Arial"/>
          <w:sz w:val="12"/>
          <w:szCs w:val="12"/>
          <w:i w:val="1"/>
          <w:iCs w:val="1"/>
          <w:color w:val="auto"/>
        </w:rPr>
        <w:t xml:space="preserve">Restricted Stock Awards </w:t>
      </w:r>
      <w:r>
        <w:rPr>
          <w:rFonts w:ascii="Arial" w:cs="Arial" w:eastAsia="Arial" w:hAnsi="Arial"/>
          <w:sz w:val="12"/>
          <w:szCs w:val="12"/>
          <w:color w:val="auto"/>
        </w:rPr>
        <w:t>. The 2025 Plan allows for the grant of restricted stock awards, with terms</w:t>
      </w:r>
    </w:p>
    <w:p>
      <w:pPr>
        <w:spacing w:after="0" w:line="27" w:lineRule="exact"/>
        <w:rPr>
          <w:sz w:val="20"/>
          <w:szCs w:val="20"/>
          <w:color w:val="auto"/>
        </w:rPr>
      </w:pPr>
    </w:p>
    <w:p>
      <w:pPr>
        <w:ind w:left="1520"/>
        <w:spacing w:after="0"/>
        <w:tabs>
          <w:tab w:leader="none" w:pos="5720" w:val="left"/>
        </w:tabs>
        <w:rPr>
          <w:sz w:val="20"/>
          <w:szCs w:val="20"/>
          <w:color w:val="auto"/>
        </w:rPr>
      </w:pPr>
      <w:r>
        <w:rPr>
          <w:rFonts w:ascii="Arial" w:cs="Arial" w:eastAsia="Arial" w:hAnsi="Arial"/>
          <w:sz w:val="12"/>
          <w:szCs w:val="12"/>
          <w:color w:val="auto"/>
        </w:rPr>
        <w:t>as generally determined by the administrator (in accordance with the 2025</w:t>
        <w:tab/>
        <w:t>Plan) and set forth in an award</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agreement. A restricted stock award may be awarded in consideration for cash, check, bank draft or</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money order, past services to us, or any other form of legal consideration that may be acceptable to the</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administrator and permissible under applicable law. Unless otherwise determined by the administrator, a</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participant will have voting and other rights as a stockholder of ours with respect to any shares subject to</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a restricted stock award. Dividend equivalents may be paid or credited with respect to any shares covered</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by a restricted stock award. If a participant’s service relationship with us ends for any reason, we may</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receive any or all of the shares of our Class A common stock held by the participant that have not vested</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as of the date the participant terminates service with us through a forfeiture condition or a repurchase</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right.</w:t>
      </w:r>
    </w:p>
    <w:p>
      <w:pPr>
        <w:spacing w:after="0" w:line="118" w:lineRule="exact"/>
        <w:rPr>
          <w:sz w:val="20"/>
          <w:szCs w:val="20"/>
          <w:color w:val="auto"/>
        </w:rPr>
      </w:pPr>
    </w:p>
    <w:p>
      <w:pPr>
        <w:ind w:left="1520" w:right="1720" w:firstLine="230"/>
        <w:spacing w:after="0" w:line="272" w:lineRule="auto"/>
        <w:rPr>
          <w:sz w:val="20"/>
          <w:szCs w:val="20"/>
          <w:color w:val="auto"/>
        </w:rPr>
      </w:pPr>
      <w:r>
        <w:rPr>
          <w:rFonts w:ascii="Arial" w:cs="Arial" w:eastAsia="Arial" w:hAnsi="Arial"/>
          <w:sz w:val="12"/>
          <w:szCs w:val="12"/>
          <w:i w:val="1"/>
          <w:iCs w:val="1"/>
          <w:color w:val="auto"/>
        </w:rPr>
        <w:t xml:space="preserve">Restricted Stock Unit Awards </w:t>
      </w:r>
      <w:r>
        <w:rPr>
          <w:rFonts w:ascii="Arial" w:cs="Arial" w:eastAsia="Arial" w:hAnsi="Arial"/>
          <w:sz w:val="12"/>
          <w:szCs w:val="12"/>
          <w:color w:val="auto"/>
        </w:rPr>
        <w:t>. The 2025 Plan allows for the grant of RSUs, with terms as generally</w:t>
      </w:r>
      <w:r>
        <w:rPr>
          <w:rFonts w:ascii="Arial" w:cs="Arial" w:eastAsia="Arial" w:hAnsi="Arial"/>
          <w:sz w:val="12"/>
          <w:szCs w:val="12"/>
          <w:i w:val="1"/>
          <w:iCs w:val="1"/>
          <w:color w:val="auto"/>
        </w:rPr>
        <w:t xml:space="preserve"> </w:t>
      </w:r>
      <w:r>
        <w:rPr>
          <w:rFonts w:ascii="Arial" w:cs="Arial" w:eastAsia="Arial" w:hAnsi="Arial"/>
          <w:sz w:val="12"/>
          <w:szCs w:val="12"/>
          <w:color w:val="auto"/>
        </w:rPr>
        <w:t>determined by the administrator (in accordance with the 2025 Plan) and set forth in an award agreement. Unless otherwise determined by the administrator at the time of grant, an award of restricted stock units will be granted in consideration for a participant’s services to us or an affiliate of ours, such that the participant will not be required to make any payment to us (other than such services) with respect to the grant or vesting of the award, or the issuance of any shares through the award. If, at the time of grant, the administrator determines that any consideration must be paid by the participant upon the issuance of any shares in settlement of the award, such consideration may be paid in any form of consideration that is acceptable to the administrator and permissible under applicable law.</w:t>
      </w:r>
    </w:p>
    <w:p>
      <w:pPr>
        <w:spacing w:after="0" w:line="85" w:lineRule="exact"/>
        <w:rPr>
          <w:sz w:val="20"/>
          <w:szCs w:val="20"/>
          <w:color w:val="auto"/>
        </w:rPr>
      </w:pPr>
    </w:p>
    <w:p>
      <w:pPr>
        <w:ind w:left="1520" w:right="1720" w:firstLine="230"/>
        <w:spacing w:after="0" w:line="277" w:lineRule="auto"/>
        <w:rPr>
          <w:sz w:val="20"/>
          <w:szCs w:val="20"/>
          <w:color w:val="auto"/>
        </w:rPr>
      </w:pPr>
      <w:r>
        <w:rPr>
          <w:rFonts w:ascii="Arial" w:cs="Arial" w:eastAsia="Arial" w:hAnsi="Arial"/>
          <w:sz w:val="12"/>
          <w:szCs w:val="12"/>
          <w:color w:val="auto"/>
        </w:rPr>
        <w:t>A restricted stock unit may be settled by the issuance of cash, shares of our Class A common stock, or a combination of cash and such shares. Additionally, dividend equivalents may be paid or credited with respect to any shares covered by a restricted stock unit. Except as otherwise provided in the applicable award agreement, restricted stock units that have not vested will be forfeited once the participant’s continuous service ends for any reason.</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183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660" w:firstLine="230"/>
        <w:spacing w:after="0" w:line="277" w:lineRule="auto"/>
        <w:rPr>
          <w:sz w:val="20"/>
          <w:szCs w:val="20"/>
          <w:color w:val="auto"/>
        </w:rPr>
      </w:pPr>
      <w:r>
        <w:rPr>
          <w:rFonts w:ascii="Arial" w:cs="Arial" w:eastAsia="Arial" w:hAnsi="Arial"/>
          <w:sz w:val="12"/>
          <w:szCs w:val="12"/>
          <w:i w:val="1"/>
          <w:iCs w:val="1"/>
          <w:color w:val="auto"/>
        </w:rPr>
        <w:t xml:space="preserve">Performance Awards </w:t>
      </w:r>
      <w:r>
        <w:rPr>
          <w:rFonts w:ascii="Arial" w:cs="Arial" w:eastAsia="Arial" w:hAnsi="Arial"/>
          <w:sz w:val="12"/>
          <w:szCs w:val="12"/>
          <w:color w:val="auto"/>
        </w:rPr>
        <w:t>. The 2025 Plan allows for the grant of performance-based stock and cash</w:t>
      </w:r>
      <w:r>
        <w:rPr>
          <w:rFonts w:ascii="Arial" w:cs="Arial" w:eastAsia="Arial" w:hAnsi="Arial"/>
          <w:sz w:val="12"/>
          <w:szCs w:val="12"/>
          <w:i w:val="1"/>
          <w:iCs w:val="1"/>
          <w:color w:val="auto"/>
        </w:rPr>
        <w:t xml:space="preserve"> </w:t>
      </w:r>
      <w:r>
        <w:rPr>
          <w:rFonts w:ascii="Arial" w:cs="Arial" w:eastAsia="Arial" w:hAnsi="Arial"/>
          <w:sz w:val="12"/>
          <w:szCs w:val="12"/>
          <w:color w:val="auto"/>
        </w:rPr>
        <w:t>awards, with terms as generally determined by the administrator (in accordance with the 2025 Plan) and set forth in an award agreement. The administrator may structure awards so that the shares of our Class A common stock or cash will be issued or paid only following the achievement of certain pre-established performance goals during a designated performance period.</w:t>
      </w:r>
    </w:p>
    <w:p>
      <w:pPr>
        <w:spacing w:after="0" w:line="84" w:lineRule="exact"/>
        <w:rPr>
          <w:sz w:val="20"/>
          <w:szCs w:val="20"/>
          <w:color w:val="auto"/>
        </w:rPr>
      </w:pPr>
    </w:p>
    <w:p>
      <w:pPr>
        <w:ind w:left="1520" w:right="1700" w:firstLine="230"/>
        <w:spacing w:after="0" w:line="268" w:lineRule="auto"/>
        <w:rPr>
          <w:sz w:val="20"/>
          <w:szCs w:val="20"/>
          <w:color w:val="auto"/>
        </w:rPr>
      </w:pPr>
      <w:r>
        <w:rPr>
          <w:rFonts w:ascii="Arial" w:cs="Arial" w:eastAsia="Arial" w:hAnsi="Arial"/>
          <w:sz w:val="12"/>
          <w:szCs w:val="12"/>
          <w:color w:val="auto"/>
        </w:rPr>
        <w:t>The performance criteria that will be used to establish such performance goals may be based on any measure of performance selected by the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in the award agreement at the time the award is granted or in such other document setting forth the performance goals at the time the goals are established, the administrator will appropriately make adjustments in the method of calculating the attainment of performance goals as follows: (i) to exclude restructuring and/or other nonrecurring charges (ii) to exclude exchange rate effects (iii) to exclude the effects of changes to generally accepted accounting principles, (iv) to exclude the effects of any statutory adjustments to corporate tax rates, (v) to exclude the effects of items that are “unusual” in nature or occur “infrequently” as determined under generally accepted accounting principles (vi) to exclude the dilutive effects of acquisitions or joint ventures, (vii) to assume that any business divested by us achieved performance objectives at targeted levels during the balance of a performance period following such divestiture, (viii)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our bonus plans, (x) to exclude costs incurred in connection with potential acquisitions or divestitures that are required to be expensed under generally accepted accounting principles, and (xi) to exclude the goodwill and intangible asset impairment charges that are required to be recorded under generally accepted accounting principles. In addition, the administrator has</w:t>
      </w:r>
    </w:p>
    <w:p>
      <w:pPr>
        <w:sectPr>
          <w:pgSz w:w="11900" w:h="16840" w:orient="portrait"/>
          <w:cols w:equalWidth="0" w:num="1">
            <w:col w:w="9020"/>
          </w:cols>
          <w:pgMar w:left="1440" w:top="1009" w:right="1440" w:bottom="203" w:gutter="0" w:footer="0" w:header="0"/>
        </w:sectPr>
      </w:pPr>
    </w:p>
    <w:bookmarkStart w:id="127" w:name="page128"/>
    <w:bookmarkEnd w:id="127"/>
    <w:p>
      <w:pPr>
        <w:ind w:left="1520" w:right="1880"/>
        <w:spacing w:after="0" w:line="226" w:lineRule="auto"/>
        <w:rPr>
          <w:sz w:val="20"/>
          <w:szCs w:val="20"/>
          <w:color w:val="auto"/>
        </w:rPr>
      </w:pPr>
      <w:r>
        <w:rPr>
          <w:rFonts w:ascii="Arial" w:cs="Arial" w:eastAsia="Arial" w:hAnsi="Arial"/>
          <w:sz w:val="12"/>
          <w:szCs w:val="12"/>
          <w:color w:val="auto"/>
        </w:rPr>
        <w:t>the discretion to reduce or eliminate the compensation or economic benefit due upon attainment of the goals. The performance goals may differ from participant to participant and from award to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-158115</wp:posOffset>
            </wp:positionV>
            <wp:extent cx="6732270" cy="99707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84" w:lineRule="exact"/>
        <w:rPr>
          <w:sz w:val="20"/>
          <w:szCs w:val="20"/>
          <w:color w:val="auto"/>
        </w:rPr>
      </w:pPr>
    </w:p>
    <w:p>
      <w:pPr>
        <w:ind w:left="1520" w:right="1740" w:firstLine="230"/>
        <w:spacing w:after="0" w:line="289" w:lineRule="auto"/>
        <w:rPr>
          <w:sz w:val="20"/>
          <w:szCs w:val="20"/>
          <w:color w:val="auto"/>
        </w:rPr>
      </w:pPr>
      <w:r>
        <w:rPr>
          <w:rFonts w:ascii="Arial" w:cs="Arial" w:eastAsia="Arial" w:hAnsi="Arial"/>
          <w:sz w:val="12"/>
          <w:szCs w:val="12"/>
          <w:i w:val="1"/>
          <w:iCs w:val="1"/>
          <w:color w:val="auto"/>
        </w:rPr>
        <w:t xml:space="preserve">Other Awards </w:t>
      </w:r>
      <w:r>
        <w:rPr>
          <w:rFonts w:ascii="Arial" w:cs="Arial" w:eastAsia="Arial" w:hAnsi="Arial"/>
          <w:sz w:val="12"/>
          <w:szCs w:val="12"/>
          <w:color w:val="auto"/>
        </w:rPr>
        <w:t>. The administrator may grant other awards based in whole or in part by reference to</w:t>
      </w:r>
      <w:r>
        <w:rPr>
          <w:rFonts w:ascii="Arial" w:cs="Arial" w:eastAsia="Arial" w:hAnsi="Arial"/>
          <w:sz w:val="12"/>
          <w:szCs w:val="12"/>
          <w:i w:val="1"/>
          <w:iCs w:val="1"/>
          <w:color w:val="auto"/>
        </w:rPr>
        <w:t xml:space="preserve"> </w:t>
      </w:r>
      <w:r>
        <w:rPr>
          <w:rFonts w:ascii="Arial" w:cs="Arial" w:eastAsia="Arial" w:hAnsi="Arial"/>
          <w:sz w:val="12"/>
          <w:szCs w:val="12"/>
          <w:color w:val="auto"/>
        </w:rPr>
        <w:t>our Class A common stock. The administrator will set the number of shares under the award (or the cash equivalent) and all other terms and conditions of such awards.</w:t>
      </w:r>
    </w:p>
    <w:p>
      <w:pPr>
        <w:spacing w:after="0" w:line="76" w:lineRule="exact"/>
        <w:rPr>
          <w:sz w:val="20"/>
          <w:szCs w:val="20"/>
          <w:color w:val="auto"/>
        </w:rPr>
      </w:pPr>
    </w:p>
    <w:p>
      <w:pPr>
        <w:ind w:left="1760"/>
        <w:spacing w:after="0"/>
        <w:rPr>
          <w:sz w:val="20"/>
          <w:szCs w:val="20"/>
          <w:color w:val="auto"/>
        </w:rPr>
      </w:pPr>
      <w:r>
        <w:rPr>
          <w:rFonts w:ascii="Arial" w:cs="Arial" w:eastAsia="Arial" w:hAnsi="Arial"/>
          <w:sz w:val="12"/>
          <w:szCs w:val="12"/>
          <w:i w:val="1"/>
          <w:iCs w:val="1"/>
          <w:color w:val="auto"/>
        </w:rPr>
        <w:t xml:space="preserve">Non-Employee Director Compensation Limit </w:t>
      </w:r>
      <w:r>
        <w:rPr>
          <w:rFonts w:ascii="Arial" w:cs="Arial" w:eastAsia="Arial" w:hAnsi="Arial"/>
          <w:sz w:val="12"/>
          <w:szCs w:val="12"/>
          <w:color w:val="auto"/>
        </w:rPr>
        <w:t>. The aggregate value of all compensation granted or</w:t>
      </w:r>
    </w:p>
    <w:p>
      <w:pPr>
        <w:spacing w:after="0" w:line="27"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paid to any individual for service as a non-employee director with respect to any fiscal year (including</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awards granted and cash fees paid by us) will not exceed $215,000 in total value, or in the event such</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non-employee director is first appointed or elected to our board of directors during such fiscal year,</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$450,000 in total value (in each case, calculating the value of any such awards based on the grant date</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fair value of such awards for financial reporting purposes). This limitation will apply beginning with the first</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fiscal year that begins after the date the 2025 Plan becomes effective.</w:t>
      </w:r>
    </w:p>
    <w:p>
      <w:pPr>
        <w:spacing w:after="0" w:line="118" w:lineRule="exact"/>
        <w:rPr>
          <w:sz w:val="20"/>
          <w:szCs w:val="20"/>
          <w:color w:val="auto"/>
        </w:rPr>
      </w:pPr>
    </w:p>
    <w:p>
      <w:pPr>
        <w:ind w:left="1520" w:right="1680" w:firstLine="230"/>
        <w:spacing w:after="0" w:line="276" w:lineRule="auto"/>
        <w:rPr>
          <w:sz w:val="20"/>
          <w:szCs w:val="20"/>
          <w:color w:val="auto"/>
        </w:rPr>
      </w:pPr>
      <w:r>
        <w:rPr>
          <w:rFonts w:ascii="Arial" w:cs="Arial" w:eastAsia="Arial" w:hAnsi="Arial"/>
          <w:sz w:val="12"/>
          <w:szCs w:val="12"/>
          <w:i w:val="1"/>
          <w:iCs w:val="1"/>
          <w:color w:val="auto"/>
        </w:rPr>
        <w:t xml:space="preserve">Changes to Capital Structure </w:t>
      </w:r>
      <w:r>
        <w:rPr>
          <w:rFonts w:ascii="Arial" w:cs="Arial" w:eastAsia="Arial" w:hAnsi="Arial"/>
          <w:sz w:val="12"/>
          <w:szCs w:val="12"/>
          <w:color w:val="auto"/>
        </w:rPr>
        <w:t>. In the event there is a specified type of change in our capital structure,</w:t>
      </w:r>
      <w:r>
        <w:rPr>
          <w:rFonts w:ascii="Arial" w:cs="Arial" w:eastAsia="Arial" w:hAnsi="Arial"/>
          <w:sz w:val="12"/>
          <w:szCs w:val="12"/>
          <w:i w:val="1"/>
          <w:iCs w:val="1"/>
          <w:color w:val="auto"/>
        </w:rPr>
        <w:t xml:space="preserve"> </w:t>
      </w:r>
      <w:r>
        <w:rPr>
          <w:rFonts w:ascii="Arial" w:cs="Arial" w:eastAsia="Arial" w:hAnsi="Arial"/>
          <w:sz w:val="12"/>
          <w:szCs w:val="12"/>
          <w:color w:val="auto"/>
        </w:rPr>
        <w:t>such as a stock split, reverse stock split, or recapitalization, appropriate adjustments will be made to</w:t>
      </w:r>
    </w:p>
    <w:p>
      <w:pPr>
        <w:ind w:left="1520" w:right="1700" w:firstLine="2"/>
        <w:spacing w:after="0" w:line="275" w:lineRule="auto"/>
        <w:tabs>
          <w:tab w:leader="none" w:pos="1665" w:val="left"/>
        </w:tabs>
        <w:numPr>
          <w:ilvl w:val="0"/>
          <w:numId w:val="141"/>
        </w:numPr>
        <w:rPr>
          <w:rFonts w:ascii="Arial" w:cs="Arial" w:eastAsia="Arial" w:hAnsi="Arial"/>
          <w:sz w:val="12"/>
          <w:szCs w:val="12"/>
          <w:color w:val="auto"/>
        </w:rPr>
      </w:pPr>
      <w:r>
        <w:rPr>
          <w:rFonts w:ascii="Arial" w:cs="Arial" w:eastAsia="Arial" w:hAnsi="Arial"/>
          <w:sz w:val="12"/>
          <w:szCs w:val="12"/>
          <w:color w:val="auto"/>
        </w:rPr>
        <w:t>the class and maximum number of shares reserved for issuance under the 2025 Plan, (ii) 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awards.</w:t>
      </w:r>
    </w:p>
    <w:p>
      <w:pPr>
        <w:spacing w:after="0" w:line="236" w:lineRule="exact"/>
        <w:rPr>
          <w:sz w:val="20"/>
          <w:szCs w:val="20"/>
          <w:color w:val="auto"/>
        </w:rPr>
      </w:pPr>
    </w:p>
    <w:p>
      <w:pPr>
        <w:ind w:left="1520" w:right="1760" w:firstLine="230"/>
        <w:spacing w:after="0" w:line="281" w:lineRule="auto"/>
        <w:rPr>
          <w:sz w:val="20"/>
          <w:szCs w:val="20"/>
          <w:color w:val="auto"/>
        </w:rPr>
      </w:pPr>
      <w:r>
        <w:rPr>
          <w:rFonts w:ascii="Arial" w:cs="Arial" w:eastAsia="Arial" w:hAnsi="Arial"/>
          <w:sz w:val="12"/>
          <w:szCs w:val="12"/>
          <w:i w:val="1"/>
          <w:iCs w:val="1"/>
          <w:color w:val="auto"/>
        </w:rPr>
        <w:t xml:space="preserve">Corporate Transactions </w:t>
      </w:r>
      <w:r>
        <w:rPr>
          <w:rFonts w:ascii="Arial" w:cs="Arial" w:eastAsia="Arial" w:hAnsi="Arial"/>
          <w:sz w:val="12"/>
          <w:szCs w:val="12"/>
          <w:color w:val="auto"/>
        </w:rPr>
        <w:t>. The following generally applies to awards under the 2025 Plan in the event</w:t>
      </w:r>
      <w:r>
        <w:rPr>
          <w:rFonts w:ascii="Arial" w:cs="Arial" w:eastAsia="Arial" w:hAnsi="Arial"/>
          <w:sz w:val="12"/>
          <w:szCs w:val="12"/>
          <w:i w:val="1"/>
          <w:iCs w:val="1"/>
          <w:color w:val="auto"/>
        </w:rPr>
        <w:t xml:space="preserve"> </w:t>
      </w:r>
      <w:r>
        <w:rPr>
          <w:rFonts w:ascii="Arial" w:cs="Arial" w:eastAsia="Arial" w:hAnsi="Arial"/>
          <w:sz w:val="12"/>
          <w:szCs w:val="12"/>
          <w:color w:val="auto"/>
        </w:rPr>
        <w:t>of a corporate transaction, unless otherwise provided in a participant’s award agreement or other written agreement with us or one of our affiliates that is approved by the administrator or unless otherwise expressly provided by the administrator at the time of grant.</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184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00" w:firstLine="230"/>
        <w:spacing w:after="0" w:line="268" w:lineRule="auto"/>
        <w:rPr>
          <w:sz w:val="20"/>
          <w:szCs w:val="20"/>
          <w:color w:val="auto"/>
        </w:rPr>
      </w:pPr>
      <w:r>
        <w:rPr>
          <w:rFonts w:ascii="Arial" w:cs="Arial" w:eastAsia="Arial" w:hAnsi="Arial"/>
          <w:sz w:val="12"/>
          <w:szCs w:val="12"/>
          <w:color w:val="auto"/>
        </w:rPr>
        <w:t>In the event of a corporate transaction, any awards outstanding under the 2025 Plan may be assumed, continued or substituted for by any surviving or acquiring corporation (or its parent company), and any reacquisition or repurchase rights held by us with respect to the award may be assigned to the successor (or its parent company). If the surviving or acquiring corporation (or its parent company) does not assume, continue or substitute for any portion of an award held by a participant whose continuous service has not terminated before the effective time of the transaction, or a current participant, the vesting (and exercisability, if applicable) of such portion of the award will be accelerated in full to a date before the effective time of the transaction (contingent upon the effectiveness of the transaction), and such portion of the award will terminate if not exercised (if applicable) at or before the effective time of the transaction, and any reacquisition or repurchase rights held by us with respect to such portion of the award will lapse (contingent upon the effectiveness of the transaction). With respect to the portion of any performance award that is not assumed, continued or substituted for, unless otherwise provided by an award agreement or other written agreement between us and the award holder, such portion of the award will accelerate at 100% of target. If the surviving or acquiring corporation (or its parent company) does not assume, continue or substitute for any portion of the award that is held by a person who is not a current participant, such portion of the award will terminate if not exercised (if applicable) before the effective time of the transaction, except that any reacquisition or repurchase rights held by us with respect to such portion of the award will not terminate and may continue to be exercised despite the transaction. The administrator is not obligated to treat all awards or portions of awards in the same manner and is not obligated to take the same actions with respect to all participants.</w:t>
      </w:r>
    </w:p>
    <w:p>
      <w:pPr>
        <w:spacing w:after="0" w:line="95" w:lineRule="exact"/>
        <w:rPr>
          <w:sz w:val="20"/>
          <w:szCs w:val="20"/>
          <w:color w:val="auto"/>
        </w:rPr>
      </w:pPr>
    </w:p>
    <w:p>
      <w:pPr>
        <w:ind w:left="1520" w:right="1740" w:firstLine="230"/>
        <w:spacing w:after="0" w:line="277" w:lineRule="auto"/>
        <w:rPr>
          <w:sz w:val="20"/>
          <w:szCs w:val="20"/>
          <w:color w:val="auto"/>
        </w:rPr>
      </w:pPr>
      <w:r>
        <w:rPr>
          <w:rFonts w:ascii="Arial" w:cs="Arial" w:eastAsia="Arial" w:hAnsi="Arial"/>
          <w:sz w:val="12"/>
          <w:szCs w:val="12"/>
          <w:color w:val="auto"/>
        </w:rPr>
        <w:t>In the event any portion of the award will terminate before the effective time of a transaction, the administrator may provide, in its sole discretion, that the holder of the award will receive a payment equal in value to the excess (if any) of (i) the value of the property the participant would have received with respect to that portion of the award over (ii) any exercise price payable by such holder in connection with that portion of the award.</w:t>
      </w:r>
    </w:p>
    <w:p>
      <w:pPr>
        <w:spacing w:after="0" w:line="84" w:lineRule="exact"/>
        <w:rPr>
          <w:sz w:val="20"/>
          <w:szCs w:val="20"/>
          <w:color w:val="auto"/>
        </w:rPr>
      </w:pPr>
    </w:p>
    <w:p>
      <w:pPr>
        <w:ind w:left="1520" w:right="1780" w:firstLine="230"/>
        <w:spacing w:after="0" w:line="272" w:lineRule="auto"/>
        <w:rPr>
          <w:sz w:val="20"/>
          <w:szCs w:val="20"/>
          <w:color w:val="auto"/>
        </w:rPr>
      </w:pPr>
      <w:r>
        <w:rPr>
          <w:rFonts w:ascii="Arial" w:cs="Arial" w:eastAsia="Arial" w:hAnsi="Arial"/>
          <w:sz w:val="12"/>
          <w:szCs w:val="12"/>
          <w:color w:val="auto"/>
        </w:rPr>
        <w:t>Under the 2025 Plan, a corporate transaction is defined to include the consummation, in a single transaction or in a series of related transactions, of any one or more of the following events: (i) a sale or disposition of all or substantially all of our assets, (ii) a sale or disposition of more than 50% of our outstanding securities, (iii) a merger, consolidation or similar transaction where we do not survive the transaction, and (iv) a merger or consolidation where we do survive the transaction but the shares of our Class A common stock outstanding before such transaction are converted or exchanged into other property by virtue of the transaction, unless otherwise provided in an award agreement or other written agreement between us and the award holder that is approved by the administrator.</w:t>
      </w:r>
    </w:p>
    <w:p>
      <w:pPr>
        <w:spacing w:after="0" w:line="88" w:lineRule="exact"/>
        <w:rPr>
          <w:sz w:val="20"/>
          <w:szCs w:val="20"/>
          <w:color w:val="auto"/>
        </w:rPr>
      </w:pPr>
    </w:p>
    <w:p>
      <w:pPr>
        <w:ind w:left="1520" w:right="1700" w:firstLine="230"/>
        <w:spacing w:after="0" w:line="289" w:lineRule="auto"/>
        <w:rPr>
          <w:sz w:val="20"/>
          <w:szCs w:val="20"/>
          <w:color w:val="auto"/>
        </w:rPr>
      </w:pPr>
      <w:r>
        <w:rPr>
          <w:rFonts w:ascii="Arial" w:cs="Arial" w:eastAsia="Arial" w:hAnsi="Arial"/>
          <w:sz w:val="12"/>
          <w:szCs w:val="12"/>
          <w:i w:val="1"/>
          <w:iCs w:val="1"/>
          <w:color w:val="auto"/>
        </w:rPr>
        <w:t xml:space="preserve">Change in Control </w:t>
      </w:r>
      <w:r>
        <w:rPr>
          <w:rFonts w:ascii="Arial" w:cs="Arial" w:eastAsia="Arial" w:hAnsi="Arial"/>
          <w:sz w:val="12"/>
          <w:szCs w:val="12"/>
          <w:color w:val="auto"/>
        </w:rPr>
        <w:t>. In the event of a change in control, as defined under the 2025 Plan, awards</w:t>
      </w:r>
      <w:r>
        <w:rPr>
          <w:rFonts w:ascii="Arial" w:cs="Arial" w:eastAsia="Arial" w:hAnsi="Arial"/>
          <w:sz w:val="12"/>
          <w:szCs w:val="12"/>
          <w:i w:val="1"/>
          <w:iCs w:val="1"/>
          <w:color w:val="auto"/>
        </w:rPr>
        <w:t xml:space="preserve"> </w:t>
      </w:r>
      <w:r>
        <w:rPr>
          <w:rFonts w:ascii="Arial" w:cs="Arial" w:eastAsia="Arial" w:hAnsi="Arial"/>
          <w:sz w:val="12"/>
          <w:szCs w:val="12"/>
          <w:color w:val="auto"/>
        </w:rPr>
        <w:t>granted under the 2025 Plan will not receive automatic acceleration of vesting and exercisability, although this treatment may be provided for in an award agreement.</w:t>
      </w:r>
    </w:p>
    <w:p>
      <w:pPr>
        <w:spacing w:after="0" w:line="76" w:lineRule="exact"/>
        <w:rPr>
          <w:sz w:val="20"/>
          <w:szCs w:val="20"/>
          <w:color w:val="auto"/>
        </w:rPr>
      </w:pPr>
    </w:p>
    <w:p>
      <w:pPr>
        <w:ind w:left="1520" w:right="1720" w:firstLine="230"/>
        <w:spacing w:after="0" w:line="272" w:lineRule="auto"/>
        <w:rPr>
          <w:sz w:val="20"/>
          <w:szCs w:val="20"/>
          <w:color w:val="auto"/>
        </w:rPr>
      </w:pPr>
      <w:r>
        <w:rPr>
          <w:rFonts w:ascii="Arial" w:cs="Arial" w:eastAsia="Arial" w:hAnsi="Arial"/>
          <w:sz w:val="12"/>
          <w:szCs w:val="12"/>
          <w:color w:val="auto"/>
        </w:rPr>
        <w:t>Under the 2025 Plan, a change in control is defined to include: (i) the acquisition by any person or company of more than 50% of the combined voting power of our then-outstanding securities, (ii) a consummated merger, consolidation or similar transaction in which our stockholders immediately before the transaction do not own, directly or indirectly, more than 50% of the combined voting power of the surviving entity (or the parent of the surviving entity), (iii) a consummated sale, lease, exclusive license or other disposition of all or substantially all of our assets other than to an entity more than 50% of the combined voting power of which is owned by our stockholders, and (iv) an unapproved change in the majority of the board of directors.</w:t>
      </w:r>
    </w:p>
    <w:p>
      <w:pPr>
        <w:spacing w:after="0" w:line="88" w:lineRule="exact"/>
        <w:rPr>
          <w:sz w:val="20"/>
          <w:szCs w:val="20"/>
          <w:color w:val="auto"/>
        </w:rPr>
      </w:pPr>
    </w:p>
    <w:p>
      <w:pPr>
        <w:ind w:left="1520" w:right="1860" w:firstLine="230"/>
        <w:spacing w:after="0" w:line="312" w:lineRule="auto"/>
        <w:rPr>
          <w:sz w:val="20"/>
          <w:szCs w:val="20"/>
          <w:color w:val="auto"/>
        </w:rPr>
      </w:pPr>
      <w:r>
        <w:rPr>
          <w:rFonts w:ascii="Arial" w:cs="Arial" w:eastAsia="Arial" w:hAnsi="Arial"/>
          <w:sz w:val="12"/>
          <w:szCs w:val="12"/>
          <w:i w:val="1"/>
          <w:iCs w:val="1"/>
          <w:color w:val="auto"/>
        </w:rPr>
        <w:t xml:space="preserve">Transferability </w:t>
      </w:r>
      <w:r>
        <w:rPr>
          <w:rFonts w:ascii="Arial" w:cs="Arial" w:eastAsia="Arial" w:hAnsi="Arial"/>
          <w:sz w:val="12"/>
          <w:szCs w:val="12"/>
          <w:color w:val="auto"/>
        </w:rPr>
        <w:t>. A participant may not transfer stock awards under the 2025 Plan other than by will,</w:t>
      </w:r>
      <w:r>
        <w:rPr>
          <w:rFonts w:ascii="Arial" w:cs="Arial" w:eastAsia="Arial" w:hAnsi="Arial"/>
          <w:sz w:val="12"/>
          <w:szCs w:val="12"/>
          <w:i w:val="1"/>
          <w:iCs w:val="1"/>
          <w:color w:val="auto"/>
        </w:rPr>
        <w:t xml:space="preserve"> </w:t>
      </w:r>
      <w:r>
        <w:rPr>
          <w:rFonts w:ascii="Arial" w:cs="Arial" w:eastAsia="Arial" w:hAnsi="Arial"/>
          <w:sz w:val="12"/>
          <w:szCs w:val="12"/>
          <w:color w:val="auto"/>
        </w:rPr>
        <w:t>the laws of descent and distribution, or as otherwise provided under the 2025 Plan.</w:t>
      </w:r>
    </w:p>
    <w:p>
      <w:pPr>
        <w:spacing w:after="0" w:line="62" w:lineRule="exact"/>
        <w:rPr>
          <w:sz w:val="20"/>
          <w:szCs w:val="20"/>
          <w:color w:val="auto"/>
        </w:rPr>
      </w:pPr>
    </w:p>
    <w:p>
      <w:pPr>
        <w:ind w:left="1520" w:right="1700" w:firstLine="230"/>
        <w:spacing w:after="0" w:line="289" w:lineRule="auto"/>
        <w:rPr>
          <w:sz w:val="20"/>
          <w:szCs w:val="20"/>
          <w:color w:val="auto"/>
        </w:rPr>
      </w:pPr>
      <w:r>
        <w:rPr>
          <w:rFonts w:ascii="Arial" w:cs="Arial" w:eastAsia="Arial" w:hAnsi="Arial"/>
          <w:sz w:val="12"/>
          <w:szCs w:val="12"/>
          <w:i w:val="1"/>
          <w:iCs w:val="1"/>
          <w:color w:val="auto"/>
        </w:rPr>
        <w:t xml:space="preserve">Clawback </w:t>
      </w:r>
      <w:r>
        <w:rPr>
          <w:rFonts w:ascii="Arial" w:cs="Arial" w:eastAsia="Arial" w:hAnsi="Arial"/>
          <w:sz w:val="12"/>
          <w:szCs w:val="12"/>
          <w:color w:val="auto"/>
        </w:rPr>
        <w:t>. Each award granted under the 2025 Plan will be subject to reduction, cancellation,</w:t>
      </w:r>
      <w:r>
        <w:rPr>
          <w:rFonts w:ascii="Arial" w:cs="Arial" w:eastAsia="Arial" w:hAnsi="Arial"/>
          <w:sz w:val="12"/>
          <w:szCs w:val="12"/>
          <w:i w:val="1"/>
          <w:iCs w:val="1"/>
          <w:color w:val="auto"/>
        </w:rPr>
        <w:t xml:space="preserve"> </w:t>
      </w:r>
      <w:r>
        <w:rPr>
          <w:rFonts w:ascii="Arial" w:cs="Arial" w:eastAsia="Arial" w:hAnsi="Arial"/>
          <w:sz w:val="12"/>
          <w:szCs w:val="12"/>
          <w:color w:val="auto"/>
        </w:rPr>
        <w:t>forfeiture, or recoupment in accordance with any clawback policy of ours that is in effect as of the date the award is granted and any clawback policy that we are required to adopt under the listing standards of any</w:t>
      </w: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185</w:t>
      </w:r>
    </w:p>
    <w:p>
      <w:pPr>
        <w:sectPr>
          <w:pgSz w:w="11900" w:h="16840" w:orient="portrait"/>
          <w:cols w:equalWidth="0" w:num="1">
            <w:col w:w="9020"/>
          </w:cols>
          <w:pgMar w:left="1440" w:top="560" w:right="1440" w:bottom="2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ectPr>
          <w:pgSz w:w="11900" w:h="16840" w:orient="portrait"/>
          <w:cols w:equalWidth="0" w:num="1">
            <w:col w:w="9020"/>
          </w:cols>
          <w:pgMar w:left="1440" w:top="560" w:right="1440" w:bottom="229" w:gutter="0" w:footer="0" w:header="0"/>
          <w:type w:val="continuous"/>
        </w:sectPr>
      </w:pPr>
    </w:p>
    <w:bookmarkStart w:id="128" w:name="page129"/>
    <w:bookmarkEnd w:id="128"/>
    <w:p>
      <w:pPr>
        <w:ind w:left="1520" w:right="1720"/>
        <w:spacing w:after="0" w:line="28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national securities exchange or association on which our securities are listed or as is otherwise required by applicable laws. In addition, the administrator may impose such other clawback, recovery or recoupment provisions in an award agreement as the administrator determines necessary or appropriate.</w:t>
      </w:r>
    </w:p>
    <w:p>
      <w:pPr>
        <w:spacing w:after="0" w:line="76" w:lineRule="exact"/>
        <w:rPr>
          <w:sz w:val="20"/>
          <w:szCs w:val="20"/>
          <w:color w:val="auto"/>
        </w:rPr>
      </w:pPr>
    </w:p>
    <w:p>
      <w:pPr>
        <w:ind w:left="1520" w:right="1800" w:firstLine="230"/>
        <w:spacing w:after="0" w:line="275" w:lineRule="auto"/>
        <w:rPr>
          <w:sz w:val="20"/>
          <w:szCs w:val="20"/>
          <w:color w:val="auto"/>
        </w:rPr>
      </w:pPr>
      <w:r>
        <w:rPr>
          <w:rFonts w:ascii="Arial" w:cs="Arial" w:eastAsia="Arial" w:hAnsi="Arial"/>
          <w:sz w:val="12"/>
          <w:szCs w:val="12"/>
          <w:i w:val="1"/>
          <w:iCs w:val="1"/>
          <w:color w:val="auto"/>
        </w:rPr>
        <w:t xml:space="preserve">Plan Amendment or Termination </w:t>
      </w:r>
      <w:r>
        <w:rPr>
          <w:rFonts w:ascii="Arial" w:cs="Arial" w:eastAsia="Arial" w:hAnsi="Arial"/>
          <w:sz w:val="12"/>
          <w:szCs w:val="12"/>
          <w:color w:val="auto"/>
        </w:rPr>
        <w:t>. Our board of directors has the authority to amend, suspend, or</w:t>
      </w:r>
      <w:r>
        <w:rPr>
          <w:rFonts w:ascii="Arial" w:cs="Arial" w:eastAsia="Arial" w:hAnsi="Arial"/>
          <w:sz w:val="12"/>
          <w:szCs w:val="12"/>
          <w:i w:val="1"/>
          <w:iCs w:val="1"/>
          <w:color w:val="auto"/>
        </w:rPr>
        <w:t xml:space="preserve"> </w:t>
      </w:r>
      <w:r>
        <w:rPr>
          <w:rFonts w:ascii="Arial" w:cs="Arial" w:eastAsia="Arial" w:hAnsi="Arial"/>
          <w:sz w:val="12"/>
          <w:szCs w:val="12"/>
          <w:color w:val="auto"/>
        </w:rPr>
        <w:t>terminate the 2025 Plan, provided that such action does not materially impair the existing rights of any participant without such participant’s written consent. Certain material amendments also require the approval of our stockholders. No ISOs may be granted after the tenth anniversary of the date the 2025 Plan becomes effective. No awards may be granted under the 2025 Plan while it is suspended or after it is terminated.</w:t>
      </w:r>
    </w:p>
    <w:p>
      <w:pPr>
        <w:spacing w:after="0" w:line="87"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2025 Employee Stock Purchase Plan</w:t>
      </w:r>
    </w:p>
    <w:p>
      <w:pPr>
        <w:spacing w:after="0" w:line="128" w:lineRule="exact"/>
        <w:rPr>
          <w:sz w:val="20"/>
          <w:szCs w:val="20"/>
          <w:color w:val="auto"/>
        </w:rPr>
      </w:pPr>
    </w:p>
    <w:p>
      <w:pPr>
        <w:ind w:left="1520" w:right="1700" w:firstLine="230"/>
        <w:spacing w:after="0" w:line="271" w:lineRule="auto"/>
        <w:rPr>
          <w:sz w:val="20"/>
          <w:szCs w:val="20"/>
          <w:color w:val="auto"/>
        </w:rPr>
      </w:pPr>
      <w:r>
        <w:rPr>
          <w:rFonts w:ascii="Arial" w:cs="Arial" w:eastAsia="Arial" w:hAnsi="Arial"/>
          <w:sz w:val="12"/>
          <w:szCs w:val="12"/>
          <w:color w:val="auto"/>
        </w:rPr>
        <w:t>Before the completion of this offering, our board of directors intends to adopt our 2025 ESPP. The 2025 ESPP will become effective upon the effective date of the registration statement of which this prospectus forms a part. The purpose of the 2025 ESPP is to secure and retain the services of new employees, to retain the services of existing employees, and to provide incentives for such individuals to exert maximum efforts toward our success and that of our affiliates. Our ESPP will include two components. One component will be designed to allow eligible U.S. employees to purchase our ordinary shares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United States while complying with applicable foreign laws.</w:t>
      </w:r>
    </w:p>
    <w:p>
      <w:pPr>
        <w:spacing w:after="0" w:line="88" w:lineRule="exact"/>
        <w:rPr>
          <w:sz w:val="20"/>
          <w:szCs w:val="20"/>
          <w:color w:val="auto"/>
        </w:rPr>
      </w:pPr>
    </w:p>
    <w:p>
      <w:pPr>
        <w:ind w:left="1520" w:right="1760" w:firstLine="230"/>
        <w:spacing w:after="0" w:line="269" w:lineRule="auto"/>
        <w:rPr>
          <w:sz w:val="20"/>
          <w:szCs w:val="20"/>
          <w:color w:val="auto"/>
        </w:rPr>
      </w:pPr>
      <w:r>
        <w:rPr>
          <w:rFonts w:ascii="Arial" w:cs="Arial" w:eastAsia="Arial" w:hAnsi="Arial"/>
          <w:sz w:val="12"/>
          <w:szCs w:val="12"/>
          <w:i w:val="1"/>
          <w:iCs w:val="1"/>
          <w:color w:val="auto"/>
        </w:rPr>
        <w:t xml:space="preserve">Share Reserve. </w:t>
      </w:r>
      <w:r>
        <w:rPr>
          <w:rFonts w:ascii="Arial" w:cs="Arial" w:eastAsia="Arial" w:hAnsi="Arial"/>
          <w:sz w:val="12"/>
          <w:szCs w:val="12"/>
          <w:color w:val="auto"/>
        </w:rPr>
        <w:t>Following this offering, the 2025 ESPP authorizes the issuance of shares of our</w:t>
      </w:r>
      <w:r>
        <w:rPr>
          <w:rFonts w:ascii="Arial" w:cs="Arial" w:eastAsia="Arial" w:hAnsi="Arial"/>
          <w:sz w:val="12"/>
          <w:szCs w:val="12"/>
          <w:i w:val="1"/>
          <w:iCs w:val="1"/>
          <w:color w:val="auto"/>
        </w:rPr>
        <w:t xml:space="preserve"> </w:t>
      </w:r>
      <w:r>
        <w:rPr>
          <w:rFonts w:ascii="Arial" w:cs="Arial" w:eastAsia="Arial" w:hAnsi="Arial"/>
          <w:sz w:val="12"/>
          <w:szCs w:val="12"/>
          <w:color w:val="auto"/>
        </w:rPr>
        <w:t>Class A common stock under purchase rights granted to our employees or to employees of any of our designated affiliates. The number of shares of our Class A common stock reserved for issuance will automatically increase on the first day of each of our 2027 through 2036 fiscal years (assuming the 2025 ESPP becomes effective in our 2026 fiscal year), by the lesser of (i) 1% of the total number of shares of all classes of our common stock outstanding on the last day of the previous fiscal year or (ii)</w:t>
      </w:r>
    </w:p>
    <w:p>
      <w:pPr>
        <w:spacing w:after="0" w:line="2" w:lineRule="exact"/>
        <w:rPr>
          <w:sz w:val="20"/>
          <w:szCs w:val="20"/>
          <w:color w:val="auto"/>
        </w:rPr>
      </w:pPr>
    </w:p>
    <w:p>
      <w:pPr>
        <w:ind w:left="1520" w:right="1840"/>
        <w:spacing w:after="0" w:line="279" w:lineRule="auto"/>
        <w:rPr>
          <w:sz w:val="20"/>
          <w:szCs w:val="20"/>
          <w:color w:val="auto"/>
        </w:rPr>
      </w:pPr>
      <w:r>
        <w:rPr>
          <w:rFonts w:ascii="Arial" w:cs="Arial" w:eastAsia="Arial" w:hAnsi="Arial"/>
          <w:sz w:val="12"/>
          <w:szCs w:val="12"/>
          <w:color w:val="auto"/>
        </w:rPr>
        <w:t>5,000,000 shares; provided that before the date of any such increase, the 2025 ESPP’s administrator may determine that such increase will be less than such amount. As of the date hereof, no shares have been purchased under the 2025 ESPP.</w:t>
      </w:r>
    </w:p>
    <w:p>
      <w:pPr>
        <w:spacing w:after="0" w:line="81" w:lineRule="exact"/>
        <w:rPr>
          <w:sz w:val="20"/>
          <w:szCs w:val="20"/>
          <w:color w:val="auto"/>
        </w:rPr>
      </w:pPr>
    </w:p>
    <w:p>
      <w:pPr>
        <w:ind w:left="1520" w:right="1740" w:firstLine="230"/>
        <w:spacing w:after="0" w:line="289" w:lineRule="auto"/>
        <w:rPr>
          <w:sz w:val="20"/>
          <w:szCs w:val="20"/>
          <w:color w:val="auto"/>
        </w:rPr>
      </w:pPr>
      <w:r>
        <w:rPr>
          <w:rFonts w:ascii="Arial" w:cs="Arial" w:eastAsia="Arial" w:hAnsi="Arial"/>
          <w:sz w:val="12"/>
          <w:szCs w:val="12"/>
          <w:i w:val="1"/>
          <w:iCs w:val="1"/>
          <w:color w:val="auto"/>
        </w:rPr>
        <w:t xml:space="preserve">Administration. </w:t>
      </w:r>
      <w:r>
        <w:rPr>
          <w:rFonts w:ascii="Arial" w:cs="Arial" w:eastAsia="Arial" w:hAnsi="Arial"/>
          <w:sz w:val="12"/>
          <w:szCs w:val="12"/>
          <w:color w:val="auto"/>
        </w:rPr>
        <w:t>Our board of directors, or a duly authorized committee thereof, will administer our</w:t>
      </w:r>
      <w:r>
        <w:rPr>
          <w:rFonts w:ascii="Arial" w:cs="Arial" w:eastAsia="Arial" w:hAnsi="Arial"/>
          <w:sz w:val="12"/>
          <w:szCs w:val="12"/>
          <w:i w:val="1"/>
          <w:iCs w:val="1"/>
          <w:color w:val="auto"/>
        </w:rPr>
        <w:t xml:space="preserve"> </w:t>
      </w:r>
      <w:r>
        <w:rPr>
          <w:rFonts w:ascii="Arial" w:cs="Arial" w:eastAsia="Arial" w:hAnsi="Arial"/>
          <w:sz w:val="12"/>
          <w:szCs w:val="12"/>
          <w:color w:val="auto"/>
        </w:rPr>
        <w:t>ESPP. In this summary of the 2025 ESPP, we sometimes refer to our board of directors or the applicable committee with the power to administer the 2025 ESPP as the administrator.</w:t>
      </w:r>
    </w:p>
    <w:p>
      <w:pPr>
        <w:spacing w:after="0" w:line="76"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Subject to the limitations of the 2025 ESPP, the administrator’s powers include the authority to</w:t>
      </w:r>
    </w:p>
    <w:p>
      <w:pPr>
        <w:spacing w:after="0" w:line="27" w:lineRule="exact"/>
        <w:rPr>
          <w:sz w:val="20"/>
          <w:szCs w:val="20"/>
          <w:color w:val="auto"/>
        </w:rPr>
      </w:pPr>
    </w:p>
    <w:p>
      <w:pPr>
        <w:ind w:left="1520" w:right="1740" w:firstLine="2"/>
        <w:spacing w:after="0" w:line="268" w:lineRule="auto"/>
        <w:tabs>
          <w:tab w:leader="none" w:pos="1665" w:val="left"/>
        </w:tabs>
        <w:numPr>
          <w:ilvl w:val="0"/>
          <w:numId w:val="142"/>
        </w:numPr>
        <w:rPr>
          <w:rFonts w:ascii="Arial" w:cs="Arial" w:eastAsia="Arial" w:hAnsi="Arial"/>
          <w:sz w:val="12"/>
          <w:szCs w:val="12"/>
          <w:color w:val="auto"/>
        </w:rPr>
      </w:pPr>
      <w:r>
        <w:rPr>
          <w:rFonts w:ascii="Arial" w:cs="Arial" w:eastAsia="Arial" w:hAnsi="Arial"/>
          <w:sz w:val="12"/>
          <w:szCs w:val="12"/>
          <w:color w:val="auto"/>
        </w:rPr>
        <w:t>determine how and when purchase rights under the 2025 ESPP will be granted and the provisions of each offering under the 2025 ESPP, (ii) designate which affiliates will be eligible to participate in the 2025 ESPP, (iii) construe, interpret, and settle all controversies regarding the 2025 ESPP and the purchase rights granted under the 2025 ESPP, (iv) establish, amend, and revoke rules and regulations for its administration, (v) exercise such powers and perform such acts as it deems necessary or expedient to promote the best interests of ours and our affiliates, (vi) carry out the intent that the 2025 ESPP be treated as an employee stock purchase plan with respect to the Section 423 component, and (vii) adopt such rules, procedures and sub-plans as are necessary or appropriate to permit or facilitate participation in the 2025 ESPP by employees who are non-U.S. nationals or employed or located outside the United States. To the extent permitted by applicable law, our board of directors or such committee may delegate some or all of its authority under the 2025 ESPP to one or more of our officers or other persons. All determinations, interpretations, and constructions made by the administrator will not be subject to review by any person and will be final, binding and conclusive on all persons.</w:t>
      </w:r>
    </w:p>
    <w:p>
      <w:pPr>
        <w:spacing w:after="0" w:line="90" w:lineRule="exact"/>
        <w:rPr>
          <w:sz w:val="20"/>
          <w:szCs w:val="20"/>
          <w:color w:val="auto"/>
        </w:rPr>
      </w:pPr>
    </w:p>
    <w:p>
      <w:pPr>
        <w:ind w:left="1520" w:right="1900" w:firstLine="230"/>
        <w:spacing w:after="0" w:line="312" w:lineRule="auto"/>
        <w:rPr>
          <w:sz w:val="20"/>
          <w:szCs w:val="20"/>
          <w:color w:val="auto"/>
        </w:rPr>
      </w:pPr>
      <w:r>
        <w:rPr>
          <w:rFonts w:ascii="Arial" w:cs="Arial" w:eastAsia="Arial" w:hAnsi="Arial"/>
          <w:sz w:val="12"/>
          <w:szCs w:val="12"/>
          <w:i w:val="1"/>
          <w:iCs w:val="1"/>
          <w:color w:val="auto"/>
        </w:rPr>
        <w:t xml:space="preserve">Offerings. </w:t>
      </w:r>
      <w:r>
        <w:rPr>
          <w:rFonts w:ascii="Arial" w:cs="Arial" w:eastAsia="Arial" w:hAnsi="Arial"/>
          <w:sz w:val="12"/>
          <w:szCs w:val="12"/>
          <w:color w:val="auto"/>
        </w:rPr>
        <w:t>The 2025 ESPP is implemented through a series of offerings under which eligible</w:t>
      </w:r>
      <w:r>
        <w:rPr>
          <w:rFonts w:ascii="Arial" w:cs="Arial" w:eastAsia="Arial" w:hAnsi="Arial"/>
          <w:sz w:val="12"/>
          <w:szCs w:val="12"/>
          <w:i w:val="1"/>
          <w:iCs w:val="1"/>
          <w:color w:val="auto"/>
        </w:rPr>
        <w:t xml:space="preserve"> </w:t>
      </w:r>
      <w:r>
        <w:rPr>
          <w:rFonts w:ascii="Arial" w:cs="Arial" w:eastAsia="Arial" w:hAnsi="Arial"/>
          <w:sz w:val="12"/>
          <w:szCs w:val="12"/>
          <w:color w:val="auto"/>
        </w:rPr>
        <w:t>employees are granted purchase rights to purchase shares of our Class A common stock on specified</w:t>
      </w: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186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820"/>
        <w:spacing w:after="0" w:line="281" w:lineRule="auto"/>
        <w:rPr>
          <w:sz w:val="20"/>
          <w:szCs w:val="20"/>
          <w:color w:val="auto"/>
        </w:rPr>
      </w:pPr>
      <w:r>
        <w:rPr>
          <w:rFonts w:ascii="Arial" w:cs="Arial" w:eastAsia="Arial" w:hAnsi="Arial"/>
          <w:sz w:val="12"/>
          <w:szCs w:val="12"/>
          <w:color w:val="auto"/>
        </w:rPr>
        <w:t>dates during such offerings. Under the 2025 ESPP, we may specify offerings with durations of not more than 27 months and may specify shorter purchase periods within each offering. Each offering will have one or more purchase dates on which shares will be purchased for employees participating in the offering. An offering under the 2025 ESPP may be terminated under certain circumstances.</w:t>
      </w:r>
    </w:p>
    <w:p>
      <w:pPr>
        <w:spacing w:after="0" w:line="81" w:lineRule="exact"/>
        <w:rPr>
          <w:sz w:val="20"/>
          <w:szCs w:val="20"/>
          <w:color w:val="auto"/>
        </w:rPr>
      </w:pPr>
    </w:p>
    <w:p>
      <w:pPr>
        <w:ind w:left="1520" w:right="1740" w:firstLine="230"/>
        <w:spacing w:after="0" w:line="270" w:lineRule="auto"/>
        <w:rPr>
          <w:sz w:val="20"/>
          <w:szCs w:val="20"/>
          <w:color w:val="auto"/>
        </w:rPr>
      </w:pPr>
      <w:r>
        <w:rPr>
          <w:rFonts w:ascii="Arial" w:cs="Arial" w:eastAsia="Arial" w:hAnsi="Arial"/>
          <w:sz w:val="12"/>
          <w:szCs w:val="12"/>
          <w:i w:val="1"/>
          <w:iCs w:val="1"/>
          <w:color w:val="auto"/>
        </w:rPr>
        <w:t xml:space="preserve">Limitations. </w:t>
      </w:r>
      <w:r>
        <w:rPr>
          <w:rFonts w:ascii="Arial" w:cs="Arial" w:eastAsia="Arial" w:hAnsi="Arial"/>
          <w:sz w:val="12"/>
          <w:szCs w:val="12"/>
          <w:color w:val="auto"/>
        </w:rPr>
        <w:t>Employees may have to satisfy one or more of the following service requirements before</w:t>
      </w:r>
      <w:r>
        <w:rPr>
          <w:rFonts w:ascii="Arial" w:cs="Arial" w:eastAsia="Arial" w:hAnsi="Arial"/>
          <w:sz w:val="12"/>
          <w:szCs w:val="12"/>
          <w:i w:val="1"/>
          <w:iCs w:val="1"/>
          <w:color w:val="auto"/>
        </w:rPr>
        <w:t xml:space="preserve"> </w:t>
      </w:r>
      <w:r>
        <w:rPr>
          <w:rFonts w:ascii="Arial" w:cs="Arial" w:eastAsia="Arial" w:hAnsi="Arial"/>
          <w:sz w:val="12"/>
          <w:szCs w:val="12"/>
          <w:color w:val="auto"/>
        </w:rPr>
        <w:t>participating in the 2025 ESPP, as determined by the administrator, including: (i) customary employment with us or one of our affiliates for more than 20 hours per week and more than five months per calendar year or (ii) continuous employment with us or one of our affiliates for a minimum period of time (not to exceed two years). No employee may be granted rights to purchase shares under the 2025 ESPP that accrue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2025 ESPP if immediately after such rights are granted, such employee would be deemed to own capital stock and/or hold outstanding options to purchase such stock possessing 5% or more of the total combined voting power or value of all classes of capital stock of ours or of any parent or subsidiary of ours under Section 424(d) of the Code.</w:t>
      </w:r>
    </w:p>
    <w:p>
      <w:pPr>
        <w:spacing w:after="0" w:line="244" w:lineRule="exact"/>
        <w:rPr>
          <w:sz w:val="20"/>
          <w:szCs w:val="20"/>
          <w:color w:val="auto"/>
        </w:rPr>
      </w:pPr>
    </w:p>
    <w:p>
      <w:pPr>
        <w:ind w:left="1520" w:right="1720" w:firstLine="230"/>
        <w:spacing w:after="0" w:line="281" w:lineRule="auto"/>
        <w:rPr>
          <w:sz w:val="20"/>
          <w:szCs w:val="20"/>
          <w:color w:val="auto"/>
        </w:rPr>
      </w:pPr>
      <w:r>
        <w:rPr>
          <w:rFonts w:ascii="Arial" w:cs="Arial" w:eastAsia="Arial" w:hAnsi="Arial"/>
          <w:sz w:val="12"/>
          <w:szCs w:val="12"/>
          <w:i w:val="1"/>
          <w:iCs w:val="1"/>
          <w:color w:val="auto"/>
        </w:rPr>
        <w:t xml:space="preserve">Contributions. </w:t>
      </w:r>
      <w:r>
        <w:rPr>
          <w:rFonts w:ascii="Arial" w:cs="Arial" w:eastAsia="Arial" w:hAnsi="Arial"/>
          <w:sz w:val="12"/>
          <w:szCs w:val="12"/>
          <w:color w:val="auto"/>
        </w:rPr>
        <w:t>Generally, all regular employees, including executive officers, employed by us or by</w:t>
      </w:r>
      <w:r>
        <w:rPr>
          <w:rFonts w:ascii="Arial" w:cs="Arial" w:eastAsia="Arial" w:hAnsi="Arial"/>
          <w:sz w:val="12"/>
          <w:szCs w:val="12"/>
          <w:i w:val="1"/>
          <w:iCs w:val="1"/>
          <w:color w:val="auto"/>
        </w:rPr>
        <w:t xml:space="preserve"> </w:t>
      </w:r>
      <w:r>
        <w:rPr>
          <w:rFonts w:ascii="Arial" w:cs="Arial" w:eastAsia="Arial" w:hAnsi="Arial"/>
          <w:sz w:val="12"/>
          <w:szCs w:val="12"/>
          <w:color w:val="auto"/>
        </w:rPr>
        <w:t>any of our designated affiliates, will be eligible to participate in the 2025 ESPP and to contribute, normally through payroll deductions, up to a maximum percentage of their earnings (as defined in the 2025 ESPP) or up to a set dollar amount for the purchase of shares under the 2025 ESPP.</w:t>
      </w:r>
    </w:p>
    <w:p>
      <w:pPr>
        <w:spacing w:after="0" w:line="81" w:lineRule="exact"/>
        <w:rPr>
          <w:sz w:val="20"/>
          <w:szCs w:val="20"/>
          <w:color w:val="auto"/>
        </w:rPr>
      </w:pPr>
    </w:p>
    <w:p>
      <w:pPr>
        <w:ind w:left="1520" w:right="1680" w:firstLine="230"/>
        <w:spacing w:after="0" w:line="270" w:lineRule="auto"/>
        <w:rPr>
          <w:sz w:val="20"/>
          <w:szCs w:val="20"/>
          <w:color w:val="auto"/>
        </w:rPr>
      </w:pPr>
      <w:r>
        <w:rPr>
          <w:rFonts w:ascii="Arial" w:cs="Arial" w:eastAsia="Arial" w:hAnsi="Arial"/>
          <w:sz w:val="12"/>
          <w:szCs w:val="12"/>
          <w:i w:val="1"/>
          <w:iCs w:val="1"/>
          <w:color w:val="auto"/>
        </w:rPr>
        <w:t xml:space="preserve">Exercise of Purchase Rights. </w:t>
      </w:r>
      <w:r>
        <w:rPr>
          <w:rFonts w:ascii="Arial" w:cs="Arial" w:eastAsia="Arial" w:hAnsi="Arial"/>
          <w:sz w:val="12"/>
          <w:szCs w:val="12"/>
          <w:color w:val="auto"/>
        </w:rPr>
        <w:t>On each purchase date of an offering, shares will be purchased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accounts of employees participating in the offering at a price per share that is at least the lesser of (i) 85% of the fair market value of a share of our Class A common stock on the first date of the offering or (ii) 85% of the fair market value of a share of our Class A common stock on the date of purchase. A participant may purchase up to the maximum number of shares permitted by the 2025 ESPP and the terms of the offering. The administrator will have the discretion to structure an offering so that if the fair market value of a share of our Class A common stock on the first trading day of a new purchase period within that offering does not exceed the fair market value of a share of Class A common stock on the first day of that offering, then (i) that offering will terminate immediately, and (ii) the participants in such terminated offering will be automatically enrolled in a new offering beginning on that trading day. Participants may end their participation at any time during an offering and will be paid their accrued contributions that have not yet</w:t>
      </w:r>
    </w:p>
    <w:p>
      <w:pPr>
        <w:sectPr>
          <w:pgSz w:w="11900" w:h="16840" w:orient="portrait"/>
          <w:cols w:equalWidth="0" w:num="1">
            <w:col w:w="9020"/>
          </w:cols>
          <w:pgMar w:left="1440" w:top="952" w:right="1440" w:bottom="9" w:gutter="0" w:footer="0" w:header="0"/>
        </w:sectPr>
      </w:pPr>
    </w:p>
    <w:bookmarkStart w:id="129" w:name="page130"/>
    <w:bookmarkEnd w:id="129"/>
    <w:p>
      <w:pPr>
        <w:ind w:left="1520"/>
        <w:spacing w:after="0"/>
        <w:rPr>
          <w:sz w:val="20"/>
          <w:szCs w:val="20"/>
          <w:color w:val="auto"/>
        </w:rPr>
      </w:pPr>
      <w:r>
        <w:rPr>
          <w:rFonts w:ascii="Arial" w:cs="Arial" w:eastAsia="Arial" w:hAnsi="Arial"/>
          <w:sz w:val="12"/>
          <w:szCs w:val="12"/>
          <w:color w:val="auto"/>
        </w:rPr>
        <w:t>been used to purchase shares. Participation ends automatically upon termination of employment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91" w:lineRule="exact"/>
        <w:rPr>
          <w:sz w:val="20"/>
          <w:szCs w:val="20"/>
          <w:color w:val="auto"/>
        </w:rPr>
      </w:pPr>
    </w:p>
    <w:p>
      <w:pPr>
        <w:ind w:left="1520" w:right="1680" w:firstLine="230"/>
        <w:spacing w:after="0" w:line="272" w:lineRule="auto"/>
        <w:rPr>
          <w:sz w:val="20"/>
          <w:szCs w:val="20"/>
          <w:color w:val="auto"/>
        </w:rPr>
      </w:pPr>
      <w:r>
        <w:rPr>
          <w:rFonts w:ascii="Arial" w:cs="Arial" w:eastAsia="Arial" w:hAnsi="Arial"/>
          <w:sz w:val="12"/>
          <w:szCs w:val="12"/>
          <w:i w:val="1"/>
          <w:iCs w:val="1"/>
          <w:color w:val="auto"/>
        </w:rPr>
        <w:t xml:space="preserve">Changes to Capital Structure. </w:t>
      </w:r>
      <w:r>
        <w:rPr>
          <w:rFonts w:ascii="Arial" w:cs="Arial" w:eastAsia="Arial" w:hAnsi="Arial"/>
          <w:sz w:val="12"/>
          <w:szCs w:val="12"/>
          <w:color w:val="auto"/>
        </w:rPr>
        <w:t>In the event that there occurs a change in our capital structure through</w:t>
      </w:r>
      <w:r>
        <w:rPr>
          <w:rFonts w:ascii="Arial" w:cs="Arial" w:eastAsia="Arial" w:hAnsi="Arial"/>
          <w:sz w:val="12"/>
          <w:szCs w:val="12"/>
          <w:i w:val="1"/>
          <w:iCs w:val="1"/>
          <w:color w:val="auto"/>
        </w:rPr>
        <w:t xml:space="preserve"> </w:t>
      </w:r>
      <w:r>
        <w:rPr>
          <w:rFonts w:ascii="Arial" w:cs="Arial" w:eastAsia="Arial" w:hAnsi="Arial"/>
          <w:sz w:val="12"/>
          <w:szCs w:val="12"/>
          <w:color w:val="auto"/>
        </w:rPr>
        <w:t>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administrator will make appropriate adjustments to: (i) the number of shares reserved under the 2025 ESPP, (ii) the maximum number of shares by which the share reserve may increase automatically each year, (iii) the number of shares and purchase price of all outstanding purchase rights, and (iv) the number of shares that are subject to purchase limits under ongoing offerings.</w:t>
      </w:r>
    </w:p>
    <w:p>
      <w:pPr>
        <w:spacing w:after="0" w:line="88" w:lineRule="exact"/>
        <w:rPr>
          <w:sz w:val="20"/>
          <w:szCs w:val="20"/>
          <w:color w:val="auto"/>
        </w:rPr>
      </w:pPr>
    </w:p>
    <w:p>
      <w:pPr>
        <w:ind w:left="1520" w:right="1720" w:firstLine="230"/>
        <w:spacing w:after="0" w:line="271" w:lineRule="auto"/>
        <w:rPr>
          <w:sz w:val="20"/>
          <w:szCs w:val="20"/>
          <w:color w:val="auto"/>
        </w:rPr>
      </w:pPr>
      <w:r>
        <w:rPr>
          <w:rFonts w:ascii="Arial" w:cs="Arial" w:eastAsia="Arial" w:hAnsi="Arial"/>
          <w:sz w:val="12"/>
          <w:szCs w:val="12"/>
          <w:i w:val="1"/>
          <w:iCs w:val="1"/>
          <w:color w:val="auto"/>
        </w:rPr>
        <w:t xml:space="preserve">Corporate Transactions. </w:t>
      </w:r>
      <w:r>
        <w:rPr>
          <w:rFonts w:ascii="Arial" w:cs="Arial" w:eastAsia="Arial" w:hAnsi="Arial"/>
          <w:sz w:val="12"/>
          <w:szCs w:val="12"/>
          <w:color w:val="auto"/>
        </w:rPr>
        <w:t>In the event of certain significant corporate transactions, including the</w:t>
      </w:r>
      <w:r>
        <w:rPr>
          <w:rFonts w:ascii="Arial" w:cs="Arial" w:eastAsia="Arial" w:hAnsi="Arial"/>
          <w:sz w:val="12"/>
          <w:szCs w:val="12"/>
          <w:i w:val="1"/>
          <w:iCs w:val="1"/>
          <w:color w:val="auto"/>
        </w:rPr>
        <w:t xml:space="preserve"> </w:t>
      </w:r>
      <w:r>
        <w:rPr>
          <w:rFonts w:ascii="Arial" w:cs="Arial" w:eastAsia="Arial" w:hAnsi="Arial"/>
          <w:sz w:val="12"/>
          <w:szCs w:val="12"/>
          <w:color w:val="auto"/>
        </w:rPr>
        <w:t>consummation, in a single transaction or in a series of related transactions, of any one or more of the following events: (i) a sale of all or substantially all of our assets, (ii) a sale or disposition of more than 50% of our outstanding securities, (iii) a merger or consolidation where we do not survive the transaction, and (iv)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2025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187</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520" w:right="2040"/>
        <w:spacing w:after="0" w:line="312" w:lineRule="auto"/>
        <w:rPr>
          <w:sz w:val="20"/>
          <w:szCs w:val="20"/>
          <w:color w:val="auto"/>
        </w:rPr>
      </w:pPr>
      <w:r>
        <w:rPr>
          <w:rFonts w:ascii="Arial" w:cs="Arial" w:eastAsia="Arial" w:hAnsi="Arial"/>
          <w:sz w:val="12"/>
          <w:szCs w:val="12"/>
          <w:color w:val="auto"/>
        </w:rPr>
        <w:t>within ten business days before such corporate transaction, and such purchase rights will terminate immediately after such purchase.</w:t>
      </w:r>
    </w:p>
    <w:p>
      <w:pPr>
        <w:spacing w:after="0" w:line="62" w:lineRule="exact"/>
        <w:rPr>
          <w:sz w:val="20"/>
          <w:szCs w:val="20"/>
          <w:color w:val="auto"/>
        </w:rPr>
      </w:pPr>
    </w:p>
    <w:p>
      <w:pPr>
        <w:jc w:val="both"/>
        <w:ind w:left="1520" w:right="2060" w:firstLine="230"/>
        <w:spacing w:after="0" w:line="289" w:lineRule="auto"/>
        <w:rPr>
          <w:sz w:val="20"/>
          <w:szCs w:val="20"/>
          <w:color w:val="auto"/>
        </w:rPr>
      </w:pPr>
      <w:r>
        <w:rPr>
          <w:rFonts w:ascii="Arial" w:cs="Arial" w:eastAsia="Arial" w:hAnsi="Arial"/>
          <w:sz w:val="12"/>
          <w:szCs w:val="12"/>
          <w:i w:val="1"/>
          <w:iCs w:val="1"/>
          <w:color w:val="auto"/>
        </w:rPr>
        <w:t xml:space="preserve">Non-Transferability </w:t>
      </w:r>
      <w:r>
        <w:rPr>
          <w:rFonts w:ascii="Arial" w:cs="Arial" w:eastAsia="Arial" w:hAnsi="Arial"/>
          <w:sz w:val="12"/>
          <w:szCs w:val="12"/>
          <w:color w:val="auto"/>
        </w:rPr>
        <w:t>. A participant will not be permitted to transfer contributions credited to such</w:t>
      </w:r>
      <w:r>
        <w:rPr>
          <w:rFonts w:ascii="Arial" w:cs="Arial" w:eastAsia="Arial" w:hAnsi="Arial"/>
          <w:sz w:val="12"/>
          <w:szCs w:val="12"/>
          <w:i w:val="1"/>
          <w:iCs w:val="1"/>
          <w:color w:val="auto"/>
        </w:rPr>
        <w:t xml:space="preserve"> </w:t>
      </w:r>
      <w:r>
        <w:rPr>
          <w:rFonts w:ascii="Arial" w:cs="Arial" w:eastAsia="Arial" w:hAnsi="Arial"/>
          <w:sz w:val="12"/>
          <w:szCs w:val="12"/>
          <w:color w:val="auto"/>
        </w:rPr>
        <w:t>participant’s account or rights granted under our ESPP (other than by will, the laws of descent and distribution or as otherwise provided under our ESPP).</w:t>
      </w:r>
    </w:p>
    <w:p>
      <w:pPr>
        <w:spacing w:after="0" w:line="76" w:lineRule="exact"/>
        <w:rPr>
          <w:sz w:val="20"/>
          <w:szCs w:val="20"/>
          <w:color w:val="auto"/>
        </w:rPr>
      </w:pPr>
    </w:p>
    <w:p>
      <w:pPr>
        <w:ind w:left="1520" w:right="1780" w:firstLine="230"/>
        <w:spacing w:after="0" w:line="281" w:lineRule="auto"/>
        <w:rPr>
          <w:sz w:val="20"/>
          <w:szCs w:val="20"/>
          <w:color w:val="auto"/>
        </w:rPr>
      </w:pPr>
      <w:r>
        <w:rPr>
          <w:rFonts w:ascii="Arial" w:cs="Arial" w:eastAsia="Arial" w:hAnsi="Arial"/>
          <w:sz w:val="12"/>
          <w:szCs w:val="12"/>
          <w:i w:val="1"/>
          <w:iCs w:val="1"/>
          <w:color w:val="auto"/>
        </w:rPr>
        <w:t xml:space="preserve">ESPP Amendment or Termination. </w:t>
      </w:r>
      <w:r>
        <w:rPr>
          <w:rFonts w:ascii="Arial" w:cs="Arial" w:eastAsia="Arial" w:hAnsi="Arial"/>
          <w:sz w:val="12"/>
          <w:szCs w:val="12"/>
          <w:color w:val="auto"/>
        </w:rPr>
        <w:t>The administrator has the authority to amend or terminate our</w:t>
      </w:r>
      <w:r>
        <w:rPr>
          <w:rFonts w:ascii="Arial" w:cs="Arial" w:eastAsia="Arial" w:hAnsi="Arial"/>
          <w:sz w:val="12"/>
          <w:szCs w:val="12"/>
          <w:i w:val="1"/>
          <w:iCs w:val="1"/>
          <w:color w:val="auto"/>
        </w:rPr>
        <w:t xml:space="preserve"> </w:t>
      </w:r>
      <w:r>
        <w:rPr>
          <w:rFonts w:ascii="Arial" w:cs="Arial" w:eastAsia="Arial" w:hAnsi="Arial"/>
          <w:sz w:val="12"/>
          <w:szCs w:val="12"/>
          <w:color w:val="auto"/>
        </w:rPr>
        <w:t>ESPP, provided that except in certain 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8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Limitations on Liability and Indemnification Matters</w:t>
      </w:r>
    </w:p>
    <w:p>
      <w:pPr>
        <w:spacing w:after="0" w:line="130" w:lineRule="exact"/>
        <w:rPr>
          <w:sz w:val="20"/>
          <w:szCs w:val="20"/>
          <w:color w:val="auto"/>
        </w:rPr>
      </w:pPr>
    </w:p>
    <w:p>
      <w:pPr>
        <w:ind w:left="1520" w:right="1760" w:firstLine="230"/>
        <w:spacing w:after="0" w:line="277" w:lineRule="auto"/>
        <w:rPr>
          <w:sz w:val="20"/>
          <w:szCs w:val="20"/>
          <w:color w:val="auto"/>
        </w:rPr>
      </w:pPr>
      <w:r>
        <w:rPr>
          <w:rFonts w:ascii="Arial" w:cs="Arial" w:eastAsia="Arial" w:hAnsi="Arial"/>
          <w:sz w:val="12"/>
          <w:szCs w:val="12"/>
          <w:color w:val="auto"/>
        </w:rPr>
        <w:t>Our amended and restated certificate of incorporation that will become effective in connection with this offering contains provisions that will limit the liability of our directors and officers for monetary damages to the fullest extent permitted by the DGCL. Consequently, our directors and officers will not be personally liable to us or our stockholders for monetary damages for any breach of fiduciary duties as directors or officers, except liability for:</w:t>
      </w:r>
    </w:p>
    <w:p>
      <w:pPr>
        <w:spacing w:after="0" w:line="84" w:lineRule="exact"/>
        <w:rPr>
          <w:sz w:val="20"/>
          <w:szCs w:val="20"/>
          <w:color w:val="auto"/>
        </w:rPr>
      </w:pPr>
    </w:p>
    <w:p>
      <w:pPr>
        <w:ind w:left="1980" w:hanging="228"/>
        <w:spacing w:after="0"/>
        <w:tabs>
          <w:tab w:leader="none" w:pos="198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any breach of the director’s or officer’s duty of loyalty to us or our stockholders;</w:t>
      </w:r>
    </w:p>
    <w:p>
      <w:pPr>
        <w:spacing w:after="0" w:line="129" w:lineRule="exact"/>
        <w:rPr>
          <w:rFonts w:ascii="Arial" w:cs="Arial" w:eastAsia="Arial" w:hAnsi="Arial"/>
          <w:sz w:val="12"/>
          <w:szCs w:val="12"/>
          <w:color w:val="auto"/>
        </w:rPr>
      </w:pPr>
    </w:p>
    <w:p>
      <w:pPr>
        <w:ind w:left="1980" w:right="1680" w:hanging="228"/>
        <w:spacing w:after="0" w:line="312" w:lineRule="auto"/>
        <w:tabs>
          <w:tab w:leader="none" w:pos="198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any act or omission not in good faith or that involves intentional misconduct or a knowing violation of law;</w:t>
      </w:r>
    </w:p>
    <w:p>
      <w:pPr>
        <w:spacing w:after="0" w:line="62" w:lineRule="exact"/>
        <w:rPr>
          <w:rFonts w:ascii="Arial" w:cs="Arial" w:eastAsia="Arial" w:hAnsi="Arial"/>
          <w:sz w:val="12"/>
          <w:szCs w:val="12"/>
          <w:color w:val="auto"/>
        </w:rPr>
      </w:pPr>
    </w:p>
    <w:p>
      <w:pPr>
        <w:ind w:left="1980" w:right="2080" w:hanging="228"/>
        <w:spacing w:after="0" w:line="312" w:lineRule="auto"/>
        <w:tabs>
          <w:tab w:leader="none" w:pos="198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with respect to directors, unlawful payments of dividends or unlawful stock repurchases or redemptions as provided in Section 174 of the DGCL;</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any transaction from which the director or officer derived an improper personal benefit; and</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with respect to officers, any action by or in the right of the corporation.</w:t>
      </w:r>
    </w:p>
    <w:p>
      <w:pPr>
        <w:spacing w:after="0" w:line="130" w:lineRule="exact"/>
        <w:rPr>
          <w:sz w:val="20"/>
          <w:szCs w:val="20"/>
          <w:color w:val="auto"/>
        </w:rPr>
      </w:pPr>
    </w:p>
    <w:p>
      <w:pPr>
        <w:ind w:left="1520" w:right="1720" w:firstLine="230"/>
        <w:spacing w:after="0" w:line="275" w:lineRule="auto"/>
        <w:rPr>
          <w:sz w:val="20"/>
          <w:szCs w:val="20"/>
          <w:color w:val="auto"/>
        </w:rPr>
      </w:pPr>
      <w:r>
        <w:rPr>
          <w:rFonts w:ascii="Arial" w:cs="Arial" w:eastAsia="Arial" w:hAnsi="Arial"/>
          <w:sz w:val="12"/>
          <w:szCs w:val="12"/>
          <w:color w:val="auto"/>
        </w:rPr>
        <w:t>Our amended and restated certificate of incorporation and our amended and restated bylaws that will become effective in connection with this offering will require us to indemnify our directors and officers to the maximum extent not prohibited by the DGCL and allow us to indemnify other employees and agents as set forth in the DGCL. Subject to certain limitations, our amended and restated bylaws will also require us to advance expenses incurred by our directors and officers for the defense of any action for which indemnification is required or permitted, subject to very limited exceptions.</w:t>
      </w:r>
    </w:p>
    <w:p>
      <w:pPr>
        <w:spacing w:after="0" w:line="85" w:lineRule="exact"/>
        <w:rPr>
          <w:sz w:val="20"/>
          <w:szCs w:val="20"/>
          <w:color w:val="auto"/>
        </w:rPr>
      </w:pPr>
    </w:p>
    <w:p>
      <w:pPr>
        <w:ind w:left="1520" w:right="1680" w:firstLine="230"/>
        <w:spacing w:after="0" w:line="272" w:lineRule="auto"/>
        <w:rPr>
          <w:sz w:val="20"/>
          <w:szCs w:val="20"/>
          <w:color w:val="auto"/>
        </w:rPr>
      </w:pPr>
      <w:r>
        <w:rPr>
          <w:rFonts w:ascii="Arial" w:cs="Arial" w:eastAsia="Arial" w:hAnsi="Arial"/>
          <w:sz w:val="12"/>
          <w:szCs w:val="12"/>
          <w:color w:val="auto"/>
        </w:rPr>
        <w:t>We have entered, and intend to continue to enter, into separate indemnification agreements with our directors, officers, and certain of our other employees. These agreements, among other things, require us to indemnify our directors, officers and key employees for certain expenses, including attorneys’ fees, judgments, fines, and settlement amounts actually and reasonably incurred by such director, officer or key employee in any action or proceeding arising out of their service to us or any of our subsidiaries or any other company or enterprise to which the person provides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242" w:lineRule="exact"/>
        <w:rPr>
          <w:sz w:val="20"/>
          <w:szCs w:val="20"/>
          <w:color w:val="auto"/>
        </w:rPr>
      </w:pPr>
    </w:p>
    <w:p>
      <w:pPr>
        <w:ind w:left="1520" w:right="2080" w:firstLine="230"/>
        <w:spacing w:after="0" w:line="289" w:lineRule="auto"/>
        <w:rPr>
          <w:sz w:val="20"/>
          <w:szCs w:val="20"/>
          <w:color w:val="auto"/>
        </w:rPr>
      </w:pPr>
      <w:r>
        <w:rPr>
          <w:rFonts w:ascii="Arial" w:cs="Arial" w:eastAsia="Arial" w:hAnsi="Arial"/>
          <w:sz w:val="12"/>
          <w:szCs w:val="12"/>
          <w:color w:val="auto"/>
        </w:rPr>
        <w:t>We believe that these provisions in our amended and restated certificate of incorporation and indemnification agreements are necessary to attract and retain qualified persons such as directors, officers, and key employees. We also maintain directors’ and officers’ liability insurance.</w:t>
      </w:r>
    </w:p>
    <w:p>
      <w:pPr>
        <w:spacing w:after="0" w:line="76" w:lineRule="exact"/>
        <w:rPr>
          <w:sz w:val="20"/>
          <w:szCs w:val="20"/>
          <w:color w:val="auto"/>
        </w:rPr>
      </w:pPr>
    </w:p>
    <w:p>
      <w:pPr>
        <w:ind w:left="1520" w:right="1880" w:firstLine="230"/>
        <w:spacing w:after="0" w:line="281" w:lineRule="auto"/>
        <w:rPr>
          <w:sz w:val="20"/>
          <w:szCs w:val="20"/>
          <w:color w:val="auto"/>
        </w:rPr>
      </w:pPr>
      <w:r>
        <w:rPr>
          <w:rFonts w:ascii="Arial" w:cs="Arial" w:eastAsia="Arial" w:hAnsi="Arial"/>
          <w:sz w:val="12"/>
          <w:szCs w:val="12"/>
          <w:color w:val="auto"/>
        </w:rPr>
        <w:t>The limitation of liability and indemnification provisions in our amended and restated certificate of incorporation and amended and restated bylaws may discourage stockholders from bringing a lawsuit against our directors and officers for breaches of their fiduciary duties. They may also reduce the likelihood of derivative litigation against our directors and officers, even though an action, if successful,</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188</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00"/>
        <w:spacing w:after="0" w:line="312" w:lineRule="auto"/>
        <w:rPr>
          <w:sz w:val="20"/>
          <w:szCs w:val="20"/>
          <w:color w:val="auto"/>
        </w:rPr>
      </w:pPr>
      <w:r>
        <w:rPr>
          <w:rFonts w:ascii="Arial" w:cs="Arial" w:eastAsia="Arial" w:hAnsi="Arial"/>
          <w:sz w:val="12"/>
          <w:szCs w:val="12"/>
          <w:color w:val="auto"/>
        </w:rPr>
        <w:t>might benefit us and other stockholders. Further, a stockholder’s investment may be adversely affected to the extent that we pay the costs of settlement and damage awards against directors and officers as</w:t>
      </w:r>
    </w:p>
    <w:p>
      <w:pPr>
        <w:sectPr>
          <w:pgSz w:w="11900" w:h="16840" w:orient="portrait"/>
          <w:cols w:equalWidth="0" w:num="1">
            <w:col w:w="9020"/>
          </w:cols>
          <w:pgMar w:left="1440" w:top="560" w:right="1440" w:bottom="66" w:gutter="0" w:footer="0" w:header="0"/>
        </w:sectPr>
      </w:pPr>
    </w:p>
    <w:bookmarkStart w:id="130" w:name="page131"/>
    <w:bookmarkEnd w:id="130"/>
    <w:p>
      <w:pPr>
        <w:ind w:left="1520"/>
        <w:spacing w:after="0"/>
        <w:rPr>
          <w:sz w:val="20"/>
          <w:szCs w:val="20"/>
          <w:color w:val="auto"/>
        </w:rPr>
      </w:pPr>
      <w:r>
        <w:rPr>
          <w:rFonts w:ascii="Arial" w:cs="Arial" w:eastAsia="Arial" w:hAnsi="Arial"/>
          <w:sz w:val="12"/>
          <w:szCs w:val="12"/>
          <w:color w:val="auto"/>
        </w:rPr>
        <w:t>required by these indemnification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7" w:lineRule="exact"/>
        <w:rPr>
          <w:sz w:val="20"/>
          <w:szCs w:val="20"/>
          <w:color w:val="auto"/>
        </w:rPr>
      </w:pPr>
    </w:p>
    <w:p>
      <w:pPr>
        <w:ind w:left="1520" w:right="1740" w:firstLine="230"/>
        <w:spacing w:after="0" w:line="287" w:lineRule="auto"/>
        <w:rPr>
          <w:sz w:val="20"/>
          <w:szCs w:val="20"/>
          <w:color w:val="auto"/>
        </w:rPr>
      </w:pPr>
      <w:r>
        <w:rPr>
          <w:rFonts w:ascii="Arial" w:cs="Arial" w:eastAsia="Arial" w:hAnsi="Arial"/>
          <w:sz w:val="12"/>
          <w:szCs w:val="12"/>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189</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2500" w:firstLine="928"/>
        <w:spacing w:after="0" w:line="465" w:lineRule="auto"/>
        <w:rPr>
          <w:sz w:val="20"/>
          <w:szCs w:val="20"/>
          <w:color w:val="auto"/>
        </w:rPr>
      </w:pPr>
      <w:r>
        <w:rPr>
          <w:rFonts w:ascii="Arial" w:cs="Arial" w:eastAsia="Arial" w:hAnsi="Arial"/>
          <w:sz w:val="12"/>
          <w:szCs w:val="12"/>
          <w:b w:val="1"/>
          <w:bCs w:val="1"/>
          <w:color w:val="auto"/>
        </w:rPr>
        <w:t>CERTAIN RELATIONSHIPS AND RELATED PARTY TRANSACTIONS Series G and Series G-1 Redeemable Convertible Preferred Stock Financing</w:t>
      </w:r>
    </w:p>
    <w:p>
      <w:pPr>
        <w:spacing w:after="0" w:line="1" w:lineRule="exact"/>
        <w:rPr>
          <w:sz w:val="20"/>
          <w:szCs w:val="20"/>
          <w:color w:val="auto"/>
        </w:rPr>
      </w:pPr>
    </w:p>
    <w:p>
      <w:pPr>
        <w:ind w:left="1520" w:right="1800" w:firstLine="230"/>
        <w:spacing w:after="0" w:line="275" w:lineRule="auto"/>
        <w:rPr>
          <w:sz w:val="20"/>
          <w:szCs w:val="20"/>
          <w:color w:val="auto"/>
        </w:rPr>
      </w:pPr>
      <w:r>
        <w:rPr>
          <w:rFonts w:ascii="Arial" w:cs="Arial" w:eastAsia="Arial" w:hAnsi="Arial"/>
          <w:sz w:val="12"/>
          <w:szCs w:val="12"/>
          <w:color w:val="auto"/>
        </w:rPr>
        <w:t>Between July and September 2022, we sold an aggregate of 2,670,319 shares of our Series G redeemable convertible preferred stock and 1,441,963 shares of our Series G-1 redeemable convertible preferred stock, at a purchase price of $37.4487 per share for an aggregate purchase price of approximately $154.0 million. Each share of our Series G and Series G-1 redeemable convertible preferred stock will convert automatically into one share of our Class A common stock upon the completion of this offering.</w:t>
      </w:r>
    </w:p>
    <w:p>
      <w:pPr>
        <w:spacing w:after="0" w:line="85" w:lineRule="exact"/>
        <w:rPr>
          <w:sz w:val="20"/>
          <w:szCs w:val="20"/>
          <w:color w:val="auto"/>
        </w:rPr>
      </w:pPr>
    </w:p>
    <w:p>
      <w:pPr>
        <w:ind w:left="1520" w:right="1740" w:firstLine="230"/>
        <w:spacing w:after="0" w:line="289" w:lineRule="auto"/>
        <w:rPr>
          <w:sz w:val="20"/>
          <w:szCs w:val="20"/>
          <w:color w:val="auto"/>
        </w:rPr>
      </w:pPr>
      <w:r>
        <w:rPr>
          <w:rFonts w:ascii="Arial" w:cs="Arial" w:eastAsia="Arial" w:hAnsi="Arial"/>
          <w:sz w:val="12"/>
          <w:szCs w:val="12"/>
          <w:color w:val="auto"/>
        </w:rPr>
        <w:t>The following table summarizes the Series G and Series G-1 redeemable convertible preferred stock purchased by entities affiliated with certain of our directors and holders of more than 5% of our outstanding capital stock:</w:t>
      </w:r>
    </w:p>
    <w:p>
      <w:pPr>
        <w:spacing w:after="0" w:line="83"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3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5"/>
              </w:rPr>
              <w:t>Shares of</w:t>
            </w:r>
          </w:p>
        </w:tc>
        <w:tc>
          <w:tcPr>
            <w:tcW w:w="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5"/>
              </w:rPr>
              <w:t>Shares of</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3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3"/>
              </w:rPr>
              <w:t>Series G</w:t>
            </w:r>
          </w:p>
        </w:tc>
        <w:tc>
          <w:tcPr>
            <w:tcW w:w="20" w:type="dxa"/>
            <w:vAlign w:val="bottom"/>
          </w:tcPr>
          <w:p>
            <w:pPr>
              <w:spacing w:after="0"/>
              <w:rPr>
                <w:sz w:val="9"/>
                <w:szCs w:val="9"/>
                <w:color w:val="auto"/>
              </w:rPr>
            </w:pPr>
          </w:p>
        </w:tc>
        <w:tc>
          <w:tcPr>
            <w:tcW w:w="84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5"/>
              </w:rPr>
              <w:t>Series G-1</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3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5"/>
              </w:rPr>
              <w:t>Redeemable</w:t>
            </w:r>
          </w:p>
        </w:tc>
        <w:tc>
          <w:tcPr>
            <w:tcW w:w="20" w:type="dxa"/>
            <w:vAlign w:val="bottom"/>
          </w:tcPr>
          <w:p>
            <w:pPr>
              <w:spacing w:after="0"/>
              <w:rPr>
                <w:sz w:val="9"/>
                <w:szCs w:val="9"/>
                <w:color w:val="auto"/>
              </w:rPr>
            </w:pPr>
          </w:p>
        </w:tc>
        <w:tc>
          <w:tcPr>
            <w:tcW w:w="84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5"/>
              </w:rPr>
              <w:t>Redeemable</w:t>
            </w:r>
          </w:p>
        </w:tc>
        <w:tc>
          <w:tcPr>
            <w:tcW w:w="40" w:type="dxa"/>
            <w:vAlign w:val="bottom"/>
          </w:tcPr>
          <w:p>
            <w:pPr>
              <w:spacing w:after="0"/>
              <w:rPr>
                <w:sz w:val="9"/>
                <w:szCs w:val="9"/>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8"/>
              </w:rPr>
              <w:t>Total Purchase</w:t>
            </w:r>
          </w:p>
        </w:tc>
        <w:tc>
          <w:tcPr>
            <w:tcW w:w="0" w:type="dxa"/>
            <w:vAlign w:val="bottom"/>
          </w:tcPr>
          <w:p>
            <w:pPr>
              <w:spacing w:after="0"/>
              <w:rPr>
                <w:sz w:val="1"/>
                <w:szCs w:val="1"/>
                <w:color w:val="auto"/>
              </w:rPr>
            </w:pPr>
          </w:p>
        </w:tc>
      </w:tr>
      <w:tr>
        <w:trPr>
          <w:trHeight w:val="96"/>
        </w:trPr>
        <w:tc>
          <w:tcPr>
            <w:tcW w:w="33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Stockholder</w:t>
            </w:r>
          </w:p>
        </w:tc>
        <w:tc>
          <w:tcPr>
            <w:tcW w:w="40" w:type="dxa"/>
            <w:vAlign w:val="bottom"/>
          </w:tcPr>
          <w:p>
            <w:pPr>
              <w:spacing w:after="0"/>
              <w:rPr>
                <w:sz w:val="8"/>
                <w:szCs w:val="8"/>
                <w:color w:val="auto"/>
              </w:rPr>
            </w:pPr>
          </w:p>
        </w:tc>
        <w:tc>
          <w:tcPr>
            <w:tcW w:w="840" w:type="dxa"/>
            <w:vAlign w:val="bottom"/>
          </w:tcPr>
          <w:p>
            <w:pPr>
              <w:jc w:val="center"/>
              <w:spacing w:after="0" w:line="96" w:lineRule="exact"/>
              <w:rPr>
                <w:sz w:val="20"/>
                <w:szCs w:val="20"/>
                <w:color w:val="auto"/>
              </w:rPr>
            </w:pPr>
            <w:r>
              <w:rPr>
                <w:rFonts w:ascii="Arial" w:cs="Arial" w:eastAsia="Arial" w:hAnsi="Arial"/>
                <w:sz w:val="11"/>
                <w:szCs w:val="11"/>
                <w:b w:val="1"/>
                <w:bCs w:val="1"/>
                <w:color w:val="auto"/>
                <w:w w:val="95"/>
              </w:rPr>
              <w:t>Convertible</w:t>
            </w:r>
          </w:p>
        </w:tc>
        <w:tc>
          <w:tcPr>
            <w:tcW w:w="20" w:type="dxa"/>
            <w:vAlign w:val="bottom"/>
          </w:tcPr>
          <w:p>
            <w:pPr>
              <w:spacing w:after="0"/>
              <w:rPr>
                <w:sz w:val="8"/>
                <w:szCs w:val="8"/>
                <w:color w:val="auto"/>
              </w:rPr>
            </w:pPr>
          </w:p>
        </w:tc>
        <w:tc>
          <w:tcPr>
            <w:tcW w:w="840" w:type="dxa"/>
            <w:vAlign w:val="bottom"/>
          </w:tcPr>
          <w:p>
            <w:pPr>
              <w:jc w:val="center"/>
              <w:spacing w:after="0" w:line="96" w:lineRule="exact"/>
              <w:rPr>
                <w:sz w:val="20"/>
                <w:szCs w:val="20"/>
                <w:color w:val="auto"/>
              </w:rPr>
            </w:pPr>
            <w:r>
              <w:rPr>
                <w:rFonts w:ascii="Arial" w:cs="Arial" w:eastAsia="Arial" w:hAnsi="Arial"/>
                <w:sz w:val="11"/>
                <w:szCs w:val="11"/>
                <w:b w:val="1"/>
                <w:bCs w:val="1"/>
                <w:color w:val="auto"/>
                <w:w w:val="95"/>
              </w:rPr>
              <w:t>Convertible</w:t>
            </w:r>
          </w:p>
        </w:tc>
        <w:tc>
          <w:tcPr>
            <w:tcW w:w="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36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Preferred Stock</w:t>
            </w:r>
          </w:p>
        </w:tc>
        <w:tc>
          <w:tcPr>
            <w:tcW w:w="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Preferred Stock</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1"/>
                <w:szCs w:val="11"/>
                <w:b w:val="1"/>
                <w:bCs w:val="1"/>
                <w:color w:val="auto"/>
              </w:rPr>
              <w:t>Price</w:t>
            </w:r>
            <w:r>
              <w:rPr>
                <w:rFonts w:ascii="Arial" w:cs="Arial" w:eastAsia="Arial" w:hAnsi="Arial"/>
                <w:sz w:val="6"/>
                <w:szCs w:val="6"/>
                <w:color w:val="auto"/>
              </w:rPr>
              <w:t>(1)</w:t>
            </w:r>
          </w:p>
        </w:tc>
        <w:tc>
          <w:tcPr>
            <w:tcW w:w="0" w:type="dxa"/>
            <w:vAlign w:val="bottom"/>
          </w:tcPr>
          <w:p>
            <w:pPr>
              <w:spacing w:after="0"/>
              <w:rPr>
                <w:sz w:val="1"/>
                <w:szCs w:val="1"/>
                <w:color w:val="auto"/>
              </w:rPr>
            </w:pPr>
          </w:p>
        </w:tc>
      </w:tr>
      <w:tr>
        <w:trPr>
          <w:trHeight w:val="172"/>
        </w:trPr>
        <w:tc>
          <w:tcPr>
            <w:tcW w:w="3360" w:type="dxa"/>
            <w:vAlign w:val="bottom"/>
            <w:shd w:val="clear" w:color="auto" w:fill="CCEEFF"/>
          </w:tcPr>
          <w:p>
            <w:pPr>
              <w:ind w:left="40"/>
              <w:spacing w:after="0" w:line="172" w:lineRule="exact"/>
              <w:rPr>
                <w:sz w:val="20"/>
                <w:szCs w:val="20"/>
                <w:color w:val="auto"/>
              </w:rPr>
            </w:pPr>
            <w:r>
              <w:rPr>
                <w:rFonts w:ascii="Arial" w:cs="Arial" w:eastAsia="Arial" w:hAnsi="Arial"/>
                <w:sz w:val="12"/>
                <w:szCs w:val="12"/>
                <w:color w:val="auto"/>
              </w:rPr>
              <w:t xml:space="preserve">Entities affiliated with Andreessen Horowitz </w:t>
            </w:r>
            <w:r>
              <w:rPr>
                <w:rFonts w:ascii="Arial" w:cs="Arial" w:eastAsia="Arial" w:hAnsi="Arial"/>
                <w:sz w:val="17"/>
                <w:szCs w:val="17"/>
                <w:color w:val="auto"/>
                <w:vertAlign w:val="superscript"/>
              </w:rPr>
              <w:t>(2)</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400,547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14,999,989</w:t>
            </w:r>
          </w:p>
        </w:tc>
        <w:tc>
          <w:tcPr>
            <w:tcW w:w="0" w:type="dxa"/>
            <w:vAlign w:val="bottom"/>
          </w:tcPr>
          <w:p>
            <w:pPr>
              <w:spacing w:after="0"/>
              <w:rPr>
                <w:sz w:val="1"/>
                <w:szCs w:val="1"/>
                <w:color w:val="auto"/>
              </w:rPr>
            </w:pPr>
          </w:p>
        </w:tc>
      </w:tr>
      <w:tr>
        <w:trPr>
          <w:trHeight w:val="182"/>
        </w:trPr>
        <w:tc>
          <w:tcPr>
            <w:tcW w:w="3360" w:type="dxa"/>
            <w:vAlign w:val="bottom"/>
          </w:tcPr>
          <w:p>
            <w:pPr>
              <w:ind w:left="40"/>
              <w:spacing w:after="0" w:line="182" w:lineRule="exact"/>
              <w:rPr>
                <w:sz w:val="20"/>
                <w:szCs w:val="20"/>
                <w:color w:val="auto"/>
              </w:rPr>
            </w:pPr>
            <w:r>
              <w:rPr>
                <w:rFonts w:ascii="Arial" w:cs="Arial" w:eastAsia="Arial" w:hAnsi="Arial"/>
                <w:sz w:val="12"/>
                <w:szCs w:val="12"/>
                <w:color w:val="auto"/>
              </w:rPr>
              <w:t xml:space="preserve">Entities affiliated with Lightspeed Venture Partners </w:t>
            </w:r>
            <w:r>
              <w:rPr>
                <w:rFonts w:ascii="Arial" w:cs="Arial" w:eastAsia="Arial" w:hAnsi="Arial"/>
                <w:sz w:val="17"/>
                <w:szCs w:val="17"/>
                <w:color w:val="auto"/>
                <w:vertAlign w:val="superscript"/>
              </w:rPr>
              <w:t>(3)</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40" w:type="dxa"/>
            <w:vAlign w:val="bottom"/>
          </w:tcPr>
          <w:p>
            <w:pPr>
              <w:spacing w:after="0"/>
              <w:rPr>
                <w:sz w:val="15"/>
                <w:szCs w:val="15"/>
                <w:color w:val="auto"/>
              </w:rPr>
            </w:pPr>
          </w:p>
        </w:tc>
        <w:tc>
          <w:tcPr>
            <w:tcW w:w="84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5"/>
              <w:spacing w:after="0"/>
              <w:rPr>
                <w:sz w:val="20"/>
                <w:szCs w:val="20"/>
                <w:color w:val="auto"/>
              </w:rPr>
            </w:pPr>
            <w:r>
              <w:rPr>
                <w:rFonts w:ascii="Arial" w:cs="Arial" w:eastAsia="Arial" w:hAnsi="Arial"/>
                <w:sz w:val="12"/>
                <w:szCs w:val="12"/>
                <w:color w:val="auto"/>
              </w:rPr>
              <w:t>400,544</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14,999,952</w:t>
            </w:r>
          </w:p>
        </w:tc>
        <w:tc>
          <w:tcPr>
            <w:tcW w:w="0" w:type="dxa"/>
            <w:vAlign w:val="bottom"/>
          </w:tcPr>
          <w:p>
            <w:pPr>
              <w:spacing w:after="0"/>
              <w:rPr>
                <w:sz w:val="1"/>
                <w:szCs w:val="1"/>
                <w:color w:val="auto"/>
              </w:rPr>
            </w:pPr>
          </w:p>
        </w:tc>
      </w:tr>
      <w:tr>
        <w:trPr>
          <w:trHeight w:val="182"/>
        </w:trPr>
        <w:tc>
          <w:tcPr>
            <w:tcW w:w="3360" w:type="dxa"/>
            <w:vAlign w:val="bottom"/>
            <w:shd w:val="clear" w:color="auto" w:fill="CCEEFF"/>
          </w:tcPr>
          <w:p>
            <w:pPr>
              <w:ind w:left="40"/>
              <w:spacing w:after="0" w:line="182" w:lineRule="exact"/>
              <w:rPr>
                <w:sz w:val="20"/>
                <w:szCs w:val="20"/>
                <w:color w:val="auto"/>
              </w:rPr>
            </w:pPr>
            <w:r>
              <w:rPr>
                <w:rFonts w:ascii="Arial" w:cs="Arial" w:eastAsia="Arial" w:hAnsi="Arial"/>
                <w:sz w:val="12"/>
                <w:szCs w:val="12"/>
                <w:color w:val="auto"/>
              </w:rPr>
              <w:t xml:space="preserve">Entities affiliated with Zeev Ventures </w:t>
            </w:r>
            <w:r>
              <w:rPr>
                <w:rFonts w:ascii="Arial" w:cs="Arial" w:eastAsia="Arial" w:hAnsi="Arial"/>
                <w:sz w:val="17"/>
                <w:szCs w:val="17"/>
                <w:color w:val="auto"/>
                <w:vertAlign w:val="superscript"/>
              </w:rPr>
              <w:t>(4)</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5"/>
              <w:spacing w:after="0"/>
              <w:rPr>
                <w:sz w:val="20"/>
                <w:szCs w:val="20"/>
                <w:color w:val="auto"/>
              </w:rPr>
            </w:pPr>
            <w:r>
              <w:rPr>
                <w:rFonts w:ascii="Arial" w:cs="Arial" w:eastAsia="Arial" w:hAnsi="Arial"/>
                <w:sz w:val="12"/>
                <w:szCs w:val="12"/>
                <w:color w:val="auto"/>
              </w:rPr>
              <w:t>133,515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4,999,988</w:t>
            </w:r>
          </w:p>
        </w:tc>
        <w:tc>
          <w:tcPr>
            <w:tcW w:w="0" w:type="dxa"/>
            <w:vAlign w:val="bottom"/>
          </w:tcPr>
          <w:p>
            <w:pPr>
              <w:spacing w:after="0"/>
              <w:rPr>
                <w:sz w:val="1"/>
                <w:szCs w:val="1"/>
                <w:color w:val="auto"/>
              </w:rPr>
            </w:pPr>
          </w:p>
        </w:tc>
      </w:tr>
      <w:tr>
        <w:trPr>
          <w:trHeight w:val="182"/>
        </w:trPr>
        <w:tc>
          <w:tcPr>
            <w:tcW w:w="3360" w:type="dxa"/>
            <w:vAlign w:val="bottom"/>
          </w:tcPr>
          <w:p>
            <w:pPr>
              <w:ind w:left="40"/>
              <w:spacing w:after="0" w:line="182" w:lineRule="exact"/>
              <w:rPr>
                <w:sz w:val="20"/>
                <w:szCs w:val="20"/>
                <w:color w:val="auto"/>
              </w:rPr>
            </w:pPr>
            <w:r>
              <w:rPr>
                <w:rFonts w:ascii="Arial" w:cs="Arial" w:eastAsia="Arial" w:hAnsi="Arial"/>
                <w:sz w:val="12"/>
                <w:szCs w:val="12"/>
                <w:color w:val="auto"/>
              </w:rPr>
              <w:t xml:space="preserve">Entities affiliated with Premji Invest </w:t>
            </w:r>
            <w:r>
              <w:rPr>
                <w:rFonts w:ascii="Arial" w:cs="Arial" w:eastAsia="Arial" w:hAnsi="Arial"/>
                <w:sz w:val="17"/>
                <w:szCs w:val="17"/>
                <w:color w:val="auto"/>
                <w:vertAlign w:val="superscript"/>
              </w:rPr>
              <w:t>(5)</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880" w:type="dxa"/>
            <w:vAlign w:val="bottom"/>
            <w:gridSpan w:val="2"/>
          </w:tcPr>
          <w:p>
            <w:pPr>
              <w:jc w:val="right"/>
              <w:ind w:right="24"/>
              <w:spacing w:after="0"/>
              <w:rPr>
                <w:sz w:val="20"/>
                <w:szCs w:val="20"/>
                <w:color w:val="auto"/>
              </w:rPr>
            </w:pPr>
            <w:r>
              <w:rPr>
                <w:rFonts w:ascii="Arial" w:cs="Arial" w:eastAsia="Arial" w:hAnsi="Arial"/>
                <w:sz w:val="12"/>
                <w:szCs w:val="12"/>
                <w:color w:val="auto"/>
              </w:rPr>
              <w:t>2,670,319</w:t>
            </w:r>
          </w:p>
        </w:tc>
        <w:tc>
          <w:tcPr>
            <w:tcW w:w="20" w:type="dxa"/>
            <w:vAlign w:val="bottom"/>
          </w:tcPr>
          <w:p>
            <w:pPr>
              <w:spacing w:after="0"/>
              <w:rPr>
                <w:sz w:val="15"/>
                <w:szCs w:val="15"/>
                <w:color w:val="auto"/>
              </w:rPr>
            </w:pPr>
          </w:p>
        </w:tc>
        <w:tc>
          <w:tcPr>
            <w:tcW w:w="840" w:type="dxa"/>
            <w:vAlign w:val="bottom"/>
          </w:tcPr>
          <w:p>
            <w:pPr>
              <w:jc w:val="right"/>
              <w:ind w:right="5"/>
              <w:spacing w:after="0"/>
              <w:rPr>
                <w:sz w:val="20"/>
                <w:szCs w:val="20"/>
                <w:color w:val="auto"/>
              </w:rPr>
            </w:pPr>
            <w:r>
              <w:rPr>
                <w:rFonts w:ascii="Arial" w:cs="Arial" w:eastAsia="Arial" w:hAnsi="Arial"/>
                <w:sz w:val="12"/>
                <w:szCs w:val="12"/>
                <w:color w:val="auto"/>
              </w:rPr>
              <w:t>—</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99,999,988</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_______________</w:t>
      </w:r>
    </w:p>
    <w:p>
      <w:pPr>
        <w:ind w:left="1760" w:hanging="238"/>
        <w:spacing w:after="0" w:line="196" w:lineRule="auto"/>
        <w:tabs>
          <w:tab w:leader="none" w:pos="1760" w:val="left"/>
        </w:tabs>
        <w:numPr>
          <w:ilvl w:val="0"/>
          <w:numId w:val="144"/>
        </w:numPr>
        <w:rPr>
          <w:rFonts w:ascii="Arial" w:cs="Arial" w:eastAsia="Arial" w:hAnsi="Arial"/>
          <w:sz w:val="11"/>
          <w:szCs w:val="11"/>
          <w:color w:val="auto"/>
        </w:rPr>
      </w:pPr>
      <w:r>
        <w:rPr>
          <w:rFonts w:ascii="Arial" w:cs="Arial" w:eastAsia="Arial" w:hAnsi="Arial"/>
          <w:sz w:val="11"/>
          <w:szCs w:val="11"/>
          <w:color w:val="auto"/>
        </w:rPr>
        <w:t>As a result of adjustments for the one-for-three reverse stock split effected on September 18, 2025 and rounding</w:t>
      </w:r>
    </w:p>
    <w:p>
      <w:pPr>
        <w:ind w:left="1760"/>
        <w:spacing w:after="0" w:line="199" w:lineRule="auto"/>
        <w:rPr>
          <w:rFonts w:ascii="Arial" w:cs="Arial" w:eastAsia="Arial" w:hAnsi="Arial"/>
          <w:sz w:val="11"/>
          <w:szCs w:val="11"/>
          <w:color w:val="auto"/>
        </w:rPr>
      </w:pPr>
      <w:r>
        <w:rPr>
          <w:rFonts w:ascii="Arial" w:cs="Arial" w:eastAsia="Arial" w:hAnsi="Arial"/>
          <w:sz w:val="6"/>
          <w:szCs w:val="6"/>
          <w:color w:val="auto"/>
        </w:rPr>
        <w:t>,</w:t>
      </w:r>
    </w:p>
    <w:p>
      <w:pPr>
        <w:ind w:left="1760" w:right="1900"/>
        <w:spacing w:after="0"/>
        <w:rPr>
          <w:rFonts w:ascii="Arial" w:cs="Arial" w:eastAsia="Arial" w:hAnsi="Arial"/>
          <w:sz w:val="11"/>
          <w:szCs w:val="11"/>
          <w:color w:val="auto"/>
        </w:rPr>
      </w:pPr>
      <w:r>
        <w:rPr>
          <w:rFonts w:ascii="Arial" w:cs="Arial" w:eastAsia="Arial" w:hAnsi="Arial"/>
          <w:sz w:val="11"/>
          <w:szCs w:val="11"/>
          <w:color w:val="auto"/>
        </w:rPr>
        <w:t>the number of shares sold times the purchase price per share may not equal the actual total purchase pric e</w:t>
      </w:r>
    </w:p>
    <w:p>
      <w:pPr>
        <w:spacing w:after="0" w:line="7" w:lineRule="exact"/>
        <w:rPr>
          <w:rFonts w:ascii="Arial" w:cs="Arial" w:eastAsia="Arial" w:hAnsi="Arial"/>
          <w:sz w:val="11"/>
          <w:szCs w:val="11"/>
          <w:color w:val="auto"/>
        </w:rPr>
      </w:pPr>
    </w:p>
    <w:p>
      <w:pPr>
        <w:ind w:left="1760"/>
        <w:spacing w:after="0" w:line="199" w:lineRule="auto"/>
        <w:rPr>
          <w:rFonts w:ascii="Arial" w:cs="Arial" w:eastAsia="Arial" w:hAnsi="Arial"/>
          <w:sz w:val="11"/>
          <w:szCs w:val="11"/>
          <w:color w:val="auto"/>
        </w:rPr>
      </w:pPr>
      <w:r>
        <w:rPr>
          <w:rFonts w:ascii="Arial" w:cs="Arial" w:eastAsia="Arial" w:hAnsi="Arial"/>
          <w:sz w:val="8"/>
          <w:szCs w:val="8"/>
          <w:color w:val="auto"/>
        </w:rPr>
        <w:t>received listed in the table</w:t>
      </w:r>
    </w:p>
    <w:p>
      <w:pPr>
        <w:ind w:left="1760"/>
        <w:spacing w:after="0" w:line="199" w:lineRule="auto"/>
        <w:rPr>
          <w:rFonts w:ascii="Arial" w:cs="Arial" w:eastAsia="Arial" w:hAnsi="Arial"/>
          <w:sz w:val="11"/>
          <w:szCs w:val="11"/>
          <w:color w:val="auto"/>
        </w:rPr>
      </w:pPr>
      <w:r>
        <w:rPr>
          <w:rFonts w:ascii="Arial" w:cs="Arial" w:eastAsia="Arial" w:hAnsi="Arial"/>
          <w:sz w:val="7"/>
          <w:szCs w:val="7"/>
          <w:color w:val="auto"/>
        </w:rPr>
        <w:t>.</w:t>
      </w:r>
    </w:p>
    <w:p>
      <w:pPr>
        <w:ind w:left="1760" w:right="1820" w:hanging="238"/>
        <w:spacing w:after="0"/>
        <w:tabs>
          <w:tab w:leader="none" w:pos="1760" w:val="left"/>
        </w:tabs>
        <w:numPr>
          <w:ilvl w:val="0"/>
          <w:numId w:val="144"/>
        </w:numPr>
        <w:rPr>
          <w:rFonts w:ascii="Arial" w:cs="Arial" w:eastAsia="Arial" w:hAnsi="Arial"/>
          <w:sz w:val="11"/>
          <w:szCs w:val="11"/>
          <w:color w:val="auto"/>
        </w:rPr>
      </w:pPr>
      <w:r>
        <w:rPr>
          <w:rFonts w:ascii="Arial" w:cs="Arial" w:eastAsia="Arial" w:hAnsi="Arial"/>
          <w:sz w:val="11"/>
          <w:szCs w:val="11"/>
          <w:color w:val="auto"/>
        </w:rPr>
        <w:t>Consists of 400,547 shares purchased by Andreessen Horowitz LSV Fund III, L.P., as nominee. Andreesse n</w:t>
      </w:r>
    </w:p>
    <w:p>
      <w:pPr>
        <w:spacing w:after="0" w:line="7" w:lineRule="exact"/>
        <w:rPr>
          <w:rFonts w:ascii="Arial" w:cs="Arial" w:eastAsia="Arial" w:hAnsi="Arial"/>
          <w:sz w:val="11"/>
          <w:szCs w:val="11"/>
          <w:color w:val="auto"/>
        </w:rPr>
      </w:pPr>
    </w:p>
    <w:p>
      <w:pPr>
        <w:ind w:left="1760" w:right="2020"/>
        <w:spacing w:after="0"/>
        <w:rPr>
          <w:rFonts w:ascii="Arial" w:cs="Arial" w:eastAsia="Arial" w:hAnsi="Arial"/>
          <w:sz w:val="11"/>
          <w:szCs w:val="11"/>
          <w:color w:val="auto"/>
        </w:rPr>
      </w:pPr>
      <w:r>
        <w:rPr>
          <w:rFonts w:ascii="Arial" w:cs="Arial" w:eastAsia="Arial" w:hAnsi="Arial"/>
          <w:sz w:val="11"/>
          <w:szCs w:val="11"/>
          <w:color w:val="auto"/>
        </w:rPr>
        <w:t>Horowitz and its affiliates beneficially own more than 5% of our outstanding capital stock. Ben Horowitz, a</w:t>
      </w:r>
    </w:p>
    <w:p>
      <w:pPr>
        <w:spacing w:after="0" w:line="17" w:lineRule="exact"/>
        <w:rPr>
          <w:rFonts w:ascii="Arial" w:cs="Arial" w:eastAsia="Arial" w:hAnsi="Arial"/>
          <w:sz w:val="11"/>
          <w:szCs w:val="11"/>
          <w:color w:val="auto"/>
        </w:rPr>
      </w:pPr>
    </w:p>
    <w:p>
      <w:pPr>
        <w:ind w:left="1760"/>
        <w:spacing w:after="0" w:line="199" w:lineRule="auto"/>
        <w:rPr>
          <w:rFonts w:ascii="Arial" w:cs="Arial" w:eastAsia="Arial" w:hAnsi="Arial"/>
          <w:sz w:val="11"/>
          <w:szCs w:val="11"/>
          <w:color w:val="auto"/>
        </w:rPr>
      </w:pPr>
      <w:r>
        <w:rPr>
          <w:rFonts w:ascii="Arial" w:cs="Arial" w:eastAsia="Arial" w:hAnsi="Arial"/>
          <w:sz w:val="8"/>
          <w:szCs w:val="8"/>
          <w:color w:val="auto"/>
        </w:rPr>
        <w:t>member of our board of directors, is a General Partner at Andreessen Horowitz</w:t>
      </w:r>
    </w:p>
    <w:p>
      <w:pPr>
        <w:ind w:left="1760"/>
        <w:spacing w:after="0" w:line="199" w:lineRule="auto"/>
        <w:rPr>
          <w:rFonts w:ascii="Arial" w:cs="Arial" w:eastAsia="Arial" w:hAnsi="Arial"/>
          <w:sz w:val="11"/>
          <w:szCs w:val="11"/>
          <w:color w:val="auto"/>
        </w:rPr>
      </w:pPr>
      <w:r>
        <w:rPr>
          <w:rFonts w:ascii="Arial" w:cs="Arial" w:eastAsia="Arial" w:hAnsi="Arial"/>
          <w:sz w:val="6"/>
          <w:szCs w:val="6"/>
          <w:color w:val="auto"/>
        </w:rPr>
        <w:t>.</w:t>
      </w:r>
    </w:p>
    <w:p>
      <w:pPr>
        <w:ind w:left="1760" w:right="1720" w:hanging="238"/>
        <w:spacing w:after="0"/>
        <w:tabs>
          <w:tab w:leader="none" w:pos="1760" w:val="left"/>
        </w:tabs>
        <w:numPr>
          <w:ilvl w:val="0"/>
          <w:numId w:val="144"/>
        </w:numPr>
        <w:rPr>
          <w:rFonts w:ascii="Arial" w:cs="Arial" w:eastAsia="Arial" w:hAnsi="Arial"/>
          <w:sz w:val="11"/>
          <w:szCs w:val="11"/>
          <w:color w:val="auto"/>
        </w:rPr>
      </w:pPr>
      <w:r>
        <w:rPr>
          <w:rFonts w:ascii="Arial" w:cs="Arial" w:eastAsia="Arial" w:hAnsi="Arial"/>
          <w:sz w:val="11"/>
          <w:szCs w:val="11"/>
          <w:color w:val="auto"/>
        </w:rPr>
        <w:t>Consists of (i) 200,273 shares purchased by Lightspeed Strategic Partners I L.P., (ii) 66,757 shares purchase d</w:t>
      </w:r>
    </w:p>
    <w:p>
      <w:pPr>
        <w:spacing w:after="0" w:line="7" w:lineRule="exact"/>
        <w:rPr>
          <w:rFonts w:ascii="Arial" w:cs="Arial" w:eastAsia="Arial" w:hAnsi="Arial"/>
          <w:sz w:val="11"/>
          <w:szCs w:val="11"/>
          <w:color w:val="auto"/>
        </w:rPr>
      </w:pPr>
    </w:p>
    <w:p>
      <w:pPr>
        <w:ind w:left="1760" w:right="1700"/>
        <w:spacing w:after="0" w:line="208" w:lineRule="auto"/>
        <w:rPr>
          <w:rFonts w:ascii="Arial" w:cs="Arial" w:eastAsia="Arial" w:hAnsi="Arial"/>
          <w:sz w:val="11"/>
          <w:szCs w:val="11"/>
          <w:color w:val="auto"/>
        </w:rPr>
      </w:pPr>
      <w:r>
        <w:rPr>
          <w:rFonts w:ascii="Arial" w:cs="Arial" w:eastAsia="Arial" w:hAnsi="Arial"/>
          <w:sz w:val="11"/>
          <w:szCs w:val="11"/>
          <w:color w:val="auto"/>
        </w:rPr>
        <w:t>by Lightspeed Opportunity Fund, L.P., (iii) 66,757 shares purchased by Lightspeed Venture Partners Select II, L.P., and (iv) 66,757 shares purchased by Lightspeed Venture Partners Select III, L.P. Lightspeed Ventur</w:t>
      </w:r>
    </w:p>
    <w:p>
      <w:pPr>
        <w:ind w:left="1760"/>
        <w:spacing w:after="0" w:line="199" w:lineRule="auto"/>
        <w:rPr>
          <w:rFonts w:ascii="Arial" w:cs="Arial" w:eastAsia="Arial" w:hAnsi="Arial"/>
          <w:sz w:val="11"/>
          <w:szCs w:val="11"/>
          <w:color w:val="auto"/>
        </w:rPr>
      </w:pPr>
      <w:r>
        <w:rPr>
          <w:rFonts w:ascii="Arial" w:cs="Arial" w:eastAsia="Arial" w:hAnsi="Arial"/>
          <w:sz w:val="6"/>
          <w:szCs w:val="6"/>
          <w:color w:val="auto"/>
        </w:rPr>
        <w:t>e</w:t>
      </w:r>
    </w:p>
    <w:p>
      <w:pPr>
        <w:ind w:left="1760" w:right="1820"/>
        <w:spacing w:after="0"/>
        <w:rPr>
          <w:rFonts w:ascii="Arial" w:cs="Arial" w:eastAsia="Arial" w:hAnsi="Arial"/>
          <w:sz w:val="11"/>
          <w:szCs w:val="11"/>
          <w:color w:val="auto"/>
        </w:rPr>
      </w:pPr>
      <w:r>
        <w:rPr>
          <w:rFonts w:ascii="Arial" w:cs="Arial" w:eastAsia="Arial" w:hAnsi="Arial"/>
          <w:sz w:val="11"/>
          <w:szCs w:val="11"/>
          <w:color w:val="auto"/>
        </w:rPr>
        <w:t>Partners and its affiliates beneficially own more than 5% of our outstanding capital stock. Arif Janmohamed, a</w:t>
      </w:r>
    </w:p>
    <w:p>
      <w:pPr>
        <w:spacing w:after="0" w:line="17" w:lineRule="exact"/>
        <w:rPr>
          <w:rFonts w:ascii="Arial" w:cs="Arial" w:eastAsia="Arial" w:hAnsi="Arial"/>
          <w:sz w:val="11"/>
          <w:szCs w:val="11"/>
          <w:color w:val="auto"/>
        </w:rPr>
      </w:pPr>
    </w:p>
    <w:p>
      <w:pPr>
        <w:ind w:left="1760"/>
        <w:spacing w:after="0" w:line="199" w:lineRule="auto"/>
        <w:rPr>
          <w:rFonts w:ascii="Arial" w:cs="Arial" w:eastAsia="Arial" w:hAnsi="Arial"/>
          <w:sz w:val="11"/>
          <w:szCs w:val="11"/>
          <w:color w:val="auto"/>
        </w:rPr>
      </w:pPr>
      <w:r>
        <w:rPr>
          <w:rFonts w:ascii="Arial" w:cs="Arial" w:eastAsia="Arial" w:hAnsi="Arial"/>
          <w:sz w:val="8"/>
          <w:szCs w:val="8"/>
          <w:color w:val="auto"/>
        </w:rPr>
        <w:t>member of our board of directors, is a Partner at Lightspeed Venture Partners</w:t>
      </w:r>
    </w:p>
    <w:p>
      <w:pPr>
        <w:ind w:left="1760"/>
        <w:spacing w:after="0" w:line="199" w:lineRule="auto"/>
        <w:rPr>
          <w:rFonts w:ascii="Arial" w:cs="Arial" w:eastAsia="Arial" w:hAnsi="Arial"/>
          <w:sz w:val="11"/>
          <w:szCs w:val="11"/>
          <w:color w:val="auto"/>
        </w:rPr>
      </w:pPr>
      <w:r>
        <w:rPr>
          <w:rFonts w:ascii="Arial" w:cs="Arial" w:eastAsia="Arial" w:hAnsi="Arial"/>
          <w:sz w:val="6"/>
          <w:szCs w:val="6"/>
          <w:color w:val="auto"/>
        </w:rPr>
        <w:t>.</w:t>
      </w:r>
    </w:p>
    <w:p>
      <w:pPr>
        <w:ind w:left="1760" w:right="1800" w:hanging="238"/>
        <w:spacing w:after="0"/>
        <w:tabs>
          <w:tab w:leader="none" w:pos="1760" w:val="left"/>
        </w:tabs>
        <w:numPr>
          <w:ilvl w:val="0"/>
          <w:numId w:val="144"/>
        </w:numPr>
        <w:rPr>
          <w:rFonts w:ascii="Arial" w:cs="Arial" w:eastAsia="Arial" w:hAnsi="Arial"/>
          <w:sz w:val="11"/>
          <w:szCs w:val="11"/>
          <w:color w:val="auto"/>
        </w:rPr>
      </w:pPr>
      <w:r>
        <w:rPr>
          <w:rFonts w:ascii="Arial" w:cs="Arial" w:eastAsia="Arial" w:hAnsi="Arial"/>
          <w:sz w:val="11"/>
          <w:szCs w:val="11"/>
          <w:color w:val="auto"/>
        </w:rPr>
        <w:t>Consists of 133,515 shares purchased by Zeev Ventures VIII, LP. Zeev Ventures and its affiliates beneficiall y</w:t>
      </w:r>
    </w:p>
    <w:p>
      <w:pPr>
        <w:spacing w:after="0" w:line="7" w:lineRule="exact"/>
        <w:rPr>
          <w:rFonts w:ascii="Arial" w:cs="Arial" w:eastAsia="Arial" w:hAnsi="Arial"/>
          <w:sz w:val="11"/>
          <w:szCs w:val="11"/>
          <w:color w:val="auto"/>
        </w:rPr>
      </w:pPr>
    </w:p>
    <w:p>
      <w:pPr>
        <w:ind w:left="1760" w:right="2120"/>
        <w:spacing w:after="0"/>
        <w:rPr>
          <w:rFonts w:ascii="Arial" w:cs="Arial" w:eastAsia="Arial" w:hAnsi="Arial"/>
          <w:sz w:val="11"/>
          <w:szCs w:val="11"/>
          <w:color w:val="auto"/>
        </w:rPr>
      </w:pPr>
      <w:r>
        <w:rPr>
          <w:rFonts w:ascii="Arial" w:cs="Arial" w:eastAsia="Arial" w:hAnsi="Arial"/>
          <w:sz w:val="11"/>
          <w:szCs w:val="11"/>
          <w:color w:val="auto"/>
        </w:rPr>
        <w:t>own more than 5% of our outstanding capital stock. Oren Zeev, a member of our board of directors, is a</w:t>
      </w:r>
    </w:p>
    <w:p>
      <w:pPr>
        <w:spacing w:after="0" w:line="17" w:lineRule="exact"/>
        <w:rPr>
          <w:rFonts w:ascii="Arial" w:cs="Arial" w:eastAsia="Arial" w:hAnsi="Arial"/>
          <w:sz w:val="11"/>
          <w:szCs w:val="11"/>
          <w:color w:val="auto"/>
        </w:rPr>
      </w:pPr>
    </w:p>
    <w:p>
      <w:pPr>
        <w:ind w:left="1760"/>
        <w:spacing w:after="0" w:line="199" w:lineRule="auto"/>
        <w:rPr>
          <w:rFonts w:ascii="Arial" w:cs="Arial" w:eastAsia="Arial" w:hAnsi="Arial"/>
          <w:sz w:val="11"/>
          <w:szCs w:val="11"/>
          <w:color w:val="auto"/>
        </w:rPr>
      </w:pPr>
      <w:r>
        <w:rPr>
          <w:rFonts w:ascii="Arial" w:cs="Arial" w:eastAsia="Arial" w:hAnsi="Arial"/>
          <w:sz w:val="8"/>
          <w:szCs w:val="8"/>
          <w:color w:val="auto"/>
        </w:rPr>
        <w:t>Managing Director of Zeev Ventures</w:t>
      </w:r>
    </w:p>
    <w:p>
      <w:pPr>
        <w:ind w:left="1760"/>
        <w:spacing w:after="0" w:line="199" w:lineRule="auto"/>
        <w:rPr>
          <w:rFonts w:ascii="Arial" w:cs="Arial" w:eastAsia="Arial" w:hAnsi="Arial"/>
          <w:sz w:val="11"/>
          <w:szCs w:val="11"/>
          <w:color w:val="auto"/>
        </w:rPr>
      </w:pPr>
      <w:r>
        <w:rPr>
          <w:rFonts w:ascii="Arial" w:cs="Arial" w:eastAsia="Arial" w:hAnsi="Arial"/>
          <w:sz w:val="6"/>
          <w:szCs w:val="6"/>
          <w:color w:val="auto"/>
        </w:rPr>
        <w:t>.</w:t>
      </w:r>
    </w:p>
    <w:p>
      <w:pPr>
        <w:ind w:left="1760" w:right="1580" w:hanging="238"/>
        <w:spacing w:after="0"/>
        <w:tabs>
          <w:tab w:leader="none" w:pos="1760" w:val="left"/>
        </w:tabs>
        <w:numPr>
          <w:ilvl w:val="0"/>
          <w:numId w:val="144"/>
        </w:numPr>
        <w:rPr>
          <w:rFonts w:ascii="Arial" w:cs="Arial" w:eastAsia="Arial" w:hAnsi="Arial"/>
          <w:sz w:val="11"/>
          <w:szCs w:val="11"/>
          <w:color w:val="auto"/>
        </w:rPr>
      </w:pPr>
      <w:r>
        <w:rPr>
          <w:rFonts w:ascii="Arial" w:cs="Arial" w:eastAsia="Arial" w:hAnsi="Arial"/>
          <w:sz w:val="11"/>
          <w:szCs w:val="11"/>
          <w:color w:val="auto"/>
        </w:rPr>
        <w:t>Consists of 2,670,319 shares purchased by an entity affiliated with Premji Invest. Sandesh Patnam, a member o f</w:t>
      </w:r>
    </w:p>
    <w:p>
      <w:pPr>
        <w:spacing w:after="0" w:line="17" w:lineRule="exact"/>
        <w:rPr>
          <w:rFonts w:ascii="Arial" w:cs="Arial" w:eastAsia="Arial" w:hAnsi="Arial"/>
          <w:sz w:val="11"/>
          <w:szCs w:val="11"/>
          <w:color w:val="auto"/>
        </w:rPr>
      </w:pPr>
    </w:p>
    <w:p>
      <w:pPr>
        <w:ind w:left="1760"/>
        <w:spacing w:after="0" w:line="199" w:lineRule="auto"/>
        <w:rPr>
          <w:rFonts w:ascii="Arial" w:cs="Arial" w:eastAsia="Arial" w:hAnsi="Arial"/>
          <w:sz w:val="11"/>
          <w:szCs w:val="11"/>
          <w:color w:val="auto"/>
        </w:rPr>
      </w:pPr>
      <w:r>
        <w:rPr>
          <w:rFonts w:ascii="Arial" w:cs="Arial" w:eastAsia="Arial" w:hAnsi="Arial"/>
          <w:sz w:val="8"/>
          <w:szCs w:val="8"/>
          <w:color w:val="auto"/>
        </w:rPr>
        <w:t>our board of directors, is the Managing Partner of Premji Invest</w:t>
      </w:r>
    </w:p>
    <w:p>
      <w:pPr>
        <w:ind w:left="1760"/>
        <w:spacing w:after="0"/>
        <w:rPr>
          <w:rFonts w:ascii="Arial" w:cs="Arial" w:eastAsia="Arial" w:hAnsi="Arial"/>
          <w:sz w:val="11"/>
          <w:szCs w:val="11"/>
          <w:color w:val="auto"/>
        </w:rPr>
      </w:pPr>
      <w:r>
        <w:rPr>
          <w:rFonts w:ascii="Arial" w:cs="Arial" w:eastAsia="Arial" w:hAnsi="Arial"/>
          <w:sz w:val="11"/>
          <w:szCs w:val="11"/>
          <w:color w:val="auto"/>
        </w:rPr>
        <w:t>.</w:t>
      </w:r>
    </w:p>
    <w:p>
      <w:pPr>
        <w:sectPr>
          <w:pgSz w:w="11900" w:h="16840" w:orient="portrait"/>
          <w:cols w:equalWidth="0" w:num="1">
            <w:col w:w="9020"/>
          </w:cols>
          <w:pgMar w:left="1440" w:top="560" w:right="1440" w:bottom="10" w:gutter="0" w:footer="0" w:header="0"/>
        </w:sectPr>
      </w:pPr>
    </w:p>
    <w:bookmarkStart w:id="131" w:name="page132"/>
    <w:bookmarkEnd w:id="131"/>
    <w:p>
      <w:pPr>
        <w:ind w:left="15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Participation in our Initial Public Offering</w:t>
      </w:r>
    </w:p>
    <w:p>
      <w:pPr>
        <w:spacing w:after="0" w:line="130" w:lineRule="exact"/>
        <w:rPr>
          <w:sz w:val="20"/>
          <w:szCs w:val="20"/>
          <w:color w:val="auto"/>
        </w:rPr>
      </w:pPr>
    </w:p>
    <w:p>
      <w:pPr>
        <w:ind w:left="1520" w:right="1680" w:firstLine="230"/>
        <w:spacing w:after="0" w:line="270" w:lineRule="auto"/>
        <w:rPr>
          <w:sz w:val="20"/>
          <w:szCs w:val="20"/>
          <w:color w:val="auto"/>
        </w:rPr>
      </w:pPr>
      <w:r>
        <w:rPr>
          <w:rFonts w:ascii="Arial" w:cs="Arial" w:eastAsia="Arial" w:hAnsi="Arial"/>
          <w:sz w:val="12"/>
          <w:szCs w:val="12"/>
          <w:color w:val="auto"/>
        </w:rPr>
        <w:t>In connection with our Series G and Series G-1 redeemable convertible preferred stock financing in July 2020, we entered into an allocation agreement with an entity affiliated with Premji Invest, referred to for this purpose as Premji Invest. Pursuant to the allocation agreement, we agreed to use our commercially reasonable efforts to provide Premji Invest with the right, but not the obligation, to purchase, at the initial public offering price, up to a number of shares of our Class A common stock equal to 5% of the aggregate number of shares sold in this offering, subject to the terms and conditions of the allocation agreement and compliance with applicable securities laws. At our election, the shares may be allocated to Premji Invest by the underwriters in this offering or issued to Premji Invest in a concurrent private placement at the same price and on the same terms as the shares of Class A common stock in this offering. Because the allocation agreement is not a binding commitment to purchase, Premji Invest could determine to purchase more, subject to acceptance by us and the underwriters, fewer, or no shares in this offering or in a concurrent private placement. In addition, we and the underwriters could determine to sell</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190</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2000"/>
        <w:spacing w:after="0" w:line="312" w:lineRule="auto"/>
        <w:rPr>
          <w:sz w:val="20"/>
          <w:szCs w:val="20"/>
          <w:color w:val="auto"/>
        </w:rPr>
      </w:pPr>
      <w:r>
        <w:rPr>
          <w:rFonts w:ascii="Arial" w:cs="Arial" w:eastAsia="Arial" w:hAnsi="Arial"/>
          <w:sz w:val="12"/>
          <w:szCs w:val="12"/>
          <w:color w:val="auto"/>
        </w:rPr>
        <w:t>more shares to Premji Invest in this offering. Mr. Patnam, a member of our board of directors, is the Managing Partner of Premji Invest.</w:t>
      </w:r>
    </w:p>
    <w:p>
      <w:pPr>
        <w:spacing w:after="0" w:line="62"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2025 Simple Agreements for Future Equity and Common Stock Warrants</w:t>
      </w:r>
    </w:p>
    <w:p>
      <w:pPr>
        <w:spacing w:after="0" w:line="130" w:lineRule="exact"/>
        <w:rPr>
          <w:sz w:val="20"/>
          <w:szCs w:val="20"/>
          <w:color w:val="auto"/>
        </w:rPr>
      </w:pPr>
    </w:p>
    <w:p>
      <w:pPr>
        <w:ind w:left="1520" w:right="1740" w:firstLine="230"/>
        <w:spacing w:after="0" w:line="272" w:lineRule="auto"/>
        <w:rPr>
          <w:sz w:val="20"/>
          <w:szCs w:val="20"/>
          <w:color w:val="auto"/>
        </w:rPr>
      </w:pPr>
      <w:r>
        <w:rPr>
          <w:rFonts w:ascii="Arial" w:cs="Arial" w:eastAsia="Arial" w:hAnsi="Arial"/>
          <w:sz w:val="12"/>
          <w:szCs w:val="12"/>
          <w:color w:val="auto"/>
        </w:rPr>
        <w:t>In February 2025, an entity affiliated with Premji Invest purchased $100.0 million principal amount of SAFEs and was issued warrants to purchase up to approximately 0.29% of our fully diluted capitalization as of the initial public filing of the registration statement of which this prospectus forms a part, at an exercise price of $0.03 per share. In addition, Sandesh Patnam purchased $600,000 principal amount of SAFEs and was issued warrants to purchase 0.0017% of our fully diluted capitalization as of the initial public filing of the registration statement of which this prospectus forms a part, at an exercise price of $0.03 per share. The SAFEs accrue interest at an annual rate of 12%. The principal amount of the SAFEs, including accrued interest, will automatically convert in connection with the completion of this offering. Mr. Patnam, a member of our board of directors, is the Managing Partner of Premji Invest.</w:t>
      </w:r>
    </w:p>
    <w:p>
      <w:pPr>
        <w:spacing w:after="0" w:line="85"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Secondary Transactions</w:t>
      </w:r>
    </w:p>
    <w:p>
      <w:pPr>
        <w:spacing w:after="0" w:line="130" w:lineRule="exact"/>
        <w:rPr>
          <w:sz w:val="20"/>
          <w:szCs w:val="20"/>
          <w:color w:val="auto"/>
        </w:rPr>
      </w:pPr>
    </w:p>
    <w:p>
      <w:pPr>
        <w:ind w:left="1520" w:right="1920" w:firstLine="230"/>
        <w:spacing w:after="0" w:line="312" w:lineRule="auto"/>
        <w:rPr>
          <w:sz w:val="20"/>
          <w:szCs w:val="20"/>
          <w:color w:val="auto"/>
        </w:rPr>
      </w:pPr>
      <w:r>
        <w:rPr>
          <w:rFonts w:ascii="Arial" w:cs="Arial" w:eastAsia="Arial" w:hAnsi="Arial"/>
          <w:sz w:val="12"/>
          <w:szCs w:val="12"/>
          <w:color w:val="auto"/>
        </w:rPr>
        <w:t>We waived our right of first refusal and transfer restrictions, and the requisite stockholders waived their right of first refusal and right of co-sale in connection with the following stock transfers:</w:t>
      </w:r>
    </w:p>
    <w:p>
      <w:pPr>
        <w:spacing w:after="0" w:line="62" w:lineRule="exact"/>
        <w:rPr>
          <w:sz w:val="20"/>
          <w:szCs w:val="20"/>
          <w:color w:val="auto"/>
        </w:rPr>
      </w:pPr>
    </w:p>
    <w:p>
      <w:pPr>
        <w:jc w:val="both"/>
        <w:ind w:left="1980" w:right="1700" w:hanging="228"/>
        <w:spacing w:after="0" w:line="281" w:lineRule="auto"/>
        <w:tabs>
          <w:tab w:leader="none" w:pos="198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In May 2025, Ilan Twig, our Chief Technology Officer and co-founder and a member of our board of directors, entered into stock transfer agreements with an existing investor pursuant to which he sold and transferred 79,365 shares of common stock at a price of $21.00 per share, for proceeds of approximately $1.7 million.</w:t>
      </w:r>
    </w:p>
    <w:p>
      <w:pPr>
        <w:spacing w:after="0" w:line="80" w:lineRule="exact"/>
        <w:rPr>
          <w:rFonts w:ascii="Arial" w:cs="Arial" w:eastAsia="Arial" w:hAnsi="Arial"/>
          <w:sz w:val="12"/>
          <w:szCs w:val="12"/>
          <w:color w:val="auto"/>
        </w:rPr>
      </w:pPr>
    </w:p>
    <w:p>
      <w:pPr>
        <w:ind w:left="1980" w:right="1720" w:hanging="228"/>
        <w:spacing w:after="0" w:line="280" w:lineRule="auto"/>
        <w:tabs>
          <w:tab w:leader="none" w:pos="198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In May 2025, certain trusts affiliated with Ariel Cohen, our Chief Executive Officer and co-founder and chairperson of our board of directors, entered into stock transfer agreements with an existing investor pursuant to which such trusts sold and transferred, in the aggregate, 79,365 shares of common stock at a price of $21.00 per share, for aggregate proceeds of approximately $1.7 million.</w:t>
      </w:r>
    </w:p>
    <w:p>
      <w:pPr>
        <w:spacing w:after="0" w:line="236" w:lineRule="exact"/>
        <w:rPr>
          <w:rFonts w:ascii="Arial" w:cs="Arial" w:eastAsia="Arial" w:hAnsi="Arial"/>
          <w:sz w:val="12"/>
          <w:szCs w:val="12"/>
          <w:color w:val="auto"/>
        </w:rPr>
      </w:pPr>
    </w:p>
    <w:p>
      <w:pPr>
        <w:ind w:left="1980" w:right="1880" w:hanging="228"/>
        <w:spacing w:after="0" w:line="277" w:lineRule="auto"/>
        <w:tabs>
          <w:tab w:leader="none" w:pos="198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In April 2023, an entity affiliated with Andreessen Horowitz, a holder of more than 5% of our outstanding capital stock, entered into a stock transfer agreement with an investor pursuant to which Andreessen Horowitz purchased 201,306 shares of our Series A Preferred Stock at a purchase price of $24.00 per share, for an aggregate purchase price of approximately $4.8 million.</w:t>
      </w:r>
    </w:p>
    <w:p>
      <w:pPr>
        <w:spacing w:after="0" w:line="83" w:lineRule="exact"/>
        <w:rPr>
          <w:rFonts w:ascii="Arial" w:cs="Arial" w:eastAsia="Arial" w:hAnsi="Arial"/>
          <w:sz w:val="12"/>
          <w:szCs w:val="12"/>
          <w:color w:val="auto"/>
        </w:rPr>
      </w:pPr>
    </w:p>
    <w:p>
      <w:pPr>
        <w:jc w:val="both"/>
        <w:ind w:left="1980" w:right="1840" w:hanging="228"/>
        <w:spacing w:after="0" w:line="289" w:lineRule="auto"/>
        <w:tabs>
          <w:tab w:leader="none" w:pos="198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In January 2023, Ariel Cohen entered into a stock transfer agreement with an existing investor pursuant to which Mr. Cohen sold and transferred 17,802 shares of common stock at a price of $28.0863 per share, for aggregate proceeds of approximately $500,000.</w:t>
      </w:r>
    </w:p>
    <w:p>
      <w:pPr>
        <w:spacing w:after="0" w:line="75" w:lineRule="exact"/>
        <w:rPr>
          <w:rFonts w:ascii="Arial" w:cs="Arial" w:eastAsia="Arial" w:hAnsi="Arial"/>
          <w:sz w:val="12"/>
          <w:szCs w:val="12"/>
          <w:color w:val="auto"/>
        </w:rPr>
      </w:pPr>
    </w:p>
    <w:p>
      <w:pPr>
        <w:ind w:left="1980" w:right="1940" w:hanging="228"/>
        <w:spacing w:after="0" w:line="289" w:lineRule="auto"/>
        <w:tabs>
          <w:tab w:leader="none" w:pos="198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In January 2023, Ilan Twig entered into a stock transfer agreement with an existing investor pursuant to which Mr. Twig sold and transferred 17,802 shares of common stock at a price of $28.0863 per share, for aggregate proceeds of approximately $500,000.</w:t>
      </w:r>
    </w:p>
    <w:p>
      <w:pPr>
        <w:spacing w:after="0" w:line="75" w:lineRule="exact"/>
        <w:rPr>
          <w:rFonts w:ascii="Arial" w:cs="Arial" w:eastAsia="Arial" w:hAnsi="Arial"/>
          <w:sz w:val="12"/>
          <w:szCs w:val="12"/>
          <w:color w:val="auto"/>
        </w:rPr>
      </w:pPr>
    </w:p>
    <w:p>
      <w:pPr>
        <w:ind w:left="1980" w:right="1840" w:hanging="228"/>
        <w:spacing w:after="0" w:line="289" w:lineRule="auto"/>
        <w:tabs>
          <w:tab w:leader="none" w:pos="198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In November 2022, Ariel Cohen entered into a stock transfer agreement with a new investor pursuant to which Mr. Cohen sold and transferred 26,703 shares of common stock at a price of $28.0863 per share, for aggregate proceeds of approximately $750,000.</w:t>
      </w:r>
    </w:p>
    <w:p>
      <w:pPr>
        <w:spacing w:after="0" w:line="75" w:lineRule="exact"/>
        <w:rPr>
          <w:rFonts w:ascii="Arial" w:cs="Arial" w:eastAsia="Arial" w:hAnsi="Arial"/>
          <w:sz w:val="12"/>
          <w:szCs w:val="12"/>
          <w:color w:val="auto"/>
        </w:rPr>
      </w:pPr>
    </w:p>
    <w:p>
      <w:pPr>
        <w:jc w:val="both"/>
        <w:ind w:left="1980" w:right="1680" w:hanging="228"/>
        <w:spacing w:after="0" w:line="289" w:lineRule="auto"/>
        <w:tabs>
          <w:tab w:leader="none" w:pos="198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In November 2022, Ilan Twig entered into a stock transfer agreement with new investors pursuant to which Mr. Twig sold and transferred 26,703 shares of common stock at a price of $28.0863 per share, for aggregate proceeds of approximately $750,000.</w:t>
      </w:r>
    </w:p>
    <w:p>
      <w:pPr>
        <w:spacing w:after="0" w:line="75" w:lineRule="exact"/>
        <w:rPr>
          <w:rFonts w:ascii="Arial" w:cs="Arial" w:eastAsia="Arial" w:hAnsi="Arial"/>
          <w:sz w:val="12"/>
          <w:szCs w:val="12"/>
          <w:color w:val="auto"/>
        </w:rPr>
      </w:pPr>
    </w:p>
    <w:p>
      <w:pPr>
        <w:ind w:left="1980" w:right="1840" w:hanging="228"/>
        <w:spacing w:after="0" w:line="281" w:lineRule="auto"/>
        <w:tabs>
          <w:tab w:leader="none" w:pos="198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In November 2022, entities affiliated with Zeev Ventures, a holder of more than 5% of our outstanding capital stock, entered into stock transfer agreements with an existing investor and certain new investors pursuant to which Zeev Ventures sold and transferred 106,813 shares of our Series C Preferred Stock at a purchase price of $28.0863 per share and 213,627 shares of</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191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80" w:right="1760"/>
        <w:spacing w:after="0" w:line="312" w:lineRule="auto"/>
        <w:rPr>
          <w:sz w:val="20"/>
          <w:szCs w:val="20"/>
          <w:color w:val="auto"/>
        </w:rPr>
      </w:pPr>
      <w:r>
        <w:rPr>
          <w:rFonts w:ascii="Arial" w:cs="Arial" w:eastAsia="Arial" w:hAnsi="Arial"/>
          <w:sz w:val="12"/>
          <w:szCs w:val="12"/>
          <w:color w:val="auto"/>
        </w:rPr>
        <w:t>our Series B Preferred Stock at a purchase price of $28.0863 per share, for aggregate proceeds of approximately $9.0 million.</w:t>
      </w:r>
    </w:p>
    <w:p>
      <w:pPr>
        <w:spacing w:after="0" w:line="62" w:lineRule="exact"/>
        <w:rPr>
          <w:sz w:val="20"/>
          <w:szCs w:val="20"/>
          <w:color w:val="auto"/>
        </w:rPr>
      </w:pPr>
    </w:p>
    <w:p>
      <w:pPr>
        <w:ind w:left="1980" w:right="1820" w:hanging="228"/>
        <w:spacing w:after="0" w:line="281" w:lineRule="auto"/>
        <w:tabs>
          <w:tab w:leader="none" w:pos="1980" w:val="left"/>
        </w:tabs>
        <w:numPr>
          <w:ilvl w:val="0"/>
          <w:numId w:val="146"/>
        </w:numPr>
        <w:rPr>
          <w:rFonts w:ascii="Arial" w:cs="Arial" w:eastAsia="Arial" w:hAnsi="Arial"/>
          <w:sz w:val="12"/>
          <w:szCs w:val="12"/>
          <w:color w:val="auto"/>
        </w:rPr>
      </w:pPr>
      <w:r>
        <w:rPr>
          <w:rFonts w:ascii="Arial" w:cs="Arial" w:eastAsia="Arial" w:hAnsi="Arial"/>
          <w:sz w:val="12"/>
          <w:szCs w:val="12"/>
          <w:color w:val="auto"/>
        </w:rPr>
        <w:t>In March 2022, an entity affiliated with Zeev Ventures entered into a stock transfer agreement with an investor pursuant to which Zeev Ventures purchased 96,962 shares of our Series Seed Preferred Stock at a purchase price of $32.3475 per share, for an aggregate purchase price of approximately $3.1 million.</w:t>
      </w:r>
    </w:p>
    <w:p>
      <w:pPr>
        <w:sectPr>
          <w:pgSz w:w="11900" w:h="16840" w:orient="portrait"/>
          <w:cols w:equalWidth="0" w:num="1">
            <w:col w:w="9020"/>
          </w:cols>
          <w:pgMar w:left="1440" w:top="598" w:right="1440" w:bottom="161" w:gutter="0" w:footer="0" w:header="0"/>
        </w:sectPr>
      </w:pPr>
    </w:p>
    <w:bookmarkStart w:id="132" w:name="page133"/>
    <w:bookmarkEnd w:id="132"/>
    <w:p>
      <w:pPr>
        <w:ind w:left="1980" w:right="1760" w:hanging="228"/>
        <w:spacing w:after="0" w:line="243" w:lineRule="auto"/>
        <w:tabs>
          <w:tab w:leader="none" w:pos="198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In February 2022, entities affiliated with Zeev Ventures entered into a stock transfer agreement with a shareholder pursuant to which Zeev Ventures purchased 60,384 shares of common stock at a purchase price of $29.10 per share, for an aggregate purchase price of approximately $1.8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-259080</wp:posOffset>
            </wp:positionV>
            <wp:extent cx="6732270" cy="99707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2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Certain Employment Relationships</w:t>
      </w:r>
    </w:p>
    <w:p>
      <w:pPr>
        <w:spacing w:after="0" w:line="130"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The brother-in-law of Clara Liang, one of our directors, was employed by us until October 2022 as our Chief Information Security Officer. His total compensation for fiscal year 2023 was approximately $310,770. The compensation of Ms. Liang’s brother-in-law was determined in accordance with the Company’s compensation practices applicable to employees with comparable qualifications and responsibilities and holding similar positions. He received benefits available to all our employees, including participation in various employee health and welfare benefit plans, and he was eligible for equity awards on the same general terms and conditions as applicable to employees in similar positions who do not have such family relationships. Ms. Liang joined our board of directors in September 2022.</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Other Transactions</w:t>
      </w:r>
    </w:p>
    <w:p>
      <w:pPr>
        <w:spacing w:after="0" w:line="130" w:lineRule="exact"/>
        <w:rPr>
          <w:sz w:val="20"/>
          <w:szCs w:val="20"/>
          <w:color w:val="auto"/>
        </w:rPr>
      </w:pPr>
    </w:p>
    <w:p>
      <w:pPr>
        <w:ind w:left="1520" w:right="1700" w:firstLine="230"/>
        <w:spacing w:after="0" w:line="269" w:lineRule="auto"/>
        <w:rPr>
          <w:sz w:val="20"/>
          <w:szCs w:val="20"/>
          <w:color w:val="auto"/>
        </w:rPr>
      </w:pPr>
      <w:r>
        <w:rPr>
          <w:rFonts w:ascii="Arial" w:cs="Arial" w:eastAsia="Arial" w:hAnsi="Arial"/>
          <w:sz w:val="12"/>
          <w:szCs w:val="12"/>
          <w:color w:val="auto"/>
        </w:rPr>
        <w:t>We intend to enter into an exchange agreement with our co-founders, Messrs. Cohen and Twig, effective as of the effectiveness of the registration statement of which this prospectus forms a part, pursuant to which 15,304,696 shares of our Class A common stock held by such co-founders and certain related entities prior to the effectiveness of the registration statement of which this prospectus forms a part will automatically be exchanged for an equivalent number of shares of our Class B common stock immediately prior to the completion of this offering. In addition, following the completion of this offering, and pursuant to Equity Exchange Right Agreements to be entered into between us and each of our co-founders, our co-founders shall have a right (but not an obligation), to require us to exchange any shares of Class A common stock received upon the vesting and settlement of RSUs related to shares of Class A common stock or upon the exercise of stock options to purchase shares of Class A common stock for an equivalent number of shares of Class B common stock. These equity exchange rights apply only to equity awards granted to our co-founders prior to the effectiveness of the filing of our amended and restated certificate of incorporation, which includes 10,353,796 shares of our Class A common stock subject to RSUs held by our co-founders or issuable upon the exercise of stock options to purchase shares of Class A common stock that may be exchanged, upon settlement, for an equivalent number of shares of our Class B common stock following this offering.</w:t>
      </w:r>
    </w:p>
    <w:p>
      <w:pPr>
        <w:spacing w:after="0" w:line="244"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Investors’ Rights Agreement</w:t>
      </w:r>
    </w:p>
    <w:p>
      <w:pPr>
        <w:spacing w:after="0" w:line="130" w:lineRule="exact"/>
        <w:rPr>
          <w:sz w:val="20"/>
          <w:szCs w:val="20"/>
          <w:color w:val="auto"/>
        </w:rPr>
      </w:pPr>
    </w:p>
    <w:p>
      <w:pPr>
        <w:ind w:left="1520" w:right="1740" w:firstLine="230"/>
        <w:spacing w:after="0" w:line="273" w:lineRule="auto"/>
        <w:rPr>
          <w:sz w:val="20"/>
          <w:szCs w:val="20"/>
          <w:color w:val="auto"/>
        </w:rPr>
      </w:pPr>
      <w:r>
        <w:rPr>
          <w:rFonts w:ascii="Arial" w:cs="Arial" w:eastAsia="Arial" w:hAnsi="Arial"/>
          <w:sz w:val="12"/>
          <w:szCs w:val="12"/>
          <w:color w:val="auto"/>
        </w:rPr>
        <w:t>We are party to an amended and restated investors’ rights agreement, or our IRA, which provides, among other things, that certain holders of our capital stock, including entities affiliated with Andreessen Horowitz, Lightspeed Venture Partners, and Zeev Ventures, which each hold more than 5% of our outstanding capital stock, have the right to demand that we file a registration statement or request that their shares of our capital stock be included on a registration statement that we are otherwise filing. See the section titled “Description of Capital Stock—Registration Rights” for more information regarding these registration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192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Voting Agreement</w:t>
      </w:r>
    </w:p>
    <w:p>
      <w:pPr>
        <w:spacing w:after="0" w:line="130"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Pursuant to our Voting Agreement, certain holders of our capital stock have agreed to vote their shares on certain matters, including with respect to the election of members of our board of directors. See the section titled “Management—Board of Directors” for more information regarding the election of members of our board of directors pursuant to our Voting Agreement. Holders of our capital stock, including entities affiliated with Andreessen Horowitz, Lightspeed Venture Partners and Zeev Ventures, which each hold more than 5% of our outstanding capital stock, as well as Ariel Cohen, the chairperson of our board of directors and Chief Executive Officer, and Ilan Twig, a member of our board of directors and Chief Technology Officer, are parties to our Voting Agreement. Our Voting Agreement will terminate upon the completion of this offering.</w:t>
      </w:r>
    </w:p>
    <w:p>
      <w:pPr>
        <w:spacing w:after="0" w:line="85"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Policies and Procedures for Related Party Transactions</w:t>
      </w:r>
    </w:p>
    <w:p>
      <w:pPr>
        <w:spacing w:after="0" w:line="130" w:lineRule="exact"/>
        <w:rPr>
          <w:sz w:val="20"/>
          <w:szCs w:val="20"/>
          <w:color w:val="auto"/>
        </w:rPr>
      </w:pPr>
    </w:p>
    <w:p>
      <w:pPr>
        <w:ind w:left="1520" w:right="1680" w:firstLine="230"/>
        <w:spacing w:after="0" w:line="270" w:lineRule="auto"/>
        <w:rPr>
          <w:sz w:val="20"/>
          <w:szCs w:val="20"/>
          <w:color w:val="auto"/>
        </w:rPr>
      </w:pPr>
      <w:r>
        <w:rPr>
          <w:rFonts w:ascii="Arial" w:cs="Arial" w:eastAsia="Arial" w:hAnsi="Arial"/>
          <w:sz w:val="12"/>
          <w:szCs w:val="12"/>
          <w:color w:val="auto"/>
        </w:rPr>
        <w:t>At the time of this offering, we will adopt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that would be required to be disclosed pursuant to Item 404(a) of Regulation S-K without the approval or ratification of our audit committee or another independent body of our board of directors. In reviewing any related person transaction, our audit committee or another independent body of our board of directors will consider all relevant facts and circumstances, including (a) the risks, costs, and benefits to us, (b) the impact on a director’s independence where applicable, (c) the availability of comparable services or products and (d) the terms as compared to terms from unrelated third parties. The audit committee or other independent body of our board of directors will approve only those related party transactions that are in, or are not inconsistent with, our interests and the interests of our stockholders, as determined in the good faith exercise of its discretion.</w:t>
      </w:r>
    </w:p>
    <w:p>
      <w:pPr>
        <w:sectPr>
          <w:pgSz w:w="11900" w:h="16840" w:orient="portrait"/>
          <w:cols w:equalWidth="0" w:num="1">
            <w:col w:w="9020"/>
          </w:cols>
          <w:pgMar w:left="1440" w:top="560" w:right="1440"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193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PRINCIPAL AND SELLING STOCKHOLDERS</w:t>
      </w:r>
    </w:p>
    <w:p>
      <w:pPr>
        <w:spacing w:after="0" w:line="130" w:lineRule="exact"/>
        <w:rPr>
          <w:sz w:val="20"/>
          <w:szCs w:val="20"/>
          <w:color w:val="auto"/>
        </w:rPr>
      </w:pPr>
    </w:p>
    <w:p>
      <w:pPr>
        <w:ind w:left="1520" w:right="1720" w:firstLine="230"/>
        <w:spacing w:after="0" w:line="289" w:lineRule="auto"/>
        <w:rPr>
          <w:sz w:val="20"/>
          <w:szCs w:val="20"/>
          <w:color w:val="auto"/>
        </w:rPr>
      </w:pPr>
      <w:r>
        <w:rPr>
          <w:rFonts w:ascii="Arial" w:cs="Arial" w:eastAsia="Arial" w:hAnsi="Arial"/>
          <w:sz w:val="12"/>
          <w:szCs w:val="12"/>
          <w:color w:val="auto"/>
        </w:rPr>
        <w:t>The following table sets forth certain information with respect to the beneficial ownership of our common stock as of July 31, 2025 and as adjusted to reflect the sale of our Class A common stock in this offering assuming no exercise of the underwriters’ option to purchase additional shares, for:</w:t>
      </w:r>
    </w:p>
    <w:p>
      <w:pPr>
        <w:spacing w:after="0" w:line="76" w:lineRule="exact"/>
        <w:rPr>
          <w:sz w:val="20"/>
          <w:szCs w:val="20"/>
          <w:color w:val="auto"/>
        </w:rPr>
      </w:pPr>
    </w:p>
    <w:p>
      <w:pPr>
        <w:ind w:left="1980" w:hanging="228"/>
        <w:spacing w:after="0"/>
        <w:tabs>
          <w:tab w:leader="none" w:pos="198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each of our named executive officers;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each of our directors;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all of our current directors and executive officers as a group;</w:t>
      </w:r>
    </w:p>
    <w:p>
      <w:pPr>
        <w:spacing w:after="0" w:line="129" w:lineRule="exact"/>
        <w:rPr>
          <w:rFonts w:ascii="Arial" w:cs="Arial" w:eastAsia="Arial" w:hAnsi="Arial"/>
          <w:sz w:val="12"/>
          <w:szCs w:val="12"/>
          <w:color w:val="auto"/>
        </w:rPr>
      </w:pPr>
    </w:p>
    <w:p>
      <w:pPr>
        <w:ind w:left="1980" w:right="1800" w:hanging="228"/>
        <w:spacing w:after="0" w:line="312" w:lineRule="auto"/>
        <w:tabs>
          <w:tab w:leader="none" w:pos="198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each person known by us to be the beneficial owner of more than 5% of the outstanding shares of our Class A or Class B common stock; and</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each selling stockholder.</w:t>
      </w:r>
    </w:p>
    <w:p>
      <w:pPr>
        <w:spacing w:after="0" w:line="130" w:lineRule="exact"/>
        <w:rPr>
          <w:sz w:val="20"/>
          <w:szCs w:val="20"/>
          <w:color w:val="auto"/>
        </w:rPr>
      </w:pPr>
    </w:p>
    <w:p>
      <w:pPr>
        <w:ind w:left="1520" w:right="1680" w:firstLine="230"/>
        <w:spacing w:after="0" w:line="277" w:lineRule="auto"/>
        <w:rPr>
          <w:sz w:val="20"/>
          <w:szCs w:val="20"/>
          <w:color w:val="auto"/>
        </w:rPr>
      </w:pPr>
      <w:r>
        <w:rPr>
          <w:rFonts w:ascii="Arial" w:cs="Arial" w:eastAsia="Arial" w:hAnsi="Arial"/>
          <w:sz w:val="12"/>
          <w:szCs w:val="12"/>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84" w:lineRule="exact"/>
        <w:rPr>
          <w:sz w:val="20"/>
          <w:szCs w:val="20"/>
          <w:color w:val="auto"/>
        </w:rPr>
      </w:pPr>
    </w:p>
    <w:p>
      <w:pPr>
        <w:ind w:left="1520" w:right="1660" w:firstLine="230"/>
        <w:spacing w:after="0" w:line="273" w:lineRule="auto"/>
        <w:rPr>
          <w:sz w:val="20"/>
          <w:szCs w:val="20"/>
          <w:color w:val="auto"/>
        </w:rPr>
      </w:pPr>
      <w:r>
        <w:rPr>
          <w:rFonts w:ascii="Arial" w:cs="Arial" w:eastAsia="Arial" w:hAnsi="Arial"/>
          <w:sz w:val="12"/>
          <w:szCs w:val="12"/>
          <w:color w:val="auto"/>
        </w:rPr>
        <w:t>Applicable percentage ownership of our common stock before this offering is based on 200,961,542 shares of our Class A common stock and 15,304,696 shares of our Class B common stock outstanding, in each case, as of July 31, 2025, and assumes the occurrence of the Capital Stock Conversion, the Class B Stock Exchange (other than the shares to be sold by our co-founders and their affiliates in this offering), the Note Conversion, the SAFE Conversion, the Warrant Exercises, and the RSU Net Settlement. For purposes of the table below, we have assumed that 30,000,000 shares of Class A common stock will be issued in this offering.</w:t>
      </w:r>
    </w:p>
    <w:p>
      <w:pPr>
        <w:spacing w:after="0" w:line="88" w:lineRule="exact"/>
        <w:rPr>
          <w:sz w:val="20"/>
          <w:szCs w:val="20"/>
          <w:color w:val="auto"/>
        </w:rPr>
      </w:pPr>
    </w:p>
    <w:p>
      <w:pPr>
        <w:ind w:left="1520" w:right="1700" w:firstLine="230"/>
        <w:spacing w:after="0" w:line="269" w:lineRule="auto"/>
        <w:rPr>
          <w:sz w:val="20"/>
          <w:szCs w:val="20"/>
          <w:color w:val="auto"/>
        </w:rPr>
      </w:pPr>
      <w:r>
        <w:rPr>
          <w:rFonts w:ascii="Arial" w:cs="Arial" w:eastAsia="Arial" w:hAnsi="Arial"/>
          <w:sz w:val="12"/>
          <w:szCs w:val="12"/>
          <w:color w:val="auto"/>
        </w:rPr>
        <w:t>In computing the number of shares of common stock beneficially owned by a person and the percentage ownership of that person, we deemed to be outstanding all shares of common stock subject to options and RSUs held by that person or entity that are currently exercisable or subject to settlement or that will become exercisable or subject to settlement within 60 days of July 31, 2025, including the performance-based vesting condition, which will be satisfied upon the effectiveness of the registration statement of which this prospectus forms a part, and after giving effect to the RSU Net Settlement, assuming the applicable estimated tax withholding rate set forth above. In addition, we have assumed the exchange, pursuant to the Equity Exchange Rights, of all shares of Class A common stock receivable upon exercise of stock options held by our co-founders, and that are exercisable within 60 days of July 31, 2025. We did not deem these shares outstanding, however, for the purpose of computing the percentage ownership of any other person. In addition, the actual share withholding amounts and related tax withholding rates, as well as the actual number of shares of Class A common stock issued in the Note Conversion, the SAFEs Conversion, and the Warrant Exercises, will fluctuate based on, among other things, the actual initial public offering price per share in this offering and actual withholding rates, as applicable. As a result, the number of shares beneficially owned by any holder included in the table below may fluctuate.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194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600" w:type="dxa"/>
        <w:tblCellMar>
          <w:top w:w="0" w:type="dxa"/>
          <w:left w:w="0" w:type="dxa"/>
          <w:bottom w:w="0" w:type="dxa"/>
          <w:right w:w="0" w:type="dxa"/>
        </w:tblCellMar>
      </w:tblPr>
      <w:tr>
        <w:trPr>
          <w:trHeight w:val="268"/>
        </w:trPr>
        <w:tc>
          <w:tcPr>
            <w:tcW w:w="920" w:type="dxa"/>
            <w:vAlign w:val="bottom"/>
          </w:tcPr>
          <w:p>
            <w:pPr>
              <w:spacing w:after="0"/>
              <w:rPr>
                <w:sz w:val="23"/>
                <w:szCs w:val="23"/>
                <w:color w:val="auto"/>
              </w:rPr>
            </w:pPr>
          </w:p>
        </w:tc>
        <w:tc>
          <w:tcPr>
            <w:tcW w:w="980" w:type="dxa"/>
            <w:vAlign w:val="bottom"/>
            <w:tcBorders>
              <w:bottom w:val="single" w:sz="8" w:color="0000FF"/>
            </w:tcBorders>
          </w:tcPr>
          <w:p>
            <w:pPr>
              <w:spacing w:after="0"/>
              <w:rPr>
                <w:rFonts w:ascii="Arial" w:cs="Arial" w:eastAsia="Arial" w:hAnsi="Arial"/>
                <w:sz w:val="12"/>
                <w:szCs w:val="12"/>
                <w:color w:val="0000FF"/>
              </w:rPr>
            </w:pPr>
            <w:hyperlink w:anchor="page3">
              <w:r>
                <w:rPr>
                  <w:rFonts w:ascii="Arial" w:cs="Arial" w:eastAsia="Arial" w:hAnsi="Arial"/>
                  <w:sz w:val="12"/>
                  <w:szCs w:val="12"/>
                  <w:color w:val="0000FF"/>
                </w:rPr>
                <w:t>Table of Contents</w:t>
              </w:r>
            </w:hyperlink>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5"/>
        </w:trPr>
        <w:tc>
          <w:tcPr>
            <w:tcW w:w="920" w:type="dxa"/>
            <w:vAlign w:val="bottom"/>
          </w:tcPr>
          <w:p>
            <w:pPr>
              <w:spacing w:after="0"/>
              <w:rPr>
                <w:sz w:val="24"/>
                <w:szCs w:val="24"/>
                <w:color w:val="auto"/>
              </w:rPr>
            </w:pPr>
          </w:p>
        </w:tc>
        <w:tc>
          <w:tcPr>
            <w:tcW w:w="5560" w:type="dxa"/>
            <w:vAlign w:val="bottom"/>
            <w:gridSpan w:val="11"/>
          </w:tcPr>
          <w:p>
            <w:pPr>
              <w:ind w:left="240"/>
              <w:spacing w:after="0"/>
              <w:rPr>
                <w:sz w:val="20"/>
                <w:szCs w:val="20"/>
                <w:color w:val="auto"/>
              </w:rPr>
            </w:pPr>
            <w:r>
              <w:rPr>
                <w:rFonts w:ascii="Arial" w:cs="Arial" w:eastAsia="Arial" w:hAnsi="Arial"/>
                <w:sz w:val="12"/>
                <w:szCs w:val="12"/>
                <w:color w:val="auto"/>
              </w:rPr>
              <w:t>Unless otherwise indicated, the address of each beneficial owner in the table below is c/o Navan,</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2660" w:type="dxa"/>
            <w:vAlign w:val="bottom"/>
            <w:gridSpan w:val="5"/>
          </w:tcPr>
          <w:p>
            <w:pPr>
              <w:spacing w:after="0"/>
              <w:rPr>
                <w:sz w:val="20"/>
                <w:szCs w:val="20"/>
                <w:color w:val="auto"/>
              </w:rPr>
            </w:pPr>
            <w:r>
              <w:rPr>
                <w:rFonts w:ascii="Arial" w:cs="Arial" w:eastAsia="Arial" w:hAnsi="Arial"/>
                <w:sz w:val="12"/>
                <w:szCs w:val="12"/>
                <w:color w:val="auto"/>
              </w:rPr>
              <w:t>Inc., 3045 Park Boulevard, Palo Alto, California</w:t>
            </w:r>
          </w:p>
        </w:tc>
        <w:tc>
          <w:tcPr>
            <w:tcW w:w="540" w:type="dxa"/>
            <w:vAlign w:val="bottom"/>
          </w:tcPr>
          <w:p>
            <w:pPr>
              <w:jc w:val="right"/>
              <w:ind w:right="76"/>
              <w:spacing w:after="0"/>
              <w:rPr>
                <w:sz w:val="20"/>
                <w:szCs w:val="20"/>
                <w:color w:val="auto"/>
              </w:rPr>
            </w:pPr>
            <w:r>
              <w:rPr>
                <w:rFonts w:ascii="Arial" w:cs="Arial" w:eastAsia="Arial" w:hAnsi="Arial"/>
                <w:sz w:val="12"/>
                <w:szCs w:val="12"/>
                <w:color w:val="auto"/>
              </w:rPr>
              <w:t>94306.</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20" w:type="dxa"/>
            <w:vAlign w:val="bottom"/>
            <w:gridSpan w:val="5"/>
          </w:tcPr>
          <w:p>
            <w:pPr>
              <w:ind w:left="80"/>
              <w:spacing w:after="0"/>
              <w:rPr>
                <w:sz w:val="20"/>
                <w:szCs w:val="20"/>
                <w:color w:val="auto"/>
              </w:rPr>
            </w:pPr>
            <w:r>
              <w:rPr>
                <w:rFonts w:ascii="Arial" w:cs="Arial" w:eastAsia="Arial" w:hAnsi="Arial"/>
                <w:sz w:val="9"/>
                <w:szCs w:val="9"/>
                <w:b w:val="1"/>
                <w:bCs w:val="1"/>
                <w:color w:val="auto"/>
              </w:rPr>
              <w:t>Shares Beneficially Owned Prior to this Offering</w:t>
            </w: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w w:val="97"/>
              </w:rPr>
              <w:t>Shares of</w:t>
            </w:r>
          </w:p>
        </w:tc>
        <w:tc>
          <w:tcPr>
            <w:tcW w:w="3180" w:type="dxa"/>
            <w:vAlign w:val="bottom"/>
            <w:gridSpan w:val="5"/>
          </w:tcPr>
          <w:p>
            <w:pPr>
              <w:jc w:val="right"/>
              <w:ind w:right="998"/>
              <w:spacing w:after="0"/>
              <w:rPr>
                <w:sz w:val="20"/>
                <w:szCs w:val="20"/>
                <w:color w:val="auto"/>
              </w:rPr>
            </w:pPr>
            <w:r>
              <w:rPr>
                <w:rFonts w:ascii="Arial" w:cs="Arial" w:eastAsia="Arial" w:hAnsi="Arial"/>
                <w:sz w:val="9"/>
                <w:szCs w:val="9"/>
                <w:b w:val="1"/>
                <w:bCs w:val="1"/>
                <w:color w:val="auto"/>
                <w:w w:val="98"/>
              </w:rPr>
              <w:t>Shares Beneficially Owned Following this Offering</w:t>
            </w:r>
          </w:p>
        </w:tc>
        <w:tc>
          <w:tcPr>
            <w:tcW w:w="0" w:type="dxa"/>
            <w:vAlign w:val="bottom"/>
          </w:tcPr>
          <w:p>
            <w:pPr>
              <w:spacing w:after="0"/>
              <w:rPr>
                <w:sz w:val="1"/>
                <w:szCs w:val="1"/>
                <w:color w:val="auto"/>
              </w:rPr>
            </w:pPr>
          </w:p>
        </w:tc>
      </w:tr>
      <w:tr>
        <w:trPr>
          <w:trHeight w:val="77"/>
        </w:trPr>
        <w:tc>
          <w:tcPr>
            <w:tcW w:w="920" w:type="dxa"/>
            <w:vAlign w:val="bottom"/>
          </w:tcPr>
          <w:p>
            <w:pPr>
              <w:spacing w:after="0"/>
              <w:rPr>
                <w:sz w:val="6"/>
                <w:szCs w:val="6"/>
                <w:color w:val="auto"/>
              </w:rPr>
            </w:pPr>
          </w:p>
        </w:tc>
        <w:tc>
          <w:tcPr>
            <w:tcW w:w="9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jc w:val="center"/>
              <w:spacing w:after="0" w:line="77" w:lineRule="exact"/>
              <w:rPr>
                <w:sz w:val="20"/>
                <w:szCs w:val="20"/>
                <w:color w:val="auto"/>
              </w:rPr>
            </w:pPr>
            <w:r>
              <w:rPr>
                <w:rFonts w:ascii="Arial" w:cs="Arial" w:eastAsia="Arial" w:hAnsi="Arial"/>
                <w:sz w:val="8"/>
                <w:szCs w:val="8"/>
                <w:b w:val="1"/>
                <w:bCs w:val="1"/>
                <w:color w:val="auto"/>
              </w:rPr>
              <w:t>Class A</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b w:val="1"/>
                <w:bCs w:val="1"/>
                <w:color w:val="auto"/>
              </w:rPr>
              <w:t>Class A</w:t>
            </w:r>
          </w:p>
        </w:tc>
        <w:tc>
          <w:tcPr>
            <w:tcW w:w="2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b w:val="1"/>
                <w:bCs w:val="1"/>
                <w:color w:val="auto"/>
              </w:rPr>
              <w:t>Class B</w:t>
            </w:r>
          </w:p>
        </w:tc>
        <w:tc>
          <w:tcPr>
            <w:tcW w:w="220" w:type="dxa"/>
            <w:vAlign w:val="bottom"/>
          </w:tcPr>
          <w:p>
            <w:pPr>
              <w:spacing w:after="0"/>
              <w:rPr>
                <w:sz w:val="9"/>
                <w:szCs w:val="9"/>
                <w:color w:val="auto"/>
              </w:rPr>
            </w:pPr>
          </w:p>
        </w:tc>
        <w:tc>
          <w:tcPr>
            <w:tcW w:w="540" w:type="dxa"/>
            <w:vAlign w:val="bottom"/>
          </w:tcPr>
          <w:p>
            <w:pPr>
              <w:jc w:val="center"/>
              <w:spacing w:after="0"/>
              <w:rPr>
                <w:sz w:val="20"/>
                <w:szCs w:val="20"/>
                <w:color w:val="auto"/>
              </w:rPr>
            </w:pPr>
            <w:r>
              <w:rPr>
                <w:rFonts w:ascii="Arial" w:cs="Arial" w:eastAsia="Arial" w:hAnsi="Arial"/>
                <w:sz w:val="9"/>
                <w:szCs w:val="9"/>
                <w:b w:val="1"/>
                <w:bCs w:val="1"/>
                <w:color w:val="auto"/>
                <w:w w:val="94"/>
              </w:rPr>
              <w:t>% of</w:t>
            </w: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w w:val="92"/>
              </w:rPr>
              <w:t>Common</w:t>
            </w:r>
          </w:p>
        </w:tc>
        <w:tc>
          <w:tcPr>
            <w:tcW w:w="620" w:type="dxa"/>
            <w:vAlign w:val="bottom"/>
          </w:tcPr>
          <w:p>
            <w:pPr>
              <w:jc w:val="right"/>
              <w:spacing w:after="0"/>
              <w:rPr>
                <w:sz w:val="20"/>
                <w:szCs w:val="20"/>
                <w:color w:val="auto"/>
              </w:rPr>
            </w:pPr>
            <w:r>
              <w:rPr>
                <w:rFonts w:ascii="Arial" w:cs="Arial" w:eastAsia="Arial" w:hAnsi="Arial"/>
                <w:sz w:val="9"/>
                <w:szCs w:val="9"/>
                <w:b w:val="1"/>
                <w:bCs w:val="1"/>
                <w:color w:val="auto"/>
              </w:rPr>
              <w:t>Class A</w:t>
            </w:r>
          </w:p>
        </w:tc>
        <w:tc>
          <w:tcPr>
            <w:tcW w:w="28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b w:val="1"/>
                <w:bCs w:val="1"/>
                <w:color w:val="auto"/>
              </w:rPr>
              <w:t>Class B</w:t>
            </w:r>
          </w:p>
        </w:tc>
        <w:tc>
          <w:tcPr>
            <w:tcW w:w="340" w:type="dxa"/>
            <w:vAlign w:val="bottom"/>
          </w:tcPr>
          <w:p>
            <w:pPr>
              <w:spacing w:after="0"/>
              <w:rPr>
                <w:sz w:val="9"/>
                <w:szCs w:val="9"/>
                <w:color w:val="auto"/>
              </w:rPr>
            </w:pPr>
          </w:p>
        </w:tc>
        <w:tc>
          <w:tcPr>
            <w:tcW w:w="1340" w:type="dxa"/>
            <w:vAlign w:val="bottom"/>
          </w:tcPr>
          <w:p>
            <w:pPr>
              <w:jc w:val="center"/>
              <w:ind w:right="958"/>
              <w:spacing w:after="0"/>
              <w:rPr>
                <w:sz w:val="20"/>
                <w:szCs w:val="20"/>
                <w:color w:val="auto"/>
              </w:rPr>
            </w:pPr>
            <w:r>
              <w:rPr>
                <w:rFonts w:ascii="Arial" w:cs="Arial" w:eastAsia="Arial" w:hAnsi="Arial"/>
                <w:sz w:val="9"/>
                <w:szCs w:val="9"/>
                <w:b w:val="1"/>
                <w:bCs w:val="1"/>
                <w:color w:val="auto"/>
                <w:w w:val="94"/>
              </w:rPr>
              <w:t>% of</w:t>
            </w:r>
          </w:p>
        </w:tc>
        <w:tc>
          <w:tcPr>
            <w:tcW w:w="0" w:type="dxa"/>
            <w:vAlign w:val="bottom"/>
          </w:tcPr>
          <w:p>
            <w:pPr>
              <w:spacing w:after="0"/>
              <w:rPr>
                <w:sz w:val="1"/>
                <w:szCs w:val="1"/>
                <w:color w:val="auto"/>
              </w:rPr>
            </w:pPr>
          </w:p>
        </w:tc>
      </w:tr>
      <w:tr>
        <w:trPr>
          <w:trHeight w:val="67"/>
        </w:trPr>
        <w:tc>
          <w:tcPr>
            <w:tcW w:w="920" w:type="dxa"/>
            <w:vAlign w:val="bottom"/>
          </w:tcPr>
          <w:p>
            <w:pPr>
              <w:spacing w:after="0"/>
              <w:rPr>
                <w:sz w:val="5"/>
                <w:szCs w:val="5"/>
                <w:color w:val="auto"/>
              </w:rPr>
            </w:pPr>
          </w:p>
        </w:tc>
        <w:tc>
          <w:tcPr>
            <w:tcW w:w="980" w:type="dxa"/>
            <w:vAlign w:val="bottom"/>
            <w:vMerge w:val="restart"/>
          </w:tcPr>
          <w:p>
            <w:pPr>
              <w:ind w:left="40"/>
              <w:spacing w:after="0"/>
              <w:rPr>
                <w:sz w:val="20"/>
                <w:szCs w:val="20"/>
                <w:color w:val="auto"/>
              </w:rPr>
            </w:pPr>
            <w:r>
              <w:rPr>
                <w:rFonts w:ascii="Arial" w:cs="Arial" w:eastAsia="Arial" w:hAnsi="Arial"/>
                <w:sz w:val="9"/>
                <w:szCs w:val="9"/>
                <w:b w:val="1"/>
                <w:bCs w:val="1"/>
                <w:color w:val="auto"/>
              </w:rPr>
              <w:t>Name of Beneficial</w:t>
            </w: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jc w:val="center"/>
              <w:spacing w:after="0" w:line="67" w:lineRule="exact"/>
              <w:rPr>
                <w:sz w:val="20"/>
                <w:szCs w:val="20"/>
                <w:color w:val="auto"/>
              </w:rPr>
            </w:pPr>
            <w:r>
              <w:rPr>
                <w:rFonts w:ascii="Arial" w:cs="Arial" w:eastAsia="Arial" w:hAnsi="Arial"/>
                <w:sz w:val="6"/>
                <w:szCs w:val="6"/>
                <w:b w:val="1"/>
                <w:bCs w:val="1"/>
                <w:color w:val="auto"/>
              </w:rPr>
              <w:t>Total</w:t>
            </w:r>
          </w:p>
        </w:tc>
        <w:tc>
          <w:tcPr>
            <w:tcW w:w="520" w:type="dxa"/>
            <w:vAlign w:val="bottom"/>
          </w:tcPr>
          <w:p>
            <w:pPr>
              <w:jc w:val="center"/>
              <w:spacing w:after="0" w:line="67" w:lineRule="exact"/>
              <w:rPr>
                <w:sz w:val="20"/>
                <w:szCs w:val="20"/>
                <w:color w:val="auto"/>
              </w:rPr>
            </w:pPr>
            <w:r>
              <w:rPr>
                <w:rFonts w:ascii="Arial" w:cs="Arial" w:eastAsia="Arial" w:hAnsi="Arial"/>
                <w:sz w:val="6"/>
                <w:szCs w:val="6"/>
                <w:b w:val="1"/>
                <w:bCs w:val="1"/>
                <w:color w:val="auto"/>
              </w:rPr>
              <w:t>Stock</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40" w:type="dxa"/>
            <w:vAlign w:val="bottom"/>
          </w:tcPr>
          <w:p>
            <w:pPr>
              <w:jc w:val="center"/>
              <w:ind w:right="958"/>
              <w:spacing w:after="0" w:line="67" w:lineRule="exact"/>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86"/>
        </w:trPr>
        <w:tc>
          <w:tcPr>
            <w:tcW w:w="9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580" w:type="dxa"/>
            <w:vAlign w:val="bottom"/>
            <w:vMerge w:val="restart"/>
          </w:tcPr>
          <w:p>
            <w:pPr>
              <w:ind w:left="80"/>
              <w:spacing w:after="0"/>
              <w:rPr>
                <w:sz w:val="20"/>
                <w:szCs w:val="20"/>
                <w:color w:val="auto"/>
              </w:rPr>
            </w:pPr>
            <w:r>
              <w:rPr>
                <w:rFonts w:ascii="Arial" w:cs="Arial" w:eastAsia="Arial" w:hAnsi="Arial"/>
                <w:sz w:val="9"/>
                <w:szCs w:val="9"/>
                <w:b w:val="1"/>
                <w:bCs w:val="1"/>
                <w:color w:val="auto"/>
              </w:rPr>
              <w:t>Number</w:t>
            </w:r>
          </w:p>
        </w:tc>
        <w:tc>
          <w:tcPr>
            <w:tcW w:w="260" w:type="dxa"/>
            <w:vAlign w:val="bottom"/>
            <w:vMerge w:val="restart"/>
          </w:tcPr>
          <w:p>
            <w:pPr>
              <w:jc w:val="right"/>
              <w:ind w:right="77"/>
              <w:spacing w:after="0"/>
              <w:rPr>
                <w:sz w:val="20"/>
                <w:szCs w:val="20"/>
                <w:color w:val="auto"/>
              </w:rPr>
            </w:pPr>
            <w:r>
              <w:rPr>
                <w:rFonts w:ascii="Arial" w:cs="Arial" w:eastAsia="Arial" w:hAnsi="Arial"/>
                <w:sz w:val="9"/>
                <w:szCs w:val="9"/>
                <w:b w:val="1"/>
                <w:bCs w:val="1"/>
                <w:color w:val="auto"/>
              </w:rPr>
              <w:t>%</w:t>
            </w:r>
          </w:p>
        </w:tc>
        <w:tc>
          <w:tcPr>
            <w:tcW w:w="620" w:type="dxa"/>
            <w:vAlign w:val="bottom"/>
            <w:vMerge w:val="restart"/>
          </w:tcPr>
          <w:p>
            <w:pPr>
              <w:jc w:val="right"/>
              <w:ind w:right="137"/>
              <w:spacing w:after="0"/>
              <w:rPr>
                <w:sz w:val="20"/>
                <w:szCs w:val="20"/>
                <w:color w:val="auto"/>
              </w:rPr>
            </w:pPr>
            <w:r>
              <w:rPr>
                <w:rFonts w:ascii="Arial" w:cs="Arial" w:eastAsia="Arial" w:hAnsi="Arial"/>
                <w:sz w:val="9"/>
                <w:szCs w:val="9"/>
                <w:b w:val="1"/>
                <w:bCs w:val="1"/>
                <w:color w:val="auto"/>
              </w:rPr>
              <w:t>Number</w:t>
            </w:r>
          </w:p>
        </w:tc>
        <w:tc>
          <w:tcPr>
            <w:tcW w:w="220" w:type="dxa"/>
            <w:vAlign w:val="bottom"/>
            <w:vMerge w:val="restart"/>
          </w:tcPr>
          <w:p>
            <w:pPr>
              <w:jc w:val="right"/>
              <w:ind w:right="37"/>
              <w:spacing w:after="0"/>
              <w:rPr>
                <w:sz w:val="20"/>
                <w:szCs w:val="20"/>
                <w:color w:val="auto"/>
              </w:rPr>
            </w:pPr>
            <w:r>
              <w:rPr>
                <w:rFonts w:ascii="Arial" w:cs="Arial" w:eastAsia="Arial" w:hAnsi="Arial"/>
                <w:sz w:val="9"/>
                <w:szCs w:val="9"/>
                <w:b w:val="1"/>
                <w:bCs w:val="1"/>
                <w:color w:val="auto"/>
              </w:rPr>
              <w:t>%</w:t>
            </w:r>
          </w:p>
        </w:tc>
        <w:tc>
          <w:tcPr>
            <w:tcW w:w="54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2"/>
              </w:rPr>
              <w:t>Voting</w:t>
            </w:r>
          </w:p>
        </w:tc>
        <w:tc>
          <w:tcPr>
            <w:tcW w:w="52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5"/>
              </w:rPr>
              <w:t>Being</w:t>
            </w:r>
          </w:p>
        </w:tc>
        <w:tc>
          <w:tcPr>
            <w:tcW w:w="620" w:type="dxa"/>
            <w:vAlign w:val="bottom"/>
            <w:vMerge w:val="restart"/>
          </w:tcPr>
          <w:p>
            <w:pPr>
              <w:jc w:val="right"/>
              <w:ind w:right="117"/>
              <w:spacing w:after="0"/>
              <w:rPr>
                <w:sz w:val="20"/>
                <w:szCs w:val="20"/>
                <w:color w:val="auto"/>
              </w:rPr>
            </w:pPr>
            <w:r>
              <w:rPr>
                <w:rFonts w:ascii="Arial" w:cs="Arial" w:eastAsia="Arial" w:hAnsi="Arial"/>
                <w:sz w:val="9"/>
                <w:szCs w:val="9"/>
                <w:b w:val="1"/>
                <w:bCs w:val="1"/>
                <w:color w:val="auto"/>
              </w:rPr>
              <w:t>Number</w:t>
            </w:r>
          </w:p>
        </w:tc>
        <w:tc>
          <w:tcPr>
            <w:tcW w:w="280" w:type="dxa"/>
            <w:vAlign w:val="bottom"/>
            <w:vMerge w:val="restart"/>
          </w:tcPr>
          <w:p>
            <w:pPr>
              <w:jc w:val="right"/>
              <w:ind w:right="97"/>
              <w:spacing w:after="0"/>
              <w:rPr>
                <w:sz w:val="20"/>
                <w:szCs w:val="20"/>
                <w:color w:val="auto"/>
              </w:rPr>
            </w:pPr>
            <w:r>
              <w:rPr>
                <w:rFonts w:ascii="Arial" w:cs="Arial" w:eastAsia="Arial" w:hAnsi="Arial"/>
                <w:sz w:val="9"/>
                <w:szCs w:val="9"/>
                <w:b w:val="1"/>
                <w:bCs w:val="1"/>
                <w:color w:val="auto"/>
              </w:rPr>
              <w:t>%</w:t>
            </w:r>
          </w:p>
        </w:tc>
        <w:tc>
          <w:tcPr>
            <w:tcW w:w="600" w:type="dxa"/>
            <w:vAlign w:val="bottom"/>
            <w:vMerge w:val="restart"/>
          </w:tcPr>
          <w:p>
            <w:pPr>
              <w:jc w:val="right"/>
              <w:ind w:right="137"/>
              <w:spacing w:after="0"/>
              <w:rPr>
                <w:sz w:val="20"/>
                <w:szCs w:val="20"/>
                <w:color w:val="auto"/>
              </w:rPr>
            </w:pPr>
            <w:r>
              <w:rPr>
                <w:rFonts w:ascii="Arial" w:cs="Arial" w:eastAsia="Arial" w:hAnsi="Arial"/>
                <w:sz w:val="9"/>
                <w:szCs w:val="9"/>
                <w:b w:val="1"/>
                <w:bCs w:val="1"/>
                <w:color w:val="auto"/>
              </w:rPr>
              <w:t>Number</w:t>
            </w:r>
          </w:p>
        </w:tc>
        <w:tc>
          <w:tcPr>
            <w:tcW w:w="340" w:type="dxa"/>
            <w:vAlign w:val="bottom"/>
            <w:vMerge w:val="restart"/>
          </w:tcPr>
          <w:p>
            <w:pPr>
              <w:jc w:val="right"/>
              <w:ind w:right="157"/>
              <w:spacing w:after="0"/>
              <w:rPr>
                <w:sz w:val="20"/>
                <w:szCs w:val="20"/>
                <w:color w:val="auto"/>
              </w:rPr>
            </w:pPr>
            <w:r>
              <w:rPr>
                <w:rFonts w:ascii="Arial" w:cs="Arial" w:eastAsia="Arial" w:hAnsi="Arial"/>
                <w:sz w:val="9"/>
                <w:szCs w:val="9"/>
                <w:b w:val="1"/>
                <w:bCs w:val="1"/>
                <w:color w:val="auto"/>
              </w:rPr>
              <w:t>%</w:t>
            </w:r>
          </w:p>
        </w:tc>
        <w:tc>
          <w:tcPr>
            <w:tcW w:w="1340" w:type="dxa"/>
            <w:vAlign w:val="bottom"/>
          </w:tcPr>
          <w:p>
            <w:pPr>
              <w:jc w:val="center"/>
              <w:ind w:right="958"/>
              <w:spacing w:after="0" w:line="86" w:lineRule="exact"/>
              <w:rPr>
                <w:sz w:val="20"/>
                <w:szCs w:val="20"/>
                <w:color w:val="auto"/>
              </w:rPr>
            </w:pPr>
            <w:r>
              <w:rPr>
                <w:rFonts w:ascii="Arial" w:cs="Arial" w:eastAsia="Arial" w:hAnsi="Arial"/>
                <w:sz w:val="9"/>
                <w:szCs w:val="9"/>
                <w:b w:val="1"/>
                <w:bCs w:val="1"/>
                <w:color w:val="auto"/>
                <w:w w:val="92"/>
              </w:rPr>
              <w:t>Voting</w:t>
            </w:r>
          </w:p>
        </w:tc>
        <w:tc>
          <w:tcPr>
            <w:tcW w:w="0" w:type="dxa"/>
            <w:vAlign w:val="bottom"/>
          </w:tcPr>
          <w:p>
            <w:pPr>
              <w:spacing w:after="0"/>
              <w:rPr>
                <w:sz w:val="1"/>
                <w:szCs w:val="1"/>
                <w:color w:val="auto"/>
              </w:rPr>
            </w:pPr>
          </w:p>
        </w:tc>
      </w:tr>
      <w:tr>
        <w:trPr>
          <w:trHeight w:val="118"/>
        </w:trPr>
        <w:tc>
          <w:tcPr>
            <w:tcW w:w="920" w:type="dxa"/>
            <w:vAlign w:val="bottom"/>
          </w:tcPr>
          <w:p>
            <w:pPr>
              <w:spacing w:after="0"/>
              <w:rPr>
                <w:sz w:val="10"/>
                <w:szCs w:val="10"/>
                <w:color w:val="auto"/>
              </w:rPr>
            </w:pPr>
          </w:p>
        </w:tc>
        <w:tc>
          <w:tcPr>
            <w:tcW w:w="980" w:type="dxa"/>
            <w:vAlign w:val="bottom"/>
          </w:tcPr>
          <w:p>
            <w:pPr>
              <w:ind w:left="40"/>
              <w:spacing w:after="0"/>
              <w:rPr>
                <w:sz w:val="20"/>
                <w:szCs w:val="20"/>
                <w:color w:val="auto"/>
              </w:rPr>
            </w:pPr>
            <w:r>
              <w:rPr>
                <w:rFonts w:ascii="Arial" w:cs="Arial" w:eastAsia="Arial" w:hAnsi="Arial"/>
                <w:sz w:val="9"/>
                <w:szCs w:val="9"/>
                <w:b w:val="1"/>
                <w:bCs w:val="1"/>
                <w:color w:val="auto"/>
              </w:rPr>
              <w:t>Owner</w:t>
            </w:r>
          </w:p>
        </w:tc>
        <w:tc>
          <w:tcPr>
            <w:tcW w:w="58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b w:val="1"/>
                <w:bCs w:val="1"/>
                <w:color w:val="auto"/>
                <w:w w:val="93"/>
              </w:rPr>
              <w:t>Power**</w:t>
            </w: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w w:val="93"/>
              </w:rPr>
              <w:t>Offered</w:t>
            </w:r>
          </w:p>
        </w:tc>
        <w:tc>
          <w:tcPr>
            <w:tcW w:w="62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1340" w:type="dxa"/>
            <w:vAlign w:val="bottom"/>
          </w:tcPr>
          <w:p>
            <w:pPr>
              <w:jc w:val="center"/>
              <w:ind w:right="978"/>
              <w:spacing w:after="0"/>
              <w:rPr>
                <w:sz w:val="20"/>
                <w:szCs w:val="20"/>
                <w:color w:val="auto"/>
              </w:rPr>
            </w:pPr>
            <w:r>
              <w:rPr>
                <w:rFonts w:ascii="Arial" w:cs="Arial" w:eastAsia="Arial" w:hAnsi="Arial"/>
                <w:sz w:val="9"/>
                <w:szCs w:val="9"/>
                <w:b w:val="1"/>
                <w:bCs w:val="1"/>
                <w:color w:val="auto"/>
                <w:w w:val="93"/>
              </w:rPr>
              <w:t>Power**</w:t>
            </w:r>
          </w:p>
        </w:tc>
        <w:tc>
          <w:tcPr>
            <w:tcW w:w="0" w:type="dxa"/>
            <w:vAlign w:val="bottom"/>
          </w:tcPr>
          <w:p>
            <w:pPr>
              <w:spacing w:after="0"/>
              <w:rPr>
                <w:sz w:val="1"/>
                <w:szCs w:val="1"/>
                <w:color w:val="auto"/>
              </w:rPr>
            </w:pPr>
          </w:p>
        </w:tc>
      </w:tr>
      <w:tr>
        <w:trPr>
          <w:trHeight w:val="131"/>
        </w:trPr>
        <w:tc>
          <w:tcPr>
            <w:tcW w:w="920" w:type="dxa"/>
            <w:vAlign w:val="bottom"/>
          </w:tcPr>
          <w:p>
            <w:pPr>
              <w:spacing w:after="0"/>
              <w:rPr>
                <w:sz w:val="11"/>
                <w:szCs w:val="11"/>
                <w:color w:val="auto"/>
              </w:rPr>
            </w:pPr>
          </w:p>
        </w:tc>
        <w:tc>
          <w:tcPr>
            <w:tcW w:w="980" w:type="dxa"/>
            <w:vAlign w:val="bottom"/>
          </w:tcPr>
          <w:p>
            <w:pPr>
              <w:ind w:left="40"/>
              <w:spacing w:after="0"/>
              <w:rPr>
                <w:sz w:val="20"/>
                <w:szCs w:val="20"/>
                <w:color w:val="auto"/>
              </w:rPr>
            </w:pPr>
            <w:r>
              <w:rPr>
                <w:rFonts w:ascii="Arial" w:cs="Arial" w:eastAsia="Arial" w:hAnsi="Arial"/>
                <w:sz w:val="9"/>
                <w:szCs w:val="9"/>
                <w:b w:val="1"/>
                <w:bCs w:val="1"/>
                <w:color w:val="auto"/>
              </w:rPr>
              <w:t>Named Executive</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920" w:type="dxa"/>
            <w:vAlign w:val="bottom"/>
          </w:tcPr>
          <w:p>
            <w:pPr>
              <w:spacing w:after="0"/>
              <w:rPr>
                <w:sz w:val="7"/>
                <w:szCs w:val="7"/>
                <w:color w:val="auto"/>
              </w:rPr>
            </w:pPr>
          </w:p>
        </w:tc>
        <w:tc>
          <w:tcPr>
            <w:tcW w:w="980" w:type="dxa"/>
            <w:vAlign w:val="bottom"/>
          </w:tcPr>
          <w:p>
            <w:pPr>
              <w:ind w:left="140"/>
              <w:spacing w:after="0" w:line="86" w:lineRule="exact"/>
              <w:rPr>
                <w:sz w:val="20"/>
                <w:szCs w:val="20"/>
                <w:color w:val="auto"/>
              </w:rPr>
            </w:pPr>
            <w:r>
              <w:rPr>
                <w:rFonts w:ascii="Arial" w:cs="Arial" w:eastAsia="Arial" w:hAnsi="Arial"/>
                <w:sz w:val="9"/>
                <w:szCs w:val="9"/>
                <w:b w:val="1"/>
                <w:bCs w:val="1"/>
                <w:color w:val="auto"/>
              </w:rPr>
              <w:t>Officers and</w:t>
            </w: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920" w:type="dxa"/>
            <w:vAlign w:val="bottom"/>
          </w:tcPr>
          <w:p>
            <w:pPr>
              <w:spacing w:after="0"/>
              <w:rPr>
                <w:sz w:val="10"/>
                <w:szCs w:val="10"/>
                <w:color w:val="auto"/>
              </w:rPr>
            </w:pPr>
          </w:p>
        </w:tc>
        <w:tc>
          <w:tcPr>
            <w:tcW w:w="980" w:type="dxa"/>
            <w:vAlign w:val="bottom"/>
          </w:tcPr>
          <w:p>
            <w:pPr>
              <w:ind w:left="140"/>
              <w:spacing w:after="0"/>
              <w:rPr>
                <w:sz w:val="20"/>
                <w:szCs w:val="20"/>
                <w:color w:val="auto"/>
              </w:rPr>
            </w:pPr>
            <w:r>
              <w:rPr>
                <w:rFonts w:ascii="Arial" w:cs="Arial" w:eastAsia="Arial" w:hAnsi="Arial"/>
                <w:sz w:val="9"/>
                <w:szCs w:val="9"/>
                <w:b w:val="1"/>
                <w:bCs w:val="1"/>
                <w:color w:val="auto"/>
              </w:rPr>
              <w:t>Directors:</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980" w:type="dxa"/>
            <w:vAlign w:val="bottom"/>
          </w:tcPr>
          <w:p>
            <w:pPr>
              <w:ind w:left="40"/>
              <w:spacing w:after="0"/>
              <w:rPr>
                <w:sz w:val="20"/>
                <w:szCs w:val="20"/>
                <w:color w:val="auto"/>
              </w:rPr>
            </w:pPr>
            <w:r>
              <w:rPr>
                <w:rFonts w:ascii="Arial" w:cs="Arial" w:eastAsia="Arial" w:hAnsi="Arial"/>
                <w:sz w:val="9"/>
                <w:szCs w:val="9"/>
                <w:color w:val="auto"/>
              </w:rPr>
              <w:t xml:space="preserve">Ariel Cohen </w:t>
            </w:r>
            <w:r>
              <w:rPr>
                <w:rFonts w:ascii="Arial" w:cs="Arial" w:eastAsia="Arial" w:hAnsi="Arial"/>
                <w:sz w:val="11"/>
                <w:szCs w:val="11"/>
                <w:color w:val="auto"/>
                <w:vertAlign w:val="superscript"/>
              </w:rPr>
              <w:t>(1)</w:t>
            </w:r>
            <w:r>
              <w:rPr>
                <w:rFonts w:ascii="Times New Roman" w:cs="Times New Roman" w:eastAsia="Times New Roman" w:hAnsi="Times New Roman"/>
                <w:sz w:val="9"/>
                <w:szCs w:val="9"/>
                <w:color w:val="B4B4B4"/>
              </w:rPr>
              <w:t>..............</w:t>
            </w:r>
          </w:p>
        </w:tc>
        <w:tc>
          <w:tcPr>
            <w:tcW w:w="58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26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77"/>
              <w:spacing w:after="0"/>
              <w:rPr>
                <w:sz w:val="20"/>
                <w:szCs w:val="20"/>
                <w:color w:val="auto"/>
              </w:rPr>
            </w:pPr>
            <w:r>
              <w:rPr>
                <w:rFonts w:ascii="Arial" w:cs="Arial" w:eastAsia="Arial" w:hAnsi="Arial"/>
                <w:sz w:val="9"/>
                <w:szCs w:val="9"/>
                <w:color w:val="auto"/>
              </w:rPr>
              <w:t>10,180,992</w:t>
            </w:r>
          </w:p>
        </w:tc>
        <w:tc>
          <w:tcPr>
            <w:tcW w:w="220" w:type="dxa"/>
            <w:vAlign w:val="bottom"/>
          </w:tcPr>
          <w:p>
            <w:pPr>
              <w:jc w:val="right"/>
              <w:spacing w:after="0"/>
              <w:rPr>
                <w:sz w:val="20"/>
                <w:szCs w:val="20"/>
                <w:color w:val="auto"/>
              </w:rPr>
            </w:pPr>
            <w:r>
              <w:rPr>
                <w:rFonts w:ascii="Arial" w:cs="Arial" w:eastAsia="Arial" w:hAnsi="Arial"/>
                <w:sz w:val="9"/>
                <w:szCs w:val="9"/>
                <w:color w:val="auto"/>
                <w:w w:val="91"/>
              </w:rPr>
              <w:t>48.4</w:t>
            </w:r>
          </w:p>
        </w:tc>
        <w:tc>
          <w:tcPr>
            <w:tcW w:w="540" w:type="dxa"/>
            <w:vAlign w:val="bottom"/>
          </w:tcPr>
          <w:p>
            <w:pPr>
              <w:jc w:val="right"/>
              <w:ind w:right="16"/>
              <w:spacing w:after="0"/>
              <w:rPr>
                <w:sz w:val="20"/>
                <w:szCs w:val="20"/>
                <w:color w:val="auto"/>
              </w:rPr>
            </w:pPr>
            <w:r>
              <w:rPr>
                <w:rFonts w:ascii="Arial" w:cs="Arial" w:eastAsia="Arial" w:hAnsi="Arial"/>
                <w:sz w:val="9"/>
                <w:szCs w:val="9"/>
                <w:color w:val="auto"/>
              </w:rPr>
              <w:t>36.7</w:t>
            </w:r>
          </w:p>
        </w:tc>
        <w:tc>
          <w:tcPr>
            <w:tcW w:w="520" w:type="dxa"/>
            <w:vAlign w:val="bottom"/>
          </w:tcPr>
          <w:p>
            <w:pPr>
              <w:jc w:val="right"/>
              <w:ind w:right="19"/>
              <w:spacing w:after="0"/>
              <w:rPr>
                <w:sz w:val="20"/>
                <w:szCs w:val="20"/>
                <w:color w:val="auto"/>
              </w:rPr>
            </w:pPr>
            <w:r>
              <w:rPr>
                <w:rFonts w:ascii="Arial" w:cs="Arial" w:eastAsia="Arial" w:hAnsi="Arial"/>
                <w:sz w:val="9"/>
                <w:szCs w:val="9"/>
                <w:color w:val="auto"/>
              </w:rPr>
              <w:t>924,332</w:t>
            </w:r>
          </w:p>
        </w:tc>
        <w:tc>
          <w:tcPr>
            <w:tcW w:w="62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28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57"/>
              <w:spacing w:after="0"/>
              <w:rPr>
                <w:sz w:val="20"/>
                <w:szCs w:val="20"/>
                <w:color w:val="auto"/>
              </w:rPr>
            </w:pPr>
            <w:r>
              <w:rPr>
                <w:rFonts w:ascii="Arial" w:cs="Arial" w:eastAsia="Arial" w:hAnsi="Arial"/>
                <w:sz w:val="9"/>
                <w:szCs w:val="9"/>
                <w:color w:val="auto"/>
              </w:rPr>
              <w:t>9,256,660</w:t>
            </w:r>
          </w:p>
        </w:tc>
        <w:tc>
          <w:tcPr>
            <w:tcW w:w="340" w:type="dxa"/>
            <w:vAlign w:val="bottom"/>
          </w:tcPr>
          <w:p>
            <w:pPr>
              <w:jc w:val="right"/>
              <w:ind w:right="97"/>
              <w:spacing w:after="0"/>
              <w:rPr>
                <w:sz w:val="20"/>
                <w:szCs w:val="20"/>
                <w:color w:val="auto"/>
              </w:rPr>
            </w:pPr>
            <w:r>
              <w:rPr>
                <w:rFonts w:ascii="Arial" w:cs="Arial" w:eastAsia="Arial" w:hAnsi="Arial"/>
                <w:sz w:val="9"/>
                <w:szCs w:val="9"/>
                <w:color w:val="auto"/>
              </w:rPr>
              <w:t>48.5</w:t>
            </w:r>
          </w:p>
        </w:tc>
        <w:tc>
          <w:tcPr>
            <w:tcW w:w="1340" w:type="dxa"/>
            <w:vAlign w:val="bottom"/>
          </w:tcPr>
          <w:p>
            <w:pPr>
              <w:jc w:val="right"/>
              <w:ind w:right="938"/>
              <w:spacing w:after="0"/>
              <w:rPr>
                <w:sz w:val="20"/>
                <w:szCs w:val="20"/>
                <w:color w:val="auto"/>
              </w:rPr>
            </w:pPr>
            <w:r>
              <w:rPr>
                <w:rFonts w:ascii="Arial" w:cs="Arial" w:eastAsia="Arial" w:hAnsi="Arial"/>
                <w:sz w:val="9"/>
                <w:szCs w:val="9"/>
                <w:color w:val="auto"/>
              </w:rPr>
              <w:t>34.5</w:t>
            </w:r>
          </w:p>
        </w:tc>
        <w:tc>
          <w:tcPr>
            <w:tcW w:w="0" w:type="dxa"/>
            <w:vAlign w:val="bottom"/>
          </w:tcPr>
          <w:p>
            <w:pPr>
              <w:spacing w:after="0"/>
              <w:rPr>
                <w:sz w:val="1"/>
                <w:szCs w:val="1"/>
                <w:color w:val="auto"/>
              </w:rPr>
            </w:pPr>
          </w:p>
        </w:tc>
      </w:tr>
      <w:tr>
        <w:trPr>
          <w:trHeight w:val="163"/>
        </w:trPr>
        <w:tc>
          <w:tcPr>
            <w:tcW w:w="92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Arial" w:cs="Arial" w:eastAsia="Arial" w:hAnsi="Arial"/>
                <w:sz w:val="9"/>
                <w:szCs w:val="9"/>
                <w:color w:val="auto"/>
              </w:rPr>
              <w:t xml:space="preserve">Ilan Twig </w:t>
            </w:r>
            <w:r>
              <w:rPr>
                <w:rFonts w:ascii="Arial" w:cs="Arial" w:eastAsia="Arial" w:hAnsi="Arial"/>
                <w:sz w:val="11"/>
                <w:szCs w:val="11"/>
                <w:color w:val="auto"/>
                <w:vertAlign w:val="superscript"/>
              </w:rPr>
              <w:t>(2)</w:t>
            </w:r>
            <w:r>
              <w:rPr>
                <w:rFonts w:ascii="Arial" w:cs="Arial" w:eastAsia="Arial" w:hAnsi="Arial"/>
                <w:sz w:val="9"/>
                <w:szCs w:val="9"/>
                <w:color w:val="auto"/>
              </w:rPr>
              <w:t xml:space="preserve"> </w:t>
            </w:r>
            <w:r>
              <w:rPr>
                <w:rFonts w:ascii="Times New Roman" w:cs="Times New Roman" w:eastAsia="Times New Roman" w:hAnsi="Times New Roman"/>
                <w:sz w:val="9"/>
                <w:szCs w:val="9"/>
                <w:color w:val="B4B4B4"/>
              </w:rPr>
              <w:t>..................</w:t>
            </w:r>
          </w:p>
        </w:tc>
        <w:tc>
          <w:tcPr>
            <w:tcW w:w="58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26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77"/>
              <w:spacing w:after="0"/>
              <w:rPr>
                <w:sz w:val="20"/>
                <w:szCs w:val="20"/>
                <w:color w:val="auto"/>
              </w:rPr>
            </w:pPr>
            <w:r>
              <w:rPr>
                <w:rFonts w:ascii="Arial" w:cs="Arial" w:eastAsia="Arial" w:hAnsi="Arial"/>
                <w:sz w:val="9"/>
                <w:szCs w:val="9"/>
                <w:color w:val="auto"/>
              </w:rPr>
              <w:t>13,773,452</w:t>
            </w:r>
          </w:p>
        </w:tc>
        <w:tc>
          <w:tcPr>
            <w:tcW w:w="220" w:type="dxa"/>
            <w:vAlign w:val="bottom"/>
          </w:tcPr>
          <w:p>
            <w:pPr>
              <w:jc w:val="right"/>
              <w:spacing w:after="0"/>
              <w:rPr>
                <w:sz w:val="20"/>
                <w:szCs w:val="20"/>
                <w:color w:val="auto"/>
              </w:rPr>
            </w:pPr>
            <w:r>
              <w:rPr>
                <w:rFonts w:ascii="Arial" w:cs="Arial" w:eastAsia="Arial" w:hAnsi="Arial"/>
                <w:sz w:val="9"/>
                <w:szCs w:val="9"/>
                <w:color w:val="auto"/>
                <w:w w:val="91"/>
              </w:rPr>
              <w:t>68.3</w:t>
            </w:r>
          </w:p>
        </w:tc>
        <w:tc>
          <w:tcPr>
            <w:tcW w:w="540" w:type="dxa"/>
            <w:vAlign w:val="bottom"/>
          </w:tcPr>
          <w:p>
            <w:pPr>
              <w:jc w:val="right"/>
              <w:ind w:right="16"/>
              <w:spacing w:after="0"/>
              <w:rPr>
                <w:sz w:val="20"/>
                <w:szCs w:val="20"/>
                <w:color w:val="auto"/>
              </w:rPr>
            </w:pPr>
            <w:r>
              <w:rPr>
                <w:rFonts w:ascii="Arial" w:cs="Arial" w:eastAsia="Arial" w:hAnsi="Arial"/>
                <w:sz w:val="9"/>
                <w:szCs w:val="9"/>
                <w:color w:val="auto"/>
              </w:rPr>
              <w:t>51.3</w:t>
            </w:r>
          </w:p>
        </w:tc>
        <w:tc>
          <w:tcPr>
            <w:tcW w:w="520" w:type="dxa"/>
            <w:vAlign w:val="bottom"/>
          </w:tcPr>
          <w:p>
            <w:pPr>
              <w:jc w:val="right"/>
              <w:ind w:right="19"/>
              <w:spacing w:after="0"/>
              <w:rPr>
                <w:sz w:val="20"/>
                <w:szCs w:val="20"/>
                <w:color w:val="auto"/>
              </w:rPr>
            </w:pPr>
            <w:r>
              <w:rPr>
                <w:rFonts w:ascii="Arial" w:cs="Arial" w:eastAsia="Arial" w:hAnsi="Arial"/>
                <w:sz w:val="9"/>
                <w:szCs w:val="9"/>
                <w:color w:val="auto"/>
              </w:rPr>
              <w:t>1,000,000</w:t>
            </w:r>
          </w:p>
        </w:tc>
        <w:tc>
          <w:tcPr>
            <w:tcW w:w="62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28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57"/>
              <w:spacing w:after="0"/>
              <w:rPr>
                <w:sz w:val="20"/>
                <w:szCs w:val="20"/>
                <w:color w:val="auto"/>
              </w:rPr>
            </w:pPr>
            <w:r>
              <w:rPr>
                <w:rFonts w:ascii="Arial" w:cs="Arial" w:eastAsia="Arial" w:hAnsi="Arial"/>
                <w:sz w:val="9"/>
                <w:szCs w:val="9"/>
                <w:color w:val="auto"/>
              </w:rPr>
              <w:t>12,773,452</w:t>
            </w:r>
          </w:p>
        </w:tc>
        <w:tc>
          <w:tcPr>
            <w:tcW w:w="340" w:type="dxa"/>
            <w:vAlign w:val="bottom"/>
          </w:tcPr>
          <w:p>
            <w:pPr>
              <w:jc w:val="right"/>
              <w:ind w:right="97"/>
              <w:spacing w:after="0"/>
              <w:rPr>
                <w:sz w:val="20"/>
                <w:szCs w:val="20"/>
                <w:color w:val="auto"/>
              </w:rPr>
            </w:pPr>
            <w:r>
              <w:rPr>
                <w:rFonts w:ascii="Arial" w:cs="Arial" w:eastAsia="Arial" w:hAnsi="Arial"/>
                <w:sz w:val="9"/>
                <w:szCs w:val="9"/>
                <w:color w:val="auto"/>
              </w:rPr>
              <w:t>70.0</w:t>
            </w:r>
          </w:p>
        </w:tc>
        <w:tc>
          <w:tcPr>
            <w:tcW w:w="1340" w:type="dxa"/>
            <w:vAlign w:val="bottom"/>
          </w:tcPr>
          <w:p>
            <w:pPr>
              <w:jc w:val="right"/>
              <w:ind w:right="938"/>
              <w:spacing w:after="0"/>
              <w:rPr>
                <w:sz w:val="20"/>
                <w:szCs w:val="20"/>
                <w:color w:val="auto"/>
              </w:rPr>
            </w:pPr>
            <w:r>
              <w:rPr>
                <w:rFonts w:ascii="Arial" w:cs="Arial" w:eastAsia="Arial" w:hAnsi="Arial"/>
                <w:sz w:val="9"/>
                <w:szCs w:val="9"/>
                <w:color w:val="auto"/>
              </w:rPr>
              <w:t>49.1</w:t>
            </w:r>
          </w:p>
        </w:tc>
        <w:tc>
          <w:tcPr>
            <w:tcW w:w="0" w:type="dxa"/>
            <w:vAlign w:val="bottom"/>
          </w:tcPr>
          <w:p>
            <w:pPr>
              <w:spacing w:after="0"/>
              <w:rPr>
                <w:sz w:val="1"/>
                <w:szCs w:val="1"/>
                <w:color w:val="auto"/>
              </w:rPr>
            </w:pPr>
          </w:p>
        </w:tc>
      </w:tr>
      <w:tr>
        <w:trPr>
          <w:trHeight w:val="163"/>
        </w:trPr>
        <w:tc>
          <w:tcPr>
            <w:tcW w:w="92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Arial" w:cs="Arial" w:eastAsia="Arial" w:hAnsi="Arial"/>
                <w:sz w:val="9"/>
                <w:szCs w:val="9"/>
                <w:color w:val="auto"/>
                <w:w w:val="99"/>
              </w:rPr>
              <w:t xml:space="preserve">Michael Sindicich </w:t>
            </w:r>
            <w:r>
              <w:rPr>
                <w:rFonts w:ascii="Arial" w:cs="Arial" w:eastAsia="Arial" w:hAnsi="Arial"/>
                <w:sz w:val="11"/>
                <w:szCs w:val="11"/>
                <w:color w:val="auto"/>
                <w:w w:val="99"/>
                <w:vertAlign w:val="superscript"/>
              </w:rPr>
              <w:t>(3)</w:t>
            </w:r>
            <w:r>
              <w:rPr>
                <w:rFonts w:ascii="Arial" w:cs="Arial" w:eastAsia="Arial" w:hAnsi="Arial"/>
                <w:sz w:val="9"/>
                <w:szCs w:val="9"/>
                <w:color w:val="auto"/>
                <w:w w:val="99"/>
              </w:rPr>
              <w:t xml:space="preserve"> </w:t>
            </w:r>
            <w:r>
              <w:rPr>
                <w:rFonts w:ascii="Times New Roman" w:cs="Times New Roman" w:eastAsia="Times New Roman" w:hAnsi="Times New Roman"/>
                <w:sz w:val="9"/>
                <w:szCs w:val="9"/>
                <w:color w:val="B4B4B4"/>
                <w:w w:val="99"/>
              </w:rPr>
              <w:t>....</w:t>
            </w:r>
          </w:p>
        </w:tc>
        <w:tc>
          <w:tcPr>
            <w:tcW w:w="580" w:type="dxa"/>
            <w:vAlign w:val="bottom"/>
          </w:tcPr>
          <w:p>
            <w:pPr>
              <w:jc w:val="right"/>
              <w:ind w:right="77"/>
              <w:spacing w:after="0"/>
              <w:rPr>
                <w:sz w:val="20"/>
                <w:szCs w:val="20"/>
                <w:color w:val="auto"/>
              </w:rPr>
            </w:pPr>
            <w:r>
              <w:rPr>
                <w:rFonts w:ascii="Arial" w:cs="Arial" w:eastAsia="Arial" w:hAnsi="Arial"/>
                <w:sz w:val="9"/>
                <w:szCs w:val="9"/>
                <w:color w:val="auto"/>
              </w:rPr>
              <w:t>1,253,019</w:t>
            </w:r>
          </w:p>
        </w:tc>
        <w:tc>
          <w:tcPr>
            <w:tcW w:w="26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220" w:type="dxa"/>
            <w:vAlign w:val="bottom"/>
          </w:tcPr>
          <w:p>
            <w:pPr>
              <w:jc w:val="right"/>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9"/>
              <w:spacing w:after="0"/>
              <w:rPr>
                <w:sz w:val="20"/>
                <w:szCs w:val="20"/>
                <w:color w:val="auto"/>
              </w:rPr>
            </w:pPr>
            <w:r>
              <w:rPr>
                <w:rFonts w:ascii="Arial" w:cs="Arial" w:eastAsia="Arial" w:hAnsi="Arial"/>
                <w:sz w:val="9"/>
                <w:szCs w:val="9"/>
                <w:color w:val="auto"/>
              </w:rPr>
              <w:t>231,842</w:t>
            </w:r>
          </w:p>
        </w:tc>
        <w:tc>
          <w:tcPr>
            <w:tcW w:w="620" w:type="dxa"/>
            <w:vAlign w:val="bottom"/>
          </w:tcPr>
          <w:p>
            <w:pPr>
              <w:jc w:val="right"/>
              <w:ind w:right="57"/>
              <w:spacing w:after="0"/>
              <w:rPr>
                <w:sz w:val="20"/>
                <w:szCs w:val="20"/>
                <w:color w:val="auto"/>
              </w:rPr>
            </w:pPr>
            <w:r>
              <w:rPr>
                <w:rFonts w:ascii="Arial" w:cs="Arial" w:eastAsia="Arial" w:hAnsi="Arial"/>
                <w:sz w:val="9"/>
                <w:szCs w:val="9"/>
                <w:color w:val="auto"/>
              </w:rPr>
              <w:t>1,021,177</w:t>
            </w:r>
          </w:p>
        </w:tc>
        <w:tc>
          <w:tcPr>
            <w:tcW w:w="28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340" w:type="dxa"/>
            <w:vAlign w:val="bottom"/>
          </w:tcPr>
          <w:p>
            <w:pPr>
              <w:jc w:val="right"/>
              <w:ind w:right="97"/>
              <w:spacing w:after="0"/>
              <w:rPr>
                <w:sz w:val="20"/>
                <w:szCs w:val="20"/>
                <w:color w:val="auto"/>
              </w:rPr>
            </w:pPr>
            <w:r>
              <w:rPr>
                <w:rFonts w:ascii="Arial" w:cs="Arial" w:eastAsia="Arial" w:hAnsi="Arial"/>
                <w:sz w:val="9"/>
                <w:szCs w:val="9"/>
                <w:color w:val="auto"/>
              </w:rPr>
              <w:t>—</w:t>
            </w:r>
          </w:p>
        </w:tc>
        <w:tc>
          <w:tcPr>
            <w:tcW w:w="1340" w:type="dxa"/>
            <w:vAlign w:val="bottom"/>
          </w:tcPr>
          <w:p>
            <w:pPr>
              <w:jc w:val="right"/>
              <w:ind w:right="938"/>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Arial" w:cs="Arial" w:eastAsia="Arial" w:hAnsi="Arial"/>
                <w:sz w:val="9"/>
                <w:szCs w:val="9"/>
                <w:color w:val="auto"/>
                <w:w w:val="99"/>
              </w:rPr>
              <w:t xml:space="preserve">Ben Horowitz </w:t>
            </w:r>
            <w:r>
              <w:rPr>
                <w:rFonts w:ascii="Arial" w:cs="Arial" w:eastAsia="Arial" w:hAnsi="Arial"/>
                <w:sz w:val="11"/>
                <w:szCs w:val="11"/>
                <w:color w:val="auto"/>
                <w:w w:val="99"/>
                <w:vertAlign w:val="superscript"/>
              </w:rPr>
              <w:t>(4)</w:t>
            </w:r>
            <w:r>
              <w:rPr>
                <w:rFonts w:ascii="Arial" w:cs="Arial" w:eastAsia="Arial" w:hAnsi="Arial"/>
                <w:sz w:val="9"/>
                <w:szCs w:val="9"/>
                <w:color w:val="auto"/>
                <w:w w:val="99"/>
              </w:rPr>
              <w:t xml:space="preserve"> </w:t>
            </w:r>
            <w:r>
              <w:rPr>
                <w:rFonts w:ascii="Times New Roman" w:cs="Times New Roman" w:eastAsia="Times New Roman" w:hAnsi="Times New Roman"/>
                <w:sz w:val="9"/>
                <w:szCs w:val="9"/>
                <w:color w:val="B4B4B4"/>
                <w:w w:val="99"/>
              </w:rPr>
              <w:t>...........</w:t>
            </w:r>
          </w:p>
        </w:tc>
        <w:tc>
          <w:tcPr>
            <w:tcW w:w="580" w:type="dxa"/>
            <w:vAlign w:val="bottom"/>
          </w:tcPr>
          <w:p>
            <w:pPr>
              <w:jc w:val="right"/>
              <w:ind w:right="77"/>
              <w:spacing w:after="0"/>
              <w:rPr>
                <w:sz w:val="20"/>
                <w:szCs w:val="20"/>
                <w:color w:val="auto"/>
              </w:rPr>
            </w:pPr>
            <w:r>
              <w:rPr>
                <w:rFonts w:ascii="Arial" w:cs="Arial" w:eastAsia="Arial" w:hAnsi="Arial"/>
                <w:sz w:val="9"/>
                <w:szCs w:val="9"/>
                <w:color w:val="auto"/>
                <w:w w:val="97"/>
              </w:rPr>
              <w:t>25,405,586</w:t>
            </w:r>
          </w:p>
        </w:tc>
        <w:tc>
          <w:tcPr>
            <w:tcW w:w="260" w:type="dxa"/>
            <w:vAlign w:val="bottom"/>
          </w:tcPr>
          <w:p>
            <w:pPr>
              <w:jc w:val="right"/>
              <w:ind w:right="37"/>
              <w:spacing w:after="0"/>
              <w:rPr>
                <w:sz w:val="20"/>
                <w:szCs w:val="20"/>
                <w:color w:val="auto"/>
              </w:rPr>
            </w:pPr>
            <w:r>
              <w:rPr>
                <w:rFonts w:ascii="Arial" w:cs="Arial" w:eastAsia="Arial" w:hAnsi="Arial"/>
                <w:sz w:val="9"/>
                <w:szCs w:val="9"/>
                <w:color w:val="auto"/>
                <w:w w:val="91"/>
              </w:rPr>
              <w:t>12.6</w:t>
            </w:r>
          </w:p>
        </w:tc>
        <w:tc>
          <w:tcPr>
            <w:tcW w:w="62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220" w:type="dxa"/>
            <w:vAlign w:val="bottom"/>
          </w:tcPr>
          <w:p>
            <w:pPr>
              <w:jc w:val="right"/>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16"/>
              <w:spacing w:after="0"/>
              <w:rPr>
                <w:sz w:val="20"/>
                <w:szCs w:val="20"/>
                <w:color w:val="auto"/>
              </w:rPr>
            </w:pPr>
            <w:r>
              <w:rPr>
                <w:rFonts w:ascii="Arial" w:cs="Arial" w:eastAsia="Arial" w:hAnsi="Arial"/>
                <w:sz w:val="9"/>
                <w:szCs w:val="9"/>
                <w:color w:val="auto"/>
              </w:rPr>
              <w:t>3.5</w:t>
            </w:r>
          </w:p>
        </w:tc>
        <w:tc>
          <w:tcPr>
            <w:tcW w:w="520" w:type="dxa"/>
            <w:vAlign w:val="bottom"/>
          </w:tcPr>
          <w:p>
            <w:pPr>
              <w:jc w:val="right"/>
              <w:ind w:right="19"/>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57"/>
              <w:spacing w:after="0"/>
              <w:rPr>
                <w:sz w:val="20"/>
                <w:szCs w:val="20"/>
                <w:color w:val="auto"/>
              </w:rPr>
            </w:pPr>
            <w:r>
              <w:rPr>
                <w:rFonts w:ascii="Arial" w:cs="Arial" w:eastAsia="Arial" w:hAnsi="Arial"/>
                <w:sz w:val="9"/>
                <w:szCs w:val="9"/>
                <w:color w:val="auto"/>
              </w:rPr>
              <w:t>25,405,586</w:t>
            </w:r>
          </w:p>
        </w:tc>
        <w:tc>
          <w:tcPr>
            <w:tcW w:w="280" w:type="dxa"/>
            <w:vAlign w:val="bottom"/>
          </w:tcPr>
          <w:p>
            <w:pPr>
              <w:jc w:val="right"/>
              <w:ind w:right="37"/>
              <w:spacing w:after="0"/>
              <w:rPr>
                <w:sz w:val="20"/>
                <w:szCs w:val="20"/>
                <w:color w:val="auto"/>
              </w:rPr>
            </w:pPr>
            <w:r>
              <w:rPr>
                <w:rFonts w:ascii="Arial" w:cs="Arial" w:eastAsia="Arial" w:hAnsi="Arial"/>
                <w:sz w:val="9"/>
                <w:szCs w:val="9"/>
                <w:color w:val="auto"/>
              </w:rPr>
              <w:t>10.9</w:t>
            </w:r>
          </w:p>
        </w:tc>
        <w:tc>
          <w:tcPr>
            <w:tcW w:w="60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340" w:type="dxa"/>
            <w:vAlign w:val="bottom"/>
          </w:tcPr>
          <w:p>
            <w:pPr>
              <w:jc w:val="right"/>
              <w:ind w:right="97"/>
              <w:spacing w:after="0"/>
              <w:rPr>
                <w:sz w:val="20"/>
                <w:szCs w:val="20"/>
                <w:color w:val="auto"/>
              </w:rPr>
            </w:pPr>
            <w:r>
              <w:rPr>
                <w:rFonts w:ascii="Arial" w:cs="Arial" w:eastAsia="Arial" w:hAnsi="Arial"/>
                <w:sz w:val="9"/>
                <w:szCs w:val="9"/>
                <w:color w:val="auto"/>
              </w:rPr>
              <w:t>—</w:t>
            </w:r>
          </w:p>
        </w:tc>
        <w:tc>
          <w:tcPr>
            <w:tcW w:w="1340" w:type="dxa"/>
            <w:vAlign w:val="bottom"/>
          </w:tcPr>
          <w:p>
            <w:pPr>
              <w:jc w:val="right"/>
              <w:ind w:right="938"/>
              <w:spacing w:after="0"/>
              <w:rPr>
                <w:sz w:val="20"/>
                <w:szCs w:val="20"/>
                <w:color w:val="auto"/>
              </w:rPr>
            </w:pPr>
            <w:r>
              <w:rPr>
                <w:rFonts w:ascii="Arial" w:cs="Arial" w:eastAsia="Arial" w:hAnsi="Arial"/>
                <w:sz w:val="9"/>
                <w:szCs w:val="9"/>
                <w:color w:val="auto"/>
              </w:rPr>
              <w:t>3.7</w:t>
            </w:r>
          </w:p>
        </w:tc>
        <w:tc>
          <w:tcPr>
            <w:tcW w:w="0" w:type="dxa"/>
            <w:vAlign w:val="bottom"/>
          </w:tcPr>
          <w:p>
            <w:pPr>
              <w:spacing w:after="0"/>
              <w:rPr>
                <w:sz w:val="1"/>
                <w:szCs w:val="1"/>
                <w:color w:val="auto"/>
              </w:rPr>
            </w:pPr>
          </w:p>
        </w:tc>
      </w:tr>
    </w:tbl>
    <w:p>
      <w:pPr>
        <w:sectPr>
          <w:pgSz w:w="11900" w:h="16840" w:orient="portrait"/>
          <w:cols w:equalWidth="0" w:num="1">
            <w:col w:w="9020"/>
          </w:cols>
          <w:pgMar w:left="1440" w:top="1440" w:right="1440" w:bottom="4" w:gutter="0" w:footer="0" w:header="0"/>
        </w:sectPr>
      </w:pPr>
    </w:p>
    <w:bookmarkStart w:id="134" w:name="page135"/>
    <w:bookmarkEnd w:id="1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tbl>
      <w:tblPr>
        <w:tblLayout w:type="fixed"/>
        <w:tblInd w:w="1520" w:type="dxa"/>
        <w:tblCellMar>
          <w:top w:w="0" w:type="dxa"/>
          <w:left w:w="0" w:type="dxa"/>
          <w:bottom w:w="0" w:type="dxa"/>
          <w:right w:w="0" w:type="dxa"/>
        </w:tblCellMar>
      </w:tblPr>
      <w:tr>
        <w:trPr>
          <w:trHeight w:val="133"/>
        </w:trPr>
        <w:tc>
          <w:tcPr>
            <w:tcW w:w="960" w:type="dxa"/>
            <w:vAlign w:val="bottom"/>
          </w:tcPr>
          <w:p>
            <w:pPr>
              <w:ind w:left="40"/>
              <w:spacing w:after="0"/>
              <w:rPr>
                <w:sz w:val="20"/>
                <w:szCs w:val="20"/>
                <w:color w:val="auto"/>
              </w:rPr>
            </w:pPr>
            <w:r>
              <w:rPr>
                <w:rFonts w:ascii="Arial" w:cs="Arial" w:eastAsia="Arial" w:hAnsi="Arial"/>
                <w:sz w:val="9"/>
                <w:szCs w:val="9"/>
                <w:color w:val="auto"/>
                <w:w w:val="98"/>
              </w:rPr>
              <w:t xml:space="preserve">Arif Janmohamed </w:t>
            </w:r>
            <w:r>
              <w:rPr>
                <w:rFonts w:ascii="Arial" w:cs="Arial" w:eastAsia="Arial" w:hAnsi="Arial"/>
                <w:sz w:val="11"/>
                <w:szCs w:val="11"/>
                <w:color w:val="auto"/>
                <w:w w:val="98"/>
                <w:vertAlign w:val="superscript"/>
              </w:rPr>
              <w:t>(5)</w:t>
            </w:r>
            <w:r>
              <w:rPr>
                <w:rFonts w:ascii="Arial" w:cs="Arial" w:eastAsia="Arial" w:hAnsi="Arial"/>
                <w:sz w:val="9"/>
                <w:szCs w:val="9"/>
                <w:color w:val="auto"/>
                <w:w w:val="98"/>
              </w:rPr>
              <w:t xml:space="preserve"> </w:t>
            </w:r>
            <w:r>
              <w:rPr>
                <w:rFonts w:ascii="Times New Roman" w:cs="Times New Roman" w:eastAsia="Times New Roman" w:hAnsi="Times New Roman"/>
                <w:sz w:val="9"/>
                <w:szCs w:val="9"/>
                <w:color w:val="B4B4B4"/>
                <w:w w:val="98"/>
              </w:rPr>
              <w:t>...</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5,347,824</w:t>
            </w: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2.7</w:t>
            </w: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9"/>
                <w:szCs w:val="9"/>
                <w:color w:val="auto"/>
              </w:rPr>
              <w:t>—</w:t>
            </w: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5,347,824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2.3</w:t>
            </w: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9"/>
                <w:szCs w:val="9"/>
                <w:color w:val="auto"/>
              </w:rPr>
              <w:t>—</w:t>
            </w: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2"/>
        </w:trPr>
        <w:tc>
          <w:tcPr>
            <w:tcW w:w="960" w:type="dxa"/>
            <w:vAlign w:val="bottom"/>
          </w:tcPr>
          <w:p>
            <w:pPr>
              <w:ind w:left="40"/>
              <w:spacing w:after="0"/>
              <w:rPr>
                <w:sz w:val="20"/>
                <w:szCs w:val="20"/>
                <w:color w:val="auto"/>
              </w:rPr>
            </w:pPr>
            <w:r>
              <w:rPr>
                <w:rFonts w:ascii="Arial" w:cs="Arial" w:eastAsia="Arial" w:hAnsi="Arial"/>
                <w:sz w:val="9"/>
                <w:szCs w:val="9"/>
                <w:color w:val="auto"/>
                <w:w w:val="98"/>
              </w:rPr>
              <w:t xml:space="preserve">Michael Kourey </w:t>
            </w:r>
            <w:r>
              <w:rPr>
                <w:rFonts w:ascii="Arial" w:cs="Arial" w:eastAsia="Arial" w:hAnsi="Arial"/>
                <w:sz w:val="11"/>
                <w:szCs w:val="11"/>
                <w:color w:val="auto"/>
                <w:w w:val="98"/>
                <w:vertAlign w:val="superscript"/>
              </w:rPr>
              <w:t>(6)</w:t>
            </w:r>
            <w:r>
              <w:rPr>
                <w:rFonts w:ascii="Arial" w:cs="Arial" w:eastAsia="Arial" w:hAnsi="Arial"/>
                <w:sz w:val="9"/>
                <w:szCs w:val="9"/>
                <w:color w:val="auto"/>
                <w:w w:val="98"/>
              </w:rPr>
              <w:t xml:space="preserve"> </w:t>
            </w:r>
            <w:r>
              <w:rPr>
                <w:rFonts w:ascii="Times New Roman" w:cs="Times New Roman" w:eastAsia="Times New Roman" w:hAnsi="Times New Roman"/>
                <w:sz w:val="9"/>
                <w:szCs w:val="9"/>
                <w:color w:val="B4B4B4"/>
                <w:w w:val="98"/>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60,823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4"/>
                <w:szCs w:val="14"/>
                <w:color w:val="auto"/>
              </w:rPr>
            </w:pP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9"/>
                <w:szCs w:val="9"/>
                <w:color w:val="auto"/>
              </w:rPr>
              <w:t>—</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color w:val="auto"/>
              </w:rPr>
              <w:t>60,823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4"/>
                <w:szCs w:val="14"/>
                <w:color w:val="auto"/>
              </w:rPr>
            </w:pP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9"/>
                <w:szCs w:val="9"/>
                <w:color w:val="auto"/>
              </w:rPr>
              <w:t>—</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3"/>
        </w:trPr>
        <w:tc>
          <w:tcPr>
            <w:tcW w:w="960" w:type="dxa"/>
            <w:vAlign w:val="bottom"/>
          </w:tcPr>
          <w:p>
            <w:pPr>
              <w:ind w:left="40"/>
              <w:spacing w:after="0"/>
              <w:rPr>
                <w:sz w:val="20"/>
                <w:szCs w:val="20"/>
                <w:color w:val="auto"/>
              </w:rPr>
            </w:pPr>
            <w:r>
              <w:rPr>
                <w:rFonts w:ascii="Arial" w:cs="Arial" w:eastAsia="Arial" w:hAnsi="Arial"/>
                <w:sz w:val="9"/>
                <w:szCs w:val="9"/>
                <w:color w:val="auto"/>
                <w:w w:val="98"/>
              </w:rPr>
              <w:t xml:space="preserve">Clara Liang </w:t>
            </w:r>
            <w:r>
              <w:rPr>
                <w:rFonts w:ascii="Arial" w:cs="Arial" w:eastAsia="Arial" w:hAnsi="Arial"/>
                <w:sz w:val="11"/>
                <w:szCs w:val="11"/>
                <w:color w:val="auto"/>
                <w:w w:val="98"/>
                <w:vertAlign w:val="superscript"/>
              </w:rPr>
              <w:t>(7)</w:t>
            </w:r>
            <w:r>
              <w:rPr>
                <w:rFonts w:ascii="Arial" w:cs="Arial" w:eastAsia="Arial" w:hAnsi="Arial"/>
                <w:sz w:val="9"/>
                <w:szCs w:val="9"/>
                <w:color w:val="auto"/>
                <w:w w:val="98"/>
              </w:rPr>
              <w:t xml:space="preserve"> </w:t>
            </w:r>
            <w:r>
              <w:rPr>
                <w:rFonts w:ascii="Times New Roman" w:cs="Times New Roman" w:eastAsia="Times New Roman" w:hAnsi="Times New Roman"/>
                <w:sz w:val="9"/>
                <w:szCs w:val="9"/>
                <w:color w:val="B4B4B4"/>
                <w:w w:val="98"/>
              </w:rPr>
              <w:t>..............</w:t>
            </w:r>
          </w:p>
        </w:tc>
        <w:tc>
          <w:tcPr>
            <w:tcW w:w="540" w:type="dxa"/>
            <w:vAlign w:val="bottom"/>
          </w:tcPr>
          <w:p>
            <w:pPr>
              <w:jc w:val="right"/>
              <w:spacing w:after="0"/>
              <w:rPr>
                <w:sz w:val="20"/>
                <w:szCs w:val="20"/>
                <w:color w:val="auto"/>
              </w:rPr>
            </w:pPr>
            <w:r>
              <w:rPr>
                <w:rFonts w:ascii="Arial" w:cs="Arial" w:eastAsia="Arial" w:hAnsi="Arial"/>
                <w:sz w:val="9"/>
                <w:szCs w:val="9"/>
                <w:color w:val="auto"/>
              </w:rPr>
              <w:t>56,666</w:t>
            </w: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56,666</w:t>
            </w: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63"/>
        </w:trPr>
        <w:tc>
          <w:tcPr>
            <w:tcW w:w="960" w:type="dxa"/>
            <w:vAlign w:val="bottom"/>
          </w:tcPr>
          <w:p>
            <w:pPr>
              <w:ind w:left="40"/>
              <w:spacing w:after="0"/>
              <w:rPr>
                <w:sz w:val="20"/>
                <w:szCs w:val="20"/>
                <w:color w:val="auto"/>
              </w:rPr>
            </w:pPr>
            <w:r>
              <w:rPr>
                <w:rFonts w:ascii="Arial" w:cs="Arial" w:eastAsia="Arial" w:hAnsi="Arial"/>
                <w:sz w:val="9"/>
                <w:szCs w:val="9"/>
                <w:color w:val="auto"/>
                <w:w w:val="97"/>
              </w:rPr>
              <w:t xml:space="preserve">Sandesh Patnam </w:t>
            </w:r>
            <w:r>
              <w:rPr>
                <w:rFonts w:ascii="Arial" w:cs="Arial" w:eastAsia="Arial" w:hAnsi="Arial"/>
                <w:sz w:val="11"/>
                <w:szCs w:val="11"/>
                <w:color w:val="auto"/>
                <w:w w:val="97"/>
                <w:vertAlign w:val="superscript"/>
              </w:rPr>
              <w:t>(8)</w:t>
            </w:r>
            <w:r>
              <w:rPr>
                <w:rFonts w:ascii="Arial" w:cs="Arial" w:eastAsia="Arial" w:hAnsi="Arial"/>
                <w:sz w:val="9"/>
                <w:szCs w:val="9"/>
                <w:color w:val="auto"/>
                <w:w w:val="97"/>
              </w:rPr>
              <w:t xml:space="preserve"> </w:t>
            </w:r>
            <w:r>
              <w:rPr>
                <w:rFonts w:ascii="Times New Roman" w:cs="Times New Roman" w:eastAsia="Times New Roman" w:hAnsi="Times New Roman"/>
                <w:sz w:val="9"/>
                <w:szCs w:val="9"/>
                <w:color w:val="B4B4B4"/>
                <w:w w:val="97"/>
              </w:rPr>
              <w:t>....</w:t>
            </w: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8,562,718</w:t>
            </w:r>
          </w:p>
        </w:tc>
        <w:tc>
          <w:tcPr>
            <w:tcW w:w="300" w:type="dxa"/>
            <w:vAlign w:val="bottom"/>
          </w:tcPr>
          <w:p>
            <w:pPr>
              <w:jc w:val="right"/>
              <w:ind w:right="17"/>
              <w:spacing w:after="0"/>
              <w:rPr>
                <w:sz w:val="20"/>
                <w:szCs w:val="20"/>
                <w:color w:val="auto"/>
              </w:rPr>
            </w:pPr>
            <w:r>
              <w:rPr>
                <w:rFonts w:ascii="Arial" w:cs="Arial" w:eastAsia="Arial" w:hAnsi="Arial"/>
                <w:sz w:val="9"/>
                <w:szCs w:val="9"/>
                <w:color w:val="auto"/>
              </w:rPr>
              <w:t>4.3</w:t>
            </w:r>
          </w:p>
        </w:tc>
        <w:tc>
          <w:tcPr>
            <w:tcW w:w="40" w:type="dxa"/>
            <w:vAlign w:val="bottom"/>
          </w:tcPr>
          <w:p>
            <w:pPr>
              <w:spacing w:after="0"/>
              <w:rPr>
                <w:sz w:val="14"/>
                <w:szCs w:val="14"/>
                <w:color w:val="auto"/>
              </w:rPr>
            </w:pPr>
          </w:p>
        </w:tc>
        <w:tc>
          <w:tcPr>
            <w:tcW w:w="540" w:type="dxa"/>
            <w:vAlign w:val="bottom"/>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1.2</w:t>
            </w:r>
          </w:p>
        </w:tc>
        <w:tc>
          <w:tcPr>
            <w:tcW w:w="40" w:type="dxa"/>
            <w:vAlign w:val="bottom"/>
          </w:tcPr>
          <w:p>
            <w:pPr>
              <w:spacing w:after="0"/>
              <w:rPr>
                <w:sz w:val="14"/>
                <w:szCs w:val="14"/>
                <w:color w:val="auto"/>
              </w:rPr>
            </w:pPr>
          </w:p>
        </w:tc>
        <w:tc>
          <w:tcPr>
            <w:tcW w:w="50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8,562,718</w:t>
            </w:r>
          </w:p>
        </w:tc>
        <w:tc>
          <w:tcPr>
            <w:tcW w:w="280" w:type="dxa"/>
            <w:vAlign w:val="bottom"/>
          </w:tcPr>
          <w:p>
            <w:pPr>
              <w:jc w:val="right"/>
              <w:spacing w:after="0"/>
              <w:rPr>
                <w:sz w:val="20"/>
                <w:szCs w:val="20"/>
                <w:color w:val="auto"/>
              </w:rPr>
            </w:pPr>
            <w:r>
              <w:rPr>
                <w:rFonts w:ascii="Arial" w:cs="Arial" w:eastAsia="Arial" w:hAnsi="Arial"/>
                <w:sz w:val="9"/>
                <w:szCs w:val="9"/>
                <w:color w:val="auto"/>
              </w:rPr>
              <w:t>3.7</w:t>
            </w:r>
          </w:p>
        </w:tc>
        <w:tc>
          <w:tcPr>
            <w:tcW w:w="40" w:type="dxa"/>
            <w:vAlign w:val="bottom"/>
          </w:tcPr>
          <w:p>
            <w:pPr>
              <w:spacing w:after="0"/>
              <w:rPr>
                <w:sz w:val="14"/>
                <w:szCs w:val="14"/>
                <w:color w:val="auto"/>
              </w:rPr>
            </w:pPr>
          </w:p>
        </w:tc>
        <w:tc>
          <w:tcPr>
            <w:tcW w:w="540" w:type="dxa"/>
            <w:vAlign w:val="bottom"/>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1.2</w:t>
            </w:r>
          </w:p>
        </w:tc>
        <w:tc>
          <w:tcPr>
            <w:tcW w:w="0" w:type="dxa"/>
            <w:vAlign w:val="bottom"/>
          </w:tcPr>
          <w:p>
            <w:pPr>
              <w:spacing w:after="0"/>
              <w:rPr>
                <w:sz w:val="1"/>
                <w:szCs w:val="1"/>
                <w:color w:val="auto"/>
              </w:rPr>
            </w:pPr>
          </w:p>
        </w:tc>
      </w:tr>
      <w:tr>
        <w:trPr>
          <w:trHeight w:val="131"/>
        </w:trPr>
        <w:tc>
          <w:tcPr>
            <w:tcW w:w="960" w:type="dxa"/>
            <w:vAlign w:val="bottom"/>
          </w:tcPr>
          <w:p>
            <w:pPr>
              <w:ind w:left="40"/>
              <w:spacing w:after="0"/>
              <w:rPr>
                <w:sz w:val="20"/>
                <w:szCs w:val="20"/>
                <w:color w:val="auto"/>
              </w:rPr>
            </w:pPr>
            <w:r>
              <w:rPr>
                <w:rFonts w:ascii="Arial" w:cs="Arial" w:eastAsia="Arial" w:hAnsi="Arial"/>
                <w:sz w:val="9"/>
                <w:szCs w:val="9"/>
                <w:color w:val="auto"/>
              </w:rPr>
              <w:t xml:space="preserve">Anré Williams </w:t>
            </w:r>
            <w:r>
              <w:rPr>
                <w:rFonts w:ascii="Times New Roman" w:cs="Times New Roman" w:eastAsia="Times New Roman" w:hAnsi="Times New Roman"/>
                <w:sz w:val="9"/>
                <w:szCs w:val="9"/>
                <w:color w:val="B4B4B4"/>
              </w:rPr>
              <w:t>.............</w:t>
            </w: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94"/>
        </w:trPr>
        <w:tc>
          <w:tcPr>
            <w:tcW w:w="960" w:type="dxa"/>
            <w:vAlign w:val="bottom"/>
          </w:tcPr>
          <w:p>
            <w:pPr>
              <w:ind w:left="40"/>
              <w:spacing w:after="0"/>
              <w:rPr>
                <w:sz w:val="20"/>
                <w:szCs w:val="20"/>
                <w:color w:val="auto"/>
              </w:rPr>
            </w:pPr>
            <w:r>
              <w:rPr>
                <w:rFonts w:ascii="Arial" w:cs="Arial" w:eastAsia="Arial" w:hAnsi="Arial"/>
                <w:sz w:val="9"/>
                <w:szCs w:val="9"/>
                <w:color w:val="auto"/>
                <w:w w:val="97"/>
              </w:rPr>
              <w:t xml:space="preserve">Oren Zeev </w:t>
            </w:r>
            <w:r>
              <w:rPr>
                <w:rFonts w:ascii="Arial" w:cs="Arial" w:eastAsia="Arial" w:hAnsi="Arial"/>
                <w:sz w:val="11"/>
                <w:szCs w:val="11"/>
                <w:color w:val="auto"/>
                <w:w w:val="97"/>
                <w:vertAlign w:val="superscript"/>
              </w:rPr>
              <w:t>(9)</w:t>
            </w:r>
            <w:r>
              <w:rPr>
                <w:rFonts w:ascii="Arial" w:cs="Arial" w:eastAsia="Arial" w:hAnsi="Arial"/>
                <w:sz w:val="9"/>
                <w:szCs w:val="9"/>
                <w:color w:val="auto"/>
                <w:w w:val="97"/>
              </w:rPr>
              <w:t xml:space="preserve"> </w:t>
            </w:r>
            <w:r>
              <w:rPr>
                <w:rFonts w:ascii="Times New Roman" w:cs="Times New Roman" w:eastAsia="Times New Roman" w:hAnsi="Times New Roman"/>
                <w:sz w:val="9"/>
                <w:szCs w:val="9"/>
                <w:color w:val="B4B4B4"/>
                <w:w w:val="97"/>
              </w:rPr>
              <w:t>................</w:t>
            </w: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37,330,059</w:t>
            </w:r>
          </w:p>
        </w:tc>
        <w:tc>
          <w:tcPr>
            <w:tcW w:w="300" w:type="dxa"/>
            <w:vAlign w:val="bottom"/>
          </w:tcPr>
          <w:p>
            <w:pPr>
              <w:jc w:val="right"/>
              <w:ind w:right="17"/>
              <w:spacing w:after="0"/>
              <w:rPr>
                <w:sz w:val="20"/>
                <w:szCs w:val="20"/>
                <w:color w:val="auto"/>
              </w:rPr>
            </w:pPr>
            <w:r>
              <w:rPr>
                <w:rFonts w:ascii="Arial" w:cs="Arial" w:eastAsia="Arial" w:hAnsi="Arial"/>
                <w:sz w:val="9"/>
                <w:szCs w:val="9"/>
                <w:color w:val="auto"/>
              </w:rPr>
              <w:t>18.6</w:t>
            </w:r>
          </w:p>
        </w:tc>
        <w:tc>
          <w:tcPr>
            <w:tcW w:w="40" w:type="dxa"/>
            <w:vAlign w:val="bottom"/>
          </w:tcPr>
          <w:p>
            <w:pPr>
              <w:spacing w:after="0"/>
              <w:rPr>
                <w:sz w:val="16"/>
                <w:szCs w:val="16"/>
                <w:color w:val="auto"/>
              </w:rPr>
            </w:pPr>
          </w:p>
        </w:tc>
        <w:tc>
          <w:tcPr>
            <w:tcW w:w="540" w:type="dxa"/>
            <w:vAlign w:val="bottom"/>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5.2</w:t>
            </w:r>
          </w:p>
        </w:tc>
        <w:tc>
          <w:tcPr>
            <w:tcW w:w="40" w:type="dxa"/>
            <w:vAlign w:val="bottom"/>
          </w:tcPr>
          <w:p>
            <w:pPr>
              <w:spacing w:after="0"/>
              <w:rPr>
                <w:sz w:val="16"/>
                <w:szCs w:val="16"/>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37,330,059</w:t>
            </w:r>
          </w:p>
        </w:tc>
        <w:tc>
          <w:tcPr>
            <w:tcW w:w="280" w:type="dxa"/>
            <w:vAlign w:val="bottom"/>
          </w:tcPr>
          <w:p>
            <w:pPr>
              <w:jc w:val="right"/>
              <w:spacing w:after="0"/>
              <w:rPr>
                <w:sz w:val="20"/>
                <w:szCs w:val="20"/>
                <w:color w:val="auto"/>
              </w:rPr>
            </w:pPr>
            <w:r>
              <w:rPr>
                <w:rFonts w:ascii="Arial" w:cs="Arial" w:eastAsia="Arial" w:hAnsi="Arial"/>
                <w:sz w:val="9"/>
                <w:szCs w:val="9"/>
                <w:color w:val="auto"/>
              </w:rPr>
              <w:t>16.0</w:t>
            </w:r>
          </w:p>
        </w:tc>
        <w:tc>
          <w:tcPr>
            <w:tcW w:w="40" w:type="dxa"/>
            <w:vAlign w:val="bottom"/>
          </w:tcPr>
          <w:p>
            <w:pPr>
              <w:spacing w:after="0"/>
              <w:rPr>
                <w:sz w:val="16"/>
                <w:szCs w:val="16"/>
                <w:color w:val="auto"/>
              </w:rPr>
            </w:pPr>
          </w:p>
        </w:tc>
        <w:tc>
          <w:tcPr>
            <w:tcW w:w="540" w:type="dxa"/>
            <w:vAlign w:val="bottom"/>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5.4</w:t>
            </w:r>
          </w:p>
        </w:tc>
        <w:tc>
          <w:tcPr>
            <w:tcW w:w="0" w:type="dxa"/>
            <w:vAlign w:val="bottom"/>
          </w:tcPr>
          <w:p>
            <w:pPr>
              <w:spacing w:after="0"/>
              <w:rPr>
                <w:sz w:val="1"/>
                <w:szCs w:val="1"/>
                <w:color w:val="auto"/>
              </w:rPr>
            </w:pPr>
          </w:p>
        </w:tc>
      </w:tr>
      <w:tr>
        <w:trPr>
          <w:trHeight w:val="96"/>
        </w:trPr>
        <w:tc>
          <w:tcPr>
            <w:tcW w:w="960" w:type="dxa"/>
            <w:vAlign w:val="bottom"/>
          </w:tcPr>
          <w:p>
            <w:pPr>
              <w:ind w:left="40"/>
              <w:spacing w:after="0" w:line="96" w:lineRule="exact"/>
              <w:rPr>
                <w:sz w:val="20"/>
                <w:szCs w:val="20"/>
                <w:color w:val="auto"/>
              </w:rPr>
            </w:pPr>
            <w:r>
              <w:rPr>
                <w:rFonts w:ascii="Arial" w:cs="Arial" w:eastAsia="Arial" w:hAnsi="Arial"/>
                <w:sz w:val="9"/>
                <w:szCs w:val="9"/>
                <w:color w:val="auto"/>
              </w:rPr>
              <w:t>All executive officers</w:t>
            </w: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960" w:type="dxa"/>
            <w:vAlign w:val="bottom"/>
          </w:tcPr>
          <w:p>
            <w:pPr>
              <w:ind w:left="140"/>
              <w:spacing w:after="0" w:line="87" w:lineRule="exact"/>
              <w:rPr>
                <w:sz w:val="20"/>
                <w:szCs w:val="20"/>
                <w:color w:val="auto"/>
              </w:rPr>
            </w:pPr>
            <w:r>
              <w:rPr>
                <w:rFonts w:ascii="Arial" w:cs="Arial" w:eastAsia="Arial" w:hAnsi="Arial"/>
                <w:sz w:val="9"/>
                <w:szCs w:val="9"/>
                <w:color w:val="auto"/>
              </w:rPr>
              <w:t>and directors as a</w:t>
            </w: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960" w:type="dxa"/>
            <w:vAlign w:val="bottom"/>
          </w:tcPr>
          <w:p>
            <w:pPr>
              <w:ind w:left="140"/>
              <w:spacing w:after="0" w:line="86" w:lineRule="exact"/>
              <w:rPr>
                <w:sz w:val="20"/>
                <w:szCs w:val="20"/>
                <w:color w:val="auto"/>
              </w:rPr>
            </w:pPr>
            <w:r>
              <w:rPr>
                <w:rFonts w:ascii="Arial" w:cs="Arial" w:eastAsia="Arial" w:hAnsi="Arial"/>
                <w:sz w:val="9"/>
                <w:szCs w:val="9"/>
                <w:color w:val="auto"/>
              </w:rPr>
              <w:t>group (11</w:t>
            </w:r>
          </w:p>
        </w:tc>
        <w:tc>
          <w:tcPr>
            <w:tcW w:w="540" w:type="dxa"/>
            <w:vAlign w:val="bottom"/>
            <w:vMerge w:val="restart"/>
          </w:tcPr>
          <w:p>
            <w:pPr>
              <w:jc w:val="right"/>
              <w:ind w:right="17"/>
              <w:spacing w:after="0"/>
              <w:rPr>
                <w:sz w:val="20"/>
                <w:szCs w:val="20"/>
                <w:color w:val="auto"/>
              </w:rPr>
            </w:pPr>
            <w:r>
              <w:rPr>
                <w:rFonts w:ascii="Arial" w:cs="Arial" w:eastAsia="Arial" w:hAnsi="Arial"/>
                <w:sz w:val="9"/>
                <w:szCs w:val="9"/>
                <w:color w:val="auto"/>
              </w:rPr>
              <w:t>78,183,665</w:t>
            </w:r>
          </w:p>
        </w:tc>
        <w:tc>
          <w:tcPr>
            <w:tcW w:w="300" w:type="dxa"/>
            <w:vAlign w:val="bottom"/>
            <w:vMerge w:val="restart"/>
          </w:tcPr>
          <w:p>
            <w:pPr>
              <w:jc w:val="right"/>
              <w:ind w:right="17"/>
              <w:spacing w:after="0"/>
              <w:rPr>
                <w:sz w:val="20"/>
                <w:szCs w:val="20"/>
                <w:color w:val="auto"/>
              </w:rPr>
            </w:pPr>
            <w:r>
              <w:rPr>
                <w:rFonts w:ascii="Arial" w:cs="Arial" w:eastAsia="Arial" w:hAnsi="Arial"/>
                <w:sz w:val="9"/>
                <w:szCs w:val="9"/>
                <w:color w:val="auto"/>
              </w:rPr>
              <w:t>38.7</w:t>
            </w:r>
          </w:p>
        </w:tc>
        <w:tc>
          <w:tcPr>
            <w:tcW w:w="580" w:type="dxa"/>
            <w:vAlign w:val="bottom"/>
            <w:gridSpan w:val="2"/>
            <w:vMerge w:val="restart"/>
          </w:tcPr>
          <w:p>
            <w:pPr>
              <w:jc w:val="right"/>
              <w:ind w:right="17"/>
              <w:spacing w:after="0"/>
              <w:rPr>
                <w:sz w:val="20"/>
                <w:szCs w:val="20"/>
                <w:color w:val="auto"/>
              </w:rPr>
            </w:pPr>
            <w:r>
              <w:rPr>
                <w:rFonts w:ascii="Arial" w:cs="Arial" w:eastAsia="Arial" w:hAnsi="Arial"/>
                <w:sz w:val="9"/>
                <w:szCs w:val="9"/>
                <w:color w:val="auto"/>
              </w:rPr>
              <w:t>23,954,444</w:t>
            </w:r>
          </w:p>
        </w:tc>
        <w:tc>
          <w:tcPr>
            <w:tcW w:w="300" w:type="dxa"/>
            <w:vAlign w:val="bottom"/>
            <w:gridSpan w:val="2"/>
            <w:vMerge w:val="restart"/>
          </w:tcPr>
          <w:p>
            <w:pPr>
              <w:jc w:val="right"/>
              <w:spacing w:after="0"/>
              <w:rPr>
                <w:sz w:val="20"/>
                <w:szCs w:val="20"/>
                <w:color w:val="auto"/>
              </w:rPr>
            </w:pPr>
            <w:r>
              <w:rPr>
                <w:rFonts w:ascii="Arial" w:cs="Arial" w:eastAsia="Arial" w:hAnsi="Arial"/>
                <w:sz w:val="9"/>
                <w:szCs w:val="9"/>
                <w:color w:val="auto"/>
              </w:rPr>
              <w:t>100</w:t>
            </w: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86.5</w:t>
            </w:r>
          </w:p>
        </w:tc>
        <w:tc>
          <w:tcPr>
            <w:tcW w:w="540" w:type="dxa"/>
            <w:vAlign w:val="bottom"/>
            <w:gridSpan w:val="2"/>
            <w:vMerge w:val="restart"/>
          </w:tcPr>
          <w:p>
            <w:pPr>
              <w:jc w:val="right"/>
              <w:ind w:right="17"/>
              <w:spacing w:after="0"/>
              <w:rPr>
                <w:sz w:val="20"/>
                <w:szCs w:val="20"/>
                <w:color w:val="auto"/>
              </w:rPr>
            </w:pPr>
            <w:r>
              <w:rPr>
                <w:rFonts w:ascii="Arial" w:cs="Arial" w:eastAsia="Arial" w:hAnsi="Arial"/>
                <w:sz w:val="9"/>
                <w:szCs w:val="9"/>
                <w:color w:val="auto"/>
              </w:rPr>
              <w:t>2,156,174</w:t>
            </w:r>
          </w:p>
        </w:tc>
        <w:tc>
          <w:tcPr>
            <w:tcW w:w="40" w:type="dxa"/>
            <w:vAlign w:val="bottom"/>
          </w:tcPr>
          <w:p>
            <w:pPr>
              <w:spacing w:after="0"/>
              <w:rPr>
                <w:sz w:val="7"/>
                <w:szCs w:val="7"/>
                <w:color w:val="auto"/>
              </w:rPr>
            </w:pPr>
          </w:p>
        </w:tc>
        <w:tc>
          <w:tcPr>
            <w:tcW w:w="540" w:type="dxa"/>
            <w:vAlign w:val="bottom"/>
            <w:vMerge w:val="restart"/>
          </w:tcPr>
          <w:p>
            <w:pPr>
              <w:jc w:val="right"/>
              <w:ind w:right="17"/>
              <w:spacing w:after="0"/>
              <w:rPr>
                <w:sz w:val="20"/>
                <w:szCs w:val="20"/>
                <w:color w:val="auto"/>
              </w:rPr>
            </w:pPr>
            <w:r>
              <w:rPr>
                <w:rFonts w:ascii="Arial" w:cs="Arial" w:eastAsia="Arial" w:hAnsi="Arial"/>
                <w:sz w:val="9"/>
                <w:szCs w:val="9"/>
                <w:color w:val="auto"/>
              </w:rPr>
              <w:t>77,951,823</w:t>
            </w:r>
          </w:p>
        </w:tc>
        <w:tc>
          <w:tcPr>
            <w:tcW w:w="280" w:type="dxa"/>
            <w:vAlign w:val="bottom"/>
            <w:vMerge w:val="restart"/>
          </w:tcPr>
          <w:p>
            <w:pPr>
              <w:jc w:val="right"/>
              <w:spacing w:after="0"/>
              <w:rPr>
                <w:sz w:val="20"/>
                <w:szCs w:val="20"/>
                <w:color w:val="auto"/>
              </w:rPr>
            </w:pPr>
            <w:r>
              <w:rPr>
                <w:rFonts w:ascii="Arial" w:cs="Arial" w:eastAsia="Arial" w:hAnsi="Arial"/>
                <w:sz w:val="9"/>
                <w:szCs w:val="9"/>
                <w:color w:val="auto"/>
              </w:rPr>
              <w:t>33.3</w:t>
            </w:r>
          </w:p>
        </w:tc>
        <w:tc>
          <w:tcPr>
            <w:tcW w:w="580" w:type="dxa"/>
            <w:vAlign w:val="bottom"/>
            <w:gridSpan w:val="2"/>
            <w:vMerge w:val="restart"/>
          </w:tcPr>
          <w:p>
            <w:pPr>
              <w:jc w:val="right"/>
              <w:spacing w:after="0"/>
              <w:rPr>
                <w:sz w:val="20"/>
                <w:szCs w:val="20"/>
                <w:color w:val="auto"/>
              </w:rPr>
            </w:pPr>
            <w:r>
              <w:rPr>
                <w:rFonts w:ascii="Arial" w:cs="Arial" w:eastAsia="Arial" w:hAnsi="Arial"/>
                <w:sz w:val="9"/>
                <w:szCs w:val="9"/>
                <w:color w:val="auto"/>
              </w:rPr>
              <w:t>22,030,112</w:t>
            </w:r>
          </w:p>
        </w:tc>
        <w:tc>
          <w:tcPr>
            <w:tcW w:w="300" w:type="dxa"/>
            <w:vAlign w:val="bottom"/>
            <w:gridSpan w:val="2"/>
            <w:vMerge w:val="restart"/>
          </w:tcPr>
          <w:p>
            <w:pPr>
              <w:jc w:val="right"/>
              <w:spacing w:after="0"/>
              <w:rPr>
                <w:sz w:val="20"/>
                <w:szCs w:val="20"/>
                <w:color w:val="auto"/>
              </w:rPr>
            </w:pPr>
            <w:r>
              <w:rPr>
                <w:rFonts w:ascii="Arial" w:cs="Arial" w:eastAsia="Arial" w:hAnsi="Arial"/>
                <w:sz w:val="9"/>
                <w:szCs w:val="9"/>
                <w:color w:val="auto"/>
              </w:rPr>
              <w:t>100</w:t>
            </w:r>
          </w:p>
        </w:tc>
        <w:tc>
          <w:tcPr>
            <w:tcW w:w="520" w:type="dxa"/>
            <w:vAlign w:val="bottom"/>
            <w:vMerge w:val="restart"/>
          </w:tcPr>
          <w:p>
            <w:pPr>
              <w:jc w:val="right"/>
              <w:ind w:right="17"/>
              <w:spacing w:after="0"/>
              <w:rPr>
                <w:sz w:val="20"/>
                <w:szCs w:val="20"/>
                <w:color w:val="auto"/>
              </w:rPr>
            </w:pPr>
            <w:r>
              <w:rPr>
                <w:rFonts w:ascii="Arial" w:cs="Arial" w:eastAsia="Arial" w:hAnsi="Arial"/>
                <w:sz w:val="9"/>
                <w:szCs w:val="9"/>
                <w:color w:val="auto"/>
              </w:rPr>
              <w:t>82.6</w:t>
            </w:r>
          </w:p>
        </w:tc>
        <w:tc>
          <w:tcPr>
            <w:tcW w:w="0" w:type="dxa"/>
            <w:vAlign w:val="bottom"/>
          </w:tcPr>
          <w:p>
            <w:pPr>
              <w:spacing w:after="0"/>
              <w:rPr>
                <w:sz w:val="1"/>
                <w:szCs w:val="1"/>
                <w:color w:val="auto"/>
              </w:rPr>
            </w:pPr>
          </w:p>
        </w:tc>
      </w:tr>
      <w:tr>
        <w:trPr>
          <w:trHeight w:val="152"/>
        </w:trPr>
        <w:tc>
          <w:tcPr>
            <w:tcW w:w="960" w:type="dxa"/>
            <w:vAlign w:val="bottom"/>
          </w:tcPr>
          <w:p>
            <w:pPr>
              <w:ind w:left="140"/>
              <w:spacing w:after="0"/>
              <w:rPr>
                <w:sz w:val="20"/>
                <w:szCs w:val="20"/>
                <w:color w:val="auto"/>
              </w:rPr>
            </w:pPr>
            <w:r>
              <w:rPr>
                <w:rFonts w:ascii="Arial" w:cs="Arial" w:eastAsia="Arial" w:hAnsi="Arial"/>
                <w:sz w:val="9"/>
                <w:szCs w:val="9"/>
                <w:color w:val="auto"/>
                <w:w w:val="99"/>
              </w:rPr>
              <w:t xml:space="preserve">persons) </w:t>
            </w:r>
            <w:r>
              <w:rPr>
                <w:rFonts w:ascii="Arial" w:cs="Arial" w:eastAsia="Arial" w:hAnsi="Arial"/>
                <w:sz w:val="11"/>
                <w:szCs w:val="11"/>
                <w:color w:val="auto"/>
                <w:w w:val="99"/>
                <w:vertAlign w:val="superscript"/>
              </w:rPr>
              <w:t>(10)</w:t>
            </w:r>
            <w:r>
              <w:rPr>
                <w:rFonts w:ascii="Arial" w:cs="Arial" w:eastAsia="Arial" w:hAnsi="Arial"/>
                <w:sz w:val="9"/>
                <w:szCs w:val="9"/>
                <w:color w:val="auto"/>
                <w:w w:val="99"/>
              </w:rPr>
              <w:t xml:space="preserve"> </w:t>
            </w:r>
            <w:r>
              <w:rPr>
                <w:rFonts w:ascii="Times New Roman" w:cs="Times New Roman" w:eastAsia="Times New Roman" w:hAnsi="Times New Roman"/>
                <w:sz w:val="9"/>
                <w:szCs w:val="9"/>
                <w:color w:val="B4B4B4"/>
                <w:w w:val="99"/>
              </w:rPr>
              <w:t>............</w:t>
            </w:r>
          </w:p>
        </w:tc>
        <w:tc>
          <w:tcPr>
            <w:tcW w:w="54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960" w:type="dxa"/>
            <w:vAlign w:val="bottom"/>
          </w:tcPr>
          <w:p>
            <w:pPr>
              <w:ind w:left="40"/>
              <w:spacing w:after="0" w:line="88" w:lineRule="exact"/>
              <w:rPr>
                <w:sz w:val="20"/>
                <w:szCs w:val="20"/>
                <w:color w:val="auto"/>
              </w:rPr>
            </w:pPr>
            <w:r>
              <w:rPr>
                <w:rFonts w:ascii="Arial" w:cs="Arial" w:eastAsia="Arial" w:hAnsi="Arial"/>
                <w:sz w:val="9"/>
                <w:szCs w:val="9"/>
                <w:b w:val="1"/>
                <w:bCs w:val="1"/>
                <w:color w:val="auto"/>
              </w:rPr>
              <w:t>Other 5% or Greater</w:t>
            </w: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960" w:type="dxa"/>
            <w:vAlign w:val="bottom"/>
          </w:tcPr>
          <w:p>
            <w:pPr>
              <w:ind w:left="140"/>
              <w:spacing w:after="0"/>
              <w:rPr>
                <w:sz w:val="20"/>
                <w:szCs w:val="20"/>
                <w:color w:val="auto"/>
              </w:rPr>
            </w:pPr>
            <w:r>
              <w:rPr>
                <w:rFonts w:ascii="Arial" w:cs="Arial" w:eastAsia="Arial" w:hAnsi="Arial"/>
                <w:sz w:val="9"/>
                <w:szCs w:val="9"/>
                <w:b w:val="1"/>
                <w:bCs w:val="1"/>
                <w:color w:val="auto"/>
              </w:rPr>
              <w:t>Stockholders:</w:t>
            </w: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60" w:type="dxa"/>
            <w:vAlign w:val="bottom"/>
          </w:tcPr>
          <w:p>
            <w:pPr>
              <w:ind w:left="40"/>
              <w:spacing w:after="0"/>
              <w:rPr>
                <w:sz w:val="20"/>
                <w:szCs w:val="20"/>
                <w:color w:val="auto"/>
              </w:rPr>
            </w:pPr>
            <w:r>
              <w:rPr>
                <w:rFonts w:ascii="Arial" w:cs="Arial" w:eastAsia="Arial" w:hAnsi="Arial"/>
                <w:sz w:val="9"/>
                <w:szCs w:val="9"/>
                <w:color w:val="auto"/>
              </w:rPr>
              <w:t>Entities affiliated with</w:t>
            </w: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960" w:type="dxa"/>
            <w:vAlign w:val="bottom"/>
          </w:tcPr>
          <w:p>
            <w:pPr>
              <w:ind w:left="140"/>
              <w:spacing w:after="0" w:line="87" w:lineRule="exact"/>
              <w:rPr>
                <w:sz w:val="20"/>
                <w:szCs w:val="20"/>
                <w:color w:val="auto"/>
              </w:rPr>
            </w:pPr>
            <w:r>
              <w:rPr>
                <w:rFonts w:ascii="Arial" w:cs="Arial" w:eastAsia="Arial" w:hAnsi="Arial"/>
                <w:sz w:val="9"/>
                <w:szCs w:val="9"/>
                <w:color w:val="auto"/>
              </w:rPr>
              <w:t>Lightspeed</w:t>
            </w: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960" w:type="dxa"/>
            <w:vAlign w:val="bottom"/>
          </w:tcPr>
          <w:p>
            <w:pPr>
              <w:ind w:left="140"/>
              <w:spacing w:after="0" w:line="86" w:lineRule="exact"/>
              <w:rPr>
                <w:sz w:val="20"/>
                <w:szCs w:val="20"/>
                <w:color w:val="auto"/>
              </w:rPr>
            </w:pPr>
            <w:r>
              <w:rPr>
                <w:rFonts w:ascii="Arial" w:cs="Arial" w:eastAsia="Arial" w:hAnsi="Arial"/>
                <w:sz w:val="9"/>
                <w:szCs w:val="9"/>
                <w:color w:val="auto"/>
              </w:rPr>
              <w:t>Venture</w:t>
            </w:r>
          </w:p>
        </w:tc>
        <w:tc>
          <w:tcPr>
            <w:tcW w:w="540" w:type="dxa"/>
            <w:vAlign w:val="bottom"/>
            <w:vMerge w:val="restart"/>
          </w:tcPr>
          <w:p>
            <w:pPr>
              <w:jc w:val="right"/>
              <w:ind w:right="17"/>
              <w:spacing w:after="0"/>
              <w:rPr>
                <w:sz w:val="20"/>
                <w:szCs w:val="20"/>
                <w:color w:val="auto"/>
              </w:rPr>
            </w:pPr>
            <w:r>
              <w:rPr>
                <w:rFonts w:ascii="Arial" w:cs="Arial" w:eastAsia="Arial" w:hAnsi="Arial"/>
                <w:sz w:val="9"/>
                <w:szCs w:val="9"/>
                <w:color w:val="auto"/>
              </w:rPr>
              <w:t>49,896,457</w:t>
            </w:r>
          </w:p>
        </w:tc>
        <w:tc>
          <w:tcPr>
            <w:tcW w:w="300" w:type="dxa"/>
            <w:vAlign w:val="bottom"/>
            <w:vMerge w:val="restart"/>
          </w:tcPr>
          <w:p>
            <w:pPr>
              <w:jc w:val="right"/>
              <w:ind w:right="17"/>
              <w:spacing w:after="0"/>
              <w:rPr>
                <w:sz w:val="20"/>
                <w:szCs w:val="20"/>
                <w:color w:val="auto"/>
              </w:rPr>
            </w:pPr>
            <w:r>
              <w:rPr>
                <w:rFonts w:ascii="Arial" w:cs="Arial" w:eastAsia="Arial" w:hAnsi="Arial"/>
                <w:sz w:val="9"/>
                <w:szCs w:val="9"/>
                <w:color w:val="auto"/>
              </w:rPr>
              <w:t>24.8</w:t>
            </w:r>
          </w:p>
        </w:tc>
        <w:tc>
          <w:tcPr>
            <w:tcW w:w="40" w:type="dxa"/>
            <w:vAlign w:val="bottom"/>
          </w:tcPr>
          <w:p>
            <w:pPr>
              <w:spacing w:after="0"/>
              <w:rPr>
                <w:sz w:val="7"/>
                <w:szCs w:val="7"/>
                <w:color w:val="auto"/>
              </w:rPr>
            </w:pPr>
          </w:p>
        </w:tc>
        <w:tc>
          <w:tcPr>
            <w:tcW w:w="540" w:type="dxa"/>
            <w:vAlign w:val="bottom"/>
            <w:vMerge w:val="restart"/>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7.0</w:t>
            </w:r>
          </w:p>
        </w:tc>
        <w:tc>
          <w:tcPr>
            <w:tcW w:w="40" w:type="dxa"/>
            <w:vAlign w:val="bottom"/>
          </w:tcPr>
          <w:p>
            <w:pPr>
              <w:spacing w:after="0"/>
              <w:rPr>
                <w:sz w:val="7"/>
                <w:szCs w:val="7"/>
                <w:color w:val="auto"/>
              </w:rPr>
            </w:pP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vMerge w:val="restart"/>
          </w:tcPr>
          <w:p>
            <w:pPr>
              <w:jc w:val="right"/>
              <w:ind w:right="17"/>
              <w:spacing w:after="0"/>
              <w:rPr>
                <w:sz w:val="20"/>
                <w:szCs w:val="20"/>
                <w:color w:val="auto"/>
              </w:rPr>
            </w:pPr>
            <w:r>
              <w:rPr>
                <w:rFonts w:ascii="Arial" w:cs="Arial" w:eastAsia="Arial" w:hAnsi="Arial"/>
                <w:sz w:val="9"/>
                <w:szCs w:val="9"/>
                <w:color w:val="auto"/>
              </w:rPr>
              <w:t>49,896,457</w:t>
            </w:r>
          </w:p>
        </w:tc>
        <w:tc>
          <w:tcPr>
            <w:tcW w:w="280" w:type="dxa"/>
            <w:vAlign w:val="bottom"/>
            <w:vMerge w:val="restart"/>
          </w:tcPr>
          <w:p>
            <w:pPr>
              <w:jc w:val="right"/>
              <w:spacing w:after="0"/>
              <w:rPr>
                <w:sz w:val="20"/>
                <w:szCs w:val="20"/>
                <w:color w:val="auto"/>
              </w:rPr>
            </w:pPr>
            <w:r>
              <w:rPr>
                <w:rFonts w:ascii="Arial" w:cs="Arial" w:eastAsia="Arial" w:hAnsi="Arial"/>
                <w:sz w:val="9"/>
                <w:szCs w:val="9"/>
                <w:color w:val="auto"/>
              </w:rPr>
              <w:t>21.4</w:t>
            </w:r>
          </w:p>
        </w:tc>
        <w:tc>
          <w:tcPr>
            <w:tcW w:w="40" w:type="dxa"/>
            <w:vAlign w:val="bottom"/>
          </w:tcPr>
          <w:p>
            <w:pPr>
              <w:spacing w:after="0"/>
              <w:rPr>
                <w:sz w:val="7"/>
                <w:szCs w:val="7"/>
                <w:color w:val="auto"/>
              </w:rPr>
            </w:pPr>
          </w:p>
        </w:tc>
        <w:tc>
          <w:tcPr>
            <w:tcW w:w="540" w:type="dxa"/>
            <w:vAlign w:val="bottom"/>
            <w:vMerge w:val="restart"/>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20" w:type="dxa"/>
            <w:vAlign w:val="bottom"/>
            <w:vMerge w:val="restart"/>
          </w:tcPr>
          <w:p>
            <w:pPr>
              <w:jc w:val="right"/>
              <w:ind w:right="17"/>
              <w:spacing w:after="0"/>
              <w:rPr>
                <w:sz w:val="20"/>
                <w:szCs w:val="20"/>
                <w:color w:val="auto"/>
              </w:rPr>
            </w:pPr>
            <w:r>
              <w:rPr>
                <w:rFonts w:ascii="Arial" w:cs="Arial" w:eastAsia="Arial" w:hAnsi="Arial"/>
                <w:sz w:val="9"/>
                <w:szCs w:val="9"/>
                <w:color w:val="auto"/>
              </w:rPr>
              <w:t>7.2</w:t>
            </w:r>
          </w:p>
        </w:tc>
        <w:tc>
          <w:tcPr>
            <w:tcW w:w="0" w:type="dxa"/>
            <w:vAlign w:val="bottom"/>
          </w:tcPr>
          <w:p>
            <w:pPr>
              <w:spacing w:after="0"/>
              <w:rPr>
                <w:sz w:val="1"/>
                <w:szCs w:val="1"/>
                <w:color w:val="auto"/>
              </w:rPr>
            </w:pPr>
          </w:p>
        </w:tc>
      </w:tr>
      <w:tr>
        <w:trPr>
          <w:trHeight w:val="152"/>
        </w:trPr>
        <w:tc>
          <w:tcPr>
            <w:tcW w:w="960" w:type="dxa"/>
            <w:vAlign w:val="bottom"/>
          </w:tcPr>
          <w:p>
            <w:pPr>
              <w:ind w:left="140"/>
              <w:spacing w:after="0"/>
              <w:rPr>
                <w:sz w:val="20"/>
                <w:szCs w:val="20"/>
                <w:color w:val="auto"/>
              </w:rPr>
            </w:pPr>
            <w:r>
              <w:rPr>
                <w:rFonts w:ascii="Arial" w:cs="Arial" w:eastAsia="Arial" w:hAnsi="Arial"/>
                <w:sz w:val="9"/>
                <w:szCs w:val="9"/>
                <w:color w:val="auto"/>
                <w:w w:val="98"/>
              </w:rPr>
              <w:t xml:space="preserve">Partners </w:t>
            </w:r>
            <w:r>
              <w:rPr>
                <w:rFonts w:ascii="Arial" w:cs="Arial" w:eastAsia="Arial" w:hAnsi="Arial"/>
                <w:sz w:val="11"/>
                <w:szCs w:val="11"/>
                <w:color w:val="auto"/>
                <w:w w:val="98"/>
                <w:vertAlign w:val="superscript"/>
              </w:rPr>
              <w:t>(11)</w:t>
            </w:r>
            <w:r>
              <w:rPr>
                <w:rFonts w:ascii="Arial" w:cs="Arial" w:eastAsia="Arial" w:hAnsi="Arial"/>
                <w:sz w:val="9"/>
                <w:szCs w:val="9"/>
                <w:color w:val="auto"/>
                <w:w w:val="98"/>
              </w:rPr>
              <w:t xml:space="preserve"> </w:t>
            </w:r>
            <w:r>
              <w:rPr>
                <w:rFonts w:ascii="Times New Roman" w:cs="Times New Roman" w:eastAsia="Times New Roman" w:hAnsi="Times New Roman"/>
                <w:sz w:val="9"/>
                <w:szCs w:val="9"/>
                <w:color w:val="B4B4B4"/>
                <w:w w:val="98"/>
              </w:rPr>
              <w:t>.............</w:t>
            </w:r>
          </w:p>
        </w:tc>
        <w:tc>
          <w:tcPr>
            <w:tcW w:w="54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960" w:type="dxa"/>
            <w:vAlign w:val="bottom"/>
          </w:tcPr>
          <w:p>
            <w:pPr>
              <w:ind w:left="40"/>
              <w:spacing w:after="0" w:line="98" w:lineRule="exact"/>
              <w:rPr>
                <w:sz w:val="20"/>
                <w:szCs w:val="20"/>
                <w:color w:val="auto"/>
              </w:rPr>
            </w:pPr>
            <w:r>
              <w:rPr>
                <w:rFonts w:ascii="Arial" w:cs="Arial" w:eastAsia="Arial" w:hAnsi="Arial"/>
                <w:sz w:val="9"/>
                <w:szCs w:val="9"/>
                <w:color w:val="auto"/>
              </w:rPr>
              <w:t>Entities affiliated with</w:t>
            </w: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960" w:type="dxa"/>
            <w:vAlign w:val="bottom"/>
          </w:tcPr>
          <w:p>
            <w:pPr>
              <w:ind w:left="140"/>
              <w:spacing w:after="0" w:line="86" w:lineRule="exact"/>
              <w:rPr>
                <w:sz w:val="20"/>
                <w:szCs w:val="20"/>
                <w:color w:val="auto"/>
              </w:rPr>
            </w:pPr>
            <w:r>
              <w:rPr>
                <w:rFonts w:ascii="Arial" w:cs="Arial" w:eastAsia="Arial" w:hAnsi="Arial"/>
                <w:sz w:val="9"/>
                <w:szCs w:val="9"/>
                <w:color w:val="auto"/>
              </w:rPr>
              <w:t>Andreessen</w:t>
            </w:r>
          </w:p>
        </w:tc>
        <w:tc>
          <w:tcPr>
            <w:tcW w:w="540" w:type="dxa"/>
            <w:vAlign w:val="bottom"/>
            <w:vMerge w:val="restart"/>
          </w:tcPr>
          <w:p>
            <w:pPr>
              <w:jc w:val="right"/>
              <w:ind w:right="17"/>
              <w:spacing w:after="0"/>
              <w:rPr>
                <w:sz w:val="20"/>
                <w:szCs w:val="20"/>
                <w:color w:val="auto"/>
              </w:rPr>
            </w:pPr>
            <w:r>
              <w:rPr>
                <w:rFonts w:ascii="Arial" w:cs="Arial" w:eastAsia="Arial" w:hAnsi="Arial"/>
                <w:sz w:val="9"/>
                <w:szCs w:val="9"/>
                <w:color w:val="auto"/>
              </w:rPr>
              <w:t>25,405,586</w:t>
            </w:r>
          </w:p>
        </w:tc>
        <w:tc>
          <w:tcPr>
            <w:tcW w:w="300" w:type="dxa"/>
            <w:vAlign w:val="bottom"/>
            <w:vMerge w:val="restart"/>
          </w:tcPr>
          <w:p>
            <w:pPr>
              <w:jc w:val="right"/>
              <w:ind w:right="17"/>
              <w:spacing w:after="0"/>
              <w:rPr>
                <w:sz w:val="20"/>
                <w:szCs w:val="20"/>
                <w:color w:val="auto"/>
              </w:rPr>
            </w:pPr>
            <w:r>
              <w:rPr>
                <w:rFonts w:ascii="Arial" w:cs="Arial" w:eastAsia="Arial" w:hAnsi="Arial"/>
                <w:sz w:val="9"/>
                <w:szCs w:val="9"/>
                <w:color w:val="auto"/>
              </w:rPr>
              <w:t>12.6</w:t>
            </w:r>
          </w:p>
        </w:tc>
        <w:tc>
          <w:tcPr>
            <w:tcW w:w="40" w:type="dxa"/>
            <w:vAlign w:val="bottom"/>
          </w:tcPr>
          <w:p>
            <w:pPr>
              <w:spacing w:after="0"/>
              <w:rPr>
                <w:sz w:val="7"/>
                <w:szCs w:val="7"/>
                <w:color w:val="auto"/>
              </w:rPr>
            </w:pPr>
          </w:p>
        </w:tc>
        <w:tc>
          <w:tcPr>
            <w:tcW w:w="540" w:type="dxa"/>
            <w:vAlign w:val="bottom"/>
            <w:vMerge w:val="restart"/>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3.5</w:t>
            </w:r>
          </w:p>
        </w:tc>
        <w:tc>
          <w:tcPr>
            <w:tcW w:w="40" w:type="dxa"/>
            <w:vAlign w:val="bottom"/>
          </w:tcPr>
          <w:p>
            <w:pPr>
              <w:spacing w:after="0"/>
              <w:rPr>
                <w:sz w:val="7"/>
                <w:szCs w:val="7"/>
                <w:color w:val="auto"/>
              </w:rPr>
            </w:pP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vMerge w:val="restart"/>
          </w:tcPr>
          <w:p>
            <w:pPr>
              <w:jc w:val="right"/>
              <w:ind w:right="17"/>
              <w:spacing w:after="0"/>
              <w:rPr>
                <w:sz w:val="20"/>
                <w:szCs w:val="20"/>
                <w:color w:val="auto"/>
              </w:rPr>
            </w:pPr>
            <w:r>
              <w:rPr>
                <w:rFonts w:ascii="Arial" w:cs="Arial" w:eastAsia="Arial" w:hAnsi="Arial"/>
                <w:sz w:val="9"/>
                <w:szCs w:val="9"/>
                <w:color w:val="auto"/>
              </w:rPr>
              <w:t>25,405,586</w:t>
            </w:r>
          </w:p>
        </w:tc>
        <w:tc>
          <w:tcPr>
            <w:tcW w:w="280" w:type="dxa"/>
            <w:vAlign w:val="bottom"/>
            <w:vMerge w:val="restart"/>
          </w:tcPr>
          <w:p>
            <w:pPr>
              <w:jc w:val="right"/>
              <w:spacing w:after="0"/>
              <w:rPr>
                <w:sz w:val="20"/>
                <w:szCs w:val="20"/>
                <w:color w:val="auto"/>
              </w:rPr>
            </w:pPr>
            <w:r>
              <w:rPr>
                <w:rFonts w:ascii="Arial" w:cs="Arial" w:eastAsia="Arial" w:hAnsi="Arial"/>
                <w:sz w:val="9"/>
                <w:szCs w:val="9"/>
                <w:color w:val="auto"/>
              </w:rPr>
              <w:t>10.9</w:t>
            </w:r>
          </w:p>
        </w:tc>
        <w:tc>
          <w:tcPr>
            <w:tcW w:w="40" w:type="dxa"/>
            <w:vAlign w:val="bottom"/>
          </w:tcPr>
          <w:p>
            <w:pPr>
              <w:spacing w:after="0"/>
              <w:rPr>
                <w:sz w:val="7"/>
                <w:szCs w:val="7"/>
                <w:color w:val="auto"/>
              </w:rPr>
            </w:pPr>
          </w:p>
        </w:tc>
        <w:tc>
          <w:tcPr>
            <w:tcW w:w="540" w:type="dxa"/>
            <w:vAlign w:val="bottom"/>
            <w:vMerge w:val="restart"/>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20" w:type="dxa"/>
            <w:vAlign w:val="bottom"/>
            <w:vMerge w:val="restart"/>
          </w:tcPr>
          <w:p>
            <w:pPr>
              <w:jc w:val="right"/>
              <w:ind w:right="17"/>
              <w:spacing w:after="0"/>
              <w:rPr>
                <w:sz w:val="20"/>
                <w:szCs w:val="20"/>
                <w:color w:val="auto"/>
              </w:rPr>
            </w:pPr>
            <w:r>
              <w:rPr>
                <w:rFonts w:ascii="Arial" w:cs="Arial" w:eastAsia="Arial" w:hAnsi="Arial"/>
                <w:sz w:val="9"/>
                <w:szCs w:val="9"/>
                <w:color w:val="auto"/>
              </w:rPr>
              <w:t>3.7</w:t>
            </w:r>
          </w:p>
        </w:tc>
        <w:tc>
          <w:tcPr>
            <w:tcW w:w="0" w:type="dxa"/>
            <w:vAlign w:val="bottom"/>
          </w:tcPr>
          <w:p>
            <w:pPr>
              <w:spacing w:after="0"/>
              <w:rPr>
                <w:sz w:val="1"/>
                <w:szCs w:val="1"/>
                <w:color w:val="auto"/>
              </w:rPr>
            </w:pPr>
          </w:p>
        </w:tc>
      </w:tr>
      <w:tr>
        <w:trPr>
          <w:trHeight w:val="144"/>
        </w:trPr>
        <w:tc>
          <w:tcPr>
            <w:tcW w:w="960" w:type="dxa"/>
            <w:vAlign w:val="bottom"/>
          </w:tcPr>
          <w:p>
            <w:pPr>
              <w:ind w:left="140"/>
              <w:spacing w:after="0"/>
              <w:rPr>
                <w:sz w:val="20"/>
                <w:szCs w:val="20"/>
                <w:color w:val="auto"/>
              </w:rPr>
            </w:pPr>
            <w:r>
              <w:rPr>
                <w:rFonts w:ascii="Arial" w:cs="Arial" w:eastAsia="Arial" w:hAnsi="Arial"/>
                <w:sz w:val="9"/>
                <w:szCs w:val="9"/>
                <w:color w:val="auto"/>
                <w:w w:val="99"/>
              </w:rPr>
              <w:t xml:space="preserve">Horowitz </w:t>
            </w:r>
            <w:r>
              <w:rPr>
                <w:rFonts w:ascii="Arial" w:cs="Arial" w:eastAsia="Arial" w:hAnsi="Arial"/>
                <w:sz w:val="11"/>
                <w:szCs w:val="11"/>
                <w:color w:val="auto"/>
                <w:w w:val="99"/>
                <w:vertAlign w:val="superscript"/>
              </w:rPr>
              <w:t>(12)</w:t>
            </w:r>
            <w:r>
              <w:rPr>
                <w:rFonts w:ascii="Arial" w:cs="Arial" w:eastAsia="Arial" w:hAnsi="Arial"/>
                <w:sz w:val="9"/>
                <w:szCs w:val="9"/>
                <w:color w:val="auto"/>
                <w:w w:val="99"/>
              </w:rPr>
              <w:t xml:space="preserve"> </w:t>
            </w:r>
            <w:r>
              <w:rPr>
                <w:rFonts w:ascii="Times New Roman" w:cs="Times New Roman" w:eastAsia="Times New Roman" w:hAnsi="Times New Roman"/>
                <w:sz w:val="9"/>
                <w:szCs w:val="9"/>
                <w:color w:val="B4B4B4"/>
                <w:w w:val="99"/>
              </w:rPr>
              <w:t>............</w:t>
            </w:r>
          </w:p>
        </w:tc>
        <w:tc>
          <w:tcPr>
            <w:tcW w:w="54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960" w:type="dxa"/>
            <w:vAlign w:val="bottom"/>
          </w:tcPr>
          <w:p>
            <w:pPr>
              <w:ind w:left="40"/>
              <w:spacing w:after="0" w:line="96" w:lineRule="exact"/>
              <w:rPr>
                <w:sz w:val="20"/>
                <w:szCs w:val="20"/>
                <w:color w:val="auto"/>
              </w:rPr>
            </w:pPr>
            <w:r>
              <w:rPr>
                <w:rFonts w:ascii="Arial" w:cs="Arial" w:eastAsia="Arial" w:hAnsi="Arial"/>
                <w:sz w:val="9"/>
                <w:szCs w:val="9"/>
                <w:color w:val="auto"/>
              </w:rPr>
              <w:t>Entities affiliated with</w:t>
            </w: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40"/>
              <w:spacing w:after="0"/>
              <w:rPr>
                <w:sz w:val="20"/>
                <w:szCs w:val="20"/>
                <w:color w:val="auto"/>
              </w:rPr>
            </w:pPr>
            <w:r>
              <w:rPr>
                <w:rFonts w:ascii="Arial" w:cs="Arial" w:eastAsia="Arial" w:hAnsi="Arial"/>
                <w:sz w:val="9"/>
                <w:szCs w:val="9"/>
                <w:color w:val="auto"/>
                <w:w w:val="98"/>
              </w:rPr>
              <w:t xml:space="preserve">Zeev Ventures </w:t>
            </w:r>
            <w:r>
              <w:rPr>
                <w:rFonts w:ascii="Arial" w:cs="Arial" w:eastAsia="Arial" w:hAnsi="Arial"/>
                <w:sz w:val="11"/>
                <w:szCs w:val="11"/>
                <w:color w:val="auto"/>
                <w:w w:val="98"/>
                <w:vertAlign w:val="superscript"/>
              </w:rPr>
              <w:t>(13)</w:t>
            </w:r>
            <w:r>
              <w:rPr>
                <w:rFonts w:ascii="Arial" w:cs="Arial" w:eastAsia="Arial" w:hAnsi="Arial"/>
                <w:sz w:val="9"/>
                <w:szCs w:val="9"/>
                <w:color w:val="auto"/>
                <w:w w:val="98"/>
              </w:rPr>
              <w:t xml:space="preserve"> </w:t>
            </w:r>
            <w:r>
              <w:rPr>
                <w:rFonts w:ascii="Times New Roman" w:cs="Times New Roman" w:eastAsia="Times New Roman" w:hAnsi="Times New Roman"/>
                <w:sz w:val="9"/>
                <w:szCs w:val="9"/>
                <w:color w:val="B4B4B4"/>
                <w:w w:val="98"/>
              </w:rPr>
              <w:t>..</w:t>
            </w: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37,330,059</w:t>
            </w:r>
          </w:p>
        </w:tc>
        <w:tc>
          <w:tcPr>
            <w:tcW w:w="300" w:type="dxa"/>
            <w:vAlign w:val="bottom"/>
          </w:tcPr>
          <w:p>
            <w:pPr>
              <w:jc w:val="right"/>
              <w:ind w:right="17"/>
              <w:spacing w:after="0"/>
              <w:rPr>
                <w:sz w:val="20"/>
                <w:szCs w:val="20"/>
                <w:color w:val="auto"/>
              </w:rPr>
            </w:pPr>
            <w:r>
              <w:rPr>
                <w:rFonts w:ascii="Arial" w:cs="Arial" w:eastAsia="Arial" w:hAnsi="Arial"/>
                <w:sz w:val="9"/>
                <w:szCs w:val="9"/>
                <w:color w:val="auto"/>
              </w:rPr>
              <w:t>18.6</w:t>
            </w:r>
          </w:p>
        </w:tc>
        <w:tc>
          <w:tcPr>
            <w:tcW w:w="40" w:type="dxa"/>
            <w:vAlign w:val="bottom"/>
          </w:tcPr>
          <w:p>
            <w:pPr>
              <w:spacing w:after="0"/>
              <w:rPr>
                <w:sz w:val="13"/>
                <w:szCs w:val="13"/>
                <w:color w:val="auto"/>
              </w:rPr>
            </w:pPr>
          </w:p>
        </w:tc>
        <w:tc>
          <w:tcPr>
            <w:tcW w:w="540" w:type="dxa"/>
            <w:vAlign w:val="bottom"/>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5.2</w:t>
            </w:r>
          </w:p>
        </w:tc>
        <w:tc>
          <w:tcPr>
            <w:tcW w:w="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37,330,059</w:t>
            </w:r>
          </w:p>
        </w:tc>
        <w:tc>
          <w:tcPr>
            <w:tcW w:w="280" w:type="dxa"/>
            <w:vAlign w:val="bottom"/>
          </w:tcPr>
          <w:p>
            <w:pPr>
              <w:jc w:val="right"/>
              <w:spacing w:after="0"/>
              <w:rPr>
                <w:sz w:val="20"/>
                <w:szCs w:val="20"/>
                <w:color w:val="auto"/>
              </w:rPr>
            </w:pPr>
            <w:r>
              <w:rPr>
                <w:rFonts w:ascii="Arial" w:cs="Arial" w:eastAsia="Arial" w:hAnsi="Arial"/>
                <w:sz w:val="9"/>
                <w:szCs w:val="9"/>
                <w:color w:val="auto"/>
              </w:rPr>
              <w:t>16.0</w:t>
            </w:r>
          </w:p>
        </w:tc>
        <w:tc>
          <w:tcPr>
            <w:tcW w:w="40" w:type="dxa"/>
            <w:vAlign w:val="bottom"/>
          </w:tcPr>
          <w:p>
            <w:pPr>
              <w:spacing w:after="0"/>
              <w:rPr>
                <w:sz w:val="13"/>
                <w:szCs w:val="13"/>
                <w:color w:val="auto"/>
              </w:rPr>
            </w:pPr>
          </w:p>
        </w:tc>
        <w:tc>
          <w:tcPr>
            <w:tcW w:w="540" w:type="dxa"/>
            <w:vAlign w:val="bottom"/>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5.4</w:t>
            </w:r>
          </w:p>
        </w:tc>
        <w:tc>
          <w:tcPr>
            <w:tcW w:w="0" w:type="dxa"/>
            <w:vAlign w:val="bottom"/>
          </w:tcPr>
          <w:p>
            <w:pPr>
              <w:spacing w:after="0"/>
              <w:rPr>
                <w:sz w:val="1"/>
                <w:szCs w:val="1"/>
                <w:color w:val="auto"/>
              </w:rPr>
            </w:pPr>
          </w:p>
        </w:tc>
      </w:tr>
      <w:tr>
        <w:trPr>
          <w:trHeight w:val="87"/>
        </w:trPr>
        <w:tc>
          <w:tcPr>
            <w:tcW w:w="960" w:type="dxa"/>
            <w:vAlign w:val="bottom"/>
          </w:tcPr>
          <w:p>
            <w:pPr>
              <w:ind w:left="40"/>
              <w:spacing w:after="0" w:line="88" w:lineRule="exact"/>
              <w:rPr>
                <w:sz w:val="20"/>
                <w:szCs w:val="20"/>
                <w:color w:val="auto"/>
              </w:rPr>
            </w:pPr>
            <w:r>
              <w:rPr>
                <w:rFonts w:ascii="Arial" w:cs="Arial" w:eastAsia="Arial" w:hAnsi="Arial"/>
                <w:sz w:val="9"/>
                <w:szCs w:val="9"/>
                <w:color w:val="auto"/>
              </w:rPr>
              <w:t>Entities affiliated with</w:t>
            </w:r>
          </w:p>
        </w:tc>
        <w:tc>
          <w:tcPr>
            <w:tcW w:w="540" w:type="dxa"/>
            <w:vAlign w:val="bottom"/>
            <w:vMerge w:val="restart"/>
          </w:tcPr>
          <w:p>
            <w:pPr>
              <w:jc w:val="right"/>
              <w:ind w:right="17"/>
              <w:spacing w:after="0"/>
              <w:rPr>
                <w:sz w:val="20"/>
                <w:szCs w:val="20"/>
                <w:color w:val="auto"/>
              </w:rPr>
            </w:pPr>
            <w:r>
              <w:rPr>
                <w:rFonts w:ascii="Arial" w:cs="Arial" w:eastAsia="Arial" w:hAnsi="Arial"/>
                <w:sz w:val="9"/>
                <w:szCs w:val="9"/>
                <w:color w:val="auto"/>
              </w:rPr>
              <w:t>14,321,338</w:t>
            </w:r>
          </w:p>
        </w:tc>
        <w:tc>
          <w:tcPr>
            <w:tcW w:w="300" w:type="dxa"/>
            <w:vAlign w:val="bottom"/>
            <w:vMerge w:val="restart"/>
          </w:tcPr>
          <w:p>
            <w:pPr>
              <w:jc w:val="right"/>
              <w:ind w:right="17"/>
              <w:spacing w:after="0"/>
              <w:rPr>
                <w:sz w:val="20"/>
                <w:szCs w:val="20"/>
                <w:color w:val="auto"/>
              </w:rPr>
            </w:pPr>
            <w:r>
              <w:rPr>
                <w:rFonts w:ascii="Arial" w:cs="Arial" w:eastAsia="Arial" w:hAnsi="Arial"/>
                <w:sz w:val="9"/>
                <w:szCs w:val="9"/>
                <w:color w:val="auto"/>
              </w:rPr>
              <w:t>7.1</w:t>
            </w:r>
          </w:p>
        </w:tc>
        <w:tc>
          <w:tcPr>
            <w:tcW w:w="40" w:type="dxa"/>
            <w:vAlign w:val="bottom"/>
          </w:tcPr>
          <w:p>
            <w:pPr>
              <w:spacing w:after="0"/>
              <w:rPr>
                <w:sz w:val="7"/>
                <w:szCs w:val="7"/>
                <w:color w:val="auto"/>
              </w:rPr>
            </w:pPr>
          </w:p>
        </w:tc>
        <w:tc>
          <w:tcPr>
            <w:tcW w:w="540" w:type="dxa"/>
            <w:vAlign w:val="bottom"/>
            <w:vMerge w:val="restart"/>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2.0</w:t>
            </w:r>
          </w:p>
        </w:tc>
        <w:tc>
          <w:tcPr>
            <w:tcW w:w="40" w:type="dxa"/>
            <w:vAlign w:val="bottom"/>
          </w:tcPr>
          <w:p>
            <w:pPr>
              <w:spacing w:after="0"/>
              <w:rPr>
                <w:sz w:val="7"/>
                <w:szCs w:val="7"/>
                <w:color w:val="auto"/>
              </w:rPr>
            </w:pP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vMerge w:val="restart"/>
          </w:tcPr>
          <w:p>
            <w:pPr>
              <w:jc w:val="right"/>
              <w:ind w:right="17"/>
              <w:spacing w:after="0"/>
              <w:rPr>
                <w:sz w:val="20"/>
                <w:szCs w:val="20"/>
                <w:color w:val="auto"/>
              </w:rPr>
            </w:pPr>
            <w:r>
              <w:rPr>
                <w:rFonts w:ascii="Arial" w:cs="Arial" w:eastAsia="Arial" w:hAnsi="Arial"/>
                <w:sz w:val="9"/>
                <w:szCs w:val="9"/>
                <w:color w:val="auto"/>
              </w:rPr>
              <w:t>14,321,338</w:t>
            </w:r>
          </w:p>
        </w:tc>
        <w:tc>
          <w:tcPr>
            <w:tcW w:w="280" w:type="dxa"/>
            <w:vAlign w:val="bottom"/>
            <w:vMerge w:val="restart"/>
          </w:tcPr>
          <w:p>
            <w:pPr>
              <w:jc w:val="right"/>
              <w:spacing w:after="0"/>
              <w:rPr>
                <w:sz w:val="20"/>
                <w:szCs w:val="20"/>
                <w:color w:val="auto"/>
              </w:rPr>
            </w:pPr>
            <w:r>
              <w:rPr>
                <w:rFonts w:ascii="Arial" w:cs="Arial" w:eastAsia="Arial" w:hAnsi="Arial"/>
                <w:sz w:val="9"/>
                <w:szCs w:val="9"/>
                <w:color w:val="auto"/>
              </w:rPr>
              <w:t>6.1</w:t>
            </w:r>
          </w:p>
        </w:tc>
        <w:tc>
          <w:tcPr>
            <w:tcW w:w="40" w:type="dxa"/>
            <w:vAlign w:val="bottom"/>
          </w:tcPr>
          <w:p>
            <w:pPr>
              <w:spacing w:after="0"/>
              <w:rPr>
                <w:sz w:val="7"/>
                <w:szCs w:val="7"/>
                <w:color w:val="auto"/>
              </w:rPr>
            </w:pPr>
          </w:p>
        </w:tc>
        <w:tc>
          <w:tcPr>
            <w:tcW w:w="540" w:type="dxa"/>
            <w:vAlign w:val="bottom"/>
            <w:vMerge w:val="restart"/>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20" w:type="dxa"/>
            <w:vAlign w:val="bottom"/>
            <w:vMerge w:val="restart"/>
          </w:tcPr>
          <w:p>
            <w:pPr>
              <w:jc w:val="right"/>
              <w:ind w:right="17"/>
              <w:spacing w:after="0"/>
              <w:rPr>
                <w:sz w:val="20"/>
                <w:szCs w:val="20"/>
                <w:color w:val="auto"/>
              </w:rPr>
            </w:pPr>
            <w:r>
              <w:rPr>
                <w:rFonts w:ascii="Arial" w:cs="Arial" w:eastAsia="Arial" w:hAnsi="Arial"/>
                <w:sz w:val="9"/>
                <w:szCs w:val="9"/>
                <w:color w:val="auto"/>
              </w:rPr>
              <w:t>2.1</w:t>
            </w:r>
          </w:p>
        </w:tc>
        <w:tc>
          <w:tcPr>
            <w:tcW w:w="0" w:type="dxa"/>
            <w:vAlign w:val="bottom"/>
          </w:tcPr>
          <w:p>
            <w:pPr>
              <w:spacing w:after="0"/>
              <w:rPr>
                <w:sz w:val="1"/>
                <w:szCs w:val="1"/>
                <w:color w:val="auto"/>
              </w:rPr>
            </w:pPr>
          </w:p>
        </w:tc>
      </w:tr>
      <w:tr>
        <w:trPr>
          <w:trHeight w:val="152"/>
        </w:trPr>
        <w:tc>
          <w:tcPr>
            <w:tcW w:w="960" w:type="dxa"/>
            <w:vAlign w:val="bottom"/>
          </w:tcPr>
          <w:p>
            <w:pPr>
              <w:ind w:left="140"/>
              <w:spacing w:after="0"/>
              <w:rPr>
                <w:sz w:val="20"/>
                <w:szCs w:val="20"/>
                <w:color w:val="auto"/>
              </w:rPr>
            </w:pPr>
            <w:r>
              <w:rPr>
                <w:rFonts w:ascii="Arial" w:cs="Arial" w:eastAsia="Arial" w:hAnsi="Arial"/>
                <w:sz w:val="9"/>
                <w:szCs w:val="9"/>
                <w:color w:val="auto"/>
                <w:w w:val="99"/>
              </w:rPr>
              <w:t xml:space="preserve">Greenoaks </w:t>
            </w:r>
            <w:r>
              <w:rPr>
                <w:rFonts w:ascii="Arial" w:cs="Arial" w:eastAsia="Arial" w:hAnsi="Arial"/>
                <w:sz w:val="11"/>
                <w:szCs w:val="11"/>
                <w:color w:val="auto"/>
                <w:w w:val="99"/>
                <w:vertAlign w:val="superscript"/>
              </w:rPr>
              <w:t>(14)</w:t>
            </w:r>
            <w:r>
              <w:rPr>
                <w:rFonts w:ascii="Arial" w:cs="Arial" w:eastAsia="Arial" w:hAnsi="Arial"/>
                <w:sz w:val="9"/>
                <w:szCs w:val="9"/>
                <w:color w:val="auto"/>
                <w:w w:val="99"/>
              </w:rPr>
              <w:t xml:space="preserve"> </w:t>
            </w:r>
            <w:r>
              <w:rPr>
                <w:rFonts w:ascii="Times New Roman" w:cs="Times New Roman" w:eastAsia="Times New Roman" w:hAnsi="Times New Roman"/>
                <w:sz w:val="9"/>
                <w:szCs w:val="9"/>
                <w:color w:val="B4B4B4"/>
                <w:w w:val="99"/>
              </w:rPr>
              <w:t>........</w:t>
            </w:r>
          </w:p>
        </w:tc>
        <w:tc>
          <w:tcPr>
            <w:tcW w:w="54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960" w:type="dxa"/>
            <w:vAlign w:val="bottom"/>
          </w:tcPr>
          <w:p>
            <w:pPr>
              <w:ind w:left="40"/>
              <w:spacing w:after="0" w:line="68" w:lineRule="exact"/>
              <w:rPr>
                <w:sz w:val="20"/>
                <w:szCs w:val="20"/>
                <w:color w:val="auto"/>
              </w:rPr>
            </w:pPr>
            <w:r>
              <w:rPr>
                <w:rFonts w:ascii="Arial" w:cs="Arial" w:eastAsia="Arial" w:hAnsi="Arial"/>
                <w:sz w:val="6"/>
                <w:szCs w:val="6"/>
                <w:b w:val="1"/>
                <w:bCs w:val="1"/>
                <w:color w:val="auto"/>
              </w:rPr>
              <w:t>Other Selling</w:t>
            </w: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960" w:type="dxa"/>
            <w:vAlign w:val="bottom"/>
            <w:shd w:val="clear" w:color="auto" w:fill="CCEEFF"/>
          </w:tcPr>
          <w:p>
            <w:pPr>
              <w:ind w:left="140"/>
              <w:spacing w:after="0"/>
              <w:rPr>
                <w:sz w:val="20"/>
                <w:szCs w:val="20"/>
                <w:color w:val="auto"/>
              </w:rPr>
            </w:pPr>
            <w:r>
              <w:rPr>
                <w:rFonts w:ascii="Arial" w:cs="Arial" w:eastAsia="Arial" w:hAnsi="Arial"/>
                <w:sz w:val="9"/>
                <w:szCs w:val="9"/>
                <w:b w:val="1"/>
                <w:bCs w:val="1"/>
                <w:color w:val="auto"/>
              </w:rPr>
              <w:t>Stockholders:</w:t>
            </w: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60" w:type="dxa"/>
            <w:vAlign w:val="bottom"/>
            <w:shd w:val="clear" w:color="auto" w:fill="CCEEFF"/>
          </w:tcPr>
          <w:p>
            <w:pPr>
              <w:ind w:left="40"/>
              <w:spacing w:after="0" w:line="101" w:lineRule="exact"/>
              <w:rPr>
                <w:sz w:val="20"/>
                <w:szCs w:val="20"/>
                <w:color w:val="auto"/>
              </w:rPr>
            </w:pPr>
            <w:r>
              <w:rPr>
                <w:rFonts w:ascii="Arial" w:cs="Arial" w:eastAsia="Arial" w:hAnsi="Arial"/>
                <w:sz w:val="9"/>
                <w:szCs w:val="9"/>
                <w:color w:val="auto"/>
              </w:rPr>
              <w:t>Trust affiliated with</w:t>
            </w: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40"/>
              <w:spacing w:after="0"/>
              <w:rPr>
                <w:sz w:val="20"/>
                <w:szCs w:val="20"/>
                <w:color w:val="auto"/>
              </w:rPr>
            </w:pPr>
            <w:r>
              <w:rPr>
                <w:rFonts w:ascii="Arial" w:cs="Arial" w:eastAsia="Arial" w:hAnsi="Arial"/>
                <w:sz w:val="9"/>
                <w:szCs w:val="9"/>
                <w:color w:val="auto"/>
                <w:w w:val="98"/>
              </w:rPr>
              <w:t xml:space="preserve">Oren Zeev </w:t>
            </w:r>
            <w:r>
              <w:rPr>
                <w:rFonts w:ascii="Arial" w:cs="Arial" w:eastAsia="Arial" w:hAnsi="Arial"/>
                <w:sz w:val="11"/>
                <w:szCs w:val="11"/>
                <w:color w:val="auto"/>
                <w:w w:val="98"/>
                <w:vertAlign w:val="superscript"/>
              </w:rPr>
              <w:t>(15)</w:t>
            </w:r>
            <w:r>
              <w:rPr>
                <w:rFonts w:ascii="Arial" w:cs="Arial" w:eastAsia="Arial" w:hAnsi="Arial"/>
                <w:sz w:val="9"/>
                <w:szCs w:val="9"/>
                <w:color w:val="auto"/>
                <w:w w:val="98"/>
              </w:rPr>
              <w:t xml:space="preserve"> </w:t>
            </w:r>
            <w:r>
              <w:rPr>
                <w:rFonts w:ascii="Times New Roman" w:cs="Times New Roman" w:eastAsia="Times New Roman" w:hAnsi="Times New Roman"/>
                <w:sz w:val="9"/>
                <w:szCs w:val="9"/>
                <w:color w:val="B4B4B4"/>
                <w:w w:val="98"/>
              </w:rPr>
              <w:t>.........</w:t>
            </w: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5,313,445</w:t>
            </w:r>
          </w:p>
        </w:tc>
        <w:tc>
          <w:tcPr>
            <w:tcW w:w="300" w:type="dxa"/>
            <w:vAlign w:val="bottom"/>
          </w:tcPr>
          <w:p>
            <w:pPr>
              <w:jc w:val="right"/>
              <w:ind w:right="17"/>
              <w:spacing w:after="0"/>
              <w:rPr>
                <w:sz w:val="20"/>
                <w:szCs w:val="20"/>
                <w:color w:val="auto"/>
              </w:rPr>
            </w:pPr>
            <w:r>
              <w:rPr>
                <w:rFonts w:ascii="Arial" w:cs="Arial" w:eastAsia="Arial" w:hAnsi="Arial"/>
                <w:sz w:val="9"/>
                <w:szCs w:val="9"/>
                <w:color w:val="auto"/>
              </w:rPr>
              <w:t>2.6</w:t>
            </w:r>
          </w:p>
        </w:tc>
        <w:tc>
          <w:tcPr>
            <w:tcW w:w="40" w:type="dxa"/>
            <w:vAlign w:val="bottom"/>
          </w:tcPr>
          <w:p>
            <w:pPr>
              <w:spacing w:after="0"/>
              <w:rPr>
                <w:sz w:val="13"/>
                <w:szCs w:val="13"/>
                <w:color w:val="auto"/>
              </w:rPr>
            </w:pPr>
          </w:p>
        </w:tc>
        <w:tc>
          <w:tcPr>
            <w:tcW w:w="540" w:type="dxa"/>
            <w:vAlign w:val="bottom"/>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7"/>
              <w:spacing w:after="0"/>
              <w:rPr>
                <w:sz w:val="20"/>
                <w:szCs w:val="20"/>
                <w:color w:val="auto"/>
              </w:rPr>
            </w:pPr>
            <w:r>
              <w:rPr>
                <w:rFonts w:ascii="Arial" w:cs="Arial" w:eastAsia="Arial" w:hAnsi="Arial"/>
                <w:sz w:val="9"/>
                <w:szCs w:val="9"/>
                <w:color w:val="auto"/>
              </w:rPr>
              <w:t>200,000</w:t>
            </w:r>
          </w:p>
        </w:tc>
        <w:tc>
          <w:tcPr>
            <w:tcW w:w="40" w:type="dxa"/>
            <w:vAlign w:val="bottom"/>
          </w:tcPr>
          <w:p>
            <w:pPr>
              <w:spacing w:after="0"/>
              <w:rPr>
                <w:sz w:val="13"/>
                <w:szCs w:val="13"/>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5,113,445</w:t>
            </w:r>
          </w:p>
        </w:tc>
        <w:tc>
          <w:tcPr>
            <w:tcW w:w="280" w:type="dxa"/>
            <w:vAlign w:val="bottom"/>
          </w:tcPr>
          <w:p>
            <w:pPr>
              <w:jc w:val="right"/>
              <w:spacing w:after="0"/>
              <w:rPr>
                <w:sz w:val="20"/>
                <w:szCs w:val="20"/>
                <w:color w:val="auto"/>
              </w:rPr>
            </w:pPr>
            <w:r>
              <w:rPr>
                <w:rFonts w:ascii="Arial" w:cs="Arial" w:eastAsia="Arial" w:hAnsi="Arial"/>
                <w:sz w:val="9"/>
                <w:szCs w:val="9"/>
                <w:color w:val="auto"/>
              </w:rPr>
              <w:t>2.2</w:t>
            </w:r>
          </w:p>
        </w:tc>
        <w:tc>
          <w:tcPr>
            <w:tcW w:w="40" w:type="dxa"/>
            <w:vAlign w:val="bottom"/>
          </w:tcPr>
          <w:p>
            <w:pPr>
              <w:spacing w:after="0"/>
              <w:rPr>
                <w:sz w:val="13"/>
                <w:szCs w:val="13"/>
                <w:color w:val="auto"/>
              </w:rPr>
            </w:pPr>
          </w:p>
        </w:tc>
        <w:tc>
          <w:tcPr>
            <w:tcW w:w="540" w:type="dxa"/>
            <w:vAlign w:val="bottom"/>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83"/>
        </w:trPr>
        <w:tc>
          <w:tcPr>
            <w:tcW w:w="960" w:type="dxa"/>
            <w:vAlign w:val="bottom"/>
          </w:tcPr>
          <w:p>
            <w:pPr>
              <w:ind w:left="40"/>
              <w:spacing w:after="0"/>
              <w:rPr>
                <w:sz w:val="20"/>
                <w:szCs w:val="20"/>
                <w:color w:val="auto"/>
              </w:rPr>
            </w:pPr>
            <w:r>
              <w:rPr>
                <w:rFonts w:ascii="Arial" w:cs="Arial" w:eastAsia="Arial" w:hAnsi="Arial"/>
                <w:sz w:val="9"/>
                <w:szCs w:val="9"/>
                <w:color w:val="auto"/>
              </w:rPr>
              <w:t>Einat Klopfer Cohen</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40"/>
              <w:spacing w:after="0"/>
              <w:rPr>
                <w:sz w:val="20"/>
                <w:szCs w:val="20"/>
                <w:color w:val="auto"/>
              </w:rPr>
            </w:pPr>
            <w:r>
              <w:rPr>
                <w:rFonts w:ascii="Arial" w:cs="Arial" w:eastAsia="Arial" w:hAnsi="Arial"/>
                <w:sz w:val="9"/>
                <w:szCs w:val="9"/>
                <w:color w:val="auto"/>
                <w:w w:val="99"/>
              </w:rPr>
              <w:t xml:space="preserve">Living Trust </w:t>
            </w:r>
            <w:r>
              <w:rPr>
                <w:rFonts w:ascii="Arial" w:cs="Arial" w:eastAsia="Arial" w:hAnsi="Arial"/>
                <w:sz w:val="11"/>
                <w:szCs w:val="11"/>
                <w:color w:val="auto"/>
                <w:w w:val="99"/>
                <w:vertAlign w:val="superscript"/>
              </w:rPr>
              <w:t>16)</w:t>
            </w:r>
            <w:r>
              <w:rPr>
                <w:rFonts w:ascii="Arial" w:cs="Arial" w:eastAsia="Arial" w:hAnsi="Arial"/>
                <w:sz w:val="9"/>
                <w:szCs w:val="9"/>
                <w:color w:val="auto"/>
                <w:w w:val="99"/>
              </w:rPr>
              <w:t xml:space="preserve"> </w:t>
            </w:r>
            <w:r>
              <w:rPr>
                <w:rFonts w:ascii="Times New Roman" w:cs="Times New Roman" w:eastAsia="Times New Roman" w:hAnsi="Times New Roman"/>
                <w:sz w:val="9"/>
                <w:szCs w:val="9"/>
                <w:color w:val="B4B4B4"/>
                <w:w w:val="99"/>
              </w:rPr>
              <w:t>........</w:t>
            </w: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6,928,159</w:t>
            </w:r>
          </w:p>
        </w:tc>
        <w:tc>
          <w:tcPr>
            <w:tcW w:w="300" w:type="dxa"/>
            <w:vAlign w:val="bottom"/>
          </w:tcPr>
          <w:p>
            <w:pPr>
              <w:jc w:val="right"/>
              <w:ind w:right="17"/>
              <w:spacing w:after="0"/>
              <w:rPr>
                <w:sz w:val="20"/>
                <w:szCs w:val="20"/>
                <w:color w:val="auto"/>
              </w:rPr>
            </w:pPr>
            <w:r>
              <w:rPr>
                <w:rFonts w:ascii="Arial" w:cs="Arial" w:eastAsia="Arial" w:hAnsi="Arial"/>
                <w:sz w:val="9"/>
                <w:szCs w:val="9"/>
                <w:color w:val="auto"/>
              </w:rPr>
              <w:t>3.4</w:t>
            </w:r>
          </w:p>
        </w:tc>
        <w:tc>
          <w:tcPr>
            <w:tcW w:w="40" w:type="dxa"/>
            <w:vAlign w:val="bottom"/>
          </w:tcPr>
          <w:p>
            <w:pPr>
              <w:spacing w:after="0"/>
              <w:rPr>
                <w:sz w:val="13"/>
                <w:szCs w:val="13"/>
                <w:color w:val="auto"/>
              </w:rPr>
            </w:pPr>
          </w:p>
        </w:tc>
        <w:tc>
          <w:tcPr>
            <w:tcW w:w="540" w:type="dxa"/>
            <w:vAlign w:val="bottom"/>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1.0</w:t>
            </w:r>
          </w:p>
        </w:tc>
        <w:tc>
          <w:tcPr>
            <w:tcW w:w="540" w:type="dxa"/>
            <w:vAlign w:val="bottom"/>
            <w:gridSpan w:val="2"/>
          </w:tcPr>
          <w:p>
            <w:pPr>
              <w:jc w:val="right"/>
              <w:ind w:right="17"/>
              <w:spacing w:after="0"/>
              <w:rPr>
                <w:sz w:val="20"/>
                <w:szCs w:val="20"/>
                <w:color w:val="auto"/>
              </w:rPr>
            </w:pPr>
            <w:r>
              <w:rPr>
                <w:rFonts w:ascii="Arial" w:cs="Arial" w:eastAsia="Arial" w:hAnsi="Arial"/>
                <w:sz w:val="9"/>
                <w:szCs w:val="9"/>
                <w:color w:val="auto"/>
              </w:rPr>
              <w:t>679,841</w:t>
            </w:r>
          </w:p>
        </w:tc>
        <w:tc>
          <w:tcPr>
            <w:tcW w:w="40" w:type="dxa"/>
            <w:vAlign w:val="bottom"/>
          </w:tcPr>
          <w:p>
            <w:pPr>
              <w:spacing w:after="0"/>
              <w:rPr>
                <w:sz w:val="13"/>
                <w:szCs w:val="13"/>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6,248,318</w:t>
            </w:r>
          </w:p>
        </w:tc>
        <w:tc>
          <w:tcPr>
            <w:tcW w:w="280" w:type="dxa"/>
            <w:vAlign w:val="bottom"/>
          </w:tcPr>
          <w:p>
            <w:pPr>
              <w:jc w:val="right"/>
              <w:spacing w:after="0"/>
              <w:rPr>
                <w:sz w:val="20"/>
                <w:szCs w:val="20"/>
                <w:color w:val="auto"/>
              </w:rPr>
            </w:pPr>
            <w:r>
              <w:rPr>
                <w:rFonts w:ascii="Arial" w:cs="Arial" w:eastAsia="Arial" w:hAnsi="Arial"/>
                <w:sz w:val="9"/>
                <w:szCs w:val="9"/>
                <w:color w:val="auto"/>
              </w:rPr>
              <w:t>2.7</w:t>
            </w:r>
          </w:p>
        </w:tc>
        <w:tc>
          <w:tcPr>
            <w:tcW w:w="40" w:type="dxa"/>
            <w:vAlign w:val="bottom"/>
          </w:tcPr>
          <w:p>
            <w:pPr>
              <w:spacing w:after="0"/>
              <w:rPr>
                <w:sz w:val="13"/>
                <w:szCs w:val="13"/>
                <w:color w:val="auto"/>
              </w:rPr>
            </w:pPr>
          </w:p>
        </w:tc>
        <w:tc>
          <w:tcPr>
            <w:tcW w:w="540" w:type="dxa"/>
            <w:vAlign w:val="bottom"/>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960" w:type="dxa"/>
            <w:vAlign w:val="bottom"/>
          </w:tcPr>
          <w:p>
            <w:pPr>
              <w:ind w:left="40"/>
              <w:spacing w:after="0" w:line="88" w:lineRule="exact"/>
              <w:rPr>
                <w:sz w:val="20"/>
                <w:szCs w:val="20"/>
                <w:color w:val="auto"/>
              </w:rPr>
            </w:pPr>
            <w:r>
              <w:rPr>
                <w:rFonts w:ascii="Arial" w:cs="Arial" w:eastAsia="Arial" w:hAnsi="Arial"/>
                <w:sz w:val="9"/>
                <w:szCs w:val="9"/>
                <w:color w:val="auto"/>
              </w:rPr>
              <w:t>H. Barton Co-Invest</w:t>
            </w:r>
          </w:p>
        </w:tc>
        <w:tc>
          <w:tcPr>
            <w:tcW w:w="540" w:type="dxa"/>
            <w:vAlign w:val="bottom"/>
            <w:vMerge w:val="restart"/>
          </w:tcPr>
          <w:p>
            <w:pPr>
              <w:jc w:val="right"/>
              <w:ind w:right="17"/>
              <w:spacing w:after="0"/>
              <w:rPr>
                <w:sz w:val="20"/>
                <w:szCs w:val="20"/>
                <w:color w:val="auto"/>
              </w:rPr>
            </w:pPr>
            <w:r>
              <w:rPr>
                <w:rFonts w:ascii="Arial" w:cs="Arial" w:eastAsia="Arial" w:hAnsi="Arial"/>
                <w:sz w:val="9"/>
                <w:szCs w:val="9"/>
                <w:color w:val="auto"/>
              </w:rPr>
              <w:t>3,121,634</w:t>
            </w:r>
          </w:p>
        </w:tc>
        <w:tc>
          <w:tcPr>
            <w:tcW w:w="300" w:type="dxa"/>
            <w:vAlign w:val="bottom"/>
            <w:vMerge w:val="restart"/>
          </w:tcPr>
          <w:p>
            <w:pPr>
              <w:jc w:val="right"/>
              <w:ind w:right="17"/>
              <w:spacing w:after="0"/>
              <w:rPr>
                <w:sz w:val="20"/>
                <w:szCs w:val="20"/>
                <w:color w:val="auto"/>
              </w:rPr>
            </w:pPr>
            <w:r>
              <w:rPr>
                <w:rFonts w:ascii="Arial" w:cs="Arial" w:eastAsia="Arial" w:hAnsi="Arial"/>
                <w:sz w:val="9"/>
                <w:szCs w:val="9"/>
                <w:color w:val="auto"/>
              </w:rPr>
              <w:t>1.6</w:t>
            </w:r>
          </w:p>
        </w:tc>
        <w:tc>
          <w:tcPr>
            <w:tcW w:w="40" w:type="dxa"/>
            <w:vAlign w:val="bottom"/>
          </w:tcPr>
          <w:p>
            <w:pPr>
              <w:spacing w:after="0"/>
              <w:rPr>
                <w:sz w:val="7"/>
                <w:szCs w:val="7"/>
                <w:color w:val="auto"/>
              </w:rPr>
            </w:pPr>
          </w:p>
        </w:tc>
        <w:tc>
          <w:tcPr>
            <w:tcW w:w="540" w:type="dxa"/>
            <w:vAlign w:val="bottom"/>
            <w:vMerge w:val="restart"/>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tcPr>
          <w:p>
            <w:pPr>
              <w:jc w:val="right"/>
              <w:ind w:right="17"/>
              <w:spacing w:after="0"/>
              <w:rPr>
                <w:sz w:val="20"/>
                <w:szCs w:val="20"/>
                <w:color w:val="auto"/>
              </w:rPr>
            </w:pPr>
            <w:r>
              <w:rPr>
                <w:rFonts w:ascii="Arial" w:cs="Arial" w:eastAsia="Arial" w:hAnsi="Arial"/>
                <w:sz w:val="9"/>
                <w:szCs w:val="9"/>
                <w:color w:val="auto"/>
              </w:rPr>
              <w:t>121,635</w:t>
            </w:r>
          </w:p>
        </w:tc>
        <w:tc>
          <w:tcPr>
            <w:tcW w:w="40" w:type="dxa"/>
            <w:vAlign w:val="bottom"/>
          </w:tcPr>
          <w:p>
            <w:pPr>
              <w:spacing w:after="0"/>
              <w:rPr>
                <w:sz w:val="7"/>
                <w:szCs w:val="7"/>
                <w:color w:val="auto"/>
              </w:rPr>
            </w:pPr>
          </w:p>
        </w:tc>
        <w:tc>
          <w:tcPr>
            <w:tcW w:w="540" w:type="dxa"/>
            <w:vAlign w:val="bottom"/>
            <w:vMerge w:val="restart"/>
          </w:tcPr>
          <w:p>
            <w:pPr>
              <w:jc w:val="right"/>
              <w:ind w:right="17"/>
              <w:spacing w:after="0"/>
              <w:rPr>
                <w:sz w:val="20"/>
                <w:szCs w:val="20"/>
                <w:color w:val="auto"/>
              </w:rPr>
            </w:pPr>
            <w:r>
              <w:rPr>
                <w:rFonts w:ascii="Arial" w:cs="Arial" w:eastAsia="Arial" w:hAnsi="Arial"/>
                <w:sz w:val="9"/>
                <w:szCs w:val="9"/>
                <w:color w:val="auto"/>
              </w:rPr>
              <w:t>2,999,999</w:t>
            </w:r>
          </w:p>
        </w:tc>
        <w:tc>
          <w:tcPr>
            <w:tcW w:w="280" w:type="dxa"/>
            <w:vAlign w:val="bottom"/>
            <w:vMerge w:val="restart"/>
          </w:tcPr>
          <w:p>
            <w:pPr>
              <w:jc w:val="right"/>
              <w:spacing w:after="0"/>
              <w:rPr>
                <w:sz w:val="20"/>
                <w:szCs w:val="20"/>
                <w:color w:val="auto"/>
              </w:rPr>
            </w:pPr>
            <w:r>
              <w:rPr>
                <w:rFonts w:ascii="Arial" w:cs="Arial" w:eastAsia="Arial" w:hAnsi="Arial"/>
                <w:sz w:val="9"/>
                <w:szCs w:val="9"/>
                <w:color w:val="auto"/>
              </w:rPr>
              <w:t>1.3</w:t>
            </w:r>
          </w:p>
        </w:tc>
        <w:tc>
          <w:tcPr>
            <w:tcW w:w="40" w:type="dxa"/>
            <w:vAlign w:val="bottom"/>
          </w:tcPr>
          <w:p>
            <w:pPr>
              <w:spacing w:after="0"/>
              <w:rPr>
                <w:sz w:val="7"/>
                <w:szCs w:val="7"/>
                <w:color w:val="auto"/>
              </w:rPr>
            </w:pPr>
          </w:p>
        </w:tc>
        <w:tc>
          <w:tcPr>
            <w:tcW w:w="540" w:type="dxa"/>
            <w:vAlign w:val="bottom"/>
            <w:vMerge w:val="restart"/>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20" w:type="dxa"/>
            <w:vAlign w:val="bottom"/>
            <w:vMerge w:val="restart"/>
          </w:tcPr>
          <w:p>
            <w:pPr>
              <w:jc w:val="right"/>
              <w:ind w:right="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52"/>
        </w:trPr>
        <w:tc>
          <w:tcPr>
            <w:tcW w:w="960" w:type="dxa"/>
            <w:vAlign w:val="bottom"/>
          </w:tcPr>
          <w:p>
            <w:pPr>
              <w:ind w:left="140"/>
              <w:spacing w:after="0"/>
              <w:rPr>
                <w:sz w:val="20"/>
                <w:szCs w:val="20"/>
                <w:color w:val="auto"/>
              </w:rPr>
            </w:pPr>
            <w:r>
              <w:rPr>
                <w:rFonts w:ascii="Arial" w:cs="Arial" w:eastAsia="Arial" w:hAnsi="Arial"/>
                <w:sz w:val="9"/>
                <w:szCs w:val="9"/>
                <w:color w:val="auto"/>
                <w:w w:val="98"/>
              </w:rPr>
              <w:t xml:space="preserve">Fund II, LLC </w:t>
            </w:r>
            <w:r>
              <w:rPr>
                <w:rFonts w:ascii="Arial" w:cs="Arial" w:eastAsia="Arial" w:hAnsi="Arial"/>
                <w:sz w:val="11"/>
                <w:szCs w:val="11"/>
                <w:color w:val="auto"/>
                <w:w w:val="98"/>
                <w:vertAlign w:val="superscript"/>
              </w:rPr>
              <w:t>(17)</w:t>
            </w:r>
            <w:r>
              <w:rPr>
                <w:rFonts w:ascii="Arial" w:cs="Arial" w:eastAsia="Arial" w:hAnsi="Arial"/>
                <w:sz w:val="9"/>
                <w:szCs w:val="9"/>
                <w:color w:val="auto"/>
                <w:w w:val="98"/>
              </w:rPr>
              <w:t xml:space="preserve"> </w:t>
            </w:r>
            <w:r>
              <w:rPr>
                <w:rFonts w:ascii="Times New Roman" w:cs="Times New Roman" w:eastAsia="Times New Roman" w:hAnsi="Times New Roman"/>
                <w:sz w:val="9"/>
                <w:szCs w:val="9"/>
                <w:color w:val="B4B4B4"/>
                <w:w w:val="98"/>
              </w:rPr>
              <w:t>......</w:t>
            </w:r>
          </w:p>
        </w:tc>
        <w:tc>
          <w:tcPr>
            <w:tcW w:w="54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960" w:type="dxa"/>
            <w:vAlign w:val="bottom"/>
          </w:tcPr>
          <w:p>
            <w:pPr>
              <w:ind w:left="40"/>
              <w:spacing w:after="0" w:line="98" w:lineRule="exact"/>
              <w:rPr>
                <w:sz w:val="20"/>
                <w:szCs w:val="20"/>
                <w:color w:val="auto"/>
              </w:rPr>
            </w:pPr>
            <w:r>
              <w:rPr>
                <w:rFonts w:ascii="Arial" w:cs="Arial" w:eastAsia="Arial" w:hAnsi="Arial"/>
                <w:sz w:val="9"/>
                <w:szCs w:val="9"/>
                <w:color w:val="auto"/>
              </w:rPr>
              <w:t>Other Selling</w:t>
            </w: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960" w:type="dxa"/>
            <w:vAlign w:val="bottom"/>
          </w:tcPr>
          <w:p>
            <w:pPr>
              <w:ind w:left="140"/>
              <w:spacing w:after="0" w:line="86" w:lineRule="exact"/>
              <w:rPr>
                <w:sz w:val="20"/>
                <w:szCs w:val="20"/>
                <w:color w:val="auto"/>
              </w:rPr>
            </w:pPr>
            <w:r>
              <w:rPr>
                <w:rFonts w:ascii="Arial" w:cs="Arial" w:eastAsia="Arial" w:hAnsi="Arial"/>
                <w:sz w:val="9"/>
                <w:szCs w:val="9"/>
                <w:color w:val="auto"/>
              </w:rPr>
              <w:t>Stockholders that</w:t>
            </w: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960" w:type="dxa"/>
            <w:vAlign w:val="bottom"/>
          </w:tcPr>
          <w:p>
            <w:pPr>
              <w:ind w:left="140"/>
              <w:spacing w:after="0" w:line="96" w:lineRule="exact"/>
              <w:rPr>
                <w:sz w:val="20"/>
                <w:szCs w:val="20"/>
                <w:color w:val="auto"/>
              </w:rPr>
            </w:pPr>
            <w:r>
              <w:rPr>
                <w:rFonts w:ascii="Arial" w:cs="Arial" w:eastAsia="Arial" w:hAnsi="Arial"/>
                <w:sz w:val="9"/>
                <w:szCs w:val="9"/>
                <w:color w:val="auto"/>
              </w:rPr>
              <w:t>beneficially own in</w:t>
            </w: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960" w:type="dxa"/>
            <w:vAlign w:val="bottom"/>
          </w:tcPr>
          <w:p>
            <w:pPr>
              <w:ind w:left="140"/>
              <w:spacing w:after="0" w:line="86" w:lineRule="exact"/>
              <w:rPr>
                <w:sz w:val="20"/>
                <w:szCs w:val="20"/>
                <w:color w:val="auto"/>
              </w:rPr>
            </w:pPr>
            <w:r>
              <w:rPr>
                <w:rFonts w:ascii="Arial" w:cs="Arial" w:eastAsia="Arial" w:hAnsi="Arial"/>
                <w:sz w:val="9"/>
                <w:szCs w:val="9"/>
                <w:color w:val="auto"/>
              </w:rPr>
              <w:t>excess 1,600,001</w:t>
            </w: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960" w:type="dxa"/>
            <w:vAlign w:val="bottom"/>
          </w:tcPr>
          <w:p>
            <w:pPr>
              <w:ind w:left="140"/>
              <w:spacing w:after="0" w:line="86" w:lineRule="exact"/>
              <w:rPr>
                <w:sz w:val="20"/>
                <w:szCs w:val="20"/>
                <w:color w:val="auto"/>
              </w:rPr>
            </w:pPr>
            <w:r>
              <w:rPr>
                <w:rFonts w:ascii="Arial" w:cs="Arial" w:eastAsia="Arial" w:hAnsi="Arial"/>
                <w:sz w:val="9"/>
                <w:szCs w:val="9"/>
                <w:color w:val="auto"/>
              </w:rPr>
              <w:t>shares of Class A</w:t>
            </w: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140"/>
              <w:spacing w:after="0"/>
              <w:rPr>
                <w:sz w:val="20"/>
                <w:szCs w:val="20"/>
                <w:color w:val="auto"/>
              </w:rPr>
            </w:pPr>
            <w:r>
              <w:rPr>
                <w:rFonts w:ascii="Arial" w:cs="Arial" w:eastAsia="Arial" w:hAnsi="Arial"/>
                <w:sz w:val="9"/>
                <w:szCs w:val="9"/>
                <w:color w:val="auto"/>
              </w:rPr>
              <w:t xml:space="preserve">Common Stock </w:t>
            </w:r>
            <w:r>
              <w:rPr>
                <w:rFonts w:ascii="Arial" w:cs="Arial" w:eastAsia="Arial" w:hAnsi="Arial"/>
                <w:sz w:val="11"/>
                <w:szCs w:val="11"/>
                <w:color w:val="auto"/>
                <w:vertAlign w:val="superscript"/>
              </w:rPr>
              <w:t>(18)</w:t>
            </w:r>
            <w:r>
              <w:rPr>
                <w:rFonts w:ascii="Times New Roman" w:cs="Times New Roman" w:eastAsia="Times New Roman" w:hAnsi="Times New Roman"/>
                <w:sz w:val="9"/>
                <w:szCs w:val="9"/>
                <w:color w:val="B4B4B4"/>
              </w:rPr>
              <w:t>.</w:t>
            </w: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1,806,961</w:t>
            </w: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3"/>
                <w:szCs w:val="13"/>
                <w:color w:val="auto"/>
              </w:rPr>
            </w:pPr>
          </w:p>
        </w:tc>
        <w:tc>
          <w:tcPr>
            <w:tcW w:w="540" w:type="dxa"/>
            <w:vAlign w:val="bottom"/>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7"/>
              <w:spacing w:after="0"/>
              <w:rPr>
                <w:sz w:val="20"/>
                <w:szCs w:val="20"/>
                <w:color w:val="auto"/>
              </w:rPr>
            </w:pPr>
            <w:r>
              <w:rPr>
                <w:rFonts w:ascii="Arial" w:cs="Arial" w:eastAsia="Arial" w:hAnsi="Arial"/>
                <w:sz w:val="9"/>
                <w:szCs w:val="9"/>
                <w:color w:val="auto"/>
              </w:rPr>
              <w:t>150,000</w:t>
            </w:r>
          </w:p>
        </w:tc>
        <w:tc>
          <w:tcPr>
            <w:tcW w:w="40" w:type="dxa"/>
            <w:vAlign w:val="bottom"/>
          </w:tcPr>
          <w:p>
            <w:pPr>
              <w:spacing w:after="0"/>
              <w:rPr>
                <w:sz w:val="13"/>
                <w:szCs w:val="13"/>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1,656,961</w:t>
            </w: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3"/>
                <w:szCs w:val="13"/>
                <w:color w:val="auto"/>
              </w:rPr>
            </w:pPr>
          </w:p>
        </w:tc>
        <w:tc>
          <w:tcPr>
            <w:tcW w:w="540" w:type="dxa"/>
            <w:vAlign w:val="bottom"/>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960" w:type="dxa"/>
            <w:vAlign w:val="bottom"/>
          </w:tcPr>
          <w:p>
            <w:pPr>
              <w:ind w:left="40"/>
              <w:spacing w:after="0" w:line="88" w:lineRule="exact"/>
              <w:rPr>
                <w:sz w:val="20"/>
                <w:szCs w:val="20"/>
                <w:color w:val="auto"/>
              </w:rPr>
            </w:pPr>
            <w:r>
              <w:rPr>
                <w:rFonts w:ascii="Arial" w:cs="Arial" w:eastAsia="Arial" w:hAnsi="Arial"/>
                <w:sz w:val="9"/>
                <w:szCs w:val="9"/>
                <w:color w:val="auto"/>
              </w:rPr>
              <w:t>Other Selling</w:t>
            </w: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960" w:type="dxa"/>
            <w:vAlign w:val="bottom"/>
          </w:tcPr>
          <w:p>
            <w:pPr>
              <w:ind w:left="140"/>
              <w:spacing w:after="0" w:line="96" w:lineRule="exact"/>
              <w:rPr>
                <w:sz w:val="20"/>
                <w:szCs w:val="20"/>
                <w:color w:val="auto"/>
              </w:rPr>
            </w:pPr>
            <w:r>
              <w:rPr>
                <w:rFonts w:ascii="Arial" w:cs="Arial" w:eastAsia="Arial" w:hAnsi="Arial"/>
                <w:sz w:val="9"/>
                <w:szCs w:val="9"/>
                <w:color w:val="auto"/>
              </w:rPr>
              <w:t>Stockholders that</w:t>
            </w: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960" w:type="dxa"/>
            <w:vAlign w:val="bottom"/>
          </w:tcPr>
          <w:p>
            <w:pPr>
              <w:ind w:left="140"/>
              <w:spacing w:after="0" w:line="86" w:lineRule="exact"/>
              <w:rPr>
                <w:sz w:val="20"/>
                <w:szCs w:val="20"/>
                <w:color w:val="auto"/>
              </w:rPr>
            </w:pPr>
            <w:r>
              <w:rPr>
                <w:rFonts w:ascii="Arial" w:cs="Arial" w:eastAsia="Arial" w:hAnsi="Arial"/>
                <w:sz w:val="9"/>
                <w:szCs w:val="9"/>
                <w:color w:val="auto"/>
              </w:rPr>
              <w:t>beneficially own</w:t>
            </w: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960" w:type="dxa"/>
            <w:vAlign w:val="bottom"/>
          </w:tcPr>
          <w:p>
            <w:pPr>
              <w:ind w:left="140"/>
              <w:spacing w:after="0"/>
              <w:rPr>
                <w:sz w:val="20"/>
                <w:szCs w:val="20"/>
                <w:color w:val="auto"/>
              </w:rPr>
            </w:pPr>
            <w:r>
              <w:rPr>
                <w:rFonts w:ascii="Arial" w:cs="Arial" w:eastAsia="Arial" w:hAnsi="Arial"/>
                <w:sz w:val="9"/>
                <w:szCs w:val="9"/>
                <w:color w:val="auto"/>
              </w:rPr>
              <w:t>between</w:t>
            </w: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960" w:type="dxa"/>
            <w:vAlign w:val="bottom"/>
          </w:tcPr>
          <w:p>
            <w:pPr>
              <w:ind w:left="140"/>
              <w:spacing w:after="0" w:line="77" w:lineRule="exact"/>
              <w:rPr>
                <w:sz w:val="20"/>
                <w:szCs w:val="20"/>
                <w:color w:val="auto"/>
              </w:rPr>
            </w:pPr>
            <w:r>
              <w:rPr>
                <w:rFonts w:ascii="Arial" w:cs="Arial" w:eastAsia="Arial" w:hAnsi="Arial"/>
                <w:sz w:val="8"/>
                <w:szCs w:val="8"/>
                <w:color w:val="auto"/>
              </w:rPr>
              <w:t>1,500,001 and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960" w:type="dxa"/>
            <w:vAlign w:val="bottom"/>
          </w:tcPr>
          <w:p>
            <w:pPr>
              <w:ind w:left="140"/>
              <w:spacing w:after="0" w:line="86" w:lineRule="exact"/>
              <w:rPr>
                <w:sz w:val="20"/>
                <w:szCs w:val="20"/>
                <w:color w:val="auto"/>
              </w:rPr>
            </w:pPr>
            <w:r>
              <w:rPr>
                <w:rFonts w:ascii="Arial" w:cs="Arial" w:eastAsia="Arial" w:hAnsi="Arial"/>
                <w:sz w:val="9"/>
                <w:szCs w:val="9"/>
                <w:color w:val="auto"/>
              </w:rPr>
              <w:t>1,600,000 shares</w:t>
            </w: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960" w:type="dxa"/>
            <w:vAlign w:val="bottom"/>
          </w:tcPr>
          <w:p>
            <w:pPr>
              <w:ind w:left="140"/>
              <w:spacing w:after="0" w:line="86" w:lineRule="exact"/>
              <w:rPr>
                <w:sz w:val="20"/>
                <w:szCs w:val="20"/>
                <w:color w:val="auto"/>
              </w:rPr>
            </w:pPr>
            <w:r>
              <w:rPr>
                <w:rFonts w:ascii="Arial" w:cs="Arial" w:eastAsia="Arial" w:hAnsi="Arial"/>
                <w:sz w:val="9"/>
                <w:szCs w:val="9"/>
                <w:color w:val="auto"/>
              </w:rPr>
              <w:t>of Class A</w:t>
            </w:r>
          </w:p>
        </w:tc>
        <w:tc>
          <w:tcPr>
            <w:tcW w:w="540" w:type="dxa"/>
            <w:vAlign w:val="bottom"/>
            <w:vMerge w:val="restart"/>
          </w:tcPr>
          <w:p>
            <w:pPr>
              <w:jc w:val="right"/>
              <w:ind w:right="17"/>
              <w:spacing w:after="0"/>
              <w:rPr>
                <w:sz w:val="20"/>
                <w:szCs w:val="20"/>
                <w:color w:val="auto"/>
              </w:rPr>
            </w:pPr>
            <w:r>
              <w:rPr>
                <w:rFonts w:ascii="Arial" w:cs="Arial" w:eastAsia="Arial" w:hAnsi="Arial"/>
                <w:sz w:val="9"/>
                <w:szCs w:val="9"/>
                <w:color w:val="auto"/>
              </w:rPr>
              <w:t>1,527,428</w:t>
            </w:r>
          </w:p>
        </w:tc>
        <w:tc>
          <w:tcPr>
            <w:tcW w:w="3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540" w:type="dxa"/>
            <w:vAlign w:val="bottom"/>
            <w:vMerge w:val="restart"/>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tcPr>
          <w:p>
            <w:pPr>
              <w:jc w:val="right"/>
              <w:ind w:right="17"/>
              <w:spacing w:after="0"/>
              <w:rPr>
                <w:sz w:val="20"/>
                <w:szCs w:val="20"/>
                <w:color w:val="auto"/>
              </w:rPr>
            </w:pPr>
            <w:r>
              <w:rPr>
                <w:rFonts w:ascii="Arial" w:cs="Arial" w:eastAsia="Arial" w:hAnsi="Arial"/>
                <w:sz w:val="9"/>
                <w:szCs w:val="9"/>
                <w:color w:val="auto"/>
              </w:rPr>
              <w:t>286,723</w:t>
            </w:r>
          </w:p>
        </w:tc>
        <w:tc>
          <w:tcPr>
            <w:tcW w:w="40" w:type="dxa"/>
            <w:vAlign w:val="bottom"/>
          </w:tcPr>
          <w:p>
            <w:pPr>
              <w:spacing w:after="0"/>
              <w:rPr>
                <w:sz w:val="7"/>
                <w:szCs w:val="7"/>
                <w:color w:val="auto"/>
              </w:rPr>
            </w:pPr>
          </w:p>
        </w:tc>
        <w:tc>
          <w:tcPr>
            <w:tcW w:w="540" w:type="dxa"/>
            <w:vAlign w:val="bottom"/>
            <w:vMerge w:val="restart"/>
          </w:tcPr>
          <w:p>
            <w:pPr>
              <w:jc w:val="right"/>
              <w:ind w:right="17"/>
              <w:spacing w:after="0"/>
              <w:rPr>
                <w:sz w:val="20"/>
                <w:szCs w:val="20"/>
                <w:color w:val="auto"/>
              </w:rPr>
            </w:pPr>
            <w:r>
              <w:rPr>
                <w:rFonts w:ascii="Arial" w:cs="Arial" w:eastAsia="Arial" w:hAnsi="Arial"/>
                <w:sz w:val="9"/>
                <w:szCs w:val="9"/>
                <w:color w:val="auto"/>
              </w:rPr>
              <w:t>1,240,705</w:t>
            </w:r>
          </w:p>
        </w:tc>
        <w:tc>
          <w:tcPr>
            <w:tcW w:w="2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540" w:type="dxa"/>
            <w:vAlign w:val="bottom"/>
            <w:vMerge w:val="restart"/>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20" w:type="dxa"/>
            <w:vAlign w:val="bottom"/>
            <w:vMerge w:val="restart"/>
          </w:tcPr>
          <w:p>
            <w:pPr>
              <w:jc w:val="right"/>
              <w:ind w:right="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6"/>
        </w:trPr>
        <w:tc>
          <w:tcPr>
            <w:tcW w:w="960" w:type="dxa"/>
            <w:vAlign w:val="bottom"/>
          </w:tcPr>
          <w:p>
            <w:pPr>
              <w:ind w:left="140"/>
              <w:spacing w:after="0" w:line="67" w:lineRule="exact"/>
              <w:rPr>
                <w:sz w:val="20"/>
                <w:szCs w:val="20"/>
                <w:color w:val="auto"/>
              </w:rPr>
            </w:pPr>
            <w:r>
              <w:rPr>
                <w:rFonts w:ascii="Arial" w:cs="Arial" w:eastAsia="Arial" w:hAnsi="Arial"/>
                <w:sz w:val="6"/>
                <w:szCs w:val="6"/>
                <w:color w:val="auto"/>
              </w:rPr>
              <w:t xml:space="preserve">Common Stock </w:t>
            </w:r>
            <w:r>
              <w:rPr>
                <w:rFonts w:ascii="Arial" w:cs="Arial" w:eastAsia="Arial" w:hAnsi="Arial"/>
                <w:sz w:val="7"/>
                <w:szCs w:val="7"/>
                <w:color w:val="auto"/>
                <w:vertAlign w:val="superscript"/>
              </w:rPr>
              <w:t>(18)</w:t>
            </w:r>
            <w:r>
              <w:rPr>
                <w:rFonts w:ascii="Times New Roman" w:cs="Times New Roman" w:eastAsia="Times New Roman" w:hAnsi="Times New Roman"/>
                <w:sz w:val="6"/>
                <w:szCs w:val="6"/>
                <w:color w:val="B4B4B4"/>
              </w:rPr>
              <w:t>.</w:t>
            </w:r>
          </w:p>
        </w:tc>
        <w:tc>
          <w:tcPr>
            <w:tcW w:w="5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960" w:type="dxa"/>
            <w:vAlign w:val="bottom"/>
            <w:shd w:val="clear" w:color="auto" w:fill="CCEEFF"/>
          </w:tcPr>
          <w:p>
            <w:pPr>
              <w:ind w:left="40"/>
              <w:spacing w:after="0"/>
              <w:rPr>
                <w:sz w:val="20"/>
                <w:szCs w:val="20"/>
                <w:color w:val="auto"/>
              </w:rPr>
            </w:pPr>
            <w:r>
              <w:rPr>
                <w:rFonts w:ascii="Arial" w:cs="Arial" w:eastAsia="Arial" w:hAnsi="Arial"/>
                <w:sz w:val="9"/>
                <w:szCs w:val="9"/>
                <w:color w:val="auto"/>
              </w:rPr>
              <w:t>Other Selling</w:t>
            </w: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960" w:type="dxa"/>
            <w:vAlign w:val="bottom"/>
            <w:shd w:val="clear" w:color="auto" w:fill="CCEEFF"/>
          </w:tcPr>
          <w:p>
            <w:pPr>
              <w:ind w:left="140"/>
              <w:spacing w:after="0" w:line="66" w:lineRule="exact"/>
              <w:rPr>
                <w:sz w:val="20"/>
                <w:szCs w:val="20"/>
                <w:color w:val="auto"/>
              </w:rPr>
            </w:pPr>
            <w:r>
              <w:rPr>
                <w:rFonts w:ascii="Arial" w:cs="Arial" w:eastAsia="Arial" w:hAnsi="Arial"/>
                <w:sz w:val="6"/>
                <w:szCs w:val="6"/>
                <w:color w:val="auto"/>
              </w:rPr>
              <w:t>Stockholders that</w:t>
            </w:r>
          </w:p>
        </w:tc>
        <w:tc>
          <w:tcPr>
            <w:tcW w:w="5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960" w:type="dxa"/>
            <w:vAlign w:val="bottom"/>
          </w:tcPr>
          <w:p>
            <w:pPr>
              <w:ind w:left="140"/>
              <w:spacing w:after="0" w:line="96" w:lineRule="exact"/>
              <w:rPr>
                <w:sz w:val="20"/>
                <w:szCs w:val="20"/>
                <w:color w:val="auto"/>
              </w:rPr>
            </w:pPr>
            <w:r>
              <w:rPr>
                <w:rFonts w:ascii="Arial" w:cs="Arial" w:eastAsia="Arial" w:hAnsi="Arial"/>
                <w:sz w:val="9"/>
                <w:szCs w:val="9"/>
                <w:color w:val="auto"/>
              </w:rPr>
              <w:t>beneficially own</w:t>
            </w: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960" w:type="dxa"/>
            <w:vAlign w:val="bottom"/>
          </w:tcPr>
          <w:p>
            <w:pPr>
              <w:ind w:left="140"/>
              <w:spacing w:after="0" w:line="86" w:lineRule="exact"/>
              <w:rPr>
                <w:sz w:val="20"/>
                <w:szCs w:val="20"/>
                <w:color w:val="auto"/>
              </w:rPr>
            </w:pPr>
            <w:r>
              <w:rPr>
                <w:rFonts w:ascii="Arial" w:cs="Arial" w:eastAsia="Arial" w:hAnsi="Arial"/>
                <w:sz w:val="9"/>
                <w:szCs w:val="9"/>
                <w:color w:val="auto"/>
              </w:rPr>
              <w:t>between</w:t>
            </w: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960" w:type="dxa"/>
            <w:vAlign w:val="bottom"/>
          </w:tcPr>
          <w:p>
            <w:pPr>
              <w:ind w:left="140"/>
              <w:spacing w:after="0" w:line="96" w:lineRule="exact"/>
              <w:rPr>
                <w:sz w:val="20"/>
                <w:szCs w:val="20"/>
                <w:color w:val="auto"/>
              </w:rPr>
            </w:pPr>
            <w:r>
              <w:rPr>
                <w:rFonts w:ascii="Arial" w:cs="Arial" w:eastAsia="Arial" w:hAnsi="Arial"/>
                <w:sz w:val="9"/>
                <w:szCs w:val="9"/>
                <w:color w:val="auto"/>
              </w:rPr>
              <w:t>1,300,001 and</w:t>
            </w: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960" w:type="dxa"/>
            <w:vAlign w:val="bottom"/>
          </w:tcPr>
          <w:p>
            <w:pPr>
              <w:ind w:left="140"/>
              <w:spacing w:after="0" w:line="86" w:lineRule="exact"/>
              <w:rPr>
                <w:sz w:val="20"/>
                <w:szCs w:val="20"/>
                <w:color w:val="auto"/>
              </w:rPr>
            </w:pPr>
            <w:r>
              <w:rPr>
                <w:rFonts w:ascii="Arial" w:cs="Arial" w:eastAsia="Arial" w:hAnsi="Arial"/>
                <w:sz w:val="9"/>
                <w:szCs w:val="9"/>
                <w:color w:val="auto"/>
              </w:rPr>
              <w:t>1,500,000 shares</w:t>
            </w: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960" w:type="dxa"/>
            <w:vAlign w:val="bottom"/>
          </w:tcPr>
          <w:p>
            <w:pPr>
              <w:ind w:left="140"/>
              <w:spacing w:after="0" w:line="86" w:lineRule="exact"/>
              <w:rPr>
                <w:sz w:val="20"/>
                <w:szCs w:val="20"/>
                <w:color w:val="auto"/>
              </w:rPr>
            </w:pPr>
            <w:r>
              <w:rPr>
                <w:rFonts w:ascii="Arial" w:cs="Arial" w:eastAsia="Arial" w:hAnsi="Arial"/>
                <w:sz w:val="9"/>
                <w:szCs w:val="9"/>
                <w:color w:val="auto"/>
              </w:rPr>
              <w:t>of Class A</w:t>
            </w:r>
          </w:p>
        </w:tc>
        <w:tc>
          <w:tcPr>
            <w:tcW w:w="540" w:type="dxa"/>
            <w:vAlign w:val="bottom"/>
            <w:vMerge w:val="restart"/>
          </w:tcPr>
          <w:p>
            <w:pPr>
              <w:jc w:val="right"/>
              <w:ind w:right="17"/>
              <w:spacing w:after="0"/>
              <w:rPr>
                <w:sz w:val="20"/>
                <w:szCs w:val="20"/>
                <w:color w:val="auto"/>
              </w:rPr>
            </w:pPr>
            <w:r>
              <w:rPr>
                <w:rFonts w:ascii="Arial" w:cs="Arial" w:eastAsia="Arial" w:hAnsi="Arial"/>
                <w:sz w:val="9"/>
                <w:szCs w:val="9"/>
                <w:color w:val="auto"/>
              </w:rPr>
              <w:t>1,373,540</w:t>
            </w:r>
          </w:p>
        </w:tc>
        <w:tc>
          <w:tcPr>
            <w:tcW w:w="3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540" w:type="dxa"/>
            <w:vAlign w:val="bottom"/>
            <w:vMerge w:val="restart"/>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tcPr>
          <w:p>
            <w:pPr>
              <w:jc w:val="right"/>
              <w:ind w:right="17"/>
              <w:spacing w:after="0"/>
              <w:rPr>
                <w:sz w:val="20"/>
                <w:szCs w:val="20"/>
                <w:color w:val="auto"/>
              </w:rPr>
            </w:pPr>
            <w:r>
              <w:rPr>
                <w:rFonts w:ascii="Arial" w:cs="Arial" w:eastAsia="Arial" w:hAnsi="Arial"/>
                <w:sz w:val="9"/>
                <w:szCs w:val="9"/>
                <w:color w:val="auto"/>
              </w:rPr>
              <w:t>513,481</w:t>
            </w:r>
          </w:p>
        </w:tc>
        <w:tc>
          <w:tcPr>
            <w:tcW w:w="40" w:type="dxa"/>
            <w:vAlign w:val="bottom"/>
          </w:tcPr>
          <w:p>
            <w:pPr>
              <w:spacing w:after="0"/>
              <w:rPr>
                <w:sz w:val="7"/>
                <w:szCs w:val="7"/>
                <w:color w:val="auto"/>
              </w:rPr>
            </w:pPr>
          </w:p>
        </w:tc>
        <w:tc>
          <w:tcPr>
            <w:tcW w:w="540" w:type="dxa"/>
            <w:vAlign w:val="bottom"/>
            <w:vMerge w:val="restart"/>
          </w:tcPr>
          <w:p>
            <w:pPr>
              <w:jc w:val="right"/>
              <w:ind w:right="17"/>
              <w:spacing w:after="0"/>
              <w:rPr>
                <w:sz w:val="20"/>
                <w:szCs w:val="20"/>
                <w:color w:val="auto"/>
              </w:rPr>
            </w:pPr>
            <w:r>
              <w:rPr>
                <w:rFonts w:ascii="Arial" w:cs="Arial" w:eastAsia="Arial" w:hAnsi="Arial"/>
                <w:sz w:val="9"/>
                <w:szCs w:val="9"/>
                <w:color w:val="auto"/>
              </w:rPr>
              <w:t>860,059</w:t>
            </w:r>
          </w:p>
        </w:tc>
        <w:tc>
          <w:tcPr>
            <w:tcW w:w="2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540" w:type="dxa"/>
            <w:vAlign w:val="bottom"/>
            <w:vMerge w:val="restart"/>
          </w:tcPr>
          <w:p>
            <w:pPr>
              <w:ind w:left="42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20" w:type="dxa"/>
            <w:vAlign w:val="bottom"/>
            <w:vMerge w:val="restart"/>
          </w:tcPr>
          <w:p>
            <w:pPr>
              <w:jc w:val="right"/>
              <w:ind w:right="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53"/>
        </w:trPr>
        <w:tc>
          <w:tcPr>
            <w:tcW w:w="960" w:type="dxa"/>
            <w:vAlign w:val="bottom"/>
          </w:tcPr>
          <w:p>
            <w:pPr>
              <w:ind w:left="140"/>
              <w:spacing w:after="0"/>
              <w:rPr>
                <w:sz w:val="20"/>
                <w:szCs w:val="20"/>
                <w:color w:val="auto"/>
              </w:rPr>
            </w:pPr>
            <w:r>
              <w:rPr>
                <w:rFonts w:ascii="Arial" w:cs="Arial" w:eastAsia="Arial" w:hAnsi="Arial"/>
                <w:sz w:val="9"/>
                <w:szCs w:val="9"/>
                <w:color w:val="auto"/>
              </w:rPr>
              <w:t xml:space="preserve">Common Stock </w:t>
            </w:r>
            <w:r>
              <w:rPr>
                <w:rFonts w:ascii="Arial" w:cs="Arial" w:eastAsia="Arial" w:hAnsi="Arial"/>
                <w:sz w:val="11"/>
                <w:szCs w:val="11"/>
                <w:color w:val="auto"/>
                <w:vertAlign w:val="superscript"/>
              </w:rPr>
              <w:t>(18)</w:t>
            </w:r>
            <w:r>
              <w:rPr>
                <w:rFonts w:ascii="Times New Roman" w:cs="Times New Roman" w:eastAsia="Times New Roman" w:hAnsi="Times New Roman"/>
                <w:sz w:val="9"/>
                <w:szCs w:val="9"/>
                <w:color w:val="B4B4B4"/>
              </w:rPr>
              <w:t>.</w:t>
            </w:r>
          </w:p>
        </w:tc>
        <w:tc>
          <w:tcPr>
            <w:tcW w:w="54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195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560"/>
        <w:spacing w:after="0"/>
        <w:rPr>
          <w:sz w:val="20"/>
          <w:szCs w:val="20"/>
          <w:color w:val="auto"/>
        </w:rPr>
      </w:pPr>
      <w:r>
        <w:rPr>
          <w:rFonts w:ascii="Arial" w:cs="Arial" w:eastAsia="Arial" w:hAnsi="Arial"/>
          <w:sz w:val="9"/>
          <w:szCs w:val="9"/>
          <w:color w:val="auto"/>
        </w:rPr>
        <w:t>Other Selling</w:t>
      </w:r>
    </w:p>
    <w:tbl>
      <w:tblPr>
        <w:tblLayout w:type="fixed"/>
        <w:tblInd w:w="1520" w:type="dxa"/>
        <w:tblCellMar>
          <w:top w:w="0" w:type="dxa"/>
          <w:left w:w="0" w:type="dxa"/>
          <w:bottom w:w="0" w:type="dxa"/>
          <w:right w:w="0" w:type="dxa"/>
        </w:tblCellMar>
      </w:tblPr>
      <w:tr>
        <w:trPr>
          <w:trHeight w:val="88"/>
        </w:trPr>
        <w:tc>
          <w:tcPr>
            <w:tcW w:w="140" w:type="dxa"/>
            <w:vAlign w:val="bottom"/>
          </w:tcPr>
          <w:p>
            <w:pPr>
              <w:spacing w:after="0"/>
              <w:rPr>
                <w:sz w:val="7"/>
                <w:szCs w:val="7"/>
                <w:color w:val="auto"/>
              </w:rPr>
            </w:pPr>
          </w:p>
        </w:tc>
        <w:tc>
          <w:tcPr>
            <w:tcW w:w="880" w:type="dxa"/>
            <w:vAlign w:val="bottom"/>
          </w:tcPr>
          <w:p>
            <w:pPr>
              <w:spacing w:after="0" w:line="88" w:lineRule="exact"/>
              <w:rPr>
                <w:sz w:val="20"/>
                <w:szCs w:val="20"/>
                <w:color w:val="auto"/>
              </w:rPr>
            </w:pPr>
            <w:r>
              <w:rPr>
                <w:rFonts w:ascii="Arial" w:cs="Arial" w:eastAsia="Arial" w:hAnsi="Arial"/>
                <w:sz w:val="9"/>
                <w:szCs w:val="9"/>
                <w:color w:val="auto"/>
              </w:rPr>
              <w:t>Stockholders that</w:t>
            </w: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880" w:type="dxa"/>
            <w:vAlign w:val="bottom"/>
          </w:tcPr>
          <w:p>
            <w:pPr>
              <w:spacing w:after="0" w:line="86" w:lineRule="exact"/>
              <w:rPr>
                <w:sz w:val="20"/>
                <w:szCs w:val="20"/>
                <w:color w:val="auto"/>
              </w:rPr>
            </w:pPr>
            <w:r>
              <w:rPr>
                <w:rFonts w:ascii="Arial" w:cs="Arial" w:eastAsia="Arial" w:hAnsi="Arial"/>
                <w:sz w:val="9"/>
                <w:szCs w:val="9"/>
                <w:color w:val="auto"/>
              </w:rPr>
              <w:t>beneficially own</w:t>
            </w: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880" w:type="dxa"/>
            <w:vAlign w:val="bottom"/>
          </w:tcPr>
          <w:p>
            <w:pPr>
              <w:spacing w:after="0" w:line="86" w:lineRule="exact"/>
              <w:rPr>
                <w:sz w:val="20"/>
                <w:szCs w:val="20"/>
                <w:color w:val="auto"/>
              </w:rPr>
            </w:pPr>
            <w:r>
              <w:rPr>
                <w:rFonts w:ascii="Arial" w:cs="Arial" w:eastAsia="Arial" w:hAnsi="Arial"/>
                <w:sz w:val="9"/>
                <w:szCs w:val="9"/>
                <w:color w:val="auto"/>
              </w:rPr>
              <w:t>between</w:t>
            </w: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40" w:type="dxa"/>
            <w:vAlign w:val="bottom"/>
          </w:tcPr>
          <w:p>
            <w:pPr>
              <w:spacing w:after="0"/>
              <w:rPr>
                <w:sz w:val="8"/>
                <w:szCs w:val="8"/>
                <w:color w:val="auto"/>
              </w:rPr>
            </w:pPr>
          </w:p>
        </w:tc>
        <w:tc>
          <w:tcPr>
            <w:tcW w:w="880" w:type="dxa"/>
            <w:vAlign w:val="bottom"/>
          </w:tcPr>
          <w:p>
            <w:pPr>
              <w:spacing w:after="0" w:line="96" w:lineRule="exact"/>
              <w:rPr>
                <w:sz w:val="20"/>
                <w:szCs w:val="20"/>
                <w:color w:val="auto"/>
              </w:rPr>
            </w:pPr>
            <w:r>
              <w:rPr>
                <w:rFonts w:ascii="Arial" w:cs="Arial" w:eastAsia="Arial" w:hAnsi="Arial"/>
                <w:sz w:val="9"/>
                <w:szCs w:val="9"/>
                <w:color w:val="auto"/>
              </w:rPr>
              <w:t>1,150,001 and</w:t>
            </w: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880" w:type="dxa"/>
            <w:vAlign w:val="bottom"/>
          </w:tcPr>
          <w:p>
            <w:pPr>
              <w:spacing w:after="0" w:line="86" w:lineRule="exact"/>
              <w:rPr>
                <w:sz w:val="20"/>
                <w:szCs w:val="20"/>
                <w:color w:val="auto"/>
              </w:rPr>
            </w:pPr>
            <w:r>
              <w:rPr>
                <w:rFonts w:ascii="Arial" w:cs="Arial" w:eastAsia="Arial" w:hAnsi="Arial"/>
                <w:sz w:val="9"/>
                <w:szCs w:val="9"/>
                <w:color w:val="auto"/>
              </w:rPr>
              <w:t>1,300,000 shares</w:t>
            </w: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880" w:type="dxa"/>
            <w:vAlign w:val="bottom"/>
          </w:tcPr>
          <w:p>
            <w:pPr>
              <w:spacing w:after="0" w:line="86" w:lineRule="exact"/>
              <w:rPr>
                <w:sz w:val="20"/>
                <w:szCs w:val="20"/>
                <w:color w:val="auto"/>
              </w:rPr>
            </w:pPr>
            <w:r>
              <w:rPr>
                <w:rFonts w:ascii="Arial" w:cs="Arial" w:eastAsia="Arial" w:hAnsi="Arial"/>
                <w:sz w:val="9"/>
                <w:szCs w:val="9"/>
                <w:color w:val="auto"/>
              </w:rPr>
              <w:t>of Class A</w:t>
            </w:r>
          </w:p>
        </w:tc>
        <w:tc>
          <w:tcPr>
            <w:tcW w:w="560" w:type="dxa"/>
            <w:vAlign w:val="bottom"/>
            <w:vMerge w:val="restart"/>
          </w:tcPr>
          <w:p>
            <w:pPr>
              <w:jc w:val="right"/>
              <w:ind w:right="97"/>
              <w:spacing w:after="0"/>
              <w:rPr>
                <w:sz w:val="20"/>
                <w:szCs w:val="20"/>
                <w:color w:val="auto"/>
              </w:rPr>
            </w:pPr>
            <w:r>
              <w:rPr>
                <w:rFonts w:ascii="Arial" w:cs="Arial" w:eastAsia="Arial" w:hAnsi="Arial"/>
                <w:sz w:val="9"/>
                <w:szCs w:val="9"/>
                <w:color w:val="auto"/>
                <w:w w:val="99"/>
              </w:rPr>
              <w:t>1,175,906</w:t>
            </w:r>
          </w:p>
        </w:tc>
        <w:tc>
          <w:tcPr>
            <w:tcW w:w="420" w:type="dxa"/>
            <w:vAlign w:val="bottom"/>
            <w:vMerge w:val="restart"/>
          </w:tcPr>
          <w:p>
            <w:pPr>
              <w:jc w:val="right"/>
              <w:ind w:right="197"/>
              <w:spacing w:after="0"/>
              <w:rPr>
                <w:sz w:val="20"/>
                <w:szCs w:val="20"/>
                <w:color w:val="auto"/>
              </w:rPr>
            </w:pPr>
            <w:r>
              <w:rPr>
                <w:rFonts w:ascii="Arial" w:cs="Arial" w:eastAsia="Arial" w:hAnsi="Arial"/>
                <w:sz w:val="9"/>
                <w:szCs w:val="9"/>
                <w:color w:val="auto"/>
              </w:rPr>
              <w:t>*</w:t>
            </w:r>
          </w:p>
        </w:tc>
        <w:tc>
          <w:tcPr>
            <w:tcW w:w="460" w:type="dxa"/>
            <w:vAlign w:val="bottom"/>
            <w:vMerge w:val="restart"/>
          </w:tcPr>
          <w:p>
            <w:pPr>
              <w:ind w:left="260"/>
              <w:spacing w:after="0"/>
              <w:rPr>
                <w:sz w:val="20"/>
                <w:szCs w:val="20"/>
                <w:color w:val="auto"/>
              </w:rPr>
            </w:pPr>
            <w:r>
              <w:rPr>
                <w:rFonts w:ascii="Arial" w:cs="Arial" w:eastAsia="Arial" w:hAnsi="Arial"/>
                <w:sz w:val="9"/>
                <w:szCs w:val="9"/>
                <w:color w:val="auto"/>
              </w:rPr>
              <w:t>—</w:t>
            </w:r>
          </w:p>
        </w:tc>
        <w:tc>
          <w:tcPr>
            <w:tcW w:w="420" w:type="dxa"/>
            <w:vAlign w:val="bottom"/>
            <w:vMerge w:val="restart"/>
          </w:tcPr>
          <w:p>
            <w:pPr>
              <w:ind w:left="100"/>
              <w:spacing w:after="0"/>
              <w:rPr>
                <w:sz w:val="20"/>
                <w:szCs w:val="20"/>
                <w:color w:val="auto"/>
              </w:rPr>
            </w:pPr>
            <w:r>
              <w:rPr>
                <w:rFonts w:ascii="Arial" w:cs="Arial" w:eastAsia="Arial" w:hAnsi="Arial"/>
                <w:sz w:val="9"/>
                <w:szCs w:val="9"/>
                <w:color w:val="auto"/>
              </w:rPr>
              <w:t>—</w:t>
            </w:r>
          </w:p>
        </w:tc>
        <w:tc>
          <w:tcPr>
            <w:tcW w:w="360" w:type="dxa"/>
            <w:vAlign w:val="bottom"/>
            <w:vMerge w:val="restart"/>
          </w:tcPr>
          <w:p>
            <w:pPr>
              <w:jc w:val="right"/>
              <w:ind w:right="57"/>
              <w:spacing w:after="0"/>
              <w:rPr>
                <w:sz w:val="20"/>
                <w:szCs w:val="20"/>
                <w:color w:val="auto"/>
              </w:rPr>
            </w:pPr>
            <w:r>
              <w:rPr>
                <w:rFonts w:ascii="Arial" w:cs="Arial" w:eastAsia="Arial" w:hAnsi="Arial"/>
                <w:sz w:val="9"/>
                <w:szCs w:val="9"/>
                <w:color w:val="auto"/>
              </w:rPr>
              <w:t>*</w:t>
            </w:r>
          </w:p>
        </w:tc>
        <w:tc>
          <w:tcPr>
            <w:tcW w:w="520" w:type="dxa"/>
            <w:vAlign w:val="bottom"/>
            <w:vMerge w:val="restart"/>
          </w:tcPr>
          <w:p>
            <w:pPr>
              <w:jc w:val="right"/>
              <w:ind w:right="57"/>
              <w:spacing w:after="0"/>
              <w:rPr>
                <w:sz w:val="20"/>
                <w:szCs w:val="20"/>
                <w:color w:val="auto"/>
              </w:rPr>
            </w:pPr>
            <w:r>
              <w:rPr>
                <w:rFonts w:ascii="Arial" w:cs="Arial" w:eastAsia="Arial" w:hAnsi="Arial"/>
                <w:sz w:val="9"/>
                <w:szCs w:val="9"/>
                <w:color w:val="auto"/>
              </w:rPr>
              <w:t>133,333</w:t>
            </w:r>
          </w:p>
        </w:tc>
        <w:tc>
          <w:tcPr>
            <w:tcW w:w="620" w:type="dxa"/>
            <w:vAlign w:val="bottom"/>
            <w:vMerge w:val="restart"/>
          </w:tcPr>
          <w:p>
            <w:pPr>
              <w:jc w:val="right"/>
              <w:ind w:right="97"/>
              <w:spacing w:after="0"/>
              <w:rPr>
                <w:sz w:val="20"/>
                <w:szCs w:val="20"/>
                <w:color w:val="auto"/>
              </w:rPr>
            </w:pPr>
            <w:r>
              <w:rPr>
                <w:rFonts w:ascii="Arial" w:cs="Arial" w:eastAsia="Arial" w:hAnsi="Arial"/>
                <w:sz w:val="9"/>
                <w:szCs w:val="9"/>
                <w:color w:val="auto"/>
              </w:rPr>
              <w:t>1,042,573</w:t>
            </w:r>
          </w:p>
        </w:tc>
        <w:tc>
          <w:tcPr>
            <w:tcW w:w="580" w:type="dxa"/>
            <w:vAlign w:val="bottom"/>
            <w:vMerge w:val="restart"/>
          </w:tcPr>
          <w:p>
            <w:pPr>
              <w:jc w:val="right"/>
              <w:ind w:right="377"/>
              <w:spacing w:after="0"/>
              <w:rPr>
                <w:sz w:val="20"/>
                <w:szCs w:val="20"/>
                <w:color w:val="auto"/>
              </w:rPr>
            </w:pPr>
            <w:r>
              <w:rPr>
                <w:rFonts w:ascii="Arial" w:cs="Arial" w:eastAsia="Arial" w:hAnsi="Arial"/>
                <w:sz w:val="9"/>
                <w:szCs w:val="9"/>
                <w:color w:val="auto"/>
              </w:rPr>
              <w:t>*</w:t>
            </w:r>
          </w:p>
        </w:tc>
        <w:tc>
          <w:tcPr>
            <w:tcW w:w="360" w:type="dxa"/>
            <w:vAlign w:val="bottom"/>
            <w:vMerge w:val="restart"/>
          </w:tcPr>
          <w:p>
            <w:pPr>
              <w:ind w:left="80"/>
              <w:spacing w:after="0"/>
              <w:rPr>
                <w:sz w:val="20"/>
                <w:szCs w:val="20"/>
                <w:color w:val="auto"/>
              </w:rPr>
            </w:pPr>
            <w:r>
              <w:rPr>
                <w:rFonts w:ascii="Arial" w:cs="Arial" w:eastAsia="Arial" w:hAnsi="Arial"/>
                <w:sz w:val="9"/>
                <w:szCs w:val="9"/>
                <w:color w:val="auto"/>
              </w:rPr>
              <w:t>—</w:t>
            </w:r>
          </w:p>
        </w:tc>
        <w:tc>
          <w:tcPr>
            <w:tcW w:w="560" w:type="dxa"/>
            <w:vAlign w:val="bottom"/>
            <w:vMerge w:val="restart"/>
          </w:tcPr>
          <w:p>
            <w:pPr>
              <w:ind w:left="20"/>
              <w:spacing w:after="0"/>
              <w:rPr>
                <w:sz w:val="20"/>
                <w:szCs w:val="20"/>
                <w:color w:val="auto"/>
              </w:rPr>
            </w:pPr>
            <w:r>
              <w:rPr>
                <w:rFonts w:ascii="Arial" w:cs="Arial" w:eastAsia="Arial" w:hAnsi="Arial"/>
                <w:sz w:val="9"/>
                <w:szCs w:val="9"/>
                <w:color w:val="auto"/>
              </w:rPr>
              <w:t>—</w:t>
            </w:r>
          </w:p>
        </w:tc>
        <w:tc>
          <w:tcPr>
            <w:tcW w:w="100" w:type="dxa"/>
            <w:vAlign w:val="bottom"/>
            <w:vMerge w:val="restart"/>
          </w:tcPr>
          <w:p>
            <w:pPr>
              <w:jc w:val="right"/>
              <w:ind w:right="28"/>
              <w:spacing w:after="0"/>
              <w:rPr>
                <w:sz w:val="20"/>
                <w:szCs w:val="20"/>
                <w:color w:val="auto"/>
              </w:rPr>
            </w:pPr>
            <w:r>
              <w:rPr>
                <w:rFonts w:ascii="Arial" w:cs="Arial" w:eastAsia="Arial" w:hAnsi="Arial"/>
                <w:sz w:val="6"/>
                <w:szCs w:val="6"/>
                <w:color w:val="auto"/>
                <w:w w:val="83"/>
              </w:rPr>
              <w:t>*</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880" w:type="dxa"/>
            <w:vAlign w:val="bottom"/>
          </w:tcPr>
          <w:p>
            <w:pPr>
              <w:spacing w:after="0"/>
              <w:rPr>
                <w:sz w:val="20"/>
                <w:szCs w:val="20"/>
                <w:color w:val="auto"/>
              </w:rPr>
            </w:pPr>
            <w:r>
              <w:rPr>
                <w:rFonts w:ascii="Arial" w:cs="Arial" w:eastAsia="Arial" w:hAnsi="Arial"/>
                <w:sz w:val="9"/>
                <w:szCs w:val="9"/>
                <w:color w:val="auto"/>
              </w:rPr>
              <w:t xml:space="preserve">Common Stock </w:t>
            </w:r>
            <w:r>
              <w:rPr>
                <w:rFonts w:ascii="Arial" w:cs="Arial" w:eastAsia="Arial" w:hAnsi="Arial"/>
                <w:sz w:val="11"/>
                <w:szCs w:val="11"/>
                <w:color w:val="auto"/>
                <w:vertAlign w:val="superscript"/>
              </w:rPr>
              <w:t>(18)</w:t>
            </w:r>
            <w:r>
              <w:rPr>
                <w:rFonts w:ascii="Times New Roman" w:cs="Times New Roman" w:eastAsia="Times New Roman" w:hAnsi="Times New Roman"/>
                <w:sz w:val="9"/>
                <w:szCs w:val="9"/>
                <w:color w:val="B4B4B4"/>
              </w:rPr>
              <w:t>.</w:t>
            </w:r>
          </w:p>
        </w:tc>
        <w:tc>
          <w:tcPr>
            <w:tcW w:w="56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020" w:type="dxa"/>
            <w:vAlign w:val="bottom"/>
            <w:gridSpan w:val="2"/>
          </w:tcPr>
          <w:p>
            <w:pPr>
              <w:ind w:left="40"/>
              <w:spacing w:after="0"/>
              <w:rPr>
                <w:sz w:val="20"/>
                <w:szCs w:val="20"/>
                <w:color w:val="auto"/>
              </w:rPr>
            </w:pPr>
            <w:r>
              <w:rPr>
                <w:rFonts w:ascii="Arial" w:cs="Arial" w:eastAsia="Arial" w:hAnsi="Arial"/>
                <w:sz w:val="9"/>
                <w:szCs w:val="9"/>
                <w:color w:val="auto"/>
              </w:rPr>
              <w:t>Other Selling</w:t>
            </w: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40" w:type="dxa"/>
            <w:vAlign w:val="bottom"/>
          </w:tcPr>
          <w:p>
            <w:pPr>
              <w:spacing w:after="0"/>
              <w:rPr>
                <w:sz w:val="8"/>
                <w:szCs w:val="8"/>
                <w:color w:val="auto"/>
              </w:rPr>
            </w:pPr>
          </w:p>
        </w:tc>
        <w:tc>
          <w:tcPr>
            <w:tcW w:w="880" w:type="dxa"/>
            <w:vAlign w:val="bottom"/>
          </w:tcPr>
          <w:p>
            <w:pPr>
              <w:spacing w:after="0" w:line="96" w:lineRule="exact"/>
              <w:rPr>
                <w:sz w:val="20"/>
                <w:szCs w:val="20"/>
                <w:color w:val="auto"/>
              </w:rPr>
            </w:pPr>
            <w:r>
              <w:rPr>
                <w:rFonts w:ascii="Arial" w:cs="Arial" w:eastAsia="Arial" w:hAnsi="Arial"/>
                <w:sz w:val="9"/>
                <w:szCs w:val="9"/>
                <w:color w:val="auto"/>
              </w:rPr>
              <w:t>Stockholders that</w:t>
            </w: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880" w:type="dxa"/>
            <w:vAlign w:val="bottom"/>
          </w:tcPr>
          <w:p>
            <w:pPr>
              <w:spacing w:after="0" w:line="86" w:lineRule="exact"/>
              <w:rPr>
                <w:sz w:val="20"/>
                <w:szCs w:val="20"/>
                <w:color w:val="auto"/>
              </w:rPr>
            </w:pPr>
            <w:r>
              <w:rPr>
                <w:rFonts w:ascii="Arial" w:cs="Arial" w:eastAsia="Arial" w:hAnsi="Arial"/>
                <w:sz w:val="9"/>
                <w:szCs w:val="9"/>
                <w:color w:val="auto"/>
              </w:rPr>
              <w:t>beneficially own</w:t>
            </w: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880" w:type="dxa"/>
            <w:vAlign w:val="bottom"/>
          </w:tcPr>
          <w:p>
            <w:pPr>
              <w:spacing w:after="0" w:line="86" w:lineRule="exact"/>
              <w:rPr>
                <w:sz w:val="20"/>
                <w:szCs w:val="20"/>
                <w:color w:val="auto"/>
              </w:rPr>
            </w:pPr>
            <w:r>
              <w:rPr>
                <w:rFonts w:ascii="Arial" w:cs="Arial" w:eastAsia="Arial" w:hAnsi="Arial"/>
                <w:sz w:val="9"/>
                <w:szCs w:val="9"/>
                <w:color w:val="auto"/>
              </w:rPr>
              <w:t>between</w:t>
            </w: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40" w:type="dxa"/>
            <w:vAlign w:val="bottom"/>
          </w:tcPr>
          <w:p>
            <w:pPr>
              <w:spacing w:after="0"/>
              <w:rPr>
                <w:sz w:val="8"/>
                <w:szCs w:val="8"/>
                <w:color w:val="auto"/>
              </w:rPr>
            </w:pPr>
          </w:p>
        </w:tc>
        <w:tc>
          <w:tcPr>
            <w:tcW w:w="880" w:type="dxa"/>
            <w:vAlign w:val="bottom"/>
          </w:tcPr>
          <w:p>
            <w:pPr>
              <w:spacing w:after="0" w:line="96" w:lineRule="exact"/>
              <w:rPr>
                <w:sz w:val="20"/>
                <w:szCs w:val="20"/>
                <w:color w:val="auto"/>
              </w:rPr>
            </w:pPr>
            <w:r>
              <w:rPr>
                <w:rFonts w:ascii="Arial" w:cs="Arial" w:eastAsia="Arial" w:hAnsi="Arial"/>
                <w:sz w:val="9"/>
                <w:szCs w:val="9"/>
                <w:color w:val="auto"/>
              </w:rPr>
              <w:t>1,010,001 and</w:t>
            </w: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880" w:type="dxa"/>
            <w:vAlign w:val="bottom"/>
          </w:tcPr>
          <w:p>
            <w:pPr>
              <w:spacing w:after="0" w:line="86" w:lineRule="exact"/>
              <w:rPr>
                <w:sz w:val="20"/>
                <w:szCs w:val="20"/>
                <w:color w:val="auto"/>
              </w:rPr>
            </w:pPr>
            <w:r>
              <w:rPr>
                <w:rFonts w:ascii="Arial" w:cs="Arial" w:eastAsia="Arial" w:hAnsi="Arial"/>
                <w:sz w:val="9"/>
                <w:szCs w:val="9"/>
                <w:color w:val="auto"/>
              </w:rPr>
              <w:t>1,150,000 shares</w:t>
            </w: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880" w:type="dxa"/>
            <w:vAlign w:val="bottom"/>
          </w:tcPr>
          <w:p>
            <w:pPr>
              <w:spacing w:after="0" w:line="86" w:lineRule="exact"/>
              <w:rPr>
                <w:sz w:val="20"/>
                <w:szCs w:val="20"/>
                <w:color w:val="auto"/>
              </w:rPr>
            </w:pPr>
            <w:r>
              <w:rPr>
                <w:rFonts w:ascii="Arial" w:cs="Arial" w:eastAsia="Arial" w:hAnsi="Arial"/>
                <w:sz w:val="9"/>
                <w:szCs w:val="9"/>
                <w:color w:val="auto"/>
              </w:rPr>
              <w:t>of Class A</w:t>
            </w:r>
          </w:p>
        </w:tc>
        <w:tc>
          <w:tcPr>
            <w:tcW w:w="560" w:type="dxa"/>
            <w:vAlign w:val="bottom"/>
            <w:vMerge w:val="restart"/>
          </w:tcPr>
          <w:p>
            <w:pPr>
              <w:jc w:val="right"/>
              <w:ind w:right="97"/>
              <w:spacing w:after="0"/>
              <w:rPr>
                <w:sz w:val="20"/>
                <w:szCs w:val="20"/>
                <w:color w:val="auto"/>
              </w:rPr>
            </w:pPr>
            <w:r>
              <w:rPr>
                <w:rFonts w:ascii="Arial" w:cs="Arial" w:eastAsia="Arial" w:hAnsi="Arial"/>
                <w:sz w:val="9"/>
                <w:szCs w:val="9"/>
                <w:color w:val="auto"/>
                <w:w w:val="99"/>
              </w:rPr>
              <w:t>1,047,922</w:t>
            </w:r>
          </w:p>
        </w:tc>
        <w:tc>
          <w:tcPr>
            <w:tcW w:w="420" w:type="dxa"/>
            <w:vAlign w:val="bottom"/>
            <w:vMerge w:val="restart"/>
          </w:tcPr>
          <w:p>
            <w:pPr>
              <w:jc w:val="right"/>
              <w:ind w:right="197"/>
              <w:spacing w:after="0"/>
              <w:rPr>
                <w:sz w:val="20"/>
                <w:szCs w:val="20"/>
                <w:color w:val="auto"/>
              </w:rPr>
            </w:pPr>
            <w:r>
              <w:rPr>
                <w:rFonts w:ascii="Arial" w:cs="Arial" w:eastAsia="Arial" w:hAnsi="Arial"/>
                <w:sz w:val="9"/>
                <w:szCs w:val="9"/>
                <w:color w:val="auto"/>
              </w:rPr>
              <w:t>*</w:t>
            </w:r>
          </w:p>
        </w:tc>
        <w:tc>
          <w:tcPr>
            <w:tcW w:w="460" w:type="dxa"/>
            <w:vAlign w:val="bottom"/>
            <w:vMerge w:val="restart"/>
          </w:tcPr>
          <w:p>
            <w:pPr>
              <w:ind w:left="260"/>
              <w:spacing w:after="0"/>
              <w:rPr>
                <w:sz w:val="20"/>
                <w:szCs w:val="20"/>
                <w:color w:val="auto"/>
              </w:rPr>
            </w:pPr>
            <w:r>
              <w:rPr>
                <w:rFonts w:ascii="Arial" w:cs="Arial" w:eastAsia="Arial" w:hAnsi="Arial"/>
                <w:sz w:val="9"/>
                <w:szCs w:val="9"/>
                <w:color w:val="auto"/>
              </w:rPr>
              <w:t>—</w:t>
            </w:r>
          </w:p>
        </w:tc>
        <w:tc>
          <w:tcPr>
            <w:tcW w:w="420" w:type="dxa"/>
            <w:vAlign w:val="bottom"/>
            <w:vMerge w:val="restart"/>
          </w:tcPr>
          <w:p>
            <w:pPr>
              <w:ind w:left="100"/>
              <w:spacing w:after="0"/>
              <w:rPr>
                <w:sz w:val="20"/>
                <w:szCs w:val="20"/>
                <w:color w:val="auto"/>
              </w:rPr>
            </w:pPr>
            <w:r>
              <w:rPr>
                <w:rFonts w:ascii="Arial" w:cs="Arial" w:eastAsia="Arial" w:hAnsi="Arial"/>
                <w:sz w:val="9"/>
                <w:szCs w:val="9"/>
                <w:color w:val="auto"/>
              </w:rPr>
              <w:t>—</w:t>
            </w:r>
          </w:p>
        </w:tc>
        <w:tc>
          <w:tcPr>
            <w:tcW w:w="360" w:type="dxa"/>
            <w:vAlign w:val="bottom"/>
            <w:vMerge w:val="restart"/>
          </w:tcPr>
          <w:p>
            <w:pPr>
              <w:jc w:val="right"/>
              <w:ind w:right="57"/>
              <w:spacing w:after="0"/>
              <w:rPr>
                <w:sz w:val="20"/>
                <w:szCs w:val="20"/>
                <w:color w:val="auto"/>
              </w:rPr>
            </w:pPr>
            <w:r>
              <w:rPr>
                <w:rFonts w:ascii="Arial" w:cs="Arial" w:eastAsia="Arial" w:hAnsi="Arial"/>
                <w:sz w:val="9"/>
                <w:szCs w:val="9"/>
                <w:color w:val="auto"/>
              </w:rPr>
              <w:t>*</w:t>
            </w:r>
          </w:p>
        </w:tc>
        <w:tc>
          <w:tcPr>
            <w:tcW w:w="520" w:type="dxa"/>
            <w:vAlign w:val="bottom"/>
            <w:vMerge w:val="restart"/>
          </w:tcPr>
          <w:p>
            <w:pPr>
              <w:jc w:val="right"/>
              <w:ind w:right="57"/>
              <w:spacing w:after="0"/>
              <w:rPr>
                <w:sz w:val="20"/>
                <w:szCs w:val="20"/>
                <w:color w:val="auto"/>
              </w:rPr>
            </w:pPr>
            <w:r>
              <w:rPr>
                <w:rFonts w:ascii="Arial" w:cs="Arial" w:eastAsia="Arial" w:hAnsi="Arial"/>
                <w:sz w:val="9"/>
                <w:szCs w:val="9"/>
                <w:color w:val="auto"/>
              </w:rPr>
              <w:t>166,666</w:t>
            </w:r>
          </w:p>
        </w:tc>
        <w:tc>
          <w:tcPr>
            <w:tcW w:w="620" w:type="dxa"/>
            <w:vAlign w:val="bottom"/>
            <w:vMerge w:val="restart"/>
          </w:tcPr>
          <w:p>
            <w:pPr>
              <w:jc w:val="right"/>
              <w:ind w:right="97"/>
              <w:spacing w:after="0"/>
              <w:rPr>
                <w:sz w:val="20"/>
                <w:szCs w:val="20"/>
                <w:color w:val="auto"/>
              </w:rPr>
            </w:pPr>
            <w:r>
              <w:rPr>
                <w:rFonts w:ascii="Arial" w:cs="Arial" w:eastAsia="Arial" w:hAnsi="Arial"/>
                <w:sz w:val="9"/>
                <w:szCs w:val="9"/>
                <w:color w:val="auto"/>
              </w:rPr>
              <w:t>881,256</w:t>
            </w:r>
          </w:p>
        </w:tc>
        <w:tc>
          <w:tcPr>
            <w:tcW w:w="580" w:type="dxa"/>
            <w:vAlign w:val="bottom"/>
            <w:vMerge w:val="restart"/>
          </w:tcPr>
          <w:p>
            <w:pPr>
              <w:jc w:val="right"/>
              <w:ind w:right="377"/>
              <w:spacing w:after="0"/>
              <w:rPr>
                <w:sz w:val="20"/>
                <w:szCs w:val="20"/>
                <w:color w:val="auto"/>
              </w:rPr>
            </w:pPr>
            <w:r>
              <w:rPr>
                <w:rFonts w:ascii="Arial" w:cs="Arial" w:eastAsia="Arial" w:hAnsi="Arial"/>
                <w:sz w:val="9"/>
                <w:szCs w:val="9"/>
                <w:color w:val="auto"/>
              </w:rPr>
              <w:t>*</w:t>
            </w:r>
          </w:p>
        </w:tc>
        <w:tc>
          <w:tcPr>
            <w:tcW w:w="360" w:type="dxa"/>
            <w:vAlign w:val="bottom"/>
            <w:vMerge w:val="restart"/>
          </w:tcPr>
          <w:p>
            <w:pPr>
              <w:ind w:left="80"/>
              <w:spacing w:after="0"/>
              <w:rPr>
                <w:sz w:val="20"/>
                <w:szCs w:val="20"/>
                <w:color w:val="auto"/>
              </w:rPr>
            </w:pPr>
            <w:r>
              <w:rPr>
                <w:rFonts w:ascii="Arial" w:cs="Arial" w:eastAsia="Arial" w:hAnsi="Arial"/>
                <w:sz w:val="9"/>
                <w:szCs w:val="9"/>
                <w:color w:val="auto"/>
              </w:rPr>
              <w:t>—</w:t>
            </w:r>
          </w:p>
        </w:tc>
        <w:tc>
          <w:tcPr>
            <w:tcW w:w="560" w:type="dxa"/>
            <w:vAlign w:val="bottom"/>
            <w:vMerge w:val="restart"/>
          </w:tcPr>
          <w:p>
            <w:pPr>
              <w:ind w:left="20"/>
              <w:spacing w:after="0"/>
              <w:rPr>
                <w:sz w:val="20"/>
                <w:szCs w:val="20"/>
                <w:color w:val="auto"/>
              </w:rPr>
            </w:pPr>
            <w:r>
              <w:rPr>
                <w:rFonts w:ascii="Arial" w:cs="Arial" w:eastAsia="Arial" w:hAnsi="Arial"/>
                <w:sz w:val="9"/>
                <w:szCs w:val="9"/>
                <w:color w:val="auto"/>
              </w:rPr>
              <w:t>—</w:t>
            </w:r>
          </w:p>
        </w:tc>
        <w:tc>
          <w:tcPr>
            <w:tcW w:w="100" w:type="dxa"/>
            <w:vAlign w:val="bottom"/>
            <w:vMerge w:val="restart"/>
          </w:tcPr>
          <w:p>
            <w:pPr>
              <w:jc w:val="right"/>
              <w:ind w:right="28"/>
              <w:spacing w:after="0"/>
              <w:rPr>
                <w:sz w:val="20"/>
                <w:szCs w:val="20"/>
                <w:color w:val="auto"/>
              </w:rPr>
            </w:pPr>
            <w:r>
              <w:rPr>
                <w:rFonts w:ascii="Arial" w:cs="Arial" w:eastAsia="Arial" w:hAnsi="Arial"/>
                <w:sz w:val="6"/>
                <w:szCs w:val="6"/>
                <w:color w:val="auto"/>
                <w:w w:val="83"/>
              </w:rPr>
              <w:t>*</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880" w:type="dxa"/>
            <w:vAlign w:val="bottom"/>
          </w:tcPr>
          <w:p>
            <w:pPr>
              <w:spacing w:after="0"/>
              <w:rPr>
                <w:sz w:val="20"/>
                <w:szCs w:val="20"/>
                <w:color w:val="auto"/>
              </w:rPr>
            </w:pPr>
            <w:r>
              <w:rPr>
                <w:rFonts w:ascii="Arial" w:cs="Arial" w:eastAsia="Arial" w:hAnsi="Arial"/>
                <w:sz w:val="9"/>
                <w:szCs w:val="9"/>
                <w:color w:val="auto"/>
              </w:rPr>
              <w:t xml:space="preserve">Common Stock </w:t>
            </w:r>
            <w:r>
              <w:rPr>
                <w:rFonts w:ascii="Arial" w:cs="Arial" w:eastAsia="Arial" w:hAnsi="Arial"/>
                <w:sz w:val="11"/>
                <w:szCs w:val="11"/>
                <w:color w:val="auto"/>
                <w:vertAlign w:val="superscript"/>
              </w:rPr>
              <w:t>(18)</w:t>
            </w:r>
            <w:r>
              <w:rPr>
                <w:rFonts w:ascii="Times New Roman" w:cs="Times New Roman" w:eastAsia="Times New Roman" w:hAnsi="Times New Roman"/>
                <w:sz w:val="9"/>
                <w:szCs w:val="9"/>
                <w:color w:val="B4B4B4"/>
              </w:rPr>
              <w:t>.</w:t>
            </w:r>
          </w:p>
        </w:tc>
        <w:tc>
          <w:tcPr>
            <w:tcW w:w="56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02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Other Selling</w:t>
            </w:r>
          </w:p>
        </w:tc>
        <w:tc>
          <w:tcPr>
            <w:tcW w:w="5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line="96" w:lineRule="exact"/>
              <w:rPr>
                <w:sz w:val="20"/>
                <w:szCs w:val="20"/>
                <w:color w:val="auto"/>
              </w:rPr>
            </w:pPr>
            <w:r>
              <w:rPr>
                <w:rFonts w:ascii="Arial" w:cs="Arial" w:eastAsia="Arial" w:hAnsi="Arial"/>
                <w:sz w:val="9"/>
                <w:szCs w:val="9"/>
                <w:color w:val="auto"/>
              </w:rPr>
              <w:t>Stockholders that</w:t>
            </w:r>
          </w:p>
        </w:tc>
        <w:tc>
          <w:tcPr>
            <w:tcW w:w="5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line="86" w:lineRule="exact"/>
              <w:rPr>
                <w:sz w:val="20"/>
                <w:szCs w:val="20"/>
                <w:color w:val="auto"/>
              </w:rPr>
            </w:pPr>
            <w:r>
              <w:rPr>
                <w:rFonts w:ascii="Arial" w:cs="Arial" w:eastAsia="Arial" w:hAnsi="Arial"/>
                <w:sz w:val="9"/>
                <w:szCs w:val="9"/>
                <w:color w:val="auto"/>
              </w:rPr>
              <w:t>beneficially own</w:t>
            </w:r>
          </w:p>
        </w:tc>
        <w:tc>
          <w:tcPr>
            <w:tcW w:w="5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line="86" w:lineRule="exact"/>
              <w:rPr>
                <w:sz w:val="20"/>
                <w:szCs w:val="20"/>
                <w:color w:val="auto"/>
              </w:rPr>
            </w:pPr>
            <w:r>
              <w:rPr>
                <w:rFonts w:ascii="Arial" w:cs="Arial" w:eastAsia="Arial" w:hAnsi="Arial"/>
                <w:sz w:val="9"/>
                <w:szCs w:val="9"/>
                <w:color w:val="auto"/>
              </w:rPr>
              <w:t>between 800,001</w:t>
            </w:r>
          </w:p>
        </w:tc>
        <w:tc>
          <w:tcPr>
            <w:tcW w:w="5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line="96" w:lineRule="exact"/>
              <w:rPr>
                <w:sz w:val="20"/>
                <w:szCs w:val="20"/>
                <w:color w:val="auto"/>
              </w:rPr>
            </w:pPr>
            <w:r>
              <w:rPr>
                <w:rFonts w:ascii="Arial" w:cs="Arial" w:eastAsia="Arial" w:hAnsi="Arial"/>
                <w:sz w:val="9"/>
                <w:szCs w:val="9"/>
                <w:color w:val="auto"/>
              </w:rPr>
              <w:t>and 1,010,000</w:t>
            </w:r>
          </w:p>
        </w:tc>
        <w:tc>
          <w:tcPr>
            <w:tcW w:w="5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line="86" w:lineRule="exact"/>
              <w:rPr>
                <w:sz w:val="20"/>
                <w:szCs w:val="20"/>
                <w:color w:val="auto"/>
              </w:rPr>
            </w:pPr>
            <w:r>
              <w:rPr>
                <w:rFonts w:ascii="Arial" w:cs="Arial" w:eastAsia="Arial" w:hAnsi="Arial"/>
                <w:sz w:val="9"/>
                <w:szCs w:val="9"/>
                <w:color w:val="auto"/>
              </w:rPr>
              <w:t>shares of Class A</w:t>
            </w:r>
          </w:p>
        </w:tc>
        <w:tc>
          <w:tcPr>
            <w:tcW w:w="5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line="86" w:lineRule="exact"/>
              <w:rPr>
                <w:sz w:val="20"/>
                <w:szCs w:val="20"/>
                <w:color w:val="auto"/>
              </w:rPr>
            </w:pPr>
            <w:r>
              <w:rPr>
                <w:rFonts w:ascii="Arial" w:cs="Arial" w:eastAsia="Arial" w:hAnsi="Arial"/>
                <w:sz w:val="9"/>
                <w:szCs w:val="9"/>
                <w:color w:val="auto"/>
              </w:rPr>
              <w:t>Common</w:t>
            </w:r>
          </w:p>
        </w:tc>
        <w:tc>
          <w:tcPr>
            <w:tcW w:w="560" w:type="dxa"/>
            <w:vAlign w:val="bottom"/>
            <w:vMerge w:val="restart"/>
            <w:shd w:val="clear" w:color="auto" w:fill="CCEEFF"/>
          </w:tcPr>
          <w:p>
            <w:pPr>
              <w:jc w:val="right"/>
              <w:ind w:right="97"/>
              <w:spacing w:after="0"/>
              <w:rPr>
                <w:sz w:val="20"/>
                <w:szCs w:val="20"/>
                <w:color w:val="auto"/>
              </w:rPr>
            </w:pPr>
            <w:r>
              <w:rPr>
                <w:rFonts w:ascii="Arial" w:cs="Arial" w:eastAsia="Arial" w:hAnsi="Arial"/>
                <w:sz w:val="9"/>
                <w:szCs w:val="9"/>
                <w:color w:val="auto"/>
                <w:w w:val="99"/>
              </w:rPr>
              <w:t>1,870,549</w:t>
            </w:r>
          </w:p>
        </w:tc>
        <w:tc>
          <w:tcPr>
            <w:tcW w:w="420" w:type="dxa"/>
            <w:vAlign w:val="bottom"/>
            <w:vMerge w:val="restart"/>
            <w:shd w:val="clear" w:color="auto" w:fill="CCEEFF"/>
          </w:tcPr>
          <w:p>
            <w:pPr>
              <w:jc w:val="right"/>
              <w:ind w:right="197"/>
              <w:spacing w:after="0"/>
              <w:rPr>
                <w:sz w:val="20"/>
                <w:szCs w:val="20"/>
                <w:color w:val="auto"/>
              </w:rPr>
            </w:pPr>
            <w:r>
              <w:rPr>
                <w:rFonts w:ascii="Arial" w:cs="Arial" w:eastAsia="Arial" w:hAnsi="Arial"/>
                <w:sz w:val="9"/>
                <w:szCs w:val="9"/>
                <w:color w:val="auto"/>
              </w:rPr>
              <w:t>*</w:t>
            </w:r>
          </w:p>
        </w:tc>
        <w:tc>
          <w:tcPr>
            <w:tcW w:w="460" w:type="dxa"/>
            <w:vAlign w:val="bottom"/>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420" w:type="dxa"/>
            <w:vAlign w:val="bottom"/>
            <w:vMerge w:val="restart"/>
            <w:shd w:val="clear" w:color="auto" w:fill="CCEEFF"/>
          </w:tcPr>
          <w:p>
            <w:pPr>
              <w:ind w:left="100"/>
              <w:spacing w:after="0"/>
              <w:rPr>
                <w:sz w:val="20"/>
                <w:szCs w:val="20"/>
                <w:color w:val="auto"/>
              </w:rPr>
            </w:pPr>
            <w:r>
              <w:rPr>
                <w:rFonts w:ascii="Arial" w:cs="Arial" w:eastAsia="Arial" w:hAnsi="Arial"/>
                <w:sz w:val="9"/>
                <w:szCs w:val="9"/>
                <w:color w:val="auto"/>
              </w:rPr>
              <w:t>—</w:t>
            </w:r>
          </w:p>
        </w:tc>
        <w:tc>
          <w:tcPr>
            <w:tcW w:w="360" w:type="dxa"/>
            <w:vAlign w:val="bottom"/>
            <w:vMerge w:val="restart"/>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520" w:type="dxa"/>
            <w:vAlign w:val="bottom"/>
            <w:vMerge w:val="restart"/>
            <w:shd w:val="clear" w:color="auto" w:fill="CCEEFF"/>
          </w:tcPr>
          <w:p>
            <w:pPr>
              <w:jc w:val="right"/>
              <w:ind w:right="57"/>
              <w:spacing w:after="0"/>
              <w:rPr>
                <w:sz w:val="20"/>
                <w:szCs w:val="20"/>
                <w:color w:val="auto"/>
              </w:rPr>
            </w:pPr>
            <w:r>
              <w:rPr>
                <w:rFonts w:ascii="Arial" w:cs="Arial" w:eastAsia="Arial" w:hAnsi="Arial"/>
                <w:sz w:val="9"/>
                <w:szCs w:val="9"/>
                <w:color w:val="auto"/>
              </w:rPr>
              <w:t>406,666</w:t>
            </w:r>
          </w:p>
        </w:tc>
        <w:tc>
          <w:tcPr>
            <w:tcW w:w="620" w:type="dxa"/>
            <w:vAlign w:val="bottom"/>
            <w:vMerge w:val="restart"/>
            <w:shd w:val="clear" w:color="auto" w:fill="CCEEFF"/>
          </w:tcPr>
          <w:p>
            <w:pPr>
              <w:jc w:val="right"/>
              <w:ind w:right="97"/>
              <w:spacing w:after="0"/>
              <w:rPr>
                <w:sz w:val="20"/>
                <w:szCs w:val="20"/>
                <w:color w:val="auto"/>
              </w:rPr>
            </w:pPr>
            <w:r>
              <w:rPr>
                <w:rFonts w:ascii="Arial" w:cs="Arial" w:eastAsia="Arial" w:hAnsi="Arial"/>
                <w:sz w:val="9"/>
                <w:szCs w:val="9"/>
                <w:color w:val="auto"/>
              </w:rPr>
              <w:t>1,463,883</w:t>
            </w:r>
          </w:p>
        </w:tc>
        <w:tc>
          <w:tcPr>
            <w:tcW w:w="580" w:type="dxa"/>
            <w:vAlign w:val="bottom"/>
            <w:vMerge w:val="restart"/>
            <w:shd w:val="clear" w:color="auto" w:fill="CCEEFF"/>
          </w:tcPr>
          <w:p>
            <w:pPr>
              <w:jc w:val="right"/>
              <w:ind w:right="377"/>
              <w:spacing w:after="0"/>
              <w:rPr>
                <w:sz w:val="20"/>
                <w:szCs w:val="20"/>
                <w:color w:val="auto"/>
              </w:rPr>
            </w:pPr>
            <w:r>
              <w:rPr>
                <w:rFonts w:ascii="Arial" w:cs="Arial" w:eastAsia="Arial" w:hAnsi="Arial"/>
                <w:sz w:val="9"/>
                <w:szCs w:val="9"/>
                <w:color w:val="auto"/>
              </w:rPr>
              <w:t>*</w:t>
            </w:r>
          </w:p>
        </w:tc>
        <w:tc>
          <w:tcPr>
            <w:tcW w:w="360" w:type="dxa"/>
            <w:vAlign w:val="bottom"/>
            <w:vMerge w:val="restart"/>
            <w:shd w:val="clear" w:color="auto" w:fill="CCEEFF"/>
          </w:tcPr>
          <w:p>
            <w:pPr>
              <w:ind w:left="80"/>
              <w:spacing w:after="0"/>
              <w:rPr>
                <w:sz w:val="20"/>
                <w:szCs w:val="20"/>
                <w:color w:val="auto"/>
              </w:rPr>
            </w:pPr>
            <w:r>
              <w:rPr>
                <w:rFonts w:ascii="Arial" w:cs="Arial" w:eastAsia="Arial" w:hAnsi="Arial"/>
                <w:sz w:val="9"/>
                <w:szCs w:val="9"/>
                <w:color w:val="auto"/>
              </w:rPr>
              <w:t>—</w:t>
            </w:r>
          </w:p>
        </w:tc>
        <w:tc>
          <w:tcPr>
            <w:tcW w:w="560" w:type="dxa"/>
            <w:vAlign w:val="bottom"/>
            <w:vMerge w:val="restart"/>
            <w:shd w:val="clear" w:color="auto" w:fill="CCEEFF"/>
          </w:tcPr>
          <w:p>
            <w:pPr>
              <w:ind w:left="20"/>
              <w:spacing w:after="0"/>
              <w:rPr>
                <w:sz w:val="20"/>
                <w:szCs w:val="20"/>
                <w:color w:val="auto"/>
              </w:rPr>
            </w:pPr>
            <w:r>
              <w:rPr>
                <w:rFonts w:ascii="Arial" w:cs="Arial" w:eastAsia="Arial" w:hAnsi="Arial"/>
                <w:sz w:val="9"/>
                <w:szCs w:val="9"/>
                <w:color w:val="auto"/>
              </w:rPr>
              <w:t>—</w:t>
            </w:r>
          </w:p>
        </w:tc>
        <w:tc>
          <w:tcPr>
            <w:tcW w:w="100" w:type="dxa"/>
            <w:vAlign w:val="bottom"/>
            <w:vMerge w:val="restart"/>
            <w:shd w:val="clear" w:color="auto" w:fill="CCEEFF"/>
          </w:tcPr>
          <w:p>
            <w:pPr>
              <w:jc w:val="right"/>
              <w:ind w:right="28"/>
              <w:spacing w:after="0"/>
              <w:rPr>
                <w:sz w:val="20"/>
                <w:szCs w:val="20"/>
                <w:color w:val="auto"/>
              </w:rPr>
            </w:pPr>
            <w:r>
              <w:rPr>
                <w:rFonts w:ascii="Arial" w:cs="Arial" w:eastAsia="Arial" w:hAnsi="Arial"/>
                <w:sz w:val="6"/>
                <w:szCs w:val="6"/>
                <w:color w:val="auto"/>
                <w:w w:val="83"/>
              </w:rPr>
              <w:t>*</w:t>
            </w:r>
          </w:p>
        </w:tc>
        <w:tc>
          <w:tcPr>
            <w:tcW w:w="0" w:type="dxa"/>
            <w:vAlign w:val="bottom"/>
          </w:tcPr>
          <w:p>
            <w:pPr>
              <w:spacing w:after="0"/>
              <w:rPr>
                <w:sz w:val="1"/>
                <w:szCs w:val="1"/>
                <w:color w:val="auto"/>
              </w:rPr>
            </w:pPr>
          </w:p>
        </w:tc>
      </w:tr>
      <w:tr>
        <w:trPr>
          <w:trHeight w:val="114"/>
        </w:trPr>
        <w:tc>
          <w:tcPr>
            <w:tcW w:w="14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9"/>
                <w:szCs w:val="9"/>
                <w:color w:val="auto"/>
              </w:rPr>
              <w:t xml:space="preserve">Stock(18) </w:t>
            </w:r>
            <w:r>
              <w:rPr>
                <w:rFonts w:ascii="Times New Roman" w:cs="Times New Roman" w:eastAsia="Times New Roman" w:hAnsi="Times New Roman"/>
                <w:sz w:val="9"/>
                <w:szCs w:val="9"/>
                <w:color w:val="B4B4B4"/>
              </w:rPr>
              <w:t>...............</w:t>
            </w:r>
          </w:p>
        </w:tc>
        <w:tc>
          <w:tcPr>
            <w:tcW w:w="560" w:type="dxa"/>
            <w:vAlign w:val="bottom"/>
            <w:tcBorders>
              <w:bottom w:val="single" w:sz="8" w:color="CCEEFF"/>
            </w:tcBorders>
            <w:vMerge w:val="continue"/>
            <w:shd w:val="clear" w:color="auto" w:fill="CCEEFF"/>
          </w:tcPr>
          <w:p>
            <w:pPr>
              <w:spacing w:after="0"/>
              <w:rPr>
                <w:sz w:val="9"/>
                <w:szCs w:val="9"/>
                <w:color w:val="auto"/>
              </w:rPr>
            </w:pPr>
          </w:p>
        </w:tc>
        <w:tc>
          <w:tcPr>
            <w:tcW w:w="420" w:type="dxa"/>
            <w:vAlign w:val="bottom"/>
            <w:tcBorders>
              <w:bottom w:val="single" w:sz="8" w:color="CCEEFF"/>
            </w:tcBorders>
            <w:vMerge w:val="continue"/>
            <w:shd w:val="clear" w:color="auto" w:fill="CCEEFF"/>
          </w:tcPr>
          <w:p>
            <w:pPr>
              <w:spacing w:after="0"/>
              <w:rPr>
                <w:sz w:val="9"/>
                <w:szCs w:val="9"/>
                <w:color w:val="auto"/>
              </w:rPr>
            </w:pPr>
          </w:p>
        </w:tc>
        <w:tc>
          <w:tcPr>
            <w:tcW w:w="460" w:type="dxa"/>
            <w:vAlign w:val="bottom"/>
            <w:tcBorders>
              <w:bottom w:val="single" w:sz="8" w:color="CCEEFF"/>
            </w:tcBorders>
            <w:vMerge w:val="continue"/>
            <w:shd w:val="clear" w:color="auto" w:fill="CCEEFF"/>
          </w:tcPr>
          <w:p>
            <w:pPr>
              <w:spacing w:after="0"/>
              <w:rPr>
                <w:sz w:val="9"/>
                <w:szCs w:val="9"/>
                <w:color w:val="auto"/>
              </w:rPr>
            </w:pPr>
          </w:p>
        </w:tc>
        <w:tc>
          <w:tcPr>
            <w:tcW w:w="420" w:type="dxa"/>
            <w:vAlign w:val="bottom"/>
            <w:tcBorders>
              <w:bottom w:val="single" w:sz="8" w:color="CCEEFF"/>
            </w:tcBorders>
            <w:vMerge w:val="continue"/>
            <w:shd w:val="clear" w:color="auto" w:fill="CCEEFF"/>
          </w:tcPr>
          <w:p>
            <w:pPr>
              <w:spacing w:after="0"/>
              <w:rPr>
                <w:sz w:val="9"/>
                <w:szCs w:val="9"/>
                <w:color w:val="auto"/>
              </w:rPr>
            </w:pPr>
          </w:p>
        </w:tc>
        <w:tc>
          <w:tcPr>
            <w:tcW w:w="360" w:type="dxa"/>
            <w:vAlign w:val="bottom"/>
            <w:tcBorders>
              <w:bottom w:val="single" w:sz="8" w:color="CCEEFF"/>
            </w:tcBorders>
            <w:vMerge w:val="continue"/>
            <w:shd w:val="clear" w:color="auto" w:fill="CCEEFF"/>
          </w:tcPr>
          <w:p>
            <w:pPr>
              <w:spacing w:after="0"/>
              <w:rPr>
                <w:sz w:val="9"/>
                <w:szCs w:val="9"/>
                <w:color w:val="auto"/>
              </w:rPr>
            </w:pPr>
          </w:p>
        </w:tc>
        <w:tc>
          <w:tcPr>
            <w:tcW w:w="520" w:type="dxa"/>
            <w:vAlign w:val="bottom"/>
            <w:tcBorders>
              <w:bottom w:val="single" w:sz="8" w:color="CCEEFF"/>
            </w:tcBorders>
            <w:vMerge w:val="continue"/>
            <w:shd w:val="clear" w:color="auto" w:fill="CCEEFF"/>
          </w:tcPr>
          <w:p>
            <w:pPr>
              <w:spacing w:after="0"/>
              <w:rPr>
                <w:sz w:val="9"/>
                <w:szCs w:val="9"/>
                <w:color w:val="auto"/>
              </w:rPr>
            </w:pPr>
          </w:p>
        </w:tc>
        <w:tc>
          <w:tcPr>
            <w:tcW w:w="620" w:type="dxa"/>
            <w:vAlign w:val="bottom"/>
            <w:tcBorders>
              <w:bottom w:val="single" w:sz="8" w:color="CCEEFF"/>
            </w:tcBorders>
            <w:vMerge w:val="continue"/>
            <w:shd w:val="clear" w:color="auto" w:fill="CCEEFF"/>
          </w:tcPr>
          <w:p>
            <w:pPr>
              <w:spacing w:after="0"/>
              <w:rPr>
                <w:sz w:val="9"/>
                <w:szCs w:val="9"/>
                <w:color w:val="auto"/>
              </w:rPr>
            </w:pPr>
          </w:p>
        </w:tc>
        <w:tc>
          <w:tcPr>
            <w:tcW w:w="580" w:type="dxa"/>
            <w:vAlign w:val="bottom"/>
            <w:tcBorders>
              <w:bottom w:val="single" w:sz="8" w:color="CCEEFF"/>
            </w:tcBorders>
            <w:vMerge w:val="continue"/>
            <w:shd w:val="clear" w:color="auto" w:fill="CCEEFF"/>
          </w:tcPr>
          <w:p>
            <w:pPr>
              <w:spacing w:after="0"/>
              <w:rPr>
                <w:sz w:val="9"/>
                <w:szCs w:val="9"/>
                <w:color w:val="auto"/>
              </w:rPr>
            </w:pPr>
          </w:p>
        </w:tc>
        <w:tc>
          <w:tcPr>
            <w:tcW w:w="360" w:type="dxa"/>
            <w:vAlign w:val="bottom"/>
            <w:tcBorders>
              <w:bottom w:val="single" w:sz="8" w:color="CCEEFF"/>
            </w:tcBorders>
            <w:vMerge w:val="continue"/>
            <w:shd w:val="clear" w:color="auto" w:fill="CCEEFF"/>
          </w:tcPr>
          <w:p>
            <w:pPr>
              <w:spacing w:after="0"/>
              <w:rPr>
                <w:sz w:val="9"/>
                <w:szCs w:val="9"/>
                <w:color w:val="auto"/>
              </w:rPr>
            </w:pPr>
          </w:p>
        </w:tc>
        <w:tc>
          <w:tcPr>
            <w:tcW w:w="5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020" w:type="dxa"/>
            <w:vAlign w:val="bottom"/>
            <w:gridSpan w:val="2"/>
          </w:tcPr>
          <w:p>
            <w:pPr>
              <w:ind w:left="40"/>
              <w:spacing w:after="0"/>
              <w:rPr>
                <w:sz w:val="20"/>
                <w:szCs w:val="20"/>
                <w:color w:val="auto"/>
              </w:rPr>
            </w:pPr>
            <w:r>
              <w:rPr>
                <w:rFonts w:ascii="Arial" w:cs="Arial" w:eastAsia="Arial" w:hAnsi="Arial"/>
                <w:sz w:val="9"/>
                <w:szCs w:val="9"/>
                <w:color w:val="auto"/>
              </w:rPr>
              <w:t>Other Selling</w:t>
            </w: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880" w:type="dxa"/>
            <w:vAlign w:val="bottom"/>
          </w:tcPr>
          <w:p>
            <w:pPr>
              <w:spacing w:after="0" w:line="86" w:lineRule="exact"/>
              <w:rPr>
                <w:sz w:val="20"/>
                <w:szCs w:val="20"/>
                <w:color w:val="auto"/>
              </w:rPr>
            </w:pPr>
            <w:r>
              <w:rPr>
                <w:rFonts w:ascii="Arial" w:cs="Arial" w:eastAsia="Arial" w:hAnsi="Arial"/>
                <w:sz w:val="9"/>
                <w:szCs w:val="9"/>
                <w:color w:val="auto"/>
              </w:rPr>
              <w:t>Stockholders that</w:t>
            </w: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880" w:type="dxa"/>
            <w:vAlign w:val="bottom"/>
          </w:tcPr>
          <w:p>
            <w:pPr>
              <w:spacing w:after="0" w:line="86" w:lineRule="exact"/>
              <w:rPr>
                <w:sz w:val="20"/>
                <w:szCs w:val="20"/>
                <w:color w:val="auto"/>
              </w:rPr>
            </w:pPr>
            <w:r>
              <w:rPr>
                <w:rFonts w:ascii="Arial" w:cs="Arial" w:eastAsia="Arial" w:hAnsi="Arial"/>
                <w:sz w:val="9"/>
                <w:szCs w:val="9"/>
                <w:color w:val="auto"/>
              </w:rPr>
              <w:t>beneficially own</w:t>
            </w: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40" w:type="dxa"/>
            <w:vAlign w:val="bottom"/>
          </w:tcPr>
          <w:p>
            <w:pPr>
              <w:spacing w:after="0"/>
              <w:rPr>
                <w:sz w:val="8"/>
                <w:szCs w:val="8"/>
                <w:color w:val="auto"/>
              </w:rPr>
            </w:pPr>
          </w:p>
        </w:tc>
        <w:tc>
          <w:tcPr>
            <w:tcW w:w="880" w:type="dxa"/>
            <w:vAlign w:val="bottom"/>
          </w:tcPr>
          <w:p>
            <w:pPr>
              <w:spacing w:after="0" w:line="96" w:lineRule="exact"/>
              <w:rPr>
                <w:sz w:val="20"/>
                <w:szCs w:val="20"/>
                <w:color w:val="auto"/>
              </w:rPr>
            </w:pPr>
            <w:r>
              <w:rPr>
                <w:rFonts w:ascii="Arial" w:cs="Arial" w:eastAsia="Arial" w:hAnsi="Arial"/>
                <w:sz w:val="9"/>
                <w:szCs w:val="9"/>
                <w:color w:val="auto"/>
              </w:rPr>
              <w:t>between 550,001</w:t>
            </w: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880" w:type="dxa"/>
            <w:vAlign w:val="bottom"/>
          </w:tcPr>
          <w:p>
            <w:pPr>
              <w:spacing w:after="0" w:line="86" w:lineRule="exact"/>
              <w:rPr>
                <w:sz w:val="20"/>
                <w:szCs w:val="20"/>
                <w:color w:val="auto"/>
              </w:rPr>
            </w:pPr>
            <w:r>
              <w:rPr>
                <w:rFonts w:ascii="Arial" w:cs="Arial" w:eastAsia="Arial" w:hAnsi="Arial"/>
                <w:sz w:val="9"/>
                <w:szCs w:val="9"/>
                <w:color w:val="auto"/>
              </w:rPr>
              <w:t>and 800,000</w:t>
            </w: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880" w:type="dxa"/>
            <w:vAlign w:val="bottom"/>
          </w:tcPr>
          <w:p>
            <w:pPr>
              <w:spacing w:after="0" w:line="86" w:lineRule="exact"/>
              <w:rPr>
                <w:sz w:val="20"/>
                <w:szCs w:val="20"/>
                <w:color w:val="auto"/>
              </w:rPr>
            </w:pPr>
            <w:r>
              <w:rPr>
                <w:rFonts w:ascii="Arial" w:cs="Arial" w:eastAsia="Arial" w:hAnsi="Arial"/>
                <w:sz w:val="9"/>
                <w:szCs w:val="9"/>
                <w:color w:val="auto"/>
              </w:rPr>
              <w:t>shares of Class A</w:t>
            </w:r>
          </w:p>
        </w:tc>
        <w:tc>
          <w:tcPr>
            <w:tcW w:w="560" w:type="dxa"/>
            <w:vAlign w:val="bottom"/>
            <w:vMerge w:val="restart"/>
          </w:tcPr>
          <w:p>
            <w:pPr>
              <w:jc w:val="right"/>
              <w:ind w:right="97"/>
              <w:spacing w:after="0"/>
              <w:rPr>
                <w:sz w:val="20"/>
                <w:szCs w:val="20"/>
                <w:color w:val="auto"/>
              </w:rPr>
            </w:pPr>
            <w:r>
              <w:rPr>
                <w:rFonts w:ascii="Arial" w:cs="Arial" w:eastAsia="Arial" w:hAnsi="Arial"/>
                <w:sz w:val="9"/>
                <w:szCs w:val="9"/>
                <w:color w:val="auto"/>
                <w:w w:val="99"/>
              </w:rPr>
              <w:t>1,476,588</w:t>
            </w:r>
          </w:p>
        </w:tc>
        <w:tc>
          <w:tcPr>
            <w:tcW w:w="420" w:type="dxa"/>
            <w:vAlign w:val="bottom"/>
            <w:vMerge w:val="restart"/>
          </w:tcPr>
          <w:p>
            <w:pPr>
              <w:jc w:val="right"/>
              <w:ind w:right="197"/>
              <w:spacing w:after="0"/>
              <w:rPr>
                <w:sz w:val="20"/>
                <w:szCs w:val="20"/>
                <w:color w:val="auto"/>
              </w:rPr>
            </w:pPr>
            <w:r>
              <w:rPr>
                <w:rFonts w:ascii="Arial" w:cs="Arial" w:eastAsia="Arial" w:hAnsi="Arial"/>
                <w:sz w:val="9"/>
                <w:szCs w:val="9"/>
                <w:color w:val="auto"/>
              </w:rPr>
              <w:t>*</w:t>
            </w:r>
          </w:p>
        </w:tc>
        <w:tc>
          <w:tcPr>
            <w:tcW w:w="460" w:type="dxa"/>
            <w:vAlign w:val="bottom"/>
            <w:vMerge w:val="restart"/>
          </w:tcPr>
          <w:p>
            <w:pPr>
              <w:ind w:left="260"/>
              <w:spacing w:after="0"/>
              <w:rPr>
                <w:sz w:val="20"/>
                <w:szCs w:val="20"/>
                <w:color w:val="auto"/>
              </w:rPr>
            </w:pPr>
            <w:r>
              <w:rPr>
                <w:rFonts w:ascii="Arial" w:cs="Arial" w:eastAsia="Arial" w:hAnsi="Arial"/>
                <w:sz w:val="9"/>
                <w:szCs w:val="9"/>
                <w:color w:val="auto"/>
              </w:rPr>
              <w:t>—</w:t>
            </w:r>
          </w:p>
        </w:tc>
        <w:tc>
          <w:tcPr>
            <w:tcW w:w="420" w:type="dxa"/>
            <w:vAlign w:val="bottom"/>
            <w:vMerge w:val="restart"/>
          </w:tcPr>
          <w:p>
            <w:pPr>
              <w:ind w:left="100"/>
              <w:spacing w:after="0"/>
              <w:rPr>
                <w:sz w:val="20"/>
                <w:szCs w:val="20"/>
                <w:color w:val="auto"/>
              </w:rPr>
            </w:pPr>
            <w:r>
              <w:rPr>
                <w:rFonts w:ascii="Arial" w:cs="Arial" w:eastAsia="Arial" w:hAnsi="Arial"/>
                <w:sz w:val="9"/>
                <w:szCs w:val="9"/>
                <w:color w:val="auto"/>
              </w:rPr>
              <w:t>—</w:t>
            </w:r>
          </w:p>
        </w:tc>
        <w:tc>
          <w:tcPr>
            <w:tcW w:w="360" w:type="dxa"/>
            <w:vAlign w:val="bottom"/>
            <w:vMerge w:val="restart"/>
          </w:tcPr>
          <w:p>
            <w:pPr>
              <w:jc w:val="right"/>
              <w:ind w:right="57"/>
              <w:spacing w:after="0"/>
              <w:rPr>
                <w:sz w:val="20"/>
                <w:szCs w:val="20"/>
                <w:color w:val="auto"/>
              </w:rPr>
            </w:pPr>
            <w:r>
              <w:rPr>
                <w:rFonts w:ascii="Arial" w:cs="Arial" w:eastAsia="Arial" w:hAnsi="Arial"/>
                <w:sz w:val="9"/>
                <w:szCs w:val="9"/>
                <w:color w:val="auto"/>
              </w:rPr>
              <w:t>*</w:t>
            </w:r>
          </w:p>
        </w:tc>
        <w:tc>
          <w:tcPr>
            <w:tcW w:w="520" w:type="dxa"/>
            <w:vAlign w:val="bottom"/>
            <w:vMerge w:val="restart"/>
          </w:tcPr>
          <w:p>
            <w:pPr>
              <w:jc w:val="right"/>
              <w:ind w:right="57"/>
              <w:spacing w:after="0"/>
              <w:rPr>
                <w:sz w:val="20"/>
                <w:szCs w:val="20"/>
                <w:color w:val="auto"/>
              </w:rPr>
            </w:pPr>
            <w:r>
              <w:rPr>
                <w:rFonts w:ascii="Arial" w:cs="Arial" w:eastAsia="Arial" w:hAnsi="Arial"/>
                <w:sz w:val="9"/>
                <w:szCs w:val="9"/>
                <w:color w:val="auto"/>
              </w:rPr>
              <w:t>225,625</w:t>
            </w:r>
          </w:p>
        </w:tc>
        <w:tc>
          <w:tcPr>
            <w:tcW w:w="620" w:type="dxa"/>
            <w:vAlign w:val="bottom"/>
            <w:vMerge w:val="restart"/>
          </w:tcPr>
          <w:p>
            <w:pPr>
              <w:jc w:val="right"/>
              <w:ind w:right="97"/>
              <w:spacing w:after="0"/>
              <w:rPr>
                <w:sz w:val="20"/>
                <w:szCs w:val="20"/>
                <w:color w:val="auto"/>
              </w:rPr>
            </w:pPr>
            <w:r>
              <w:rPr>
                <w:rFonts w:ascii="Arial" w:cs="Arial" w:eastAsia="Arial" w:hAnsi="Arial"/>
                <w:sz w:val="9"/>
                <w:szCs w:val="9"/>
                <w:color w:val="auto"/>
              </w:rPr>
              <w:t>1,250,963</w:t>
            </w:r>
          </w:p>
        </w:tc>
        <w:tc>
          <w:tcPr>
            <w:tcW w:w="580" w:type="dxa"/>
            <w:vAlign w:val="bottom"/>
            <w:vMerge w:val="restart"/>
          </w:tcPr>
          <w:p>
            <w:pPr>
              <w:jc w:val="right"/>
              <w:ind w:right="377"/>
              <w:spacing w:after="0"/>
              <w:rPr>
                <w:sz w:val="20"/>
                <w:szCs w:val="20"/>
                <w:color w:val="auto"/>
              </w:rPr>
            </w:pPr>
            <w:r>
              <w:rPr>
                <w:rFonts w:ascii="Arial" w:cs="Arial" w:eastAsia="Arial" w:hAnsi="Arial"/>
                <w:sz w:val="9"/>
                <w:szCs w:val="9"/>
                <w:color w:val="auto"/>
              </w:rPr>
              <w:t>*</w:t>
            </w:r>
          </w:p>
        </w:tc>
        <w:tc>
          <w:tcPr>
            <w:tcW w:w="360" w:type="dxa"/>
            <w:vAlign w:val="bottom"/>
            <w:vMerge w:val="restart"/>
          </w:tcPr>
          <w:p>
            <w:pPr>
              <w:ind w:left="80"/>
              <w:spacing w:after="0"/>
              <w:rPr>
                <w:sz w:val="20"/>
                <w:szCs w:val="20"/>
                <w:color w:val="auto"/>
              </w:rPr>
            </w:pPr>
            <w:r>
              <w:rPr>
                <w:rFonts w:ascii="Arial" w:cs="Arial" w:eastAsia="Arial" w:hAnsi="Arial"/>
                <w:sz w:val="9"/>
                <w:szCs w:val="9"/>
                <w:color w:val="auto"/>
              </w:rPr>
              <w:t>—</w:t>
            </w:r>
          </w:p>
        </w:tc>
        <w:tc>
          <w:tcPr>
            <w:tcW w:w="560" w:type="dxa"/>
            <w:vAlign w:val="bottom"/>
            <w:vMerge w:val="restart"/>
          </w:tcPr>
          <w:p>
            <w:pPr>
              <w:ind w:left="20"/>
              <w:spacing w:after="0"/>
              <w:rPr>
                <w:sz w:val="20"/>
                <w:szCs w:val="20"/>
                <w:color w:val="auto"/>
              </w:rPr>
            </w:pPr>
            <w:r>
              <w:rPr>
                <w:rFonts w:ascii="Arial" w:cs="Arial" w:eastAsia="Arial" w:hAnsi="Arial"/>
                <w:sz w:val="9"/>
                <w:szCs w:val="9"/>
                <w:color w:val="auto"/>
              </w:rPr>
              <w:t>—</w:t>
            </w:r>
          </w:p>
        </w:tc>
        <w:tc>
          <w:tcPr>
            <w:tcW w:w="100" w:type="dxa"/>
            <w:vAlign w:val="bottom"/>
            <w:vMerge w:val="restart"/>
          </w:tcPr>
          <w:p>
            <w:pPr>
              <w:jc w:val="right"/>
              <w:ind w:right="28"/>
              <w:spacing w:after="0"/>
              <w:rPr>
                <w:sz w:val="20"/>
                <w:szCs w:val="20"/>
                <w:color w:val="auto"/>
              </w:rPr>
            </w:pPr>
            <w:r>
              <w:rPr>
                <w:rFonts w:ascii="Arial" w:cs="Arial" w:eastAsia="Arial" w:hAnsi="Arial"/>
                <w:sz w:val="6"/>
                <w:szCs w:val="6"/>
                <w:color w:val="auto"/>
                <w:w w:val="83"/>
              </w:rPr>
              <w:t>*</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880" w:type="dxa"/>
            <w:vAlign w:val="bottom"/>
          </w:tcPr>
          <w:p>
            <w:pPr>
              <w:spacing w:after="0"/>
              <w:rPr>
                <w:sz w:val="20"/>
                <w:szCs w:val="20"/>
                <w:color w:val="auto"/>
              </w:rPr>
            </w:pPr>
            <w:r>
              <w:rPr>
                <w:rFonts w:ascii="Arial" w:cs="Arial" w:eastAsia="Arial" w:hAnsi="Arial"/>
                <w:sz w:val="9"/>
                <w:szCs w:val="9"/>
                <w:color w:val="auto"/>
              </w:rPr>
              <w:t xml:space="preserve">Common Stock </w:t>
            </w:r>
            <w:r>
              <w:rPr>
                <w:rFonts w:ascii="Arial" w:cs="Arial" w:eastAsia="Arial" w:hAnsi="Arial"/>
                <w:sz w:val="11"/>
                <w:szCs w:val="11"/>
                <w:color w:val="auto"/>
                <w:vertAlign w:val="superscript"/>
              </w:rPr>
              <w:t>(18)</w:t>
            </w:r>
            <w:r>
              <w:rPr>
                <w:rFonts w:ascii="Times New Roman" w:cs="Times New Roman" w:eastAsia="Times New Roman" w:hAnsi="Times New Roman"/>
                <w:sz w:val="9"/>
                <w:szCs w:val="9"/>
                <w:color w:val="B4B4B4"/>
              </w:rPr>
              <w:t>.</w:t>
            </w:r>
          </w:p>
        </w:tc>
        <w:tc>
          <w:tcPr>
            <w:tcW w:w="56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02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Other Selling</w:t>
            </w:r>
          </w:p>
        </w:tc>
        <w:tc>
          <w:tcPr>
            <w:tcW w:w="5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line="86" w:lineRule="exact"/>
              <w:rPr>
                <w:sz w:val="20"/>
                <w:szCs w:val="20"/>
                <w:color w:val="auto"/>
              </w:rPr>
            </w:pPr>
            <w:r>
              <w:rPr>
                <w:rFonts w:ascii="Arial" w:cs="Arial" w:eastAsia="Arial" w:hAnsi="Arial"/>
                <w:sz w:val="9"/>
                <w:szCs w:val="9"/>
                <w:color w:val="auto"/>
              </w:rPr>
              <w:t>Stockholders that</w:t>
            </w:r>
          </w:p>
        </w:tc>
        <w:tc>
          <w:tcPr>
            <w:tcW w:w="5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line="86" w:lineRule="exact"/>
              <w:rPr>
                <w:sz w:val="20"/>
                <w:szCs w:val="20"/>
                <w:color w:val="auto"/>
              </w:rPr>
            </w:pPr>
            <w:r>
              <w:rPr>
                <w:rFonts w:ascii="Arial" w:cs="Arial" w:eastAsia="Arial" w:hAnsi="Arial"/>
                <w:sz w:val="9"/>
                <w:szCs w:val="9"/>
                <w:color w:val="auto"/>
              </w:rPr>
              <w:t>beneficially own</w:t>
            </w:r>
          </w:p>
        </w:tc>
        <w:tc>
          <w:tcPr>
            <w:tcW w:w="5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line="96" w:lineRule="exact"/>
              <w:rPr>
                <w:sz w:val="20"/>
                <w:szCs w:val="20"/>
                <w:color w:val="auto"/>
              </w:rPr>
            </w:pPr>
            <w:r>
              <w:rPr>
                <w:rFonts w:ascii="Arial" w:cs="Arial" w:eastAsia="Arial" w:hAnsi="Arial"/>
                <w:sz w:val="9"/>
                <w:szCs w:val="9"/>
                <w:color w:val="auto"/>
              </w:rPr>
              <w:t>between 400,001</w:t>
            </w:r>
          </w:p>
        </w:tc>
        <w:tc>
          <w:tcPr>
            <w:tcW w:w="5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line="86" w:lineRule="exact"/>
              <w:rPr>
                <w:sz w:val="20"/>
                <w:szCs w:val="20"/>
                <w:color w:val="auto"/>
              </w:rPr>
            </w:pPr>
            <w:r>
              <w:rPr>
                <w:rFonts w:ascii="Arial" w:cs="Arial" w:eastAsia="Arial" w:hAnsi="Arial"/>
                <w:sz w:val="9"/>
                <w:szCs w:val="9"/>
                <w:color w:val="auto"/>
              </w:rPr>
              <w:t>and 550,000</w:t>
            </w:r>
          </w:p>
        </w:tc>
        <w:tc>
          <w:tcPr>
            <w:tcW w:w="5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line="86" w:lineRule="exact"/>
              <w:rPr>
                <w:sz w:val="20"/>
                <w:szCs w:val="20"/>
                <w:color w:val="auto"/>
              </w:rPr>
            </w:pPr>
            <w:r>
              <w:rPr>
                <w:rFonts w:ascii="Arial" w:cs="Arial" w:eastAsia="Arial" w:hAnsi="Arial"/>
                <w:sz w:val="9"/>
                <w:szCs w:val="9"/>
                <w:color w:val="auto"/>
              </w:rPr>
              <w:t>shares of Class A</w:t>
            </w:r>
          </w:p>
        </w:tc>
        <w:tc>
          <w:tcPr>
            <w:tcW w:w="560" w:type="dxa"/>
            <w:vAlign w:val="bottom"/>
            <w:vMerge w:val="restart"/>
            <w:shd w:val="clear" w:color="auto" w:fill="CCEEFF"/>
          </w:tcPr>
          <w:p>
            <w:pPr>
              <w:jc w:val="right"/>
              <w:ind w:right="97"/>
              <w:spacing w:after="0"/>
              <w:rPr>
                <w:sz w:val="20"/>
                <w:szCs w:val="20"/>
                <w:color w:val="auto"/>
              </w:rPr>
            </w:pPr>
            <w:r>
              <w:rPr>
                <w:rFonts w:ascii="Arial" w:cs="Arial" w:eastAsia="Arial" w:hAnsi="Arial"/>
                <w:sz w:val="9"/>
                <w:szCs w:val="9"/>
                <w:color w:val="auto"/>
                <w:w w:val="99"/>
              </w:rPr>
              <w:t>1,849,639</w:t>
            </w:r>
          </w:p>
        </w:tc>
        <w:tc>
          <w:tcPr>
            <w:tcW w:w="420" w:type="dxa"/>
            <w:vAlign w:val="bottom"/>
            <w:vMerge w:val="restart"/>
            <w:shd w:val="clear" w:color="auto" w:fill="CCEEFF"/>
          </w:tcPr>
          <w:p>
            <w:pPr>
              <w:jc w:val="right"/>
              <w:ind w:right="197"/>
              <w:spacing w:after="0"/>
              <w:rPr>
                <w:sz w:val="20"/>
                <w:szCs w:val="20"/>
                <w:color w:val="auto"/>
              </w:rPr>
            </w:pPr>
            <w:r>
              <w:rPr>
                <w:rFonts w:ascii="Arial" w:cs="Arial" w:eastAsia="Arial" w:hAnsi="Arial"/>
                <w:sz w:val="9"/>
                <w:szCs w:val="9"/>
                <w:color w:val="auto"/>
              </w:rPr>
              <w:t>*</w:t>
            </w:r>
          </w:p>
        </w:tc>
        <w:tc>
          <w:tcPr>
            <w:tcW w:w="460" w:type="dxa"/>
            <w:vAlign w:val="bottom"/>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420" w:type="dxa"/>
            <w:vAlign w:val="bottom"/>
            <w:vMerge w:val="restart"/>
            <w:shd w:val="clear" w:color="auto" w:fill="CCEEFF"/>
          </w:tcPr>
          <w:p>
            <w:pPr>
              <w:ind w:left="100"/>
              <w:spacing w:after="0"/>
              <w:rPr>
                <w:sz w:val="20"/>
                <w:szCs w:val="20"/>
                <w:color w:val="auto"/>
              </w:rPr>
            </w:pPr>
            <w:r>
              <w:rPr>
                <w:rFonts w:ascii="Arial" w:cs="Arial" w:eastAsia="Arial" w:hAnsi="Arial"/>
                <w:sz w:val="9"/>
                <w:szCs w:val="9"/>
                <w:color w:val="auto"/>
              </w:rPr>
              <w:t>—</w:t>
            </w:r>
          </w:p>
        </w:tc>
        <w:tc>
          <w:tcPr>
            <w:tcW w:w="360" w:type="dxa"/>
            <w:vAlign w:val="bottom"/>
            <w:vMerge w:val="restart"/>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520" w:type="dxa"/>
            <w:vAlign w:val="bottom"/>
            <w:vMerge w:val="restart"/>
            <w:shd w:val="clear" w:color="auto" w:fill="CCEEFF"/>
          </w:tcPr>
          <w:p>
            <w:pPr>
              <w:jc w:val="right"/>
              <w:ind w:right="57"/>
              <w:spacing w:after="0"/>
              <w:rPr>
                <w:sz w:val="20"/>
                <w:szCs w:val="20"/>
                <w:color w:val="auto"/>
              </w:rPr>
            </w:pPr>
            <w:r>
              <w:rPr>
                <w:rFonts w:ascii="Arial" w:cs="Arial" w:eastAsia="Arial" w:hAnsi="Arial"/>
                <w:sz w:val="9"/>
                <w:szCs w:val="9"/>
                <w:color w:val="auto"/>
              </w:rPr>
              <w:t>831,253</w:t>
            </w:r>
          </w:p>
        </w:tc>
        <w:tc>
          <w:tcPr>
            <w:tcW w:w="620" w:type="dxa"/>
            <w:vAlign w:val="bottom"/>
            <w:vMerge w:val="restart"/>
            <w:shd w:val="clear" w:color="auto" w:fill="CCEEFF"/>
          </w:tcPr>
          <w:p>
            <w:pPr>
              <w:jc w:val="right"/>
              <w:ind w:right="97"/>
              <w:spacing w:after="0"/>
              <w:rPr>
                <w:sz w:val="20"/>
                <w:szCs w:val="20"/>
                <w:color w:val="auto"/>
              </w:rPr>
            </w:pPr>
            <w:r>
              <w:rPr>
                <w:rFonts w:ascii="Arial" w:cs="Arial" w:eastAsia="Arial" w:hAnsi="Arial"/>
                <w:sz w:val="9"/>
                <w:szCs w:val="9"/>
                <w:color w:val="auto"/>
              </w:rPr>
              <w:t>1,018,386</w:t>
            </w:r>
          </w:p>
        </w:tc>
        <w:tc>
          <w:tcPr>
            <w:tcW w:w="580" w:type="dxa"/>
            <w:vAlign w:val="bottom"/>
            <w:vMerge w:val="restart"/>
            <w:shd w:val="clear" w:color="auto" w:fill="CCEEFF"/>
          </w:tcPr>
          <w:p>
            <w:pPr>
              <w:jc w:val="right"/>
              <w:ind w:right="377"/>
              <w:spacing w:after="0"/>
              <w:rPr>
                <w:sz w:val="20"/>
                <w:szCs w:val="20"/>
                <w:color w:val="auto"/>
              </w:rPr>
            </w:pPr>
            <w:r>
              <w:rPr>
                <w:rFonts w:ascii="Arial" w:cs="Arial" w:eastAsia="Arial" w:hAnsi="Arial"/>
                <w:sz w:val="9"/>
                <w:szCs w:val="9"/>
                <w:color w:val="auto"/>
              </w:rPr>
              <w:t>*</w:t>
            </w:r>
          </w:p>
        </w:tc>
        <w:tc>
          <w:tcPr>
            <w:tcW w:w="360" w:type="dxa"/>
            <w:vAlign w:val="bottom"/>
            <w:vMerge w:val="restart"/>
            <w:shd w:val="clear" w:color="auto" w:fill="CCEEFF"/>
          </w:tcPr>
          <w:p>
            <w:pPr>
              <w:ind w:left="80"/>
              <w:spacing w:after="0"/>
              <w:rPr>
                <w:sz w:val="20"/>
                <w:szCs w:val="20"/>
                <w:color w:val="auto"/>
              </w:rPr>
            </w:pPr>
            <w:r>
              <w:rPr>
                <w:rFonts w:ascii="Arial" w:cs="Arial" w:eastAsia="Arial" w:hAnsi="Arial"/>
                <w:sz w:val="9"/>
                <w:szCs w:val="9"/>
                <w:color w:val="auto"/>
              </w:rPr>
              <w:t>—</w:t>
            </w:r>
          </w:p>
        </w:tc>
        <w:tc>
          <w:tcPr>
            <w:tcW w:w="560" w:type="dxa"/>
            <w:vAlign w:val="bottom"/>
            <w:vMerge w:val="restart"/>
            <w:shd w:val="clear" w:color="auto" w:fill="CCEEFF"/>
          </w:tcPr>
          <w:p>
            <w:pPr>
              <w:ind w:left="20"/>
              <w:spacing w:after="0"/>
              <w:rPr>
                <w:sz w:val="20"/>
                <w:szCs w:val="20"/>
                <w:color w:val="auto"/>
              </w:rPr>
            </w:pPr>
            <w:r>
              <w:rPr>
                <w:rFonts w:ascii="Arial" w:cs="Arial" w:eastAsia="Arial" w:hAnsi="Arial"/>
                <w:sz w:val="9"/>
                <w:szCs w:val="9"/>
                <w:color w:val="auto"/>
              </w:rPr>
              <w:t>—</w:t>
            </w:r>
          </w:p>
        </w:tc>
        <w:tc>
          <w:tcPr>
            <w:tcW w:w="100" w:type="dxa"/>
            <w:vAlign w:val="bottom"/>
            <w:vMerge w:val="restart"/>
            <w:shd w:val="clear" w:color="auto" w:fill="CCEEFF"/>
          </w:tcPr>
          <w:p>
            <w:pPr>
              <w:jc w:val="right"/>
              <w:ind w:right="28"/>
              <w:spacing w:after="0"/>
              <w:rPr>
                <w:sz w:val="20"/>
                <w:szCs w:val="20"/>
                <w:color w:val="auto"/>
              </w:rPr>
            </w:pPr>
            <w:r>
              <w:rPr>
                <w:rFonts w:ascii="Arial" w:cs="Arial" w:eastAsia="Arial" w:hAnsi="Arial"/>
                <w:sz w:val="6"/>
                <w:szCs w:val="6"/>
                <w:color w:val="auto"/>
                <w:w w:val="83"/>
              </w:rPr>
              <w:t>*</w:t>
            </w:r>
          </w:p>
        </w:tc>
        <w:tc>
          <w:tcPr>
            <w:tcW w:w="0" w:type="dxa"/>
            <w:vAlign w:val="bottom"/>
          </w:tcPr>
          <w:p>
            <w:pPr>
              <w:spacing w:after="0"/>
              <w:rPr>
                <w:sz w:val="1"/>
                <w:szCs w:val="1"/>
                <w:color w:val="auto"/>
              </w:rPr>
            </w:pPr>
          </w:p>
        </w:tc>
      </w:tr>
      <w:tr>
        <w:trPr>
          <w:trHeight w:val="134"/>
        </w:trPr>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20"/>
                <w:szCs w:val="20"/>
                <w:color w:val="auto"/>
              </w:rPr>
            </w:pPr>
            <w:r>
              <w:rPr>
                <w:rFonts w:ascii="Arial" w:cs="Arial" w:eastAsia="Arial" w:hAnsi="Arial"/>
                <w:sz w:val="9"/>
                <w:szCs w:val="9"/>
                <w:color w:val="auto"/>
              </w:rPr>
              <w:t xml:space="preserve">Common Stock </w:t>
            </w:r>
            <w:r>
              <w:rPr>
                <w:rFonts w:ascii="Arial" w:cs="Arial" w:eastAsia="Arial" w:hAnsi="Arial"/>
                <w:sz w:val="11"/>
                <w:szCs w:val="11"/>
                <w:color w:val="auto"/>
                <w:vertAlign w:val="superscript"/>
              </w:rPr>
              <w:t>(18)</w:t>
            </w:r>
            <w:r>
              <w:rPr>
                <w:rFonts w:ascii="Times New Roman" w:cs="Times New Roman" w:eastAsia="Times New Roman" w:hAnsi="Times New Roman"/>
                <w:sz w:val="9"/>
                <w:szCs w:val="9"/>
                <w:color w:val="B4B4B4"/>
              </w:rPr>
              <w:t>.</w:t>
            </w:r>
          </w:p>
        </w:tc>
        <w:tc>
          <w:tcPr>
            <w:tcW w:w="560" w:type="dxa"/>
            <w:vAlign w:val="bottom"/>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020" w:type="dxa"/>
            <w:vAlign w:val="bottom"/>
            <w:gridSpan w:val="2"/>
          </w:tcPr>
          <w:p>
            <w:pPr>
              <w:ind w:left="40"/>
              <w:spacing w:after="0"/>
              <w:rPr>
                <w:sz w:val="20"/>
                <w:szCs w:val="20"/>
                <w:color w:val="auto"/>
              </w:rPr>
            </w:pPr>
            <w:r>
              <w:rPr>
                <w:rFonts w:ascii="Arial" w:cs="Arial" w:eastAsia="Arial" w:hAnsi="Arial"/>
                <w:sz w:val="9"/>
                <w:szCs w:val="9"/>
                <w:color w:val="auto"/>
              </w:rPr>
              <w:t>Other Selling</w:t>
            </w: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880" w:type="dxa"/>
            <w:vAlign w:val="bottom"/>
          </w:tcPr>
          <w:p>
            <w:pPr>
              <w:spacing w:after="0" w:line="86" w:lineRule="exact"/>
              <w:rPr>
                <w:sz w:val="20"/>
                <w:szCs w:val="20"/>
                <w:color w:val="auto"/>
              </w:rPr>
            </w:pPr>
            <w:r>
              <w:rPr>
                <w:rFonts w:ascii="Arial" w:cs="Arial" w:eastAsia="Arial" w:hAnsi="Arial"/>
                <w:sz w:val="9"/>
                <w:szCs w:val="9"/>
                <w:color w:val="auto"/>
              </w:rPr>
              <w:t>Stockholders that</w:t>
            </w: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880" w:type="dxa"/>
            <w:vAlign w:val="bottom"/>
          </w:tcPr>
          <w:p>
            <w:pPr>
              <w:spacing w:after="0" w:line="86" w:lineRule="exact"/>
              <w:rPr>
                <w:sz w:val="20"/>
                <w:szCs w:val="20"/>
                <w:color w:val="auto"/>
              </w:rPr>
            </w:pPr>
            <w:r>
              <w:rPr>
                <w:rFonts w:ascii="Arial" w:cs="Arial" w:eastAsia="Arial" w:hAnsi="Arial"/>
                <w:sz w:val="9"/>
                <w:szCs w:val="9"/>
                <w:color w:val="auto"/>
              </w:rPr>
              <w:t>beneficially own</w:t>
            </w: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40" w:type="dxa"/>
            <w:vAlign w:val="bottom"/>
          </w:tcPr>
          <w:p>
            <w:pPr>
              <w:spacing w:after="0"/>
              <w:rPr>
                <w:sz w:val="8"/>
                <w:szCs w:val="8"/>
                <w:color w:val="auto"/>
              </w:rPr>
            </w:pPr>
          </w:p>
        </w:tc>
        <w:tc>
          <w:tcPr>
            <w:tcW w:w="880" w:type="dxa"/>
            <w:vAlign w:val="bottom"/>
          </w:tcPr>
          <w:p>
            <w:pPr>
              <w:spacing w:after="0" w:line="96" w:lineRule="exact"/>
              <w:rPr>
                <w:sz w:val="20"/>
                <w:szCs w:val="20"/>
                <w:color w:val="auto"/>
              </w:rPr>
            </w:pPr>
            <w:r>
              <w:rPr>
                <w:rFonts w:ascii="Arial" w:cs="Arial" w:eastAsia="Arial" w:hAnsi="Arial"/>
                <w:sz w:val="9"/>
                <w:szCs w:val="9"/>
                <w:color w:val="auto"/>
              </w:rPr>
              <w:t>between 250,001</w:t>
            </w: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880" w:type="dxa"/>
            <w:vAlign w:val="bottom"/>
          </w:tcPr>
          <w:p>
            <w:pPr>
              <w:spacing w:after="0" w:line="86" w:lineRule="exact"/>
              <w:rPr>
                <w:sz w:val="20"/>
                <w:szCs w:val="20"/>
                <w:color w:val="auto"/>
              </w:rPr>
            </w:pPr>
            <w:r>
              <w:rPr>
                <w:rFonts w:ascii="Arial" w:cs="Arial" w:eastAsia="Arial" w:hAnsi="Arial"/>
                <w:sz w:val="9"/>
                <w:szCs w:val="9"/>
                <w:color w:val="auto"/>
              </w:rPr>
              <w:t>and 400,000</w:t>
            </w: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880" w:type="dxa"/>
            <w:vAlign w:val="bottom"/>
          </w:tcPr>
          <w:p>
            <w:pPr>
              <w:spacing w:after="0" w:line="86" w:lineRule="exact"/>
              <w:rPr>
                <w:sz w:val="20"/>
                <w:szCs w:val="20"/>
                <w:color w:val="auto"/>
              </w:rPr>
            </w:pPr>
            <w:r>
              <w:rPr>
                <w:rFonts w:ascii="Arial" w:cs="Arial" w:eastAsia="Arial" w:hAnsi="Arial"/>
                <w:sz w:val="9"/>
                <w:szCs w:val="9"/>
                <w:color w:val="auto"/>
              </w:rPr>
              <w:t>shares of Class A</w:t>
            </w:r>
          </w:p>
        </w:tc>
        <w:tc>
          <w:tcPr>
            <w:tcW w:w="560" w:type="dxa"/>
            <w:vAlign w:val="bottom"/>
            <w:vMerge w:val="restart"/>
          </w:tcPr>
          <w:p>
            <w:pPr>
              <w:jc w:val="right"/>
              <w:ind w:right="97"/>
              <w:spacing w:after="0"/>
              <w:rPr>
                <w:sz w:val="20"/>
                <w:szCs w:val="20"/>
                <w:color w:val="auto"/>
              </w:rPr>
            </w:pPr>
            <w:r>
              <w:rPr>
                <w:rFonts w:ascii="Arial" w:cs="Arial" w:eastAsia="Arial" w:hAnsi="Arial"/>
                <w:sz w:val="9"/>
                <w:szCs w:val="9"/>
                <w:color w:val="auto"/>
                <w:w w:val="99"/>
              </w:rPr>
              <w:t>1,790,075</w:t>
            </w:r>
          </w:p>
        </w:tc>
        <w:tc>
          <w:tcPr>
            <w:tcW w:w="420" w:type="dxa"/>
            <w:vAlign w:val="bottom"/>
            <w:vMerge w:val="restart"/>
          </w:tcPr>
          <w:p>
            <w:pPr>
              <w:jc w:val="right"/>
              <w:ind w:right="197"/>
              <w:spacing w:after="0"/>
              <w:rPr>
                <w:sz w:val="20"/>
                <w:szCs w:val="20"/>
                <w:color w:val="auto"/>
              </w:rPr>
            </w:pPr>
            <w:r>
              <w:rPr>
                <w:rFonts w:ascii="Arial" w:cs="Arial" w:eastAsia="Arial" w:hAnsi="Arial"/>
                <w:sz w:val="9"/>
                <w:szCs w:val="9"/>
                <w:color w:val="auto"/>
              </w:rPr>
              <w:t>*</w:t>
            </w:r>
          </w:p>
        </w:tc>
        <w:tc>
          <w:tcPr>
            <w:tcW w:w="460" w:type="dxa"/>
            <w:vAlign w:val="bottom"/>
            <w:vMerge w:val="restart"/>
          </w:tcPr>
          <w:p>
            <w:pPr>
              <w:ind w:left="260"/>
              <w:spacing w:after="0"/>
              <w:rPr>
                <w:sz w:val="20"/>
                <w:szCs w:val="20"/>
                <w:color w:val="auto"/>
              </w:rPr>
            </w:pPr>
            <w:r>
              <w:rPr>
                <w:rFonts w:ascii="Arial" w:cs="Arial" w:eastAsia="Arial" w:hAnsi="Arial"/>
                <w:sz w:val="9"/>
                <w:szCs w:val="9"/>
                <w:color w:val="auto"/>
              </w:rPr>
              <w:t>—</w:t>
            </w:r>
          </w:p>
        </w:tc>
        <w:tc>
          <w:tcPr>
            <w:tcW w:w="420" w:type="dxa"/>
            <w:vAlign w:val="bottom"/>
            <w:vMerge w:val="restart"/>
          </w:tcPr>
          <w:p>
            <w:pPr>
              <w:ind w:left="100"/>
              <w:spacing w:after="0"/>
              <w:rPr>
                <w:sz w:val="20"/>
                <w:szCs w:val="20"/>
                <w:color w:val="auto"/>
              </w:rPr>
            </w:pPr>
            <w:r>
              <w:rPr>
                <w:rFonts w:ascii="Arial" w:cs="Arial" w:eastAsia="Arial" w:hAnsi="Arial"/>
                <w:sz w:val="9"/>
                <w:szCs w:val="9"/>
                <w:color w:val="auto"/>
              </w:rPr>
              <w:t>—</w:t>
            </w:r>
          </w:p>
        </w:tc>
        <w:tc>
          <w:tcPr>
            <w:tcW w:w="360" w:type="dxa"/>
            <w:vAlign w:val="bottom"/>
            <w:vMerge w:val="restart"/>
          </w:tcPr>
          <w:p>
            <w:pPr>
              <w:jc w:val="right"/>
              <w:ind w:right="57"/>
              <w:spacing w:after="0"/>
              <w:rPr>
                <w:sz w:val="20"/>
                <w:szCs w:val="20"/>
                <w:color w:val="auto"/>
              </w:rPr>
            </w:pPr>
            <w:r>
              <w:rPr>
                <w:rFonts w:ascii="Arial" w:cs="Arial" w:eastAsia="Arial" w:hAnsi="Arial"/>
                <w:sz w:val="9"/>
                <w:szCs w:val="9"/>
                <w:color w:val="auto"/>
              </w:rPr>
              <w:t>*</w:t>
            </w:r>
          </w:p>
        </w:tc>
        <w:tc>
          <w:tcPr>
            <w:tcW w:w="520" w:type="dxa"/>
            <w:vAlign w:val="bottom"/>
            <w:vMerge w:val="restart"/>
          </w:tcPr>
          <w:p>
            <w:pPr>
              <w:jc w:val="right"/>
              <w:ind w:right="57"/>
              <w:spacing w:after="0"/>
              <w:rPr>
                <w:sz w:val="20"/>
                <w:szCs w:val="20"/>
                <w:color w:val="auto"/>
              </w:rPr>
            </w:pPr>
            <w:r>
              <w:rPr>
                <w:rFonts w:ascii="Arial" w:cs="Arial" w:eastAsia="Arial" w:hAnsi="Arial"/>
                <w:sz w:val="9"/>
                <w:szCs w:val="9"/>
                <w:color w:val="auto"/>
              </w:rPr>
              <w:t>281,633</w:t>
            </w:r>
          </w:p>
        </w:tc>
        <w:tc>
          <w:tcPr>
            <w:tcW w:w="620" w:type="dxa"/>
            <w:vAlign w:val="bottom"/>
            <w:vMerge w:val="restart"/>
          </w:tcPr>
          <w:p>
            <w:pPr>
              <w:jc w:val="right"/>
              <w:ind w:right="97"/>
              <w:spacing w:after="0"/>
              <w:rPr>
                <w:sz w:val="20"/>
                <w:szCs w:val="20"/>
                <w:color w:val="auto"/>
              </w:rPr>
            </w:pPr>
            <w:r>
              <w:rPr>
                <w:rFonts w:ascii="Arial" w:cs="Arial" w:eastAsia="Arial" w:hAnsi="Arial"/>
                <w:sz w:val="9"/>
                <w:szCs w:val="9"/>
                <w:color w:val="auto"/>
              </w:rPr>
              <w:t>1,508,442</w:t>
            </w:r>
          </w:p>
        </w:tc>
        <w:tc>
          <w:tcPr>
            <w:tcW w:w="580" w:type="dxa"/>
            <w:vAlign w:val="bottom"/>
            <w:vMerge w:val="restart"/>
          </w:tcPr>
          <w:p>
            <w:pPr>
              <w:jc w:val="right"/>
              <w:ind w:right="377"/>
              <w:spacing w:after="0"/>
              <w:rPr>
                <w:sz w:val="20"/>
                <w:szCs w:val="20"/>
                <w:color w:val="auto"/>
              </w:rPr>
            </w:pPr>
            <w:r>
              <w:rPr>
                <w:rFonts w:ascii="Arial" w:cs="Arial" w:eastAsia="Arial" w:hAnsi="Arial"/>
                <w:sz w:val="9"/>
                <w:szCs w:val="9"/>
                <w:color w:val="auto"/>
              </w:rPr>
              <w:t>*</w:t>
            </w:r>
          </w:p>
        </w:tc>
        <w:tc>
          <w:tcPr>
            <w:tcW w:w="360" w:type="dxa"/>
            <w:vAlign w:val="bottom"/>
            <w:vMerge w:val="restart"/>
          </w:tcPr>
          <w:p>
            <w:pPr>
              <w:ind w:left="80"/>
              <w:spacing w:after="0"/>
              <w:rPr>
                <w:sz w:val="20"/>
                <w:szCs w:val="20"/>
                <w:color w:val="auto"/>
              </w:rPr>
            </w:pPr>
            <w:r>
              <w:rPr>
                <w:rFonts w:ascii="Arial" w:cs="Arial" w:eastAsia="Arial" w:hAnsi="Arial"/>
                <w:sz w:val="9"/>
                <w:szCs w:val="9"/>
                <w:color w:val="auto"/>
              </w:rPr>
              <w:t>—</w:t>
            </w:r>
          </w:p>
        </w:tc>
        <w:tc>
          <w:tcPr>
            <w:tcW w:w="560" w:type="dxa"/>
            <w:vAlign w:val="bottom"/>
            <w:vMerge w:val="restart"/>
          </w:tcPr>
          <w:p>
            <w:pPr>
              <w:ind w:left="20"/>
              <w:spacing w:after="0"/>
              <w:rPr>
                <w:sz w:val="20"/>
                <w:szCs w:val="20"/>
                <w:color w:val="auto"/>
              </w:rPr>
            </w:pPr>
            <w:r>
              <w:rPr>
                <w:rFonts w:ascii="Arial" w:cs="Arial" w:eastAsia="Arial" w:hAnsi="Arial"/>
                <w:sz w:val="9"/>
                <w:szCs w:val="9"/>
                <w:color w:val="auto"/>
              </w:rPr>
              <w:t>—</w:t>
            </w:r>
          </w:p>
        </w:tc>
        <w:tc>
          <w:tcPr>
            <w:tcW w:w="100" w:type="dxa"/>
            <w:vAlign w:val="bottom"/>
            <w:vMerge w:val="restart"/>
          </w:tcPr>
          <w:p>
            <w:pPr>
              <w:jc w:val="right"/>
              <w:ind w:right="28"/>
              <w:spacing w:after="0"/>
              <w:rPr>
                <w:sz w:val="20"/>
                <w:szCs w:val="20"/>
                <w:color w:val="auto"/>
              </w:rPr>
            </w:pPr>
            <w:r>
              <w:rPr>
                <w:rFonts w:ascii="Arial" w:cs="Arial" w:eastAsia="Arial" w:hAnsi="Arial"/>
                <w:sz w:val="6"/>
                <w:szCs w:val="6"/>
                <w:color w:val="auto"/>
                <w:w w:val="83"/>
              </w:rPr>
              <w:t>*</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880" w:type="dxa"/>
            <w:vAlign w:val="bottom"/>
          </w:tcPr>
          <w:p>
            <w:pPr>
              <w:spacing w:after="0"/>
              <w:rPr>
                <w:sz w:val="20"/>
                <w:szCs w:val="20"/>
                <w:color w:val="auto"/>
              </w:rPr>
            </w:pPr>
            <w:r>
              <w:rPr>
                <w:rFonts w:ascii="Arial" w:cs="Arial" w:eastAsia="Arial" w:hAnsi="Arial"/>
                <w:sz w:val="9"/>
                <w:szCs w:val="9"/>
                <w:color w:val="auto"/>
              </w:rPr>
              <w:t xml:space="preserve">Common Stock </w:t>
            </w:r>
            <w:r>
              <w:rPr>
                <w:rFonts w:ascii="Arial" w:cs="Arial" w:eastAsia="Arial" w:hAnsi="Arial"/>
                <w:sz w:val="11"/>
                <w:szCs w:val="11"/>
                <w:color w:val="auto"/>
                <w:vertAlign w:val="superscript"/>
              </w:rPr>
              <w:t>(18)</w:t>
            </w:r>
            <w:r>
              <w:rPr>
                <w:rFonts w:ascii="Times New Roman" w:cs="Times New Roman" w:eastAsia="Times New Roman" w:hAnsi="Times New Roman"/>
                <w:sz w:val="9"/>
                <w:szCs w:val="9"/>
                <w:color w:val="B4B4B4"/>
              </w:rPr>
              <w:t>.</w:t>
            </w:r>
          </w:p>
        </w:tc>
        <w:tc>
          <w:tcPr>
            <w:tcW w:w="56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02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Other Selling</w:t>
            </w:r>
          </w:p>
        </w:tc>
        <w:tc>
          <w:tcPr>
            <w:tcW w:w="5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line="86" w:lineRule="exact"/>
              <w:rPr>
                <w:sz w:val="20"/>
                <w:szCs w:val="20"/>
                <w:color w:val="auto"/>
              </w:rPr>
            </w:pPr>
            <w:r>
              <w:rPr>
                <w:rFonts w:ascii="Arial" w:cs="Arial" w:eastAsia="Arial" w:hAnsi="Arial"/>
                <w:sz w:val="9"/>
                <w:szCs w:val="9"/>
                <w:color w:val="auto"/>
              </w:rPr>
              <w:t>Stockholders that</w:t>
            </w:r>
          </w:p>
        </w:tc>
        <w:tc>
          <w:tcPr>
            <w:tcW w:w="5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line="86" w:lineRule="exact"/>
              <w:rPr>
                <w:sz w:val="20"/>
                <w:szCs w:val="20"/>
                <w:color w:val="auto"/>
              </w:rPr>
            </w:pPr>
            <w:r>
              <w:rPr>
                <w:rFonts w:ascii="Arial" w:cs="Arial" w:eastAsia="Arial" w:hAnsi="Arial"/>
                <w:sz w:val="9"/>
                <w:szCs w:val="9"/>
                <w:color w:val="auto"/>
              </w:rPr>
              <w:t>beneficially own</w:t>
            </w:r>
          </w:p>
        </w:tc>
        <w:tc>
          <w:tcPr>
            <w:tcW w:w="5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line="96" w:lineRule="exact"/>
              <w:rPr>
                <w:sz w:val="20"/>
                <w:szCs w:val="20"/>
                <w:color w:val="auto"/>
              </w:rPr>
            </w:pPr>
            <w:r>
              <w:rPr>
                <w:rFonts w:ascii="Arial" w:cs="Arial" w:eastAsia="Arial" w:hAnsi="Arial"/>
                <w:sz w:val="9"/>
                <w:szCs w:val="9"/>
                <w:color w:val="auto"/>
              </w:rPr>
              <w:t>between 120,001</w:t>
            </w:r>
          </w:p>
        </w:tc>
        <w:tc>
          <w:tcPr>
            <w:tcW w:w="5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line="86" w:lineRule="exact"/>
              <w:rPr>
                <w:sz w:val="20"/>
                <w:szCs w:val="20"/>
                <w:color w:val="auto"/>
              </w:rPr>
            </w:pPr>
            <w:r>
              <w:rPr>
                <w:rFonts w:ascii="Arial" w:cs="Arial" w:eastAsia="Arial" w:hAnsi="Arial"/>
                <w:sz w:val="9"/>
                <w:szCs w:val="9"/>
                <w:color w:val="auto"/>
              </w:rPr>
              <w:t>and 250,000</w:t>
            </w:r>
          </w:p>
        </w:tc>
        <w:tc>
          <w:tcPr>
            <w:tcW w:w="5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line="86" w:lineRule="exact"/>
              <w:rPr>
                <w:sz w:val="20"/>
                <w:szCs w:val="20"/>
                <w:color w:val="auto"/>
              </w:rPr>
            </w:pPr>
            <w:r>
              <w:rPr>
                <w:rFonts w:ascii="Arial" w:cs="Arial" w:eastAsia="Arial" w:hAnsi="Arial"/>
                <w:sz w:val="9"/>
                <w:szCs w:val="9"/>
                <w:color w:val="auto"/>
              </w:rPr>
              <w:t>shares of Class A</w:t>
            </w:r>
          </w:p>
        </w:tc>
        <w:tc>
          <w:tcPr>
            <w:tcW w:w="560" w:type="dxa"/>
            <w:vAlign w:val="bottom"/>
            <w:vMerge w:val="restart"/>
            <w:shd w:val="clear" w:color="auto" w:fill="CCEEFF"/>
          </w:tcPr>
          <w:p>
            <w:pPr>
              <w:jc w:val="right"/>
              <w:ind w:right="97"/>
              <w:spacing w:after="0"/>
              <w:rPr>
                <w:sz w:val="20"/>
                <w:szCs w:val="20"/>
                <w:color w:val="auto"/>
              </w:rPr>
            </w:pPr>
            <w:r>
              <w:rPr>
                <w:rFonts w:ascii="Arial" w:cs="Arial" w:eastAsia="Arial" w:hAnsi="Arial"/>
                <w:sz w:val="9"/>
                <w:szCs w:val="9"/>
                <w:color w:val="auto"/>
                <w:w w:val="99"/>
              </w:rPr>
              <w:t>1,894,026</w:t>
            </w:r>
          </w:p>
        </w:tc>
        <w:tc>
          <w:tcPr>
            <w:tcW w:w="420" w:type="dxa"/>
            <w:vAlign w:val="bottom"/>
            <w:vMerge w:val="restart"/>
            <w:shd w:val="clear" w:color="auto" w:fill="CCEEFF"/>
          </w:tcPr>
          <w:p>
            <w:pPr>
              <w:jc w:val="right"/>
              <w:ind w:right="197"/>
              <w:spacing w:after="0"/>
              <w:rPr>
                <w:sz w:val="20"/>
                <w:szCs w:val="20"/>
                <w:color w:val="auto"/>
              </w:rPr>
            </w:pPr>
            <w:r>
              <w:rPr>
                <w:rFonts w:ascii="Arial" w:cs="Arial" w:eastAsia="Arial" w:hAnsi="Arial"/>
                <w:sz w:val="9"/>
                <w:szCs w:val="9"/>
                <w:color w:val="auto"/>
              </w:rPr>
              <w:t>*</w:t>
            </w:r>
          </w:p>
        </w:tc>
        <w:tc>
          <w:tcPr>
            <w:tcW w:w="460" w:type="dxa"/>
            <w:vAlign w:val="bottom"/>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420" w:type="dxa"/>
            <w:vAlign w:val="bottom"/>
            <w:vMerge w:val="restart"/>
            <w:shd w:val="clear" w:color="auto" w:fill="CCEEFF"/>
          </w:tcPr>
          <w:p>
            <w:pPr>
              <w:ind w:left="100"/>
              <w:spacing w:after="0"/>
              <w:rPr>
                <w:sz w:val="20"/>
                <w:szCs w:val="20"/>
                <w:color w:val="auto"/>
              </w:rPr>
            </w:pPr>
            <w:r>
              <w:rPr>
                <w:rFonts w:ascii="Arial" w:cs="Arial" w:eastAsia="Arial" w:hAnsi="Arial"/>
                <w:sz w:val="9"/>
                <w:szCs w:val="9"/>
                <w:color w:val="auto"/>
              </w:rPr>
              <w:t>—</w:t>
            </w:r>
          </w:p>
        </w:tc>
        <w:tc>
          <w:tcPr>
            <w:tcW w:w="360" w:type="dxa"/>
            <w:vAlign w:val="bottom"/>
            <w:vMerge w:val="restart"/>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520" w:type="dxa"/>
            <w:vAlign w:val="bottom"/>
            <w:vMerge w:val="restart"/>
            <w:shd w:val="clear" w:color="auto" w:fill="CCEEFF"/>
          </w:tcPr>
          <w:p>
            <w:pPr>
              <w:jc w:val="right"/>
              <w:ind w:right="57"/>
              <w:spacing w:after="0"/>
              <w:rPr>
                <w:sz w:val="20"/>
                <w:szCs w:val="20"/>
                <w:color w:val="auto"/>
              </w:rPr>
            </w:pPr>
            <w:r>
              <w:rPr>
                <w:rFonts w:ascii="Arial" w:cs="Arial" w:eastAsia="Arial" w:hAnsi="Arial"/>
                <w:sz w:val="9"/>
                <w:szCs w:val="9"/>
                <w:color w:val="auto"/>
              </w:rPr>
              <w:t>479,583</w:t>
            </w:r>
          </w:p>
        </w:tc>
        <w:tc>
          <w:tcPr>
            <w:tcW w:w="620" w:type="dxa"/>
            <w:vAlign w:val="bottom"/>
            <w:vMerge w:val="restart"/>
            <w:shd w:val="clear" w:color="auto" w:fill="CCEEFF"/>
          </w:tcPr>
          <w:p>
            <w:pPr>
              <w:jc w:val="right"/>
              <w:ind w:right="97"/>
              <w:spacing w:after="0"/>
              <w:rPr>
                <w:sz w:val="20"/>
                <w:szCs w:val="20"/>
                <w:color w:val="auto"/>
              </w:rPr>
            </w:pPr>
            <w:r>
              <w:rPr>
                <w:rFonts w:ascii="Arial" w:cs="Arial" w:eastAsia="Arial" w:hAnsi="Arial"/>
                <w:sz w:val="9"/>
                <w:szCs w:val="9"/>
                <w:color w:val="auto"/>
              </w:rPr>
              <w:t>1,414,443</w:t>
            </w:r>
          </w:p>
        </w:tc>
        <w:tc>
          <w:tcPr>
            <w:tcW w:w="580" w:type="dxa"/>
            <w:vAlign w:val="bottom"/>
            <w:vMerge w:val="restart"/>
            <w:shd w:val="clear" w:color="auto" w:fill="CCEEFF"/>
          </w:tcPr>
          <w:p>
            <w:pPr>
              <w:jc w:val="right"/>
              <w:ind w:right="377"/>
              <w:spacing w:after="0"/>
              <w:rPr>
                <w:sz w:val="20"/>
                <w:szCs w:val="20"/>
                <w:color w:val="auto"/>
              </w:rPr>
            </w:pPr>
            <w:r>
              <w:rPr>
                <w:rFonts w:ascii="Arial" w:cs="Arial" w:eastAsia="Arial" w:hAnsi="Arial"/>
                <w:sz w:val="9"/>
                <w:szCs w:val="9"/>
                <w:color w:val="auto"/>
              </w:rPr>
              <w:t>*</w:t>
            </w:r>
          </w:p>
        </w:tc>
        <w:tc>
          <w:tcPr>
            <w:tcW w:w="360" w:type="dxa"/>
            <w:vAlign w:val="bottom"/>
            <w:vMerge w:val="restart"/>
            <w:shd w:val="clear" w:color="auto" w:fill="CCEEFF"/>
          </w:tcPr>
          <w:p>
            <w:pPr>
              <w:ind w:left="80"/>
              <w:spacing w:after="0"/>
              <w:rPr>
                <w:sz w:val="20"/>
                <w:szCs w:val="20"/>
                <w:color w:val="auto"/>
              </w:rPr>
            </w:pPr>
            <w:r>
              <w:rPr>
                <w:rFonts w:ascii="Arial" w:cs="Arial" w:eastAsia="Arial" w:hAnsi="Arial"/>
                <w:sz w:val="9"/>
                <w:szCs w:val="9"/>
                <w:color w:val="auto"/>
              </w:rPr>
              <w:t>—</w:t>
            </w:r>
          </w:p>
        </w:tc>
        <w:tc>
          <w:tcPr>
            <w:tcW w:w="560" w:type="dxa"/>
            <w:vAlign w:val="bottom"/>
            <w:vMerge w:val="restart"/>
            <w:shd w:val="clear" w:color="auto" w:fill="CCEEFF"/>
          </w:tcPr>
          <w:p>
            <w:pPr>
              <w:ind w:left="20"/>
              <w:spacing w:after="0"/>
              <w:rPr>
                <w:sz w:val="20"/>
                <w:szCs w:val="20"/>
                <w:color w:val="auto"/>
              </w:rPr>
            </w:pPr>
            <w:r>
              <w:rPr>
                <w:rFonts w:ascii="Arial" w:cs="Arial" w:eastAsia="Arial" w:hAnsi="Arial"/>
                <w:sz w:val="9"/>
                <w:szCs w:val="9"/>
                <w:color w:val="auto"/>
              </w:rPr>
              <w:t>—</w:t>
            </w:r>
          </w:p>
        </w:tc>
        <w:tc>
          <w:tcPr>
            <w:tcW w:w="100" w:type="dxa"/>
            <w:vAlign w:val="bottom"/>
            <w:vMerge w:val="restart"/>
            <w:shd w:val="clear" w:color="auto" w:fill="CCEEFF"/>
          </w:tcPr>
          <w:p>
            <w:pPr>
              <w:jc w:val="right"/>
              <w:ind w:right="28"/>
              <w:spacing w:after="0"/>
              <w:rPr>
                <w:sz w:val="20"/>
                <w:szCs w:val="20"/>
                <w:color w:val="auto"/>
              </w:rPr>
            </w:pPr>
            <w:r>
              <w:rPr>
                <w:rFonts w:ascii="Arial" w:cs="Arial" w:eastAsia="Arial" w:hAnsi="Arial"/>
                <w:sz w:val="6"/>
                <w:szCs w:val="6"/>
                <w:color w:val="auto"/>
                <w:w w:val="83"/>
              </w:rPr>
              <w:t>*</w:t>
            </w:r>
          </w:p>
        </w:tc>
        <w:tc>
          <w:tcPr>
            <w:tcW w:w="0" w:type="dxa"/>
            <w:vAlign w:val="bottom"/>
          </w:tcPr>
          <w:p>
            <w:pPr>
              <w:spacing w:after="0"/>
              <w:rPr>
                <w:sz w:val="1"/>
                <w:szCs w:val="1"/>
                <w:color w:val="auto"/>
              </w:rPr>
            </w:pPr>
          </w:p>
        </w:tc>
      </w:tr>
      <w:tr>
        <w:trPr>
          <w:trHeight w:val="134"/>
        </w:trPr>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20"/>
                <w:szCs w:val="20"/>
                <w:color w:val="auto"/>
              </w:rPr>
            </w:pPr>
            <w:r>
              <w:rPr>
                <w:rFonts w:ascii="Arial" w:cs="Arial" w:eastAsia="Arial" w:hAnsi="Arial"/>
                <w:sz w:val="9"/>
                <w:szCs w:val="9"/>
                <w:color w:val="auto"/>
              </w:rPr>
              <w:t xml:space="preserve">Common Stock </w:t>
            </w:r>
            <w:r>
              <w:rPr>
                <w:rFonts w:ascii="Arial" w:cs="Arial" w:eastAsia="Arial" w:hAnsi="Arial"/>
                <w:sz w:val="11"/>
                <w:szCs w:val="11"/>
                <w:color w:val="auto"/>
                <w:vertAlign w:val="superscript"/>
              </w:rPr>
              <w:t>(18)</w:t>
            </w:r>
            <w:r>
              <w:rPr>
                <w:rFonts w:ascii="Times New Roman" w:cs="Times New Roman" w:eastAsia="Times New Roman" w:hAnsi="Times New Roman"/>
                <w:sz w:val="9"/>
                <w:szCs w:val="9"/>
                <w:color w:val="B4B4B4"/>
              </w:rPr>
              <w:t>.</w:t>
            </w:r>
          </w:p>
        </w:tc>
        <w:tc>
          <w:tcPr>
            <w:tcW w:w="560" w:type="dxa"/>
            <w:vAlign w:val="bottom"/>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020" w:type="dxa"/>
            <w:vAlign w:val="bottom"/>
            <w:gridSpan w:val="2"/>
          </w:tcPr>
          <w:p>
            <w:pPr>
              <w:ind w:left="40"/>
              <w:spacing w:after="0"/>
              <w:rPr>
                <w:sz w:val="20"/>
                <w:szCs w:val="20"/>
                <w:color w:val="auto"/>
              </w:rPr>
            </w:pPr>
            <w:r>
              <w:rPr>
                <w:rFonts w:ascii="Arial" w:cs="Arial" w:eastAsia="Arial" w:hAnsi="Arial"/>
                <w:sz w:val="9"/>
                <w:szCs w:val="9"/>
                <w:color w:val="auto"/>
              </w:rPr>
              <w:t>Other Selling</w:t>
            </w: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880" w:type="dxa"/>
            <w:vAlign w:val="bottom"/>
          </w:tcPr>
          <w:p>
            <w:pPr>
              <w:spacing w:after="0" w:line="86" w:lineRule="exact"/>
              <w:rPr>
                <w:sz w:val="20"/>
                <w:szCs w:val="20"/>
                <w:color w:val="auto"/>
              </w:rPr>
            </w:pPr>
            <w:r>
              <w:rPr>
                <w:rFonts w:ascii="Arial" w:cs="Arial" w:eastAsia="Arial" w:hAnsi="Arial"/>
                <w:sz w:val="9"/>
                <w:szCs w:val="9"/>
                <w:color w:val="auto"/>
              </w:rPr>
              <w:t>Stockholders that</w:t>
            </w: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40" w:type="dxa"/>
            <w:vAlign w:val="bottom"/>
          </w:tcPr>
          <w:p>
            <w:pPr>
              <w:spacing w:after="0"/>
              <w:rPr>
                <w:sz w:val="8"/>
                <w:szCs w:val="8"/>
                <w:color w:val="auto"/>
              </w:rPr>
            </w:pPr>
          </w:p>
        </w:tc>
        <w:tc>
          <w:tcPr>
            <w:tcW w:w="880" w:type="dxa"/>
            <w:vAlign w:val="bottom"/>
          </w:tcPr>
          <w:p>
            <w:pPr>
              <w:spacing w:after="0" w:line="96" w:lineRule="exact"/>
              <w:rPr>
                <w:sz w:val="20"/>
                <w:szCs w:val="20"/>
                <w:color w:val="auto"/>
              </w:rPr>
            </w:pPr>
            <w:r>
              <w:rPr>
                <w:rFonts w:ascii="Arial" w:cs="Arial" w:eastAsia="Arial" w:hAnsi="Arial"/>
                <w:sz w:val="9"/>
                <w:szCs w:val="9"/>
                <w:color w:val="auto"/>
              </w:rPr>
              <w:t>beneficially own</w:t>
            </w: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880" w:type="dxa"/>
            <w:vAlign w:val="bottom"/>
          </w:tcPr>
          <w:p>
            <w:pPr>
              <w:spacing w:after="0" w:line="86" w:lineRule="exact"/>
              <w:rPr>
                <w:sz w:val="20"/>
                <w:szCs w:val="20"/>
                <w:color w:val="auto"/>
              </w:rPr>
            </w:pPr>
            <w:r>
              <w:rPr>
                <w:rFonts w:ascii="Arial" w:cs="Arial" w:eastAsia="Arial" w:hAnsi="Arial"/>
                <w:sz w:val="9"/>
                <w:szCs w:val="9"/>
                <w:color w:val="auto"/>
              </w:rPr>
              <w:t>less than 120,000</w:t>
            </w: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880" w:type="dxa"/>
            <w:vAlign w:val="bottom"/>
          </w:tcPr>
          <w:p>
            <w:pPr>
              <w:spacing w:after="0" w:line="86" w:lineRule="exact"/>
              <w:rPr>
                <w:sz w:val="20"/>
                <w:szCs w:val="20"/>
                <w:color w:val="auto"/>
              </w:rPr>
            </w:pPr>
            <w:r>
              <w:rPr>
                <w:rFonts w:ascii="Arial" w:cs="Arial" w:eastAsia="Arial" w:hAnsi="Arial"/>
                <w:sz w:val="9"/>
                <w:szCs w:val="9"/>
                <w:color w:val="auto"/>
              </w:rPr>
              <w:t>shares of Class A</w:t>
            </w:r>
          </w:p>
        </w:tc>
        <w:tc>
          <w:tcPr>
            <w:tcW w:w="560" w:type="dxa"/>
            <w:vAlign w:val="bottom"/>
            <w:vMerge w:val="restart"/>
          </w:tcPr>
          <w:p>
            <w:pPr>
              <w:jc w:val="right"/>
              <w:ind w:right="77"/>
              <w:spacing w:after="0"/>
              <w:rPr>
                <w:sz w:val="20"/>
                <w:szCs w:val="20"/>
                <w:color w:val="auto"/>
              </w:rPr>
            </w:pPr>
            <w:r>
              <w:rPr>
                <w:rFonts w:ascii="Arial" w:cs="Arial" w:eastAsia="Arial" w:hAnsi="Arial"/>
                <w:sz w:val="9"/>
                <w:szCs w:val="9"/>
                <w:color w:val="auto"/>
              </w:rPr>
              <w:t>636,630</w:t>
            </w:r>
          </w:p>
        </w:tc>
        <w:tc>
          <w:tcPr>
            <w:tcW w:w="420" w:type="dxa"/>
            <w:vAlign w:val="bottom"/>
            <w:vMerge w:val="restart"/>
          </w:tcPr>
          <w:p>
            <w:pPr>
              <w:jc w:val="right"/>
              <w:ind w:right="197"/>
              <w:spacing w:after="0"/>
              <w:rPr>
                <w:sz w:val="20"/>
                <w:szCs w:val="20"/>
                <w:color w:val="auto"/>
              </w:rPr>
            </w:pPr>
            <w:r>
              <w:rPr>
                <w:rFonts w:ascii="Arial" w:cs="Arial" w:eastAsia="Arial" w:hAnsi="Arial"/>
                <w:sz w:val="9"/>
                <w:szCs w:val="9"/>
                <w:color w:val="auto"/>
              </w:rPr>
              <w:t>*</w:t>
            </w:r>
          </w:p>
        </w:tc>
        <w:tc>
          <w:tcPr>
            <w:tcW w:w="460" w:type="dxa"/>
            <w:vAlign w:val="bottom"/>
            <w:vMerge w:val="restart"/>
          </w:tcPr>
          <w:p>
            <w:pPr>
              <w:ind w:left="260"/>
              <w:spacing w:after="0"/>
              <w:rPr>
                <w:sz w:val="20"/>
                <w:szCs w:val="20"/>
                <w:color w:val="auto"/>
              </w:rPr>
            </w:pPr>
            <w:r>
              <w:rPr>
                <w:rFonts w:ascii="Arial" w:cs="Arial" w:eastAsia="Arial" w:hAnsi="Arial"/>
                <w:sz w:val="9"/>
                <w:szCs w:val="9"/>
                <w:color w:val="auto"/>
              </w:rPr>
              <w:t>—</w:t>
            </w:r>
          </w:p>
        </w:tc>
        <w:tc>
          <w:tcPr>
            <w:tcW w:w="420" w:type="dxa"/>
            <w:vAlign w:val="bottom"/>
            <w:vMerge w:val="restart"/>
          </w:tcPr>
          <w:p>
            <w:pPr>
              <w:ind w:left="100"/>
              <w:spacing w:after="0"/>
              <w:rPr>
                <w:sz w:val="20"/>
                <w:szCs w:val="20"/>
                <w:color w:val="auto"/>
              </w:rPr>
            </w:pPr>
            <w:r>
              <w:rPr>
                <w:rFonts w:ascii="Arial" w:cs="Arial" w:eastAsia="Arial" w:hAnsi="Arial"/>
                <w:sz w:val="9"/>
                <w:szCs w:val="9"/>
                <w:color w:val="auto"/>
              </w:rPr>
              <w:t>—</w:t>
            </w:r>
          </w:p>
        </w:tc>
        <w:tc>
          <w:tcPr>
            <w:tcW w:w="360" w:type="dxa"/>
            <w:vAlign w:val="bottom"/>
            <w:vMerge w:val="restart"/>
          </w:tcPr>
          <w:p>
            <w:pPr>
              <w:jc w:val="right"/>
              <w:ind w:right="57"/>
              <w:spacing w:after="0"/>
              <w:rPr>
                <w:sz w:val="20"/>
                <w:szCs w:val="20"/>
                <w:color w:val="auto"/>
              </w:rPr>
            </w:pPr>
            <w:r>
              <w:rPr>
                <w:rFonts w:ascii="Arial" w:cs="Arial" w:eastAsia="Arial" w:hAnsi="Arial"/>
                <w:sz w:val="9"/>
                <w:szCs w:val="9"/>
                <w:color w:val="auto"/>
              </w:rPr>
              <w:t>*</w:t>
            </w:r>
          </w:p>
        </w:tc>
        <w:tc>
          <w:tcPr>
            <w:tcW w:w="520" w:type="dxa"/>
            <w:vAlign w:val="bottom"/>
            <w:vMerge w:val="restart"/>
          </w:tcPr>
          <w:p>
            <w:pPr>
              <w:jc w:val="right"/>
              <w:ind w:right="57"/>
              <w:spacing w:after="0"/>
              <w:rPr>
                <w:sz w:val="20"/>
                <w:szCs w:val="20"/>
                <w:color w:val="auto"/>
              </w:rPr>
            </w:pPr>
            <w:r>
              <w:rPr>
                <w:rFonts w:ascii="Arial" w:cs="Arial" w:eastAsia="Arial" w:hAnsi="Arial"/>
                <w:sz w:val="9"/>
                <w:szCs w:val="9"/>
                <w:color w:val="auto"/>
              </w:rPr>
              <w:t>291,793</w:t>
            </w:r>
          </w:p>
        </w:tc>
        <w:tc>
          <w:tcPr>
            <w:tcW w:w="620" w:type="dxa"/>
            <w:vAlign w:val="bottom"/>
            <w:vMerge w:val="restart"/>
          </w:tcPr>
          <w:p>
            <w:pPr>
              <w:jc w:val="right"/>
              <w:ind w:right="97"/>
              <w:spacing w:after="0"/>
              <w:rPr>
                <w:sz w:val="20"/>
                <w:szCs w:val="20"/>
                <w:color w:val="auto"/>
              </w:rPr>
            </w:pPr>
            <w:r>
              <w:rPr>
                <w:rFonts w:ascii="Arial" w:cs="Arial" w:eastAsia="Arial" w:hAnsi="Arial"/>
                <w:sz w:val="9"/>
                <w:szCs w:val="9"/>
                <w:color w:val="auto"/>
              </w:rPr>
              <w:t>344,837</w:t>
            </w:r>
          </w:p>
        </w:tc>
        <w:tc>
          <w:tcPr>
            <w:tcW w:w="580" w:type="dxa"/>
            <w:vAlign w:val="bottom"/>
            <w:vMerge w:val="restart"/>
          </w:tcPr>
          <w:p>
            <w:pPr>
              <w:jc w:val="right"/>
              <w:ind w:right="377"/>
              <w:spacing w:after="0"/>
              <w:rPr>
                <w:sz w:val="20"/>
                <w:szCs w:val="20"/>
                <w:color w:val="auto"/>
              </w:rPr>
            </w:pPr>
            <w:r>
              <w:rPr>
                <w:rFonts w:ascii="Arial" w:cs="Arial" w:eastAsia="Arial" w:hAnsi="Arial"/>
                <w:sz w:val="9"/>
                <w:szCs w:val="9"/>
                <w:color w:val="auto"/>
              </w:rPr>
              <w:t>*</w:t>
            </w:r>
          </w:p>
        </w:tc>
        <w:tc>
          <w:tcPr>
            <w:tcW w:w="360" w:type="dxa"/>
            <w:vAlign w:val="bottom"/>
            <w:vMerge w:val="restart"/>
          </w:tcPr>
          <w:p>
            <w:pPr>
              <w:ind w:left="80"/>
              <w:spacing w:after="0"/>
              <w:rPr>
                <w:sz w:val="20"/>
                <w:szCs w:val="20"/>
                <w:color w:val="auto"/>
              </w:rPr>
            </w:pPr>
            <w:r>
              <w:rPr>
                <w:rFonts w:ascii="Arial" w:cs="Arial" w:eastAsia="Arial" w:hAnsi="Arial"/>
                <w:sz w:val="9"/>
                <w:szCs w:val="9"/>
                <w:color w:val="auto"/>
              </w:rPr>
              <w:t>—</w:t>
            </w:r>
          </w:p>
        </w:tc>
        <w:tc>
          <w:tcPr>
            <w:tcW w:w="560" w:type="dxa"/>
            <w:vAlign w:val="bottom"/>
            <w:vMerge w:val="restart"/>
          </w:tcPr>
          <w:p>
            <w:pPr>
              <w:ind w:left="20"/>
              <w:spacing w:after="0"/>
              <w:rPr>
                <w:sz w:val="20"/>
                <w:szCs w:val="20"/>
                <w:color w:val="auto"/>
              </w:rPr>
            </w:pPr>
            <w:r>
              <w:rPr>
                <w:rFonts w:ascii="Arial" w:cs="Arial" w:eastAsia="Arial" w:hAnsi="Arial"/>
                <w:sz w:val="9"/>
                <w:szCs w:val="9"/>
                <w:color w:val="auto"/>
              </w:rPr>
              <w:t>—</w:t>
            </w:r>
          </w:p>
        </w:tc>
        <w:tc>
          <w:tcPr>
            <w:tcW w:w="100" w:type="dxa"/>
            <w:vAlign w:val="bottom"/>
            <w:vMerge w:val="restart"/>
          </w:tcPr>
          <w:p>
            <w:pPr>
              <w:jc w:val="right"/>
              <w:ind w:right="28"/>
              <w:spacing w:after="0"/>
              <w:rPr>
                <w:sz w:val="20"/>
                <w:szCs w:val="20"/>
                <w:color w:val="auto"/>
              </w:rPr>
            </w:pPr>
            <w:r>
              <w:rPr>
                <w:rFonts w:ascii="Arial" w:cs="Arial" w:eastAsia="Arial" w:hAnsi="Arial"/>
                <w:sz w:val="6"/>
                <w:szCs w:val="6"/>
                <w:color w:val="auto"/>
                <w:w w:val="83"/>
              </w:rPr>
              <w:t>*</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880" w:type="dxa"/>
            <w:vAlign w:val="bottom"/>
          </w:tcPr>
          <w:p>
            <w:pPr>
              <w:spacing w:after="0"/>
              <w:rPr>
                <w:sz w:val="20"/>
                <w:szCs w:val="20"/>
                <w:color w:val="auto"/>
              </w:rPr>
            </w:pPr>
            <w:r>
              <w:rPr>
                <w:rFonts w:ascii="Arial" w:cs="Arial" w:eastAsia="Arial" w:hAnsi="Arial"/>
                <w:sz w:val="9"/>
                <w:szCs w:val="9"/>
                <w:color w:val="auto"/>
              </w:rPr>
              <w:t xml:space="preserve">Common Stock </w:t>
            </w:r>
            <w:r>
              <w:rPr>
                <w:rFonts w:ascii="Arial" w:cs="Arial" w:eastAsia="Arial" w:hAnsi="Arial"/>
                <w:sz w:val="11"/>
                <w:szCs w:val="11"/>
                <w:color w:val="auto"/>
                <w:vertAlign w:val="superscript"/>
              </w:rPr>
              <w:t>(18)</w:t>
            </w:r>
            <w:r>
              <w:rPr>
                <w:rFonts w:ascii="Times New Roman" w:cs="Times New Roman" w:eastAsia="Times New Roman" w:hAnsi="Times New Roman"/>
                <w:sz w:val="9"/>
                <w:szCs w:val="9"/>
                <w:color w:val="B4B4B4"/>
              </w:rPr>
              <w:t>.</w:t>
            </w:r>
          </w:p>
        </w:tc>
        <w:tc>
          <w:tcPr>
            <w:tcW w:w="56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020" w:type="dxa"/>
            <w:vAlign w:val="bottom"/>
            <w:gridSpan w:val="2"/>
          </w:tcPr>
          <w:p>
            <w:pPr>
              <w:spacing w:after="0"/>
              <w:rPr>
                <w:sz w:val="20"/>
                <w:szCs w:val="20"/>
                <w:color w:val="auto"/>
              </w:rPr>
            </w:pPr>
            <w:r>
              <w:rPr>
                <w:rFonts w:ascii="Arial" w:cs="Arial" w:eastAsia="Arial" w:hAnsi="Arial"/>
                <w:sz w:val="11"/>
                <w:szCs w:val="11"/>
                <w:color w:val="auto"/>
              </w:rPr>
              <w:t>_______________</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40" w:type="dxa"/>
            <w:vAlign w:val="bottom"/>
          </w:tcPr>
          <w:p>
            <w:pPr>
              <w:spacing w:after="0" w:line="114" w:lineRule="exact"/>
              <w:rPr>
                <w:sz w:val="20"/>
                <w:szCs w:val="20"/>
                <w:color w:val="auto"/>
              </w:rPr>
            </w:pPr>
            <w:r>
              <w:rPr>
                <w:rFonts w:ascii="Arial" w:cs="Arial" w:eastAsia="Arial" w:hAnsi="Arial"/>
                <w:sz w:val="11"/>
                <w:szCs w:val="11"/>
                <w:color w:val="auto"/>
              </w:rPr>
              <w:t>*</w:t>
            </w:r>
          </w:p>
        </w:tc>
        <w:tc>
          <w:tcPr>
            <w:tcW w:w="4820" w:type="dxa"/>
            <w:vAlign w:val="bottom"/>
            <w:gridSpan w:val="9"/>
          </w:tcPr>
          <w:p>
            <w:pPr>
              <w:ind w:left="100"/>
              <w:spacing w:after="0" w:line="114" w:lineRule="exact"/>
              <w:rPr>
                <w:sz w:val="20"/>
                <w:szCs w:val="20"/>
                <w:color w:val="auto"/>
              </w:rPr>
            </w:pPr>
            <w:r>
              <w:rPr>
                <w:rFonts w:ascii="Arial" w:cs="Arial" w:eastAsia="Arial" w:hAnsi="Arial"/>
                <w:sz w:val="11"/>
                <w:szCs w:val="11"/>
                <w:color w:val="auto"/>
              </w:rPr>
              <w:t>Represents beneficial ownership of less than one percent of the shares of our common stoc</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40" w:type="dxa"/>
            <w:vAlign w:val="bottom"/>
          </w:tcPr>
          <w:p>
            <w:pPr>
              <w:spacing w:after="0"/>
              <w:rPr>
                <w:sz w:val="6"/>
                <w:szCs w:val="6"/>
                <w:color w:val="auto"/>
              </w:rPr>
            </w:pPr>
          </w:p>
        </w:tc>
        <w:tc>
          <w:tcPr>
            <w:tcW w:w="880" w:type="dxa"/>
            <w:vAlign w:val="bottom"/>
          </w:tcPr>
          <w:p>
            <w:pPr>
              <w:ind w:left="100"/>
              <w:spacing w:after="0" w:line="77" w:lineRule="exact"/>
              <w:rPr>
                <w:sz w:val="20"/>
                <w:szCs w:val="20"/>
                <w:color w:val="auto"/>
              </w:rPr>
            </w:pPr>
            <w:r>
              <w:rPr>
                <w:rFonts w:ascii="Arial" w:cs="Arial" w:eastAsia="Arial" w:hAnsi="Arial"/>
                <w:sz w:val="8"/>
                <w:szCs w:val="8"/>
                <w:color w:val="auto"/>
              </w:rPr>
              <w:t>k.</w:t>
            </w: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color w:val="auto"/>
                <w:w w:val="70"/>
              </w:rPr>
              <w:t>common stoc</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5320" w:type="dxa"/>
            <w:vAlign w:val="bottom"/>
            <w:gridSpan w:val="11"/>
          </w:tcPr>
          <w:p>
            <w:pPr>
              <w:spacing w:after="0" w:line="58" w:lineRule="exact"/>
              <w:rPr>
                <w:sz w:val="20"/>
                <w:szCs w:val="20"/>
                <w:color w:val="auto"/>
              </w:rPr>
            </w:pPr>
            <w:r>
              <w:rPr>
                <w:rFonts w:ascii="Arial" w:cs="Arial" w:eastAsia="Arial" w:hAnsi="Arial"/>
                <w:sz w:val="6"/>
                <w:szCs w:val="6"/>
                <w:color w:val="auto"/>
              </w:rPr>
              <w:t>**   Represents the voting power with respect to all shares of our Class A common stock and Class B</w:t>
            </w:r>
          </w:p>
        </w:tc>
        <w:tc>
          <w:tcPr>
            <w:tcW w:w="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140" w:type="dxa"/>
            <w:vAlign w:val="bottom"/>
          </w:tcPr>
          <w:p>
            <w:pPr>
              <w:spacing w:after="0"/>
              <w:rPr>
                <w:sz w:val="6"/>
                <w:szCs w:val="6"/>
                <w:color w:val="auto"/>
              </w:rPr>
            </w:pPr>
          </w:p>
        </w:tc>
        <w:tc>
          <w:tcPr>
            <w:tcW w:w="880" w:type="dxa"/>
            <w:vAlign w:val="bottom"/>
          </w:tcPr>
          <w:p>
            <w:pPr>
              <w:ind w:left="100"/>
              <w:spacing w:after="0" w:line="77" w:lineRule="exact"/>
              <w:rPr>
                <w:sz w:val="20"/>
                <w:szCs w:val="20"/>
                <w:color w:val="auto"/>
              </w:rPr>
            </w:pPr>
            <w:r>
              <w:rPr>
                <w:rFonts w:ascii="Arial" w:cs="Arial" w:eastAsia="Arial" w:hAnsi="Arial"/>
                <w:sz w:val="8"/>
                <w:szCs w:val="8"/>
                <w:color w:val="auto"/>
              </w:rPr>
              <w:t>k,</w:t>
            </w: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color w:val="auto"/>
              </w:rPr>
              <w:t>and eac</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140" w:type="dxa"/>
            <w:vAlign w:val="bottom"/>
          </w:tcPr>
          <w:p>
            <w:pPr>
              <w:spacing w:after="0"/>
              <w:rPr>
                <w:sz w:val="4"/>
                <w:szCs w:val="4"/>
                <w:color w:val="auto"/>
              </w:rPr>
            </w:pPr>
          </w:p>
        </w:tc>
        <w:tc>
          <w:tcPr>
            <w:tcW w:w="5180" w:type="dxa"/>
            <w:vAlign w:val="bottom"/>
            <w:gridSpan w:val="10"/>
          </w:tcPr>
          <w:p>
            <w:pPr>
              <w:ind w:left="100"/>
              <w:spacing w:after="0" w:line="58" w:lineRule="exact"/>
              <w:rPr>
                <w:sz w:val="20"/>
                <w:szCs w:val="20"/>
                <w:color w:val="auto"/>
              </w:rPr>
            </w:pPr>
            <w:r>
              <w:rPr>
                <w:rFonts w:ascii="Arial" w:cs="Arial" w:eastAsia="Arial" w:hAnsi="Arial"/>
                <w:sz w:val="6"/>
                <w:szCs w:val="6"/>
                <w:color w:val="auto"/>
              </w:rPr>
              <w:t>voting as a single class. Each share of Class A common stock will be entitled to one vote per share,</w:t>
            </w:r>
          </w:p>
        </w:tc>
        <w:tc>
          <w:tcPr>
            <w:tcW w:w="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140" w:type="dxa"/>
            <w:vAlign w:val="bottom"/>
          </w:tcPr>
          <w:p>
            <w:pPr>
              <w:spacing w:after="0"/>
              <w:rPr>
                <w:sz w:val="6"/>
                <w:szCs w:val="6"/>
                <w:color w:val="auto"/>
              </w:rPr>
            </w:pPr>
          </w:p>
        </w:tc>
        <w:tc>
          <w:tcPr>
            <w:tcW w:w="880" w:type="dxa"/>
            <w:vAlign w:val="bottom"/>
          </w:tcPr>
          <w:p>
            <w:pPr>
              <w:ind w:left="100"/>
              <w:spacing w:after="0" w:line="77" w:lineRule="exact"/>
              <w:rPr>
                <w:sz w:val="20"/>
                <w:szCs w:val="20"/>
                <w:color w:val="auto"/>
              </w:rPr>
            </w:pPr>
            <w:r>
              <w:rPr>
                <w:rFonts w:ascii="Arial" w:cs="Arial" w:eastAsia="Arial" w:hAnsi="Arial"/>
                <w:sz w:val="8"/>
                <w:szCs w:val="8"/>
                <w:color w:val="auto"/>
              </w:rPr>
              <w:t>h</w:t>
            </w: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40" w:type="dxa"/>
            <w:vAlign w:val="bottom"/>
          </w:tcPr>
          <w:p>
            <w:pPr>
              <w:spacing w:after="0"/>
              <w:rPr>
                <w:sz w:val="5"/>
                <w:szCs w:val="5"/>
                <w:color w:val="auto"/>
              </w:rPr>
            </w:pPr>
          </w:p>
        </w:tc>
        <w:tc>
          <w:tcPr>
            <w:tcW w:w="5740" w:type="dxa"/>
            <w:vAlign w:val="bottom"/>
            <w:gridSpan w:val="11"/>
          </w:tcPr>
          <w:p>
            <w:pPr>
              <w:ind w:left="100"/>
              <w:spacing w:after="0" w:line="67" w:lineRule="exact"/>
              <w:rPr>
                <w:sz w:val="20"/>
                <w:szCs w:val="20"/>
                <w:color w:val="auto"/>
              </w:rPr>
            </w:pPr>
            <w:r>
              <w:rPr>
                <w:rFonts w:ascii="Arial" w:cs="Arial" w:eastAsia="Arial" w:hAnsi="Arial"/>
                <w:sz w:val="7"/>
                <w:szCs w:val="7"/>
                <w:color w:val="auto"/>
              </w:rPr>
              <w:t>share of Class B common stock will be entitled to 30 votes per share. The Class A common stock and Class</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40" w:type="dxa"/>
            <w:vAlign w:val="bottom"/>
          </w:tcPr>
          <w:p>
            <w:pPr>
              <w:spacing w:after="0"/>
              <w:rPr>
                <w:sz w:val="6"/>
                <w:szCs w:val="6"/>
                <w:color w:val="auto"/>
              </w:rPr>
            </w:pPr>
          </w:p>
        </w:tc>
        <w:tc>
          <w:tcPr>
            <w:tcW w:w="880" w:type="dxa"/>
            <w:vAlign w:val="bottom"/>
          </w:tcPr>
          <w:p>
            <w:pPr>
              <w:ind w:left="100"/>
              <w:spacing w:after="0" w:line="77" w:lineRule="exact"/>
              <w:rPr>
                <w:sz w:val="20"/>
                <w:szCs w:val="20"/>
                <w:color w:val="auto"/>
              </w:rPr>
            </w:pPr>
            <w:r>
              <w:rPr>
                <w:rFonts w:ascii="Arial" w:cs="Arial" w:eastAsia="Arial" w:hAnsi="Arial"/>
                <w:sz w:val="8"/>
                <w:szCs w:val="8"/>
                <w:color w:val="auto"/>
              </w:rPr>
              <w:t>B</w:t>
            </w: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140" w:type="dxa"/>
            <w:vAlign w:val="bottom"/>
          </w:tcPr>
          <w:p>
            <w:pPr>
              <w:spacing w:after="0"/>
              <w:rPr>
                <w:sz w:val="4"/>
                <w:szCs w:val="4"/>
                <w:color w:val="auto"/>
              </w:rPr>
            </w:pPr>
          </w:p>
        </w:tc>
        <w:tc>
          <w:tcPr>
            <w:tcW w:w="5740" w:type="dxa"/>
            <w:vAlign w:val="bottom"/>
            <w:gridSpan w:val="11"/>
          </w:tcPr>
          <w:p>
            <w:pPr>
              <w:ind w:left="100"/>
              <w:spacing w:after="0" w:line="58" w:lineRule="exact"/>
              <w:rPr>
                <w:sz w:val="20"/>
                <w:szCs w:val="20"/>
                <w:color w:val="auto"/>
              </w:rPr>
            </w:pPr>
            <w:r>
              <w:rPr>
                <w:rFonts w:ascii="Arial" w:cs="Arial" w:eastAsia="Arial" w:hAnsi="Arial"/>
                <w:sz w:val="6"/>
                <w:szCs w:val="6"/>
                <w:color w:val="auto"/>
              </w:rPr>
              <w:t>common stock will vote together on all matters (including the election of directors) submitted to a vote o</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140" w:type="dxa"/>
            <w:vAlign w:val="bottom"/>
          </w:tcPr>
          <w:p>
            <w:pPr>
              <w:spacing w:after="0"/>
              <w:rPr>
                <w:sz w:val="6"/>
                <w:szCs w:val="6"/>
                <w:color w:val="auto"/>
              </w:rPr>
            </w:pPr>
          </w:p>
        </w:tc>
        <w:tc>
          <w:tcPr>
            <w:tcW w:w="880" w:type="dxa"/>
            <w:vAlign w:val="bottom"/>
          </w:tcPr>
          <w:p>
            <w:pPr>
              <w:ind w:left="100"/>
              <w:spacing w:after="0" w:line="77" w:lineRule="exact"/>
              <w:rPr>
                <w:sz w:val="20"/>
                <w:szCs w:val="20"/>
                <w:color w:val="auto"/>
              </w:rPr>
            </w:pPr>
            <w:r>
              <w:rPr>
                <w:rFonts w:ascii="Arial" w:cs="Arial" w:eastAsia="Arial" w:hAnsi="Arial"/>
                <w:sz w:val="8"/>
                <w:szCs w:val="8"/>
                <w:color w:val="auto"/>
              </w:rPr>
              <w:t>f</w:t>
            </w: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40" w:type="dxa"/>
            <w:vAlign w:val="bottom"/>
          </w:tcPr>
          <w:p>
            <w:pPr>
              <w:spacing w:after="0"/>
              <w:rPr>
                <w:sz w:val="5"/>
                <w:szCs w:val="5"/>
                <w:color w:val="auto"/>
              </w:rPr>
            </w:pPr>
          </w:p>
        </w:tc>
        <w:tc>
          <w:tcPr>
            <w:tcW w:w="5740" w:type="dxa"/>
            <w:vAlign w:val="bottom"/>
            <w:gridSpan w:val="11"/>
          </w:tcPr>
          <w:p>
            <w:pPr>
              <w:ind w:left="100"/>
              <w:spacing w:after="0" w:line="67" w:lineRule="exact"/>
              <w:rPr>
                <w:sz w:val="20"/>
                <w:szCs w:val="20"/>
                <w:color w:val="auto"/>
              </w:rPr>
            </w:pPr>
            <w:r>
              <w:rPr>
                <w:rFonts w:ascii="Arial" w:cs="Arial" w:eastAsia="Arial" w:hAnsi="Arial"/>
                <w:sz w:val="7"/>
                <w:szCs w:val="7"/>
                <w:color w:val="auto"/>
              </w:rPr>
              <w:t>stockholders, except under limited circumstances described in the section titled “Description of Capital Stock.</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40" w:type="dxa"/>
            <w:vAlign w:val="bottom"/>
            <w:vMerge w:val="restart"/>
          </w:tcPr>
          <w:p>
            <w:pPr>
              <w:spacing w:after="0"/>
              <w:rPr>
                <w:sz w:val="20"/>
                <w:szCs w:val="20"/>
                <w:color w:val="auto"/>
              </w:rPr>
            </w:pPr>
            <w:r>
              <w:rPr>
                <w:rFonts w:ascii="Arial" w:cs="Arial" w:eastAsia="Arial" w:hAnsi="Arial"/>
                <w:sz w:val="11"/>
                <w:szCs w:val="11"/>
                <w:color w:val="auto"/>
                <w:w w:val="88"/>
              </w:rPr>
              <w:t>(1)</w:t>
            </w:r>
          </w:p>
        </w:tc>
        <w:tc>
          <w:tcPr>
            <w:tcW w:w="880" w:type="dxa"/>
            <w:vAlign w:val="bottom"/>
          </w:tcPr>
          <w:p>
            <w:pPr>
              <w:ind w:left="100"/>
              <w:spacing w:after="0" w:line="77" w:lineRule="exact"/>
              <w:rPr>
                <w:sz w:val="20"/>
                <w:szCs w:val="20"/>
                <w:color w:val="auto"/>
              </w:rPr>
            </w:pPr>
            <w:r>
              <w:rPr>
                <w:rFonts w:ascii="Arial" w:cs="Arial" w:eastAsia="Arial" w:hAnsi="Arial"/>
                <w:sz w:val="8"/>
                <w:szCs w:val="8"/>
                <w:color w:val="auto"/>
              </w:rPr>
              <w:t>”</w:t>
            </w: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140" w:type="dxa"/>
            <w:vAlign w:val="bottom"/>
            <w:vMerge w:val="continue"/>
          </w:tcPr>
          <w:p>
            <w:pPr>
              <w:spacing w:after="0"/>
              <w:rPr>
                <w:sz w:val="7"/>
                <w:szCs w:val="7"/>
                <w:color w:val="auto"/>
              </w:rPr>
            </w:pPr>
          </w:p>
        </w:tc>
        <w:tc>
          <w:tcPr>
            <w:tcW w:w="5840" w:type="dxa"/>
            <w:vAlign w:val="bottom"/>
            <w:gridSpan w:val="12"/>
          </w:tcPr>
          <w:p>
            <w:pPr>
              <w:ind w:left="100"/>
              <w:spacing w:after="0" w:line="88" w:lineRule="exact"/>
              <w:rPr>
                <w:sz w:val="20"/>
                <w:szCs w:val="20"/>
                <w:color w:val="auto"/>
              </w:rPr>
            </w:pPr>
            <w:r>
              <w:rPr>
                <w:rFonts w:ascii="Arial" w:cs="Arial" w:eastAsia="Arial" w:hAnsi="Arial"/>
                <w:sz w:val="10"/>
                <w:szCs w:val="10"/>
                <w:color w:val="auto"/>
              </w:rPr>
              <w:t>Consists of (i) 3,999,089 shares of Class B common stock held by Ariel Mordechai Cohen, as Trustee of the Ariel</w:t>
            </w:r>
          </w:p>
        </w:tc>
        <w:tc>
          <w:tcPr>
            <w:tcW w:w="0" w:type="dxa"/>
            <w:vAlign w:val="bottom"/>
          </w:tcPr>
          <w:p>
            <w:pPr>
              <w:spacing w:after="0"/>
              <w:rPr>
                <w:sz w:val="1"/>
                <w:szCs w:val="1"/>
                <w:color w:val="auto"/>
              </w:rPr>
            </w:pPr>
          </w:p>
        </w:tc>
      </w:tr>
    </w:tbl>
    <w:p>
      <w:pPr>
        <w:ind w:left="1760" w:right="1640"/>
        <w:spacing w:after="0"/>
        <w:rPr>
          <w:sz w:val="20"/>
          <w:szCs w:val="20"/>
          <w:color w:val="auto"/>
        </w:rPr>
      </w:pPr>
      <w:r>
        <w:rPr>
          <w:rFonts w:ascii="Arial" w:cs="Arial" w:eastAsia="Arial" w:hAnsi="Arial"/>
          <w:sz w:val="11"/>
          <w:szCs w:val="11"/>
          <w:color w:val="auto"/>
        </w:rPr>
        <w:t>Mordechai Cohen Living Trust, dated August 22, 2024, of which Mr. Cohen is the trustee, (ii 793,986 shares of )</w:t>
      </w:r>
    </w:p>
    <w:p>
      <w:pPr>
        <w:spacing w:after="0" w:line="17" w:lineRule="exact"/>
        <w:rPr>
          <w:sz w:val="20"/>
          <w:szCs w:val="20"/>
          <w:color w:val="auto"/>
        </w:rPr>
      </w:pPr>
    </w:p>
    <w:p>
      <w:pPr>
        <w:ind w:left="1760" w:right="1680"/>
        <w:spacing w:after="0"/>
        <w:rPr>
          <w:sz w:val="20"/>
          <w:szCs w:val="20"/>
          <w:color w:val="auto"/>
        </w:rPr>
      </w:pPr>
      <w:r>
        <w:rPr>
          <w:rFonts w:ascii="Arial" w:cs="Arial" w:eastAsia="Arial" w:hAnsi="Arial"/>
          <w:sz w:val="11"/>
          <w:szCs w:val="11"/>
          <w:color w:val="auto"/>
        </w:rPr>
        <w:t>Class B common stock held by the Lihi Cohen GST Trust dated February 15, 2020, of which Mr. Cohen may b e</w:t>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deemed to have voting and investment power over, (iii) 793,986 shares of Class B common stock held by the</w:t>
      </w:r>
    </w:p>
    <w:p>
      <w:pPr>
        <w:spacing w:after="0" w:line="13" w:lineRule="exact"/>
        <w:rPr>
          <w:sz w:val="20"/>
          <w:szCs w:val="20"/>
          <w:color w:val="auto"/>
        </w:rPr>
      </w:pPr>
    </w:p>
    <w:p>
      <w:pPr>
        <w:ind w:left="1760" w:right="2000"/>
        <w:spacing w:after="0"/>
        <w:rPr>
          <w:sz w:val="20"/>
          <w:szCs w:val="20"/>
          <w:color w:val="auto"/>
        </w:rPr>
      </w:pPr>
      <w:r>
        <w:rPr>
          <w:rFonts w:ascii="Arial" w:cs="Arial" w:eastAsia="Arial" w:hAnsi="Arial"/>
          <w:sz w:val="11"/>
          <w:szCs w:val="11"/>
          <w:color w:val="auto"/>
        </w:rPr>
        <w:t>Shai Cohen GST Trust dated February 15, 2020, of which Mr. Cohen may be deemed to have voting an d</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1"/>
          <w:szCs w:val="11"/>
          <w:color w:val="auto"/>
        </w:rPr>
        <w:t>investment power over, (iv) 793,986 shares of Class B common stock held by the Sivan Cohen GST Trust date</w:t>
      </w:r>
    </w:p>
    <w:p>
      <w:pPr>
        <w:sectPr>
          <w:pgSz w:w="11900" w:h="16840" w:orient="portrait"/>
          <w:cols w:equalWidth="0" w:num="1">
            <w:col w:w="9020"/>
          </w:cols>
          <w:pgMar w:left="1440" w:top="581" w:right="1440" w:bottom="38" w:gutter="0" w:footer="0" w:header="0"/>
        </w:sectPr>
      </w:pPr>
    </w:p>
    <w:bookmarkStart w:id="135" w:name="page136"/>
    <w:bookmarkEnd w:id="135"/>
    <w:p>
      <w:pPr>
        <w:ind w:left="1760"/>
        <w:spacing w:after="0"/>
        <w:rPr>
          <w:sz w:val="20"/>
          <w:szCs w:val="20"/>
          <w:color w:val="auto"/>
        </w:rPr>
      </w:pPr>
      <w:r>
        <w:rPr>
          <w:rFonts w:ascii="Arial" w:cs="Arial" w:eastAsia="Arial" w:hAnsi="Arial"/>
          <w:sz w:val="11"/>
          <w:szCs w:val="11"/>
          <w:color w:val="auto"/>
        </w:rPr>
        <w:t>February 15, 2020, of which Mr. Cohend may be deemed to have voting and investment power over, (v 4,796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-48895</wp:posOffset>
            </wp:positionV>
            <wp:extent cx="6732270" cy="99707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760"/>
        <w:spacing w:after="0"/>
        <w:rPr>
          <w:sz w:val="20"/>
          <w:szCs w:val="20"/>
          <w:color w:val="auto"/>
        </w:rPr>
      </w:pPr>
      <w:r>
        <w:rPr>
          <w:rFonts w:ascii="Arial" w:cs="Arial" w:eastAsia="Arial" w:hAnsi="Arial"/>
          <w:sz w:val="3"/>
          <w:szCs w:val="3"/>
          <w:color w:val="auto"/>
        </w:rPr>
        <w:t>)</w:t>
      </w:r>
    </w:p>
    <w:p>
      <w:pPr>
        <w:ind w:left="1760"/>
        <w:spacing w:after="0" w:line="186" w:lineRule="auto"/>
        <w:rPr>
          <w:sz w:val="20"/>
          <w:szCs w:val="20"/>
          <w:color w:val="auto"/>
        </w:rPr>
      </w:pPr>
      <w:r>
        <w:rPr>
          <w:rFonts w:ascii="Arial" w:cs="Arial" w:eastAsia="Arial" w:hAnsi="Arial"/>
          <w:sz w:val="9"/>
          <w:szCs w:val="9"/>
          <w:color w:val="auto"/>
        </w:rPr>
        <w:t>shares of Class B common stock held by the Lihi Cohen Non-Exempt Trust dated May 14, 2022, of which Mr</w:t>
      </w:r>
    </w:p>
    <w:p>
      <w:pPr>
        <w:ind w:left="1760"/>
        <w:spacing w:after="0" w:line="200" w:lineRule="auto"/>
        <w:rPr>
          <w:sz w:val="20"/>
          <w:szCs w:val="20"/>
          <w:color w:val="auto"/>
        </w:rPr>
      </w:pPr>
      <w:r>
        <w:rPr>
          <w:rFonts w:ascii="Arial" w:cs="Arial" w:eastAsia="Arial" w:hAnsi="Arial"/>
          <w:sz w:val="6"/>
          <w:szCs w:val="6"/>
          <w:color w:val="auto"/>
        </w:rPr>
        <w:t>.</w:t>
      </w:r>
    </w:p>
    <w:p>
      <w:pPr>
        <w:ind w:left="1760"/>
        <w:spacing w:after="0"/>
        <w:rPr>
          <w:sz w:val="20"/>
          <w:szCs w:val="20"/>
          <w:color w:val="auto"/>
        </w:rPr>
      </w:pPr>
      <w:r>
        <w:rPr>
          <w:rFonts w:ascii="Arial" w:cs="Arial" w:eastAsia="Arial" w:hAnsi="Arial"/>
          <w:sz w:val="11"/>
          <w:szCs w:val="11"/>
          <w:color w:val="auto"/>
        </w:rPr>
        <w:t>Cohen may be deemed to have voting and investment power over, (vi) 4,796 shares of Class B common stock</w:t>
      </w:r>
    </w:p>
    <w:p>
      <w:pPr>
        <w:spacing w:after="0" w:line="13" w:lineRule="exact"/>
        <w:rPr>
          <w:sz w:val="20"/>
          <w:szCs w:val="20"/>
          <w:color w:val="auto"/>
        </w:rPr>
      </w:pPr>
    </w:p>
    <w:p>
      <w:pPr>
        <w:ind w:left="1760" w:right="1820"/>
        <w:spacing w:after="0"/>
        <w:rPr>
          <w:sz w:val="20"/>
          <w:szCs w:val="20"/>
          <w:color w:val="auto"/>
        </w:rPr>
      </w:pPr>
      <w:r>
        <w:rPr>
          <w:rFonts w:ascii="Arial" w:cs="Arial" w:eastAsia="Arial" w:hAnsi="Arial"/>
          <w:sz w:val="11"/>
          <w:szCs w:val="11"/>
          <w:color w:val="auto"/>
        </w:rPr>
        <w:t>held by the Shai Cohen Non-Exempt Trust dated May 14, 2022, of which Mr. Cohen may be deemed to hav e</w:t>
      </w:r>
    </w:p>
    <w:p>
      <w:pPr>
        <w:jc w:val="center"/>
        <w:spacing w:after="0" w:line="215" w:lineRule="auto"/>
        <w:rPr>
          <w:sz w:val="20"/>
          <w:szCs w:val="20"/>
          <w:color w:val="auto"/>
        </w:rPr>
      </w:pPr>
      <w:r>
        <w:rPr>
          <w:rFonts w:ascii="Arial" w:cs="Arial" w:eastAsia="Arial" w:hAnsi="Arial"/>
          <w:sz w:val="11"/>
          <w:szCs w:val="11"/>
          <w:color w:val="auto"/>
        </w:rPr>
        <w:t>voting and investment power over, (vii) 4,796</w:t>
      </w:r>
      <w:r>
        <w:rPr>
          <w:rFonts w:ascii="Arial" w:cs="Arial" w:eastAsia="Arial" w:hAnsi="Arial"/>
          <w:sz w:val="22"/>
          <w:szCs w:val="22"/>
          <w:color w:val="auto"/>
          <w:vertAlign w:val="subscript"/>
        </w:rPr>
        <w:t>-</w:t>
      </w:r>
      <w:r>
        <w:rPr>
          <w:rFonts w:ascii="Arial" w:cs="Arial" w:eastAsia="Arial" w:hAnsi="Arial"/>
          <w:sz w:val="11"/>
          <w:szCs w:val="11"/>
          <w:color w:val="auto"/>
        </w:rPr>
        <w:t>shares of Class B common stock held by the Sivan Cohen Non</w:t>
      </w: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196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760" w:right="1780"/>
        <w:spacing w:after="0"/>
        <w:rPr>
          <w:sz w:val="20"/>
          <w:szCs w:val="20"/>
          <w:color w:val="auto"/>
        </w:rPr>
      </w:pPr>
      <w:r>
        <w:rPr>
          <w:rFonts w:ascii="Arial" w:cs="Arial" w:eastAsia="Arial" w:hAnsi="Arial"/>
          <w:sz w:val="11"/>
          <w:szCs w:val="11"/>
          <w:color w:val="auto"/>
        </w:rPr>
        <w:t>Exempt Trust dated May 14, 2022, of which Mr. Cohen may be deemed to have voting and investment powe r</w:t>
      </w:r>
    </w:p>
    <w:p>
      <w:pPr>
        <w:ind w:left="1760"/>
        <w:spacing w:after="0" w:line="230" w:lineRule="auto"/>
        <w:rPr>
          <w:sz w:val="20"/>
          <w:szCs w:val="20"/>
          <w:color w:val="auto"/>
        </w:rPr>
      </w:pPr>
      <w:r>
        <w:rPr>
          <w:rFonts w:ascii="Arial" w:cs="Arial" w:eastAsia="Arial" w:hAnsi="Arial"/>
          <w:sz w:val="11"/>
          <w:szCs w:val="11"/>
          <w:color w:val="auto"/>
        </w:rPr>
        <w:t>over, and (viii) 3,785,557 shares underlying stock options to purchase shares of Class A common stock that ar</w:t>
      </w:r>
    </w:p>
    <w:p>
      <w:pPr>
        <w:ind w:left="1760" w:right="2060"/>
        <w:spacing w:after="0" w:line="181" w:lineRule="auto"/>
        <w:rPr>
          <w:sz w:val="20"/>
          <w:szCs w:val="20"/>
          <w:color w:val="auto"/>
        </w:rPr>
      </w:pPr>
      <w:r>
        <w:rPr>
          <w:rFonts w:ascii="Arial" w:cs="Arial" w:eastAsia="Arial" w:hAnsi="Arial"/>
          <w:sz w:val="11"/>
          <w:szCs w:val="11"/>
          <w:color w:val="auto"/>
        </w:rPr>
        <w:t>exchangeable for shares</w:t>
      </w:r>
      <w:r>
        <w:rPr>
          <w:rFonts w:ascii="Arial" w:cs="Arial" w:eastAsia="Arial" w:hAnsi="Arial"/>
          <w:sz w:val="20"/>
          <w:szCs w:val="20"/>
          <w:color w:val="auto"/>
          <w:vertAlign w:val="superscript"/>
        </w:rPr>
        <w:t>e</w:t>
      </w:r>
      <w:r>
        <w:rPr>
          <w:rFonts w:ascii="Arial" w:cs="Arial" w:eastAsia="Arial" w:hAnsi="Arial"/>
          <w:sz w:val="11"/>
          <w:szCs w:val="11"/>
          <w:color w:val="auto"/>
        </w:rPr>
        <w:t>of Class B common stock pursuant to the Equity Exchange Rights and that ar e</w:t>
      </w:r>
    </w:p>
    <w:p>
      <w:pPr>
        <w:ind w:left="1760"/>
        <w:spacing w:after="0" w:line="200" w:lineRule="auto"/>
        <w:rPr>
          <w:sz w:val="20"/>
          <w:szCs w:val="20"/>
          <w:color w:val="auto"/>
        </w:rPr>
      </w:pPr>
      <w:r>
        <w:rPr>
          <w:rFonts w:ascii="Arial" w:cs="Arial" w:eastAsia="Arial" w:hAnsi="Arial"/>
          <w:sz w:val="8"/>
          <w:szCs w:val="8"/>
          <w:color w:val="auto"/>
        </w:rPr>
        <w:t>exercisable within 60 days of July 31, 2025</w:t>
      </w:r>
    </w:p>
    <w:p>
      <w:pPr>
        <w:ind w:left="1760"/>
        <w:spacing w:after="0" w:line="199" w:lineRule="auto"/>
        <w:rPr>
          <w:sz w:val="20"/>
          <w:szCs w:val="20"/>
          <w:color w:val="auto"/>
        </w:rPr>
      </w:pPr>
      <w:r>
        <w:rPr>
          <w:rFonts w:ascii="Arial" w:cs="Arial" w:eastAsia="Arial" w:hAnsi="Arial"/>
          <w:sz w:val="6"/>
          <w:szCs w:val="6"/>
          <w:color w:val="auto"/>
        </w:rPr>
        <w:t>.</w:t>
      </w:r>
    </w:p>
    <w:p>
      <w:pPr>
        <w:ind w:left="1760" w:right="1620" w:hanging="239"/>
        <w:spacing w:after="0" w:line="184" w:lineRule="auto"/>
        <w:tabs>
          <w:tab w:leader="none" w:pos="1740" w:val="left"/>
        </w:tabs>
        <w:rPr>
          <w:sz w:val="20"/>
          <w:szCs w:val="20"/>
          <w:color w:val="auto"/>
        </w:rPr>
      </w:pPr>
      <w:r>
        <w:rPr>
          <w:rFonts w:ascii="Arial" w:cs="Arial" w:eastAsia="Arial" w:hAnsi="Arial"/>
          <w:sz w:val="10"/>
          <w:szCs w:val="10"/>
          <w:color w:val="auto"/>
        </w:rPr>
        <w:t>(2)</w:t>
        <w:tab/>
        <w:t>Consists of (i) 9,939,081 shares of Class B common stock held by The Ilan Twig Living Trust, of which Mr. Twi is the trustee, (ii) 127,846</w:t>
      </w:r>
      <w:r>
        <w:rPr>
          <w:rFonts w:ascii="Arial" w:cs="Arial" w:eastAsia="Arial" w:hAnsi="Arial"/>
          <w:sz w:val="18"/>
          <w:szCs w:val="18"/>
          <w:color w:val="auto"/>
          <w:vertAlign w:val="superscript"/>
        </w:rPr>
        <w:t>g</w:t>
      </w:r>
      <w:r>
        <w:rPr>
          <w:rFonts w:ascii="Arial" w:cs="Arial" w:eastAsia="Arial" w:hAnsi="Arial"/>
          <w:sz w:val="10"/>
          <w:szCs w:val="10"/>
          <w:color w:val="auto"/>
        </w:rPr>
        <w:t>shares of Class B common stock held by The Ilan Twig Irrevocable Gift Trust, of whic</w:t>
      </w:r>
    </w:p>
    <w:p>
      <w:pPr>
        <w:spacing w:after="0" w:line="1" w:lineRule="exact"/>
        <w:rPr>
          <w:sz w:val="20"/>
          <w:szCs w:val="20"/>
          <w:color w:val="auto"/>
        </w:rPr>
      </w:pPr>
    </w:p>
    <w:p>
      <w:pPr>
        <w:ind w:left="1760" w:right="1760"/>
        <w:spacing w:after="0" w:line="180" w:lineRule="auto"/>
        <w:rPr>
          <w:sz w:val="20"/>
          <w:szCs w:val="20"/>
          <w:color w:val="auto"/>
        </w:rPr>
      </w:pPr>
      <w:r>
        <w:rPr>
          <w:rFonts w:ascii="Arial" w:cs="Arial" w:eastAsia="Arial" w:hAnsi="Arial"/>
          <w:sz w:val="10"/>
          <w:szCs w:val="10"/>
          <w:color w:val="auto"/>
        </w:rPr>
        <w:t>Mr. Twig may be deemed</w:t>
      </w:r>
      <w:r>
        <w:rPr>
          <w:rFonts w:ascii="Arial" w:cs="Arial" w:eastAsia="Arial" w:hAnsi="Arial"/>
          <w:sz w:val="19"/>
          <w:szCs w:val="19"/>
          <w:color w:val="auto"/>
          <w:vertAlign w:val="superscript"/>
        </w:rPr>
        <w:t>h</w:t>
      </w:r>
      <w:r>
        <w:rPr>
          <w:rFonts w:ascii="Arial" w:cs="Arial" w:eastAsia="Arial" w:hAnsi="Arial"/>
          <w:sz w:val="10"/>
          <w:szCs w:val="10"/>
          <w:color w:val="auto"/>
        </w:rPr>
        <w:t>to have voting and investment power over, (iii 766,666 shares of Class B common )</w:t>
      </w:r>
    </w:p>
    <w:p>
      <w:pPr>
        <w:ind w:left="1760" w:right="1760"/>
        <w:spacing w:after="0"/>
        <w:rPr>
          <w:sz w:val="20"/>
          <w:szCs w:val="20"/>
          <w:color w:val="auto"/>
        </w:rPr>
      </w:pPr>
      <w:r>
        <w:rPr>
          <w:rFonts w:ascii="Arial" w:cs="Arial" w:eastAsia="Arial" w:hAnsi="Arial"/>
          <w:sz w:val="11"/>
          <w:szCs w:val="11"/>
          <w:color w:val="auto"/>
        </w:rPr>
        <w:t>stock held by the Leeor Eli Twig GST Trust, of which Mr. Twig may be deemed to have voting and investmen t</w:t>
      </w:r>
    </w:p>
    <w:p>
      <w:pPr>
        <w:ind w:left="1760"/>
        <w:spacing w:after="0" w:line="185" w:lineRule="auto"/>
        <w:rPr>
          <w:sz w:val="20"/>
          <w:szCs w:val="20"/>
          <w:color w:val="auto"/>
        </w:rPr>
      </w:pPr>
      <w:r>
        <w:rPr>
          <w:rFonts w:ascii="Arial" w:cs="Arial" w:eastAsia="Arial" w:hAnsi="Arial"/>
          <w:sz w:val="10"/>
          <w:szCs w:val="10"/>
          <w:color w:val="auto"/>
        </w:rPr>
        <w:t>power over, and (iv) 2,939,859</w:t>
      </w:r>
      <w:r>
        <w:rPr>
          <w:rFonts w:ascii="Arial" w:cs="Arial" w:eastAsia="Arial" w:hAnsi="Arial"/>
          <w:sz w:val="17"/>
          <w:szCs w:val="17"/>
          <w:color w:val="auto"/>
          <w:vertAlign w:val="subscript"/>
        </w:rPr>
        <w:t>k</w:t>
      </w:r>
      <w:r>
        <w:rPr>
          <w:rFonts w:ascii="Arial" w:cs="Arial" w:eastAsia="Arial" w:hAnsi="Arial"/>
          <w:sz w:val="10"/>
          <w:szCs w:val="10"/>
          <w:color w:val="auto"/>
        </w:rPr>
        <w:t>shares underlying stock options to purchase shares of Class A common stoc</w:t>
      </w:r>
    </w:p>
    <w:p>
      <w:pPr>
        <w:ind w:left="1760" w:right="1640"/>
        <w:spacing w:after="0"/>
        <w:rPr>
          <w:sz w:val="20"/>
          <w:szCs w:val="20"/>
          <w:color w:val="auto"/>
        </w:rPr>
      </w:pPr>
      <w:r>
        <w:rPr>
          <w:rFonts w:ascii="Arial" w:cs="Arial" w:eastAsia="Arial" w:hAnsi="Arial"/>
          <w:sz w:val="11"/>
          <w:szCs w:val="11"/>
          <w:color w:val="auto"/>
        </w:rPr>
        <w:t>that are exchangeable for shares of Class B common stock pursuant to the Equity Exchange Rights and that ar e</w:t>
      </w:r>
    </w:p>
    <w:p>
      <w:pPr>
        <w:spacing w:after="0" w:line="17"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exercisable within 60 days of July 31, 2025.</w:t>
      </w:r>
    </w:p>
    <w:p>
      <w:pPr>
        <w:spacing w:after="0" w:line="7"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(3)  Consists of (i) 226,380 shares of Class A common stock, and (ii) 1,026,639 shares underlying stock options to</w:t>
      </w:r>
    </w:p>
    <w:p>
      <w:pPr>
        <w:spacing w:after="0" w:line="7" w:lineRule="exact"/>
        <w:rPr>
          <w:sz w:val="20"/>
          <w:szCs w:val="20"/>
          <w:color w:val="auto"/>
        </w:rPr>
      </w:pPr>
    </w:p>
    <w:p>
      <w:pPr>
        <w:ind w:left="1760" w:right="2520"/>
        <w:spacing w:after="0"/>
        <w:rPr>
          <w:sz w:val="20"/>
          <w:szCs w:val="20"/>
          <w:color w:val="auto"/>
        </w:rPr>
      </w:pPr>
      <w:r>
        <w:rPr>
          <w:rFonts w:ascii="Arial" w:cs="Arial" w:eastAsia="Arial" w:hAnsi="Arial"/>
          <w:sz w:val="11"/>
          <w:szCs w:val="11"/>
          <w:color w:val="auto"/>
        </w:rPr>
        <w:t>purchase shares of Class A common stock that are exercisable within 60 days of July 31, 202 5.</w:t>
      </w:r>
    </w:p>
    <w:p>
      <w:pPr>
        <w:spacing w:after="0" w:line="17" w:lineRule="exact"/>
        <w:rPr>
          <w:sz w:val="20"/>
          <w:szCs w:val="20"/>
          <w:color w:val="auto"/>
        </w:rPr>
      </w:pPr>
    </w:p>
    <w:p>
      <w:pPr>
        <w:jc w:val="center"/>
        <w:ind w:right="80"/>
        <w:spacing w:after="0"/>
        <w:rPr>
          <w:sz w:val="20"/>
          <w:szCs w:val="20"/>
          <w:color w:val="auto"/>
        </w:rPr>
      </w:pPr>
      <w:r>
        <w:rPr>
          <w:rFonts w:ascii="Arial" w:cs="Arial" w:eastAsia="Arial" w:hAnsi="Arial"/>
          <w:sz w:val="11"/>
          <w:szCs w:val="11"/>
          <w:color w:val="auto"/>
        </w:rPr>
        <w:t>(4)  Consists of 25,405,586 shares of Class A common stock held by entities affiliated with Andreessen Horowitz, as</w:t>
      </w:r>
    </w:p>
    <w:p>
      <w:pPr>
        <w:spacing w:after="0" w:line="7" w:lineRule="exact"/>
        <w:rPr>
          <w:sz w:val="20"/>
          <w:szCs w:val="20"/>
          <w:color w:val="auto"/>
        </w:rPr>
      </w:pPr>
    </w:p>
    <w:p>
      <w:pPr>
        <w:ind w:left="1760" w:right="2060"/>
        <w:spacing w:after="0"/>
        <w:rPr>
          <w:sz w:val="20"/>
          <w:szCs w:val="20"/>
          <w:color w:val="auto"/>
        </w:rPr>
      </w:pPr>
      <w:r>
        <w:rPr>
          <w:rFonts w:ascii="Arial" w:cs="Arial" w:eastAsia="Arial" w:hAnsi="Arial"/>
          <w:sz w:val="11"/>
          <w:szCs w:val="11"/>
          <w:color w:val="auto"/>
        </w:rPr>
        <w:t>reflected in footnote 12, below. Mr. Horowitz, a member of our board of directors, is a general partner o f</w:t>
      </w:r>
    </w:p>
    <w:p>
      <w:pPr>
        <w:spacing w:after="0" w:line="17" w:lineRule="exact"/>
        <w:rPr>
          <w:sz w:val="20"/>
          <w:szCs w:val="20"/>
          <w:color w:val="auto"/>
        </w:rPr>
      </w:pPr>
    </w:p>
    <w:p>
      <w:pPr>
        <w:ind w:left="1760" w:right="1760"/>
        <w:spacing w:after="0"/>
        <w:rPr>
          <w:sz w:val="20"/>
          <w:szCs w:val="20"/>
          <w:color w:val="auto"/>
        </w:rPr>
      </w:pPr>
      <w:r>
        <w:rPr>
          <w:rFonts w:ascii="Arial" w:cs="Arial" w:eastAsia="Arial" w:hAnsi="Arial"/>
          <w:sz w:val="11"/>
          <w:szCs w:val="11"/>
          <w:color w:val="auto"/>
        </w:rPr>
        <w:t>Andreessen Horowitz, and therefore, may be deemed to share voting and investment power with regard to th e</w:t>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shares held directly by Andreessen Horowitz. The address for Mr. Horowitz is c/o Andreessen Horowitz,</w:t>
      </w:r>
    </w:p>
    <w:p>
      <w:pPr>
        <w:ind w:left="1760"/>
        <w:spacing w:after="0" w:line="194" w:lineRule="auto"/>
        <w:rPr>
          <w:sz w:val="20"/>
          <w:szCs w:val="20"/>
          <w:color w:val="auto"/>
        </w:rPr>
      </w:pPr>
      <w:r>
        <w:rPr>
          <w:rFonts w:ascii="Arial" w:cs="Arial" w:eastAsia="Arial" w:hAnsi="Arial"/>
          <w:sz w:val="9"/>
          <w:szCs w:val="9"/>
          <w:color w:val="auto"/>
        </w:rPr>
        <w:t>2865 Sand Hill Road, Suite 101, Menlo Park, CA 94025</w:t>
      </w:r>
    </w:p>
    <w:p>
      <w:pPr>
        <w:ind w:left="1760"/>
        <w:spacing w:after="0" w:line="200" w:lineRule="auto"/>
        <w:rPr>
          <w:sz w:val="20"/>
          <w:szCs w:val="20"/>
          <w:color w:val="auto"/>
        </w:rPr>
      </w:pPr>
      <w:r>
        <w:rPr>
          <w:rFonts w:ascii="Arial" w:cs="Arial" w:eastAsia="Arial" w:hAnsi="Arial"/>
          <w:sz w:val="7"/>
          <w:szCs w:val="7"/>
          <w:color w:val="auto"/>
        </w:rPr>
        <w:t>.</w:t>
      </w:r>
    </w:p>
    <w:p>
      <w:pPr>
        <w:ind w:left="2860" w:right="1720" w:hanging="1329"/>
        <w:spacing w:after="0"/>
        <w:rPr>
          <w:sz w:val="20"/>
          <w:szCs w:val="20"/>
          <w:color w:val="auto"/>
        </w:rPr>
      </w:pPr>
      <w:r>
        <w:rPr>
          <w:rFonts w:ascii="Arial" w:cs="Arial" w:eastAsia="Arial" w:hAnsi="Arial"/>
          <w:sz w:val="11"/>
          <w:szCs w:val="11"/>
          <w:color w:val="auto"/>
        </w:rPr>
        <w:t>(5) Consists of 5,347,824 shares of Class A common stock held by Lightspeed Opportunity (as defined below) an d</w:t>
      </w:r>
    </w:p>
    <w:p>
      <w:pPr>
        <w:spacing w:after="0" w:line="7" w:lineRule="exact"/>
        <w:rPr>
          <w:sz w:val="20"/>
          <w:szCs w:val="20"/>
          <w:color w:val="auto"/>
        </w:rPr>
      </w:pPr>
    </w:p>
    <w:p>
      <w:pPr>
        <w:ind w:left="1760" w:right="2060"/>
        <w:spacing w:after="0"/>
        <w:rPr>
          <w:sz w:val="20"/>
          <w:szCs w:val="20"/>
          <w:color w:val="auto"/>
        </w:rPr>
      </w:pPr>
      <w:r>
        <w:rPr>
          <w:rFonts w:ascii="Arial" w:cs="Arial" w:eastAsia="Arial" w:hAnsi="Arial"/>
          <w:sz w:val="11"/>
          <w:szCs w:val="11"/>
          <w:color w:val="auto"/>
        </w:rPr>
        <w:t>Lightspeed Strategic Partners (as defined below), as reflected in footnote 11, below. Mr. Janmohamed, a</w:t>
      </w:r>
    </w:p>
    <w:p>
      <w:pPr>
        <w:spacing w:after="0" w:line="17" w:lineRule="exact"/>
        <w:rPr>
          <w:sz w:val="20"/>
          <w:szCs w:val="20"/>
          <w:color w:val="auto"/>
        </w:rPr>
      </w:pPr>
    </w:p>
    <w:p>
      <w:pPr>
        <w:ind w:left="1760" w:right="1640"/>
        <w:spacing w:after="0"/>
        <w:rPr>
          <w:sz w:val="20"/>
          <w:szCs w:val="20"/>
          <w:color w:val="auto"/>
        </w:rPr>
      </w:pPr>
      <w:r>
        <w:rPr>
          <w:rFonts w:ascii="Arial" w:cs="Arial" w:eastAsia="Arial" w:hAnsi="Arial"/>
          <w:sz w:val="11"/>
          <w:szCs w:val="11"/>
          <w:color w:val="auto"/>
        </w:rPr>
        <w:t>member of our board of directors, is a partner of Lightspeed Venture Partners, and therefore, may be deemed t o</w:t>
      </w:r>
    </w:p>
    <w:p>
      <w:pPr>
        <w:spacing w:after="0" w:line="7" w:lineRule="exact"/>
        <w:rPr>
          <w:sz w:val="20"/>
          <w:szCs w:val="20"/>
          <w:color w:val="auto"/>
        </w:rPr>
      </w:pPr>
    </w:p>
    <w:p>
      <w:pPr>
        <w:ind w:left="1760" w:right="1940"/>
        <w:spacing w:after="0"/>
        <w:rPr>
          <w:sz w:val="20"/>
          <w:szCs w:val="20"/>
          <w:color w:val="auto"/>
        </w:rPr>
      </w:pPr>
      <w:r>
        <w:rPr>
          <w:rFonts w:ascii="Arial" w:cs="Arial" w:eastAsia="Arial" w:hAnsi="Arial"/>
          <w:sz w:val="11"/>
          <w:szCs w:val="11"/>
          <w:color w:val="auto"/>
        </w:rPr>
        <w:t>share voting and investment power with regard to certain of the shares held directly by Lightspeed Ventur e</w:t>
      </w:r>
    </w:p>
    <w:p>
      <w:pPr>
        <w:spacing w:after="0" w:line="7" w:lineRule="exact"/>
        <w:rPr>
          <w:sz w:val="20"/>
          <w:szCs w:val="20"/>
          <w:color w:val="auto"/>
        </w:rPr>
      </w:pPr>
    </w:p>
    <w:p>
      <w:pPr>
        <w:ind w:left="1760" w:right="1760"/>
        <w:spacing w:after="0" w:line="263" w:lineRule="auto"/>
        <w:rPr>
          <w:sz w:val="20"/>
          <w:szCs w:val="20"/>
          <w:color w:val="auto"/>
        </w:rPr>
      </w:pPr>
      <w:r>
        <w:rPr>
          <w:rFonts w:ascii="Arial" w:cs="Arial" w:eastAsia="Arial" w:hAnsi="Arial"/>
          <w:sz w:val="11"/>
          <w:szCs w:val="11"/>
          <w:color w:val="auto"/>
        </w:rPr>
        <w:t>Partners. The address for Mr. Janmohamed is c/o Lightspeed Venture Partners, 2200 Sand Hill Road, Menlo Park, CA 94025.</w:t>
      </w:r>
    </w:p>
    <w:p>
      <w:pPr>
        <w:ind w:left="2700" w:right="1820" w:hanging="1176"/>
        <w:spacing w:after="0"/>
        <w:rPr>
          <w:sz w:val="20"/>
          <w:szCs w:val="20"/>
          <w:color w:val="auto"/>
        </w:rPr>
      </w:pPr>
      <w:r>
        <w:rPr>
          <w:rFonts w:ascii="Arial" w:cs="Arial" w:eastAsia="Arial" w:hAnsi="Arial"/>
          <w:sz w:val="11"/>
          <w:szCs w:val="11"/>
          <w:color w:val="auto"/>
        </w:rPr>
        <w:t>(6) Consists of 60,823 shares issuable upon settlement of RSUs for which the service-based condition has bee n</w:t>
      </w:r>
    </w:p>
    <w:p>
      <w:pPr>
        <w:spacing w:after="0" w:line="17" w:lineRule="exact"/>
        <w:rPr>
          <w:sz w:val="20"/>
          <w:szCs w:val="20"/>
          <w:color w:val="auto"/>
        </w:rPr>
      </w:pPr>
    </w:p>
    <w:p>
      <w:pPr>
        <w:ind w:left="1760" w:right="2120"/>
        <w:spacing w:after="0"/>
        <w:rPr>
          <w:sz w:val="20"/>
          <w:szCs w:val="20"/>
          <w:color w:val="auto"/>
        </w:rPr>
      </w:pPr>
      <w:r>
        <w:rPr>
          <w:rFonts w:ascii="Arial" w:cs="Arial" w:eastAsia="Arial" w:hAnsi="Arial"/>
          <w:sz w:val="11"/>
          <w:szCs w:val="11"/>
          <w:color w:val="auto"/>
        </w:rPr>
        <w:t>satisfied and for which the performance-based condition will be satisfied in connection with this offerin g.</w:t>
      </w:r>
    </w:p>
    <w:p>
      <w:pPr>
        <w:spacing w:after="0" w:line="7" w:lineRule="exact"/>
        <w:rPr>
          <w:sz w:val="20"/>
          <w:szCs w:val="20"/>
          <w:color w:val="auto"/>
        </w:rPr>
      </w:pPr>
    </w:p>
    <w:p>
      <w:pPr>
        <w:ind w:left="2700" w:right="2000" w:hanging="1176"/>
        <w:spacing w:after="0"/>
        <w:rPr>
          <w:sz w:val="20"/>
          <w:szCs w:val="20"/>
          <w:color w:val="auto"/>
        </w:rPr>
      </w:pPr>
      <w:r>
        <w:rPr>
          <w:rFonts w:ascii="Arial" w:cs="Arial" w:eastAsia="Arial" w:hAnsi="Arial"/>
          <w:sz w:val="11"/>
          <w:szCs w:val="11"/>
          <w:color w:val="auto"/>
        </w:rPr>
        <w:t>(7) Consists of 56,666 shares underlying stock options to purchase shares of Class A common stock that ar e</w:t>
      </w:r>
    </w:p>
    <w:p>
      <w:pPr>
        <w:ind w:left="1760"/>
        <w:spacing w:after="0" w:line="194" w:lineRule="auto"/>
        <w:rPr>
          <w:sz w:val="20"/>
          <w:szCs w:val="20"/>
          <w:color w:val="auto"/>
        </w:rPr>
      </w:pPr>
      <w:r>
        <w:rPr>
          <w:rFonts w:ascii="Arial" w:cs="Arial" w:eastAsia="Arial" w:hAnsi="Arial"/>
          <w:sz w:val="9"/>
          <w:szCs w:val="9"/>
          <w:color w:val="auto"/>
        </w:rPr>
        <w:t>exercisable within 60 days of July 31, 2025</w:t>
      </w:r>
    </w:p>
    <w:p>
      <w:pPr>
        <w:ind w:left="1760"/>
        <w:spacing w:after="0" w:line="200" w:lineRule="auto"/>
        <w:rPr>
          <w:sz w:val="20"/>
          <w:szCs w:val="20"/>
          <w:color w:val="auto"/>
        </w:rPr>
      </w:pPr>
      <w:r>
        <w:rPr>
          <w:rFonts w:ascii="Arial" w:cs="Arial" w:eastAsia="Arial" w:hAnsi="Arial"/>
          <w:sz w:val="7"/>
          <w:szCs w:val="7"/>
          <w:color w:val="auto"/>
        </w:rPr>
        <w:t>.</w:t>
      </w:r>
    </w:p>
    <w:p>
      <w:pPr>
        <w:jc w:val="center"/>
        <w:ind w:right="60"/>
        <w:spacing w:after="0"/>
        <w:rPr>
          <w:sz w:val="20"/>
          <w:szCs w:val="20"/>
          <w:color w:val="auto"/>
        </w:rPr>
      </w:pPr>
      <w:r>
        <w:rPr>
          <w:rFonts w:ascii="Arial" w:cs="Arial" w:eastAsia="Arial" w:hAnsi="Arial"/>
          <w:sz w:val="11"/>
          <w:szCs w:val="11"/>
          <w:color w:val="auto"/>
        </w:rPr>
        <w:t>(8)  Consists of 8,562,718 shares of Class A common stock held by entities affiliated with Premji Invest. Mr. Patnam,</w:t>
      </w:r>
    </w:p>
    <w:p>
      <w:pPr>
        <w:spacing w:after="0" w:line="7" w:lineRule="exact"/>
        <w:rPr>
          <w:sz w:val="20"/>
          <w:szCs w:val="20"/>
          <w:color w:val="auto"/>
        </w:rPr>
      </w:pPr>
    </w:p>
    <w:p>
      <w:pPr>
        <w:ind w:left="1760" w:right="1960"/>
        <w:spacing w:after="0"/>
        <w:rPr>
          <w:sz w:val="20"/>
          <w:szCs w:val="20"/>
          <w:color w:val="auto"/>
        </w:rPr>
      </w:pPr>
      <w:r>
        <w:rPr>
          <w:rFonts w:ascii="Arial" w:cs="Arial" w:eastAsia="Arial" w:hAnsi="Arial"/>
          <w:sz w:val="11"/>
          <w:szCs w:val="11"/>
          <w:color w:val="auto"/>
        </w:rPr>
        <w:t>who is a member of our board of directors, is the managing partner of Premji Invest and therefore, may b e</w:t>
      </w:r>
    </w:p>
    <w:p>
      <w:pPr>
        <w:spacing w:after="0" w:line="17" w:lineRule="exact"/>
        <w:rPr>
          <w:sz w:val="20"/>
          <w:szCs w:val="20"/>
          <w:color w:val="auto"/>
        </w:rPr>
      </w:pPr>
    </w:p>
    <w:p>
      <w:pPr>
        <w:ind w:left="1760" w:right="1700"/>
        <w:spacing w:after="0"/>
        <w:rPr>
          <w:sz w:val="20"/>
          <w:szCs w:val="20"/>
          <w:color w:val="auto"/>
        </w:rPr>
      </w:pPr>
      <w:r>
        <w:rPr>
          <w:rFonts w:ascii="Arial" w:cs="Arial" w:eastAsia="Arial" w:hAnsi="Arial"/>
          <w:sz w:val="11"/>
          <w:szCs w:val="11"/>
          <w:color w:val="auto"/>
        </w:rPr>
        <w:t>deemed to share voting and investment power with regard to the shares held by Premji Invest. The address fo r</w:t>
      </w:r>
    </w:p>
    <w:p>
      <w:pPr>
        <w:ind w:left="1760"/>
        <w:spacing w:after="0" w:line="194" w:lineRule="auto"/>
        <w:rPr>
          <w:sz w:val="20"/>
          <w:szCs w:val="20"/>
          <w:color w:val="auto"/>
        </w:rPr>
      </w:pPr>
      <w:r>
        <w:rPr>
          <w:rFonts w:ascii="Arial" w:cs="Arial" w:eastAsia="Arial" w:hAnsi="Arial"/>
          <w:sz w:val="9"/>
          <w:szCs w:val="9"/>
          <w:color w:val="auto"/>
        </w:rPr>
        <w:t>Premji Invest is 2180 Sand Hill Road, Suite 100, Menlo Park, CA 94025</w:t>
      </w:r>
    </w:p>
    <w:p>
      <w:pPr>
        <w:ind w:left="1760"/>
        <w:spacing w:after="0" w:line="200" w:lineRule="auto"/>
        <w:rPr>
          <w:sz w:val="20"/>
          <w:szCs w:val="20"/>
          <w:color w:val="auto"/>
        </w:rPr>
      </w:pPr>
      <w:r>
        <w:rPr>
          <w:rFonts w:ascii="Arial" w:cs="Arial" w:eastAsia="Arial" w:hAnsi="Arial"/>
          <w:sz w:val="6"/>
          <w:szCs w:val="6"/>
          <w:color w:val="auto"/>
        </w:rPr>
        <w:t>.</w:t>
      </w:r>
    </w:p>
    <w:p>
      <w:pPr>
        <w:ind w:left="1520"/>
        <w:spacing w:after="0"/>
        <w:rPr>
          <w:sz w:val="20"/>
          <w:szCs w:val="20"/>
          <w:color w:val="auto"/>
        </w:rPr>
      </w:pPr>
      <w:r>
        <w:rPr>
          <w:rFonts w:ascii="Arial" w:cs="Arial" w:eastAsia="Arial" w:hAnsi="Arial"/>
          <w:sz w:val="11"/>
          <w:szCs w:val="11"/>
          <w:color w:val="auto"/>
        </w:rPr>
        <w:t>(9)  Consists of (i) 57,264 shares of Class A common stock, and (ii) 37,272,795 shares of Class A common stock</w:t>
      </w:r>
    </w:p>
    <w:p>
      <w:pPr>
        <w:spacing w:after="0" w:line="13" w:lineRule="exact"/>
        <w:rPr>
          <w:sz w:val="20"/>
          <w:szCs w:val="20"/>
          <w:color w:val="auto"/>
        </w:rPr>
      </w:pPr>
    </w:p>
    <w:p>
      <w:pPr>
        <w:ind w:left="1760" w:right="1800"/>
        <w:spacing w:after="0"/>
        <w:rPr>
          <w:sz w:val="20"/>
          <w:szCs w:val="20"/>
          <w:color w:val="auto"/>
        </w:rPr>
      </w:pPr>
      <w:r>
        <w:rPr>
          <w:rFonts w:ascii="Arial" w:cs="Arial" w:eastAsia="Arial" w:hAnsi="Arial"/>
          <w:sz w:val="11"/>
          <w:szCs w:val="11"/>
          <w:color w:val="auto"/>
        </w:rPr>
        <w:t>held by entities affiliated with Zeev Ventures, as reflected in footnote 13, below. Oren Zeev, a member of ou r</w:t>
      </w:r>
    </w:p>
    <w:p>
      <w:pPr>
        <w:spacing w:after="0" w:line="11" w:lineRule="exact"/>
        <w:rPr>
          <w:sz w:val="20"/>
          <w:szCs w:val="20"/>
          <w:color w:val="auto"/>
        </w:rPr>
      </w:pPr>
    </w:p>
    <w:p>
      <w:pPr>
        <w:ind w:left="1760" w:right="1760"/>
        <w:spacing w:after="0"/>
        <w:rPr>
          <w:sz w:val="20"/>
          <w:szCs w:val="20"/>
          <w:color w:val="auto"/>
        </w:rPr>
      </w:pPr>
      <w:r>
        <w:rPr>
          <w:rFonts w:ascii="Arial" w:cs="Arial" w:eastAsia="Arial" w:hAnsi="Arial"/>
          <w:sz w:val="11"/>
          <w:szCs w:val="11"/>
          <w:color w:val="auto"/>
        </w:rPr>
        <w:t>board of directors, is the sole general partner of Zeev Ventures, and therefore, may be deemed to have votin g</w:t>
      </w:r>
    </w:p>
    <w:p>
      <w:pPr>
        <w:spacing w:after="0" w:line="17" w:lineRule="exact"/>
        <w:rPr>
          <w:sz w:val="20"/>
          <w:szCs w:val="20"/>
          <w:color w:val="auto"/>
        </w:rPr>
      </w:pPr>
    </w:p>
    <w:p>
      <w:pPr>
        <w:ind w:left="1760" w:right="1680"/>
        <w:spacing w:after="0"/>
        <w:rPr>
          <w:sz w:val="20"/>
          <w:szCs w:val="20"/>
          <w:color w:val="auto"/>
        </w:rPr>
      </w:pPr>
      <w:r>
        <w:rPr>
          <w:rFonts w:ascii="Arial" w:cs="Arial" w:eastAsia="Arial" w:hAnsi="Arial"/>
          <w:sz w:val="11"/>
          <w:szCs w:val="11"/>
          <w:color w:val="auto"/>
        </w:rPr>
        <w:t>and investment power with regard to the shares held directly by Zeev Ventures. The address for Mr. Zeev is c/ o</w:t>
      </w:r>
    </w:p>
    <w:p>
      <w:pPr>
        <w:ind w:left="1760"/>
        <w:spacing w:after="0" w:line="194" w:lineRule="auto"/>
        <w:rPr>
          <w:sz w:val="20"/>
          <w:szCs w:val="20"/>
          <w:color w:val="auto"/>
        </w:rPr>
      </w:pPr>
      <w:r>
        <w:rPr>
          <w:rFonts w:ascii="Arial" w:cs="Arial" w:eastAsia="Arial" w:hAnsi="Arial"/>
          <w:sz w:val="9"/>
          <w:szCs w:val="9"/>
          <w:color w:val="auto"/>
        </w:rPr>
        <w:t>Zeev Ventures, 555 Bryant Street, Suite 811, Palo Alto, CA 94301</w:t>
      </w:r>
    </w:p>
    <w:p>
      <w:pPr>
        <w:ind w:left="1760"/>
        <w:spacing w:after="0" w:line="200" w:lineRule="auto"/>
        <w:rPr>
          <w:sz w:val="20"/>
          <w:szCs w:val="20"/>
          <w:color w:val="auto"/>
        </w:rPr>
      </w:pPr>
      <w:r>
        <w:rPr>
          <w:rFonts w:ascii="Arial" w:cs="Arial" w:eastAsia="Arial" w:hAnsi="Arial"/>
          <w:sz w:val="6"/>
          <w:szCs w:val="6"/>
          <w:color w:val="auto"/>
        </w:rPr>
        <w:t>.</w:t>
      </w:r>
    </w:p>
    <w:p>
      <w:pPr>
        <w:jc w:val="center"/>
        <w:ind w:right="20"/>
        <w:spacing w:after="0"/>
        <w:rPr>
          <w:sz w:val="20"/>
          <w:szCs w:val="20"/>
          <w:color w:val="auto"/>
        </w:rPr>
      </w:pPr>
      <w:r>
        <w:rPr>
          <w:rFonts w:ascii="Arial" w:cs="Arial" w:eastAsia="Arial" w:hAnsi="Arial"/>
          <w:sz w:val="11"/>
          <w:szCs w:val="11"/>
          <w:color w:val="auto"/>
        </w:rPr>
        <w:t>(10) Consists of (i) 77,100,360 shares of Class A common stock, (ii) 17,229,028 shares of Class B common stock, (iii)</w:t>
      </w:r>
    </w:p>
    <w:p>
      <w:pPr>
        <w:spacing w:after="0" w:line="13" w:lineRule="exact"/>
        <w:rPr>
          <w:sz w:val="20"/>
          <w:szCs w:val="20"/>
          <w:color w:val="auto"/>
        </w:rPr>
      </w:pPr>
    </w:p>
    <w:p>
      <w:pPr>
        <w:ind w:left="2280" w:right="1820" w:hanging="535"/>
        <w:spacing w:after="0"/>
        <w:rPr>
          <w:sz w:val="20"/>
          <w:szCs w:val="20"/>
          <w:color w:val="auto"/>
        </w:rPr>
      </w:pPr>
      <w:r>
        <w:rPr>
          <w:rFonts w:ascii="Arial" w:cs="Arial" w:eastAsia="Arial" w:hAnsi="Arial"/>
          <w:sz w:val="11"/>
          <w:szCs w:val="11"/>
          <w:color w:val="auto"/>
        </w:rPr>
        <w:t>1,083,305 shares underlying stock options to purchase shares of Class A common stock that are exercisabl e</w:t>
      </w:r>
    </w:p>
    <w:p>
      <w:pPr>
        <w:spacing w:after="0" w:line="11" w:lineRule="exact"/>
        <w:rPr>
          <w:sz w:val="20"/>
          <w:szCs w:val="20"/>
          <w:color w:val="auto"/>
        </w:rPr>
      </w:pPr>
    </w:p>
    <w:p>
      <w:pPr>
        <w:ind w:left="1760" w:right="2080"/>
        <w:spacing w:after="0"/>
        <w:rPr>
          <w:sz w:val="20"/>
          <w:szCs w:val="20"/>
          <w:color w:val="auto"/>
        </w:rPr>
      </w:pPr>
      <w:r>
        <w:rPr>
          <w:rFonts w:ascii="Arial" w:cs="Arial" w:eastAsia="Arial" w:hAnsi="Arial"/>
          <w:sz w:val="11"/>
          <w:szCs w:val="11"/>
          <w:color w:val="auto"/>
        </w:rPr>
        <w:t>within 60 days of July 31, 202 , and (iv) 6,725,416 shares underlying stock options to purchase shares 5</w:t>
      </w:r>
    </w:p>
    <w:p>
      <w:pPr>
        <w:spacing w:after="0" w:line="17" w:lineRule="exact"/>
        <w:rPr>
          <w:sz w:val="20"/>
          <w:szCs w:val="20"/>
          <w:color w:val="auto"/>
        </w:rPr>
      </w:pPr>
    </w:p>
    <w:p>
      <w:pPr>
        <w:ind w:left="1760" w:right="1840"/>
        <w:spacing w:after="0"/>
        <w:rPr>
          <w:sz w:val="20"/>
          <w:szCs w:val="20"/>
          <w:color w:val="auto"/>
        </w:rPr>
      </w:pPr>
      <w:r>
        <w:rPr>
          <w:rFonts w:ascii="Arial" w:cs="Arial" w:eastAsia="Arial" w:hAnsi="Arial"/>
          <w:sz w:val="11"/>
          <w:szCs w:val="11"/>
          <w:color w:val="auto"/>
        </w:rPr>
        <w:t>of Class A common stock that are exchangeable for shares of Class B common stock pursuant to the Equit y</w:t>
      </w:r>
    </w:p>
    <w:p>
      <w:pPr>
        <w:ind w:left="1760"/>
        <w:spacing w:after="0" w:line="194" w:lineRule="auto"/>
        <w:rPr>
          <w:sz w:val="20"/>
          <w:szCs w:val="20"/>
          <w:color w:val="auto"/>
        </w:rPr>
      </w:pPr>
      <w:r>
        <w:rPr>
          <w:rFonts w:ascii="Arial" w:cs="Arial" w:eastAsia="Arial" w:hAnsi="Arial"/>
          <w:sz w:val="9"/>
          <w:szCs w:val="9"/>
          <w:color w:val="auto"/>
        </w:rPr>
        <w:t>Exchange Rights and that are exercisable within 60 days of July 31, 202 .</w:t>
      </w:r>
    </w:p>
    <w:p>
      <w:pPr>
        <w:ind w:left="1760"/>
        <w:spacing w:after="0" w:line="200" w:lineRule="auto"/>
        <w:rPr>
          <w:sz w:val="20"/>
          <w:szCs w:val="20"/>
          <w:color w:val="auto"/>
        </w:rPr>
      </w:pPr>
      <w:r>
        <w:rPr>
          <w:rFonts w:ascii="Arial" w:cs="Arial" w:eastAsia="Arial" w:hAnsi="Arial"/>
          <w:sz w:val="6"/>
          <w:szCs w:val="6"/>
          <w:color w:val="auto"/>
        </w:rPr>
        <w:t>5</w:t>
      </w:r>
    </w:p>
    <w:p>
      <w:pPr>
        <w:ind w:left="1760" w:right="1660" w:hanging="229"/>
        <w:spacing w:after="0" w:line="198" w:lineRule="auto"/>
        <w:rPr>
          <w:sz w:val="20"/>
          <w:szCs w:val="20"/>
          <w:color w:val="auto"/>
        </w:rPr>
      </w:pPr>
      <w:r>
        <w:rPr>
          <w:rFonts w:ascii="Arial" w:cs="Arial" w:eastAsia="Arial" w:hAnsi="Arial"/>
          <w:sz w:val="11"/>
          <w:szCs w:val="11"/>
          <w:color w:val="auto"/>
        </w:rPr>
        <w:t>(11) Consists of (i) 23,365,502 shares of Class A common stock held by Lightspeed Venture Partners X, L.P., o Lightspeed X, (ii) 192,885</w:t>
      </w:r>
      <w:r>
        <w:rPr>
          <w:rFonts w:ascii="Arial" w:cs="Arial" w:eastAsia="Arial" w:hAnsi="Arial"/>
          <w:sz w:val="22"/>
          <w:szCs w:val="22"/>
          <w:color w:val="auto"/>
          <w:vertAlign w:val="superscript"/>
        </w:rPr>
        <w:t>r</w:t>
      </w:r>
      <w:r>
        <w:rPr>
          <w:rFonts w:ascii="Arial" w:cs="Arial" w:eastAsia="Arial" w:hAnsi="Arial"/>
          <w:sz w:val="11"/>
          <w:szCs w:val="11"/>
          <w:color w:val="auto"/>
        </w:rPr>
        <w:t>shares of Class A common stock held by Lightspeed Affiliates X, L.P., or Lightspeed Affiliates X, (iii) 4,764,683 shares of Class A common stock held by Lightspeed Opportunity Fund, L.P., or</w:t>
      </w:r>
    </w:p>
    <w:p>
      <w:pPr>
        <w:ind w:left="1760" w:right="1540"/>
        <w:spacing w:after="0" w:line="195" w:lineRule="auto"/>
        <w:rPr>
          <w:sz w:val="20"/>
          <w:szCs w:val="20"/>
          <w:color w:val="auto"/>
        </w:rPr>
      </w:pPr>
      <w:r>
        <w:rPr>
          <w:rFonts w:ascii="Arial" w:cs="Arial" w:eastAsia="Arial" w:hAnsi="Arial"/>
          <w:sz w:val="11"/>
          <w:szCs w:val="11"/>
          <w:color w:val="auto"/>
        </w:rPr>
        <w:t>Lightspeed Opportunity, (iv) 583,141</w:t>
      </w:r>
      <w:r>
        <w:rPr>
          <w:rFonts w:ascii="Arial" w:cs="Arial" w:eastAsia="Arial" w:hAnsi="Arial"/>
          <w:sz w:val="22"/>
          <w:szCs w:val="22"/>
          <w:color w:val="auto"/>
          <w:vertAlign w:val="subscript"/>
        </w:rPr>
        <w:t>I</w:t>
      </w:r>
      <w:r>
        <w:rPr>
          <w:rFonts w:ascii="Arial" w:cs="Arial" w:eastAsia="Arial" w:hAnsi="Arial"/>
          <w:sz w:val="11"/>
          <w:szCs w:val="11"/>
          <w:color w:val="auto"/>
        </w:rPr>
        <w:t>shares of Class A common stock held by Lightspeed Strategic Partners L.P., or Lightspeed Strategic Partners, (v) 14,858,711 shares of Class A common stock held by Lightspeed Venture Partners Select II, L.P., or Lightspeed Select II, and (vi) 6,131,535 shares of Class A common stock held</w:t>
      </w:r>
    </w:p>
    <w:p>
      <w:pPr>
        <w:ind w:left="1760" w:right="1640"/>
        <w:spacing w:after="0"/>
        <w:rPr>
          <w:sz w:val="20"/>
          <w:szCs w:val="20"/>
          <w:color w:val="auto"/>
        </w:rPr>
      </w:pPr>
      <w:r>
        <w:rPr>
          <w:rFonts w:ascii="Arial" w:cs="Arial" w:eastAsia="Arial" w:hAnsi="Arial"/>
          <w:sz w:val="11"/>
          <w:szCs w:val="11"/>
          <w:color w:val="auto"/>
        </w:rPr>
        <w:t>by Lightspeed Venture Partners Select III, L.P., or Lightspeed Select III. Lightspeed Ultimate General Partner X ,</w:t>
      </w:r>
    </w:p>
    <w:p>
      <w:pPr>
        <w:spacing w:after="0" w:line="11" w:lineRule="exact"/>
        <w:rPr>
          <w:sz w:val="20"/>
          <w:szCs w:val="20"/>
          <w:color w:val="auto"/>
        </w:rPr>
      </w:pPr>
    </w:p>
    <w:p>
      <w:pPr>
        <w:ind w:left="1760" w:right="1740"/>
        <w:spacing w:after="0"/>
        <w:rPr>
          <w:sz w:val="20"/>
          <w:szCs w:val="20"/>
          <w:color w:val="auto"/>
        </w:rPr>
      </w:pPr>
      <w:r>
        <w:rPr>
          <w:rFonts w:ascii="Arial" w:cs="Arial" w:eastAsia="Arial" w:hAnsi="Arial"/>
          <w:sz w:val="11"/>
          <w:szCs w:val="11"/>
          <w:color w:val="auto"/>
        </w:rPr>
        <w:t>Ltd., or LUGP X, serves as the sole general partner of Lightspeed General Partner X, L.P. which serves as th e</w:t>
      </w:r>
    </w:p>
    <w:p>
      <w:pPr>
        <w:spacing w:after="0" w:line="17" w:lineRule="exact"/>
        <w:rPr>
          <w:sz w:val="20"/>
          <w:szCs w:val="20"/>
          <w:color w:val="auto"/>
        </w:rPr>
      </w:pPr>
    </w:p>
    <w:p>
      <w:pPr>
        <w:ind w:left="1760" w:right="2140"/>
        <w:spacing w:after="0"/>
        <w:rPr>
          <w:sz w:val="20"/>
          <w:szCs w:val="20"/>
          <w:color w:val="auto"/>
        </w:rPr>
      </w:pPr>
      <w:r>
        <w:rPr>
          <w:rFonts w:ascii="Arial" w:cs="Arial" w:eastAsia="Arial" w:hAnsi="Arial"/>
          <w:sz w:val="11"/>
          <w:szCs w:val="11"/>
          <w:color w:val="auto"/>
        </w:rPr>
        <w:t>sole general partner of Lightspeed X and Lightspeed Affiliates X. Lightspeed Ultimate General Partne r</w:t>
      </w:r>
    </w:p>
    <w:p>
      <w:pPr>
        <w:spacing w:after="0" w:line="7" w:lineRule="exact"/>
        <w:rPr>
          <w:sz w:val="20"/>
          <w:szCs w:val="20"/>
          <w:color w:val="auto"/>
        </w:rPr>
      </w:pPr>
    </w:p>
    <w:p>
      <w:pPr>
        <w:ind w:left="1760" w:right="1620"/>
        <w:spacing w:after="0" w:line="259" w:lineRule="auto"/>
        <w:rPr>
          <w:sz w:val="20"/>
          <w:szCs w:val="20"/>
          <w:color w:val="auto"/>
        </w:rPr>
      </w:pPr>
      <w:r>
        <w:rPr>
          <w:rFonts w:ascii="Arial" w:cs="Arial" w:eastAsia="Arial" w:hAnsi="Arial"/>
          <w:sz w:val="11"/>
          <w:szCs w:val="11"/>
          <w:color w:val="auto"/>
        </w:rPr>
        <w:t>Opportunity Fund, Ltd., or LUGP Opportunity Fund, serves as the sole general partner of Lightspeed General Partner Opportunity Fund, L.P., which serves as the sole general partner of Lightspeed Opportunity. Lightspeed</w:t>
      </w:r>
    </w:p>
    <w:p>
      <w:pPr>
        <w:spacing w:after="0" w:line="1" w:lineRule="exact"/>
        <w:rPr>
          <w:sz w:val="20"/>
          <w:szCs w:val="20"/>
          <w:color w:val="auto"/>
        </w:rPr>
      </w:pPr>
    </w:p>
    <w:p>
      <w:pPr>
        <w:ind w:left="1760" w:right="2060"/>
        <w:spacing w:after="0"/>
        <w:rPr>
          <w:sz w:val="20"/>
          <w:szCs w:val="20"/>
          <w:color w:val="auto"/>
        </w:rPr>
      </w:pPr>
      <w:r>
        <w:rPr>
          <w:rFonts w:ascii="Arial" w:cs="Arial" w:eastAsia="Arial" w:hAnsi="Arial"/>
          <w:sz w:val="11"/>
          <w:szCs w:val="11"/>
          <w:color w:val="auto"/>
        </w:rPr>
        <w:t>Strategic Partners Ultimate General Partner I L.L.C., or LSP UGP, serves as the sole general partner o f</w:t>
      </w:r>
    </w:p>
    <w:p>
      <w:pPr>
        <w:spacing w:after="0" w:line="11" w:lineRule="exact"/>
        <w:rPr>
          <w:sz w:val="20"/>
          <w:szCs w:val="20"/>
          <w:color w:val="auto"/>
        </w:rPr>
      </w:pPr>
    </w:p>
    <w:p>
      <w:pPr>
        <w:ind w:left="1760" w:right="1820"/>
        <w:spacing w:after="0"/>
        <w:rPr>
          <w:sz w:val="20"/>
          <w:szCs w:val="20"/>
          <w:color w:val="auto"/>
        </w:rPr>
      </w:pPr>
      <w:r>
        <w:rPr>
          <w:rFonts w:ascii="Arial" w:cs="Arial" w:eastAsia="Arial" w:hAnsi="Arial"/>
          <w:sz w:val="11"/>
          <w:szCs w:val="11"/>
          <w:color w:val="auto"/>
        </w:rPr>
        <w:t>Lightspeed Strategic Partners General Partner I L.P., which serves as the sole general partner of Lightspee d</w:t>
      </w:r>
    </w:p>
    <w:p>
      <w:pPr>
        <w:spacing w:after="0" w:line="17" w:lineRule="exact"/>
        <w:rPr>
          <w:sz w:val="20"/>
          <w:szCs w:val="20"/>
          <w:color w:val="auto"/>
        </w:rPr>
      </w:pPr>
    </w:p>
    <w:p>
      <w:pPr>
        <w:ind w:left="1760" w:right="1840"/>
        <w:spacing w:after="0"/>
        <w:rPr>
          <w:sz w:val="20"/>
          <w:szCs w:val="20"/>
          <w:color w:val="auto"/>
        </w:rPr>
      </w:pPr>
      <w:r>
        <w:rPr>
          <w:rFonts w:ascii="Arial" w:cs="Arial" w:eastAsia="Arial" w:hAnsi="Arial"/>
          <w:sz w:val="11"/>
          <w:szCs w:val="11"/>
          <w:color w:val="auto"/>
        </w:rPr>
        <w:t>Strategic Partners. Lightspeed Ultimate General Partner Select II, Ltd., or LUGP Select II, serves as the sol e</w:t>
      </w:r>
    </w:p>
    <w:p>
      <w:pPr>
        <w:spacing w:after="0" w:line="7" w:lineRule="exact"/>
        <w:rPr>
          <w:sz w:val="20"/>
          <w:szCs w:val="20"/>
          <w:color w:val="auto"/>
        </w:rPr>
      </w:pPr>
    </w:p>
    <w:p>
      <w:pPr>
        <w:ind w:left="1760" w:right="1980"/>
        <w:spacing w:after="0"/>
        <w:rPr>
          <w:sz w:val="20"/>
          <w:szCs w:val="20"/>
          <w:color w:val="auto"/>
        </w:rPr>
      </w:pPr>
      <w:r>
        <w:rPr>
          <w:rFonts w:ascii="Arial" w:cs="Arial" w:eastAsia="Arial" w:hAnsi="Arial"/>
          <w:sz w:val="11"/>
          <w:szCs w:val="11"/>
          <w:color w:val="auto"/>
        </w:rPr>
        <w:t>general partner of Lightspeed General Partner Select II, L.P., which serves as the sole general partner o f</w:t>
      </w:r>
    </w:p>
    <w:p>
      <w:pPr>
        <w:spacing w:after="0" w:line="7" w:lineRule="exact"/>
        <w:rPr>
          <w:sz w:val="20"/>
          <w:szCs w:val="20"/>
          <w:color w:val="auto"/>
        </w:rPr>
      </w:pPr>
    </w:p>
    <w:p>
      <w:pPr>
        <w:ind w:left="1760" w:right="1680"/>
        <w:spacing w:after="0"/>
        <w:rPr>
          <w:sz w:val="20"/>
          <w:szCs w:val="20"/>
          <w:color w:val="auto"/>
        </w:rPr>
      </w:pPr>
      <w:r>
        <w:rPr>
          <w:rFonts w:ascii="Arial" w:cs="Arial" w:eastAsia="Arial" w:hAnsi="Arial"/>
          <w:sz w:val="11"/>
          <w:szCs w:val="11"/>
          <w:color w:val="auto"/>
        </w:rPr>
        <w:t>Lightspeed Select II. Lightspeed Ultimate General Partner Select III, Ltd., or LUGP Select III, serves as the sol e</w:t>
      </w:r>
    </w:p>
    <w:p>
      <w:pPr>
        <w:spacing w:after="0" w:line="17" w:lineRule="exact"/>
        <w:rPr>
          <w:sz w:val="20"/>
          <w:szCs w:val="20"/>
          <w:color w:val="auto"/>
        </w:rPr>
      </w:pPr>
    </w:p>
    <w:p>
      <w:pPr>
        <w:ind w:left="1760" w:right="1960"/>
        <w:spacing w:after="0"/>
        <w:rPr>
          <w:sz w:val="20"/>
          <w:szCs w:val="20"/>
          <w:color w:val="auto"/>
        </w:rPr>
      </w:pPr>
      <w:r>
        <w:rPr>
          <w:rFonts w:ascii="Arial" w:cs="Arial" w:eastAsia="Arial" w:hAnsi="Arial"/>
          <w:sz w:val="11"/>
          <w:szCs w:val="11"/>
          <w:color w:val="auto"/>
        </w:rPr>
        <w:t>general partner of Lightspeed General Partner Select III, L.P., which serves as the sole general partner o f</w:t>
      </w:r>
    </w:p>
    <w:p>
      <w:pPr>
        <w:spacing w:after="0" w:line="7" w:lineRule="exact"/>
        <w:rPr>
          <w:sz w:val="20"/>
          <w:szCs w:val="20"/>
          <w:color w:val="auto"/>
        </w:rPr>
      </w:pPr>
    </w:p>
    <w:p>
      <w:pPr>
        <w:ind w:left="1760" w:right="1720"/>
        <w:spacing w:after="0"/>
        <w:rPr>
          <w:sz w:val="20"/>
          <w:szCs w:val="20"/>
          <w:color w:val="auto"/>
        </w:rPr>
      </w:pPr>
      <w:r>
        <w:rPr>
          <w:rFonts w:ascii="Arial" w:cs="Arial" w:eastAsia="Arial" w:hAnsi="Arial"/>
          <w:sz w:val="11"/>
          <w:szCs w:val="11"/>
          <w:color w:val="auto"/>
        </w:rPr>
        <w:t>Lightspeed Select III. Barry Eggers, Ravi Mhatre, and Peter Nieh are the directors of LUGP X, LUGP Select II ,</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197</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760" w:right="1620"/>
        <w:spacing w:after="0"/>
        <w:rPr>
          <w:sz w:val="20"/>
          <w:szCs w:val="20"/>
          <w:color w:val="auto"/>
        </w:rPr>
      </w:pPr>
      <w:r>
        <w:rPr>
          <w:rFonts w:ascii="Arial" w:cs="Arial" w:eastAsia="Arial" w:hAnsi="Arial"/>
          <w:sz w:val="11"/>
          <w:szCs w:val="11"/>
          <w:color w:val="auto"/>
        </w:rPr>
        <w:t>and LUGP Select III and share voting and dispositive power over the securities held by Lightspeed X, Lightspee d</w:t>
      </w:r>
    </w:p>
    <w:p>
      <w:pPr>
        <w:spacing w:after="0" w:line="17" w:lineRule="exact"/>
        <w:rPr>
          <w:sz w:val="20"/>
          <w:szCs w:val="20"/>
          <w:color w:val="auto"/>
        </w:rPr>
      </w:pPr>
    </w:p>
    <w:p>
      <w:pPr>
        <w:ind w:left="1760" w:right="1660"/>
        <w:spacing w:after="0"/>
        <w:rPr>
          <w:sz w:val="20"/>
          <w:szCs w:val="20"/>
          <w:color w:val="auto"/>
        </w:rPr>
      </w:pPr>
      <w:r>
        <w:rPr>
          <w:rFonts w:ascii="Arial" w:cs="Arial" w:eastAsia="Arial" w:hAnsi="Arial"/>
          <w:sz w:val="11"/>
          <w:szCs w:val="11"/>
          <w:color w:val="auto"/>
        </w:rPr>
        <w:t>Affiliates X, Lightspeed Select II, and Lightspeed Select III, respectively. Arif Janmohamed, who is a member o f</w:t>
      </w:r>
    </w:p>
    <w:p>
      <w:pPr>
        <w:spacing w:after="0" w:line="7" w:lineRule="exact"/>
        <w:rPr>
          <w:sz w:val="20"/>
          <w:szCs w:val="20"/>
          <w:color w:val="auto"/>
        </w:rPr>
      </w:pPr>
    </w:p>
    <w:p>
      <w:pPr>
        <w:ind w:left="1760" w:right="1820"/>
        <w:spacing w:after="0"/>
        <w:rPr>
          <w:sz w:val="20"/>
          <w:szCs w:val="20"/>
          <w:color w:val="auto"/>
        </w:rPr>
      </w:pPr>
      <w:r>
        <w:rPr>
          <w:rFonts w:ascii="Arial" w:cs="Arial" w:eastAsia="Arial" w:hAnsi="Arial"/>
          <w:sz w:val="11"/>
          <w:szCs w:val="11"/>
          <w:color w:val="auto"/>
        </w:rPr>
        <w:t>our board of directors, and Mr. Mhatre are the directors of LUGP Opportunity Fund and the managers of LS P</w:t>
      </w:r>
    </w:p>
    <w:p>
      <w:pPr>
        <w:spacing w:after="0" w:line="17" w:lineRule="exact"/>
        <w:rPr>
          <w:sz w:val="20"/>
          <w:szCs w:val="20"/>
          <w:color w:val="auto"/>
        </w:rPr>
      </w:pPr>
    </w:p>
    <w:p>
      <w:pPr>
        <w:ind w:left="1760" w:right="1600"/>
        <w:spacing w:after="0" w:line="259" w:lineRule="auto"/>
        <w:rPr>
          <w:sz w:val="20"/>
          <w:szCs w:val="20"/>
          <w:color w:val="auto"/>
        </w:rPr>
      </w:pPr>
      <w:r>
        <w:rPr>
          <w:rFonts w:ascii="Arial" w:cs="Arial" w:eastAsia="Arial" w:hAnsi="Arial"/>
          <w:sz w:val="11"/>
          <w:szCs w:val="11"/>
          <w:color w:val="auto"/>
        </w:rPr>
        <w:t>UGP and share voting and dispositive power over the securities held by Lightspeed Opportunity and Lightspeed Strategic Partners, respectively. The address of each of the aforementioned entities is 2200 Sand Hill Road,</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Menlo Park, CA 94025.</w:t>
      </w:r>
    </w:p>
    <w:p>
      <w:pPr>
        <w:spacing w:after="0" w:line="11" w:lineRule="exact"/>
        <w:rPr>
          <w:sz w:val="20"/>
          <w:szCs w:val="20"/>
          <w:color w:val="auto"/>
        </w:rPr>
      </w:pPr>
    </w:p>
    <w:p>
      <w:pPr>
        <w:ind w:left="1760" w:right="1580" w:hanging="238"/>
        <w:spacing w:after="0" w:line="199" w:lineRule="auto"/>
        <w:tabs>
          <w:tab w:leader="none" w:pos="1760" w:val="left"/>
        </w:tabs>
        <w:numPr>
          <w:ilvl w:val="0"/>
          <w:numId w:val="149"/>
        </w:numPr>
        <w:rPr>
          <w:rFonts w:ascii="Arial" w:cs="Arial" w:eastAsia="Arial" w:hAnsi="Arial"/>
          <w:sz w:val="11"/>
          <w:szCs w:val="11"/>
          <w:color w:val="auto"/>
        </w:rPr>
      </w:pPr>
      <w:r>
        <w:rPr>
          <w:rFonts w:ascii="Arial" w:cs="Arial" w:eastAsia="Arial" w:hAnsi="Arial"/>
          <w:sz w:val="11"/>
          <w:szCs w:val="11"/>
          <w:color w:val="auto"/>
        </w:rPr>
        <w:t>Consists of (i) 6,748,093 shares of Class A common stock held by Andreessen Horowitz LSV Fund I, L.P., or AH LSV Fund I, for itself and as nominee for Andreessen Horowitz LSV Fund I-B, L.P., or AH LSV Fund I-B, an</w:t>
      </w:r>
    </w:p>
    <w:p>
      <w:pPr>
        <w:ind w:left="1760"/>
        <w:spacing w:after="0" w:line="199" w:lineRule="auto"/>
        <w:rPr>
          <w:rFonts w:ascii="Arial" w:cs="Arial" w:eastAsia="Arial" w:hAnsi="Arial"/>
          <w:sz w:val="11"/>
          <w:szCs w:val="11"/>
          <w:color w:val="auto"/>
        </w:rPr>
      </w:pPr>
      <w:r>
        <w:rPr>
          <w:rFonts w:ascii="Arial" w:cs="Arial" w:eastAsia="Arial" w:hAnsi="Arial"/>
          <w:sz w:val="7"/>
          <w:szCs w:val="7"/>
          <w:color w:val="auto"/>
        </w:rPr>
        <w:t>d</w:t>
      </w:r>
    </w:p>
    <w:p>
      <w:pPr>
        <w:ind w:left="1760" w:right="1760"/>
        <w:spacing w:after="0"/>
        <w:rPr>
          <w:rFonts w:ascii="Arial" w:cs="Arial" w:eastAsia="Arial" w:hAnsi="Arial"/>
          <w:sz w:val="11"/>
          <w:szCs w:val="11"/>
          <w:color w:val="auto"/>
        </w:rPr>
      </w:pPr>
      <w:r>
        <w:rPr>
          <w:rFonts w:ascii="Arial" w:cs="Arial" w:eastAsia="Arial" w:hAnsi="Arial"/>
          <w:sz w:val="11"/>
          <w:szCs w:val="11"/>
          <w:color w:val="auto"/>
        </w:rPr>
        <w:t>Andreessen Horowitz LSV Fund I-Q, L.P., or AH LSV Fund I-Q, and together with AH LSV Fund I and AH LS V</w:t>
      </w:r>
    </w:p>
    <w:p>
      <w:pPr>
        <w:spacing w:after="0" w:line="7" w:lineRule="exact"/>
        <w:rPr>
          <w:rFonts w:ascii="Arial" w:cs="Arial" w:eastAsia="Arial" w:hAnsi="Arial"/>
          <w:sz w:val="11"/>
          <w:szCs w:val="11"/>
          <w:color w:val="auto"/>
        </w:rPr>
      </w:pPr>
    </w:p>
    <w:p>
      <w:pPr>
        <w:ind w:left="1760" w:right="1560"/>
        <w:spacing w:after="0" w:line="208" w:lineRule="auto"/>
        <w:rPr>
          <w:rFonts w:ascii="Arial" w:cs="Arial" w:eastAsia="Arial" w:hAnsi="Arial"/>
          <w:sz w:val="11"/>
          <w:szCs w:val="11"/>
          <w:color w:val="auto"/>
        </w:rPr>
      </w:pPr>
      <w:r>
        <w:rPr>
          <w:rFonts w:ascii="Arial" w:cs="Arial" w:eastAsia="Arial" w:hAnsi="Arial"/>
          <w:sz w:val="11"/>
          <w:szCs w:val="11"/>
          <w:color w:val="auto"/>
        </w:rPr>
        <w:t>Fund I-B, the AH LSV Fund I Entities, (ii) 5,548,039 shares of Class A common stock held by Andreessen Horowitz LSV Fund II, L.P., or AH LSV Fund II, for itself and as nominee for Andreessen Horowitz LSV Fund II-B</w:t>
      </w:r>
    </w:p>
    <w:p>
      <w:pPr>
        <w:ind w:left="1760"/>
        <w:spacing w:after="0" w:line="199" w:lineRule="auto"/>
        <w:rPr>
          <w:rFonts w:ascii="Arial" w:cs="Arial" w:eastAsia="Arial" w:hAnsi="Arial"/>
          <w:sz w:val="11"/>
          <w:szCs w:val="11"/>
          <w:color w:val="auto"/>
        </w:rPr>
      </w:pPr>
      <w:r>
        <w:rPr>
          <w:rFonts w:ascii="Arial" w:cs="Arial" w:eastAsia="Arial" w:hAnsi="Arial"/>
          <w:sz w:val="6"/>
          <w:szCs w:val="6"/>
          <w:color w:val="auto"/>
        </w:rPr>
        <w:t>,</w:t>
      </w:r>
    </w:p>
    <w:p>
      <w:pPr>
        <w:ind w:left="1760" w:right="1560"/>
        <w:spacing w:after="0" w:line="223" w:lineRule="auto"/>
        <w:rPr>
          <w:rFonts w:ascii="Arial" w:cs="Arial" w:eastAsia="Arial" w:hAnsi="Arial"/>
          <w:sz w:val="11"/>
          <w:szCs w:val="11"/>
          <w:color w:val="auto"/>
        </w:rPr>
      </w:pPr>
      <w:r>
        <w:rPr>
          <w:rFonts w:ascii="Arial" w:cs="Arial" w:eastAsia="Arial" w:hAnsi="Arial"/>
          <w:sz w:val="11"/>
          <w:szCs w:val="11"/>
          <w:color w:val="auto"/>
        </w:rPr>
        <w:t>L.P., or AH LSV Fund II-B, and Andreessen Horowitz LSV Fund II-Q, L.P., or AH LSV Fund II-Q, and together with AH LSV Fund II and AH LSV Fund II-B, the AH LSV Fund II Entities, (iii) 601,853 shares of Class A common stock held by Andreessen Horowitz LSV Fund III, L.P., or AH LSV Fund III, for itself and as nominee fo</w:t>
      </w:r>
    </w:p>
    <w:p>
      <w:pPr>
        <w:spacing w:after="0" w:line="1" w:lineRule="exact"/>
        <w:rPr>
          <w:rFonts w:ascii="Arial" w:cs="Arial" w:eastAsia="Arial" w:hAnsi="Arial"/>
          <w:sz w:val="11"/>
          <w:szCs w:val="11"/>
          <w:color w:val="auto"/>
        </w:rPr>
      </w:pPr>
    </w:p>
    <w:p>
      <w:pPr>
        <w:ind w:left="1760"/>
        <w:spacing w:after="0" w:line="199" w:lineRule="auto"/>
        <w:rPr>
          <w:rFonts w:ascii="Arial" w:cs="Arial" w:eastAsia="Arial" w:hAnsi="Arial"/>
          <w:sz w:val="11"/>
          <w:szCs w:val="11"/>
          <w:color w:val="auto"/>
        </w:rPr>
      </w:pPr>
      <w:r>
        <w:rPr>
          <w:rFonts w:ascii="Arial" w:cs="Arial" w:eastAsia="Arial" w:hAnsi="Arial"/>
          <w:sz w:val="6"/>
          <w:szCs w:val="6"/>
          <w:color w:val="auto"/>
        </w:rPr>
        <w:t>r</w:t>
      </w:r>
    </w:p>
    <w:p>
      <w:pPr>
        <w:ind w:left="1760" w:right="1580"/>
        <w:spacing w:after="0" w:line="127" w:lineRule="exact"/>
        <w:rPr>
          <w:rFonts w:ascii="Arial" w:cs="Arial" w:eastAsia="Arial" w:hAnsi="Arial"/>
          <w:sz w:val="11"/>
          <w:szCs w:val="11"/>
          <w:color w:val="auto"/>
        </w:rPr>
      </w:pPr>
      <w:r>
        <w:rPr>
          <w:rFonts w:ascii="Arial" w:cs="Arial" w:eastAsia="Arial" w:hAnsi="Arial"/>
          <w:sz w:val="11"/>
          <w:szCs w:val="11"/>
          <w:color w:val="auto"/>
        </w:rPr>
        <w:t>Andreessen Horowitz LSV Fund III-B, L.P., or AH LSV Fund III-B, AH 2022 Annual Fund, L.P., or AH 2022 Annual Fund, AH 2022 Annual Fund</w:t>
      </w:r>
      <w:r>
        <w:rPr>
          <w:rFonts w:ascii="MS PGothic" w:cs="MS PGothic" w:eastAsia="MS PGothic" w:hAnsi="MS PGothic"/>
          <w:sz w:val="11"/>
          <w:szCs w:val="11"/>
          <w:color w:val="auto"/>
        </w:rPr>
        <w:t>‑</w:t>
      </w:r>
      <w:r>
        <w:rPr>
          <w:rFonts w:ascii="Arial" w:cs="Arial" w:eastAsia="Arial" w:hAnsi="Arial"/>
          <w:sz w:val="11"/>
          <w:szCs w:val="11"/>
          <w:color w:val="auto"/>
        </w:rPr>
        <w:t>B, L.P., or AH 2022 Annual Fund-B, and AH 2022 Annual Fund</w:t>
      </w:r>
      <w:r>
        <w:rPr>
          <w:rFonts w:ascii="MS PGothic" w:cs="MS PGothic" w:eastAsia="MS PGothic" w:hAnsi="MS PGothic"/>
          <w:sz w:val="11"/>
          <w:szCs w:val="11"/>
          <w:color w:val="auto"/>
        </w:rPr>
        <w:t>‑</w:t>
      </w:r>
      <w:r>
        <w:rPr>
          <w:rFonts w:ascii="Arial" w:cs="Arial" w:eastAsia="Arial" w:hAnsi="Arial"/>
          <w:sz w:val="11"/>
          <w:szCs w:val="11"/>
          <w:color w:val="auto"/>
        </w:rPr>
        <w:t>QC, L.P., o r</w:t>
      </w:r>
    </w:p>
    <w:p>
      <w:pPr>
        <w:spacing w:after="0" w:line="24" w:lineRule="exact"/>
        <w:rPr>
          <w:rFonts w:ascii="Arial" w:cs="Arial" w:eastAsia="Arial" w:hAnsi="Arial"/>
          <w:sz w:val="11"/>
          <w:szCs w:val="11"/>
          <w:color w:val="auto"/>
        </w:rPr>
      </w:pPr>
    </w:p>
    <w:p>
      <w:pPr>
        <w:ind w:left="1760" w:right="1740"/>
        <w:spacing w:after="0"/>
        <w:rPr>
          <w:rFonts w:ascii="Arial" w:cs="Arial" w:eastAsia="Arial" w:hAnsi="Arial"/>
          <w:sz w:val="11"/>
          <w:szCs w:val="11"/>
          <w:color w:val="auto"/>
        </w:rPr>
      </w:pPr>
      <w:r>
        <w:rPr>
          <w:rFonts w:ascii="Arial" w:cs="Arial" w:eastAsia="Arial" w:hAnsi="Arial"/>
          <w:sz w:val="11"/>
          <w:szCs w:val="11"/>
          <w:color w:val="auto"/>
        </w:rPr>
        <w:t>AH 2022 Annual Fund-QC, and together with AH LSV Fund III, AH LSV Fund III-B, AH 2022 Annual Fund, an d</w:t>
      </w:r>
    </w:p>
    <w:p>
      <w:pPr>
        <w:spacing w:after="0" w:line="7" w:lineRule="exact"/>
        <w:rPr>
          <w:rFonts w:ascii="Arial" w:cs="Arial" w:eastAsia="Arial" w:hAnsi="Arial"/>
          <w:sz w:val="11"/>
          <w:szCs w:val="11"/>
          <w:color w:val="auto"/>
        </w:rPr>
      </w:pPr>
    </w:p>
    <w:p>
      <w:pPr>
        <w:jc w:val="both"/>
        <w:ind w:left="1760" w:right="1640"/>
        <w:spacing w:after="0" w:line="208" w:lineRule="auto"/>
        <w:rPr>
          <w:rFonts w:ascii="Arial" w:cs="Arial" w:eastAsia="Arial" w:hAnsi="Arial"/>
          <w:sz w:val="11"/>
          <w:szCs w:val="11"/>
          <w:color w:val="auto"/>
        </w:rPr>
      </w:pPr>
      <w:r>
        <w:rPr>
          <w:rFonts w:ascii="Arial" w:cs="Arial" w:eastAsia="Arial" w:hAnsi="Arial"/>
          <w:sz w:val="11"/>
          <w:szCs w:val="11"/>
          <w:color w:val="auto"/>
        </w:rPr>
        <w:t>AH 2022 Annual Fund-B, the AH LSV Fund III Entities, (iv) 2,081,772 shares of Class A common stock held by Andreessen Horowitz Fund V, L.P., or AH Fund V, for itself and as nominee for Andreessen Horowitz Fund V-A</w:t>
      </w:r>
    </w:p>
    <w:p>
      <w:pPr>
        <w:ind w:left="1760"/>
        <w:spacing w:after="0" w:line="199" w:lineRule="auto"/>
        <w:rPr>
          <w:rFonts w:ascii="Arial" w:cs="Arial" w:eastAsia="Arial" w:hAnsi="Arial"/>
          <w:sz w:val="11"/>
          <w:szCs w:val="11"/>
          <w:color w:val="auto"/>
        </w:rPr>
      </w:pPr>
      <w:r>
        <w:rPr>
          <w:rFonts w:ascii="Arial" w:cs="Arial" w:eastAsia="Arial" w:hAnsi="Arial"/>
          <w:sz w:val="6"/>
          <w:szCs w:val="6"/>
          <w:color w:val="auto"/>
        </w:rPr>
        <w:t>,</w:t>
      </w:r>
    </w:p>
    <w:p>
      <w:pPr>
        <w:ind w:left="1760" w:right="1700"/>
        <w:spacing w:after="0"/>
        <w:rPr>
          <w:rFonts w:ascii="Arial" w:cs="Arial" w:eastAsia="Arial" w:hAnsi="Arial"/>
          <w:sz w:val="11"/>
          <w:szCs w:val="11"/>
          <w:color w:val="auto"/>
        </w:rPr>
      </w:pPr>
      <w:r>
        <w:rPr>
          <w:rFonts w:ascii="Arial" w:cs="Arial" w:eastAsia="Arial" w:hAnsi="Arial"/>
          <w:sz w:val="11"/>
          <w:szCs w:val="11"/>
          <w:color w:val="auto"/>
        </w:rPr>
        <w:t>L.P., or AH Fund V-A, Andreessen Horowitz Fund V-B, L.P., or AH Fund V-B, and Andreessen Horowitz Fund V-</w:t>
      </w:r>
    </w:p>
    <w:p>
      <w:pPr>
        <w:sectPr>
          <w:pgSz w:w="11900" w:h="16840" w:orient="portrait"/>
          <w:cols w:equalWidth="0" w:num="1">
            <w:col w:w="9020"/>
          </w:cols>
          <w:pgMar w:left="1440" w:top="521" w:right="1440" w:bottom="86" w:gutter="0" w:footer="0" w:header="0"/>
        </w:sectPr>
      </w:pPr>
    </w:p>
    <w:bookmarkStart w:id="136" w:name="page137"/>
    <w:bookmarkEnd w:id="136"/>
    <w:p>
      <w:pPr>
        <w:ind w:left="1760" w:right="1600"/>
        <w:spacing w:after="0" w:line="183" w:lineRule="auto"/>
        <w:rPr>
          <w:sz w:val="20"/>
          <w:szCs w:val="20"/>
          <w:color w:val="auto"/>
        </w:rPr>
      </w:pPr>
      <w:r>
        <w:rPr>
          <w:rFonts w:ascii="Arial" w:cs="Arial" w:eastAsia="Arial" w:hAnsi="Arial"/>
          <w:sz w:val="9"/>
          <w:szCs w:val="9"/>
          <w:color w:val="auto"/>
        </w:rPr>
        <w:t xml:space="preserve">Q, L.P., or AH Fund V -Q, and together with AH Fund V, AH Fund V-A and AH Fund V-B, the AH Fund V Entities (v), 10,408,860 </w:t>
      </w:r>
      <w:r>
        <w:rPr>
          <w:rFonts w:ascii="Arial" w:cs="Arial" w:eastAsia="Arial" w:hAnsi="Arial"/>
          <w:sz w:val="15"/>
          <w:szCs w:val="15"/>
          <w:color w:val="auto"/>
          <w:vertAlign w:val="subscript"/>
        </w:rPr>
        <w:t>r</w:t>
      </w:r>
      <w:r>
        <w:rPr>
          <w:rFonts w:ascii="Arial" w:cs="Arial" w:eastAsia="Arial" w:hAnsi="Arial"/>
          <w:sz w:val="9"/>
          <w:szCs w:val="9"/>
          <w:color w:val="auto"/>
        </w:rPr>
        <w:t>shares of Class A common stock held by AH Parallel Fund V, L.P., or AH Parallel Fund V, 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-127635</wp:posOffset>
            </wp:positionV>
            <wp:extent cx="6732270" cy="99707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760" w:right="1640"/>
        <w:spacing w:after="0"/>
        <w:rPr>
          <w:sz w:val="20"/>
          <w:szCs w:val="20"/>
          <w:color w:val="auto"/>
        </w:rPr>
      </w:pPr>
      <w:r>
        <w:rPr>
          <w:rFonts w:ascii="Arial" w:cs="Arial" w:eastAsia="Arial" w:hAnsi="Arial"/>
          <w:sz w:val="11"/>
          <w:szCs w:val="11"/>
          <w:color w:val="auto"/>
        </w:rPr>
        <w:t>itself and as nominee for AH Parallel Fund V-A, L.P., or AH Parallel Fund V-A, AH Parallel Fund V-B, L.P., or A H</w:t>
      </w:r>
    </w:p>
    <w:p>
      <w:pPr>
        <w:spacing w:after="0" w:line="17" w:lineRule="exact"/>
        <w:rPr>
          <w:sz w:val="20"/>
          <w:szCs w:val="20"/>
          <w:color w:val="auto"/>
        </w:rPr>
      </w:pPr>
    </w:p>
    <w:p>
      <w:pPr>
        <w:ind w:left="1760" w:right="1640"/>
        <w:spacing w:after="0"/>
        <w:rPr>
          <w:sz w:val="20"/>
          <w:szCs w:val="20"/>
          <w:color w:val="auto"/>
        </w:rPr>
      </w:pPr>
      <w:r>
        <w:rPr>
          <w:rFonts w:ascii="Arial" w:cs="Arial" w:eastAsia="Arial" w:hAnsi="Arial"/>
          <w:sz w:val="11"/>
          <w:szCs w:val="11"/>
          <w:color w:val="auto"/>
        </w:rPr>
        <w:t>Parallel Fund V-B, and AH Parallel Fund V-Q, L.P., or AH Parallel Fund V-Q, and together with AH Parallel Fun d</w:t>
      </w:r>
    </w:p>
    <w:p>
      <w:pPr>
        <w:spacing w:after="0" w:line="7" w:lineRule="exact"/>
        <w:rPr>
          <w:sz w:val="20"/>
          <w:szCs w:val="20"/>
          <w:color w:val="auto"/>
        </w:rPr>
      </w:pPr>
    </w:p>
    <w:p>
      <w:pPr>
        <w:ind w:left="1760" w:right="1720"/>
        <w:spacing w:after="0"/>
        <w:rPr>
          <w:sz w:val="20"/>
          <w:szCs w:val="20"/>
          <w:color w:val="auto"/>
        </w:rPr>
      </w:pPr>
      <w:r>
        <w:rPr>
          <w:rFonts w:ascii="Arial" w:cs="Arial" w:eastAsia="Arial" w:hAnsi="Arial"/>
          <w:sz w:val="11"/>
          <w:szCs w:val="11"/>
          <w:color w:val="auto"/>
        </w:rPr>
        <w:t>V, AH Parallel Fund V-A and AH Parallel Fund V-B, the AH Parallel Fund V Entities, and (vi 16,969 shares of )</w:t>
      </w:r>
    </w:p>
    <w:p>
      <w:pPr>
        <w:spacing w:after="0" w:line="17" w:lineRule="exact"/>
        <w:rPr>
          <w:sz w:val="20"/>
          <w:szCs w:val="20"/>
          <w:color w:val="auto"/>
        </w:rPr>
      </w:pPr>
    </w:p>
    <w:p>
      <w:pPr>
        <w:ind w:left="1760" w:right="1640"/>
        <w:spacing w:after="0"/>
        <w:rPr>
          <w:sz w:val="20"/>
          <w:szCs w:val="20"/>
          <w:color w:val="auto"/>
        </w:rPr>
      </w:pPr>
      <w:r>
        <w:rPr>
          <w:rFonts w:ascii="Arial" w:cs="Arial" w:eastAsia="Arial" w:hAnsi="Arial"/>
          <w:sz w:val="11"/>
          <w:szCs w:val="11"/>
          <w:color w:val="auto"/>
        </w:rPr>
        <w:t>Class A common stock held by CLF Partners, LP, or CLF. AH Equity Partners LSV I, L.L.C., or AH EP LSV I, th e</w:t>
      </w:r>
    </w:p>
    <w:p>
      <w:pPr>
        <w:spacing w:after="0" w:line="7" w:lineRule="exact"/>
        <w:rPr>
          <w:sz w:val="20"/>
          <w:szCs w:val="20"/>
          <w:color w:val="auto"/>
        </w:rPr>
      </w:pPr>
    </w:p>
    <w:p>
      <w:pPr>
        <w:ind w:left="1760" w:right="1740"/>
        <w:spacing w:after="0"/>
        <w:rPr>
          <w:sz w:val="20"/>
          <w:szCs w:val="20"/>
          <w:color w:val="auto"/>
        </w:rPr>
      </w:pPr>
      <w:r>
        <w:rPr>
          <w:rFonts w:ascii="Arial" w:cs="Arial" w:eastAsia="Arial" w:hAnsi="Arial"/>
          <w:sz w:val="11"/>
          <w:szCs w:val="11"/>
          <w:color w:val="auto"/>
        </w:rPr>
        <w:t>general partner of the AH LSV Fund I Entities, may be deemed to have sole voting and dispositive power ove r</w:t>
      </w:r>
    </w:p>
    <w:p>
      <w:pPr>
        <w:spacing w:after="0" w:line="7" w:lineRule="exact"/>
        <w:rPr>
          <w:sz w:val="20"/>
          <w:szCs w:val="20"/>
          <w:color w:val="auto"/>
        </w:rPr>
      </w:pPr>
    </w:p>
    <w:p>
      <w:pPr>
        <w:ind w:left="1760" w:right="2000"/>
        <w:spacing w:after="0"/>
        <w:rPr>
          <w:sz w:val="20"/>
          <w:szCs w:val="20"/>
          <w:color w:val="auto"/>
        </w:rPr>
      </w:pPr>
      <w:r>
        <w:rPr>
          <w:rFonts w:ascii="Arial" w:cs="Arial" w:eastAsia="Arial" w:hAnsi="Arial"/>
          <w:sz w:val="11"/>
          <w:szCs w:val="11"/>
          <w:color w:val="auto"/>
        </w:rPr>
        <w:t>the securities held by the AH LSV Fund I Entities. AH Equity Partners LSV II, L.L.C., or AH EP LSV II, th e</w:t>
      </w:r>
    </w:p>
    <w:p>
      <w:pPr>
        <w:spacing w:after="0" w:line="17" w:lineRule="exact"/>
        <w:rPr>
          <w:sz w:val="20"/>
          <w:szCs w:val="20"/>
          <w:color w:val="auto"/>
        </w:rPr>
      </w:pPr>
    </w:p>
    <w:p>
      <w:pPr>
        <w:ind w:left="1760" w:right="1700"/>
        <w:spacing w:after="0"/>
        <w:rPr>
          <w:sz w:val="20"/>
          <w:szCs w:val="20"/>
          <w:color w:val="auto"/>
        </w:rPr>
      </w:pPr>
      <w:r>
        <w:rPr>
          <w:rFonts w:ascii="Arial" w:cs="Arial" w:eastAsia="Arial" w:hAnsi="Arial"/>
          <w:sz w:val="11"/>
          <w:szCs w:val="11"/>
          <w:color w:val="auto"/>
        </w:rPr>
        <w:t>general partner of the AH LSV Fund II Entities, may be deemed to have sole voting and dispositive power ove r</w:t>
      </w:r>
    </w:p>
    <w:p>
      <w:pPr>
        <w:spacing w:after="0" w:line="7" w:lineRule="exact"/>
        <w:rPr>
          <w:sz w:val="20"/>
          <w:szCs w:val="20"/>
          <w:color w:val="auto"/>
        </w:rPr>
      </w:pPr>
    </w:p>
    <w:p>
      <w:pPr>
        <w:ind w:left="1760" w:right="1900"/>
        <w:spacing w:after="0"/>
        <w:rPr>
          <w:sz w:val="20"/>
          <w:szCs w:val="20"/>
          <w:color w:val="auto"/>
        </w:rPr>
      </w:pPr>
      <w:r>
        <w:rPr>
          <w:rFonts w:ascii="Arial" w:cs="Arial" w:eastAsia="Arial" w:hAnsi="Arial"/>
          <w:sz w:val="11"/>
          <w:szCs w:val="11"/>
          <w:color w:val="auto"/>
        </w:rPr>
        <w:t>the securities held by the AH LSV Fund II Entities. AH Equity Partners LSV III, L.L.C., or AH EP LSV III, th e</w:t>
      </w:r>
    </w:p>
    <w:p>
      <w:pPr>
        <w:spacing w:after="0" w:line="17" w:lineRule="exact"/>
        <w:rPr>
          <w:sz w:val="20"/>
          <w:szCs w:val="20"/>
          <w:color w:val="auto"/>
        </w:rPr>
      </w:pPr>
    </w:p>
    <w:p>
      <w:pPr>
        <w:ind w:left="1760" w:right="1680"/>
        <w:spacing w:after="0"/>
        <w:rPr>
          <w:sz w:val="20"/>
          <w:szCs w:val="20"/>
          <w:color w:val="auto"/>
        </w:rPr>
      </w:pPr>
      <w:r>
        <w:rPr>
          <w:rFonts w:ascii="Arial" w:cs="Arial" w:eastAsia="Arial" w:hAnsi="Arial"/>
          <w:sz w:val="11"/>
          <w:szCs w:val="11"/>
          <w:color w:val="auto"/>
        </w:rPr>
        <w:t>general partner of the AH LSV Fund III Entities, may be deemed to have sole voting and dispositive power ove r</w:t>
      </w:r>
    </w:p>
    <w:p>
      <w:pPr>
        <w:spacing w:after="0" w:line="7" w:lineRule="exact"/>
        <w:rPr>
          <w:sz w:val="20"/>
          <w:szCs w:val="20"/>
          <w:color w:val="auto"/>
        </w:rPr>
      </w:pPr>
    </w:p>
    <w:p>
      <w:pPr>
        <w:ind w:left="1760" w:right="1560"/>
        <w:spacing w:after="0"/>
        <w:rPr>
          <w:sz w:val="20"/>
          <w:szCs w:val="20"/>
          <w:color w:val="auto"/>
        </w:rPr>
      </w:pPr>
      <w:r>
        <w:rPr>
          <w:rFonts w:ascii="Arial" w:cs="Arial" w:eastAsia="Arial" w:hAnsi="Arial"/>
          <w:sz w:val="11"/>
          <w:szCs w:val="11"/>
          <w:color w:val="auto"/>
        </w:rPr>
        <w:t>the securities held by the AH LSV Fund III Entities. AH Equity Partners V, L.L.C., or AH EP V, the general partne r</w:t>
      </w:r>
    </w:p>
    <w:p>
      <w:pPr>
        <w:spacing w:after="0" w:line="7" w:lineRule="exact"/>
        <w:rPr>
          <w:sz w:val="20"/>
          <w:szCs w:val="20"/>
          <w:color w:val="auto"/>
        </w:rPr>
      </w:pPr>
    </w:p>
    <w:p>
      <w:pPr>
        <w:ind w:left="1760" w:right="1660"/>
        <w:spacing w:after="0"/>
        <w:rPr>
          <w:sz w:val="20"/>
          <w:szCs w:val="20"/>
          <w:color w:val="auto"/>
        </w:rPr>
      </w:pPr>
      <w:r>
        <w:rPr>
          <w:rFonts w:ascii="Arial" w:cs="Arial" w:eastAsia="Arial" w:hAnsi="Arial"/>
          <w:sz w:val="11"/>
          <w:szCs w:val="11"/>
          <w:color w:val="auto"/>
        </w:rPr>
        <w:t>of the AH Fund V Entities, may be deemed to have sole voting and dispositive power over the securities held b y</w:t>
      </w:r>
    </w:p>
    <w:p>
      <w:pPr>
        <w:spacing w:after="0" w:line="17" w:lineRule="exact"/>
        <w:rPr>
          <w:sz w:val="20"/>
          <w:szCs w:val="20"/>
          <w:color w:val="auto"/>
        </w:rPr>
      </w:pPr>
    </w:p>
    <w:p>
      <w:pPr>
        <w:ind w:left="1760" w:right="1740"/>
        <w:spacing w:after="0"/>
        <w:rPr>
          <w:sz w:val="20"/>
          <w:szCs w:val="20"/>
          <w:color w:val="auto"/>
        </w:rPr>
      </w:pPr>
      <w:r>
        <w:rPr>
          <w:rFonts w:ascii="Arial" w:cs="Arial" w:eastAsia="Arial" w:hAnsi="Arial"/>
          <w:sz w:val="11"/>
          <w:szCs w:val="11"/>
          <w:color w:val="auto"/>
        </w:rPr>
        <w:t>the AH Fund V Entities. AH Equity Partners V (Parallel), L.L.C., or AH EP V Parallel, the general partner of th e</w:t>
      </w:r>
    </w:p>
    <w:p>
      <w:pPr>
        <w:spacing w:after="0" w:line="7" w:lineRule="exact"/>
        <w:rPr>
          <w:sz w:val="20"/>
          <w:szCs w:val="20"/>
          <w:color w:val="auto"/>
        </w:rPr>
      </w:pPr>
    </w:p>
    <w:p>
      <w:pPr>
        <w:ind w:left="1760" w:right="1720"/>
        <w:spacing w:after="0"/>
        <w:rPr>
          <w:sz w:val="20"/>
          <w:szCs w:val="20"/>
          <w:color w:val="auto"/>
        </w:rPr>
      </w:pPr>
      <w:r>
        <w:rPr>
          <w:rFonts w:ascii="Arial" w:cs="Arial" w:eastAsia="Arial" w:hAnsi="Arial"/>
          <w:sz w:val="11"/>
          <w:szCs w:val="11"/>
          <w:color w:val="auto"/>
        </w:rPr>
        <w:t>AH Parallel Fund V Entities, may be deemed to have sole voting and dispositive power over the securities hel d</w:t>
      </w:r>
    </w:p>
    <w:p>
      <w:pPr>
        <w:spacing w:after="0" w:line="17" w:lineRule="exact"/>
        <w:rPr>
          <w:sz w:val="20"/>
          <w:szCs w:val="20"/>
          <w:color w:val="auto"/>
        </w:rPr>
      </w:pPr>
    </w:p>
    <w:p>
      <w:pPr>
        <w:ind w:left="1760" w:right="1800"/>
        <w:spacing w:after="0"/>
        <w:rPr>
          <w:sz w:val="20"/>
          <w:szCs w:val="20"/>
          <w:color w:val="auto"/>
        </w:rPr>
      </w:pPr>
      <w:r>
        <w:rPr>
          <w:rFonts w:ascii="Arial" w:cs="Arial" w:eastAsia="Arial" w:hAnsi="Arial"/>
          <w:sz w:val="11"/>
          <w:szCs w:val="11"/>
          <w:color w:val="auto"/>
        </w:rPr>
        <w:t>by the AH Parallel Fund V Entities. AH EP V, the general partner of CLF, may be deemed to have sole votin g</w:t>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and dispositive power over the securities held by CLF. The managing members of each of AH EP LSV I, AH EP</w:t>
      </w:r>
    </w:p>
    <w:p>
      <w:pPr>
        <w:spacing w:after="0" w:line="7" w:lineRule="exact"/>
        <w:rPr>
          <w:sz w:val="20"/>
          <w:szCs w:val="20"/>
          <w:color w:val="auto"/>
        </w:rPr>
      </w:pPr>
    </w:p>
    <w:p>
      <w:pPr>
        <w:ind w:left="1760" w:right="1740"/>
        <w:spacing w:after="0"/>
        <w:rPr>
          <w:sz w:val="20"/>
          <w:szCs w:val="20"/>
          <w:color w:val="auto"/>
        </w:rPr>
      </w:pPr>
      <w:r>
        <w:rPr>
          <w:rFonts w:ascii="Arial" w:cs="Arial" w:eastAsia="Arial" w:hAnsi="Arial"/>
          <w:sz w:val="11"/>
          <w:szCs w:val="11"/>
          <w:color w:val="auto"/>
        </w:rPr>
        <w:t>LSV II, AH EP LSV III, AH EP V, and AH EP V Parallel are Marc Andreessen and Benjamin Horowitz. Each o f</w:t>
      </w:r>
    </w:p>
    <w:p>
      <w:pPr>
        <w:spacing w:after="0" w:line="17" w:lineRule="exact"/>
        <w:rPr>
          <w:sz w:val="20"/>
          <w:szCs w:val="20"/>
          <w:color w:val="auto"/>
        </w:rPr>
      </w:pPr>
    </w:p>
    <w:p>
      <w:pPr>
        <w:ind w:left="1760" w:right="1720"/>
        <w:spacing w:after="0"/>
        <w:rPr>
          <w:sz w:val="20"/>
          <w:szCs w:val="20"/>
          <w:color w:val="auto"/>
        </w:rPr>
      </w:pPr>
      <w:r>
        <w:rPr>
          <w:rFonts w:ascii="Arial" w:cs="Arial" w:eastAsia="Arial" w:hAnsi="Arial"/>
          <w:sz w:val="11"/>
          <w:szCs w:val="11"/>
          <w:color w:val="auto"/>
        </w:rPr>
        <w:t>Messrs. Andreessen and Horowitz may be deemed to hold shared voting and dispositive power with respect t o</w:t>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the securities held by each of the AH LSV Fund I Entities, AH LSV Fund II Entities, AH LSV Fund III Entities, AH</w:t>
      </w:r>
    </w:p>
    <w:p>
      <w:pPr>
        <w:spacing w:after="0" w:line="13" w:lineRule="exact"/>
        <w:rPr>
          <w:sz w:val="20"/>
          <w:szCs w:val="20"/>
          <w:color w:val="auto"/>
        </w:rPr>
      </w:pPr>
    </w:p>
    <w:p>
      <w:pPr>
        <w:ind w:left="1760" w:right="1820"/>
        <w:spacing w:after="0"/>
        <w:rPr>
          <w:sz w:val="20"/>
          <w:szCs w:val="20"/>
          <w:color w:val="auto"/>
        </w:rPr>
      </w:pPr>
      <w:r>
        <w:rPr>
          <w:rFonts w:ascii="Arial" w:cs="Arial" w:eastAsia="Arial" w:hAnsi="Arial"/>
          <w:sz w:val="11"/>
          <w:szCs w:val="11"/>
          <w:color w:val="auto"/>
        </w:rPr>
        <w:t>Fund V Entities, AH Parallel Fund V Entities, and CLF. The address of each of the aforementioned entities i s</w:t>
      </w:r>
    </w:p>
    <w:p>
      <w:pPr>
        <w:ind w:left="1760"/>
        <w:spacing w:after="0" w:line="182" w:lineRule="auto"/>
        <w:rPr>
          <w:sz w:val="20"/>
          <w:szCs w:val="20"/>
          <w:color w:val="auto"/>
        </w:rPr>
      </w:pPr>
      <w:r>
        <w:rPr>
          <w:rFonts w:ascii="Arial" w:cs="Arial" w:eastAsia="Arial" w:hAnsi="Arial"/>
          <w:sz w:val="10"/>
          <w:szCs w:val="10"/>
          <w:color w:val="auto"/>
        </w:rPr>
        <w:t>2865 Sand Hill Road, Suite 101, Menlo Park, CA 94025</w:t>
      </w:r>
    </w:p>
    <w:p>
      <w:pPr>
        <w:ind w:left="1760"/>
        <w:spacing w:after="0" w:line="201" w:lineRule="auto"/>
        <w:rPr>
          <w:sz w:val="20"/>
          <w:szCs w:val="20"/>
          <w:color w:val="auto"/>
        </w:rPr>
      </w:pPr>
      <w:r>
        <w:rPr>
          <w:rFonts w:ascii="Arial" w:cs="Arial" w:eastAsia="Arial" w:hAnsi="Arial"/>
          <w:sz w:val="6"/>
          <w:szCs w:val="6"/>
          <w:color w:val="auto"/>
        </w:rPr>
        <w:t>.</w:t>
      </w:r>
    </w:p>
    <w:p>
      <w:pPr>
        <w:ind w:left="1520"/>
        <w:spacing w:after="0" w:line="199" w:lineRule="auto"/>
        <w:rPr>
          <w:sz w:val="20"/>
          <w:szCs w:val="20"/>
          <w:color w:val="auto"/>
        </w:rPr>
      </w:pPr>
      <w:r>
        <w:rPr>
          <w:rFonts w:ascii="Arial" w:cs="Arial" w:eastAsia="Arial" w:hAnsi="Arial"/>
          <w:sz w:val="8"/>
          <w:szCs w:val="8"/>
          <w:color w:val="auto"/>
        </w:rPr>
        <w:t>(13) Consists of (i) 57,264 shares of Class A common stock held by Oren Zeev in his individual capacity, (ii 765,737</w:t>
      </w:r>
    </w:p>
    <w:p>
      <w:pPr>
        <w:ind w:left="1760"/>
        <w:spacing w:after="0" w:line="200" w:lineRule="auto"/>
        <w:rPr>
          <w:sz w:val="20"/>
          <w:szCs w:val="20"/>
          <w:color w:val="auto"/>
        </w:rPr>
      </w:pPr>
      <w:r>
        <w:rPr>
          <w:rFonts w:ascii="Arial" w:cs="Arial" w:eastAsia="Arial" w:hAnsi="Arial"/>
          <w:sz w:val="7"/>
          <w:szCs w:val="7"/>
          <w:color w:val="auto"/>
        </w:rPr>
        <w:t>)</w:t>
      </w:r>
    </w:p>
    <w:p>
      <w:pPr>
        <w:ind w:left="1760" w:right="1620"/>
        <w:spacing w:after="0" w:line="259" w:lineRule="auto"/>
        <w:rPr>
          <w:sz w:val="20"/>
          <w:szCs w:val="20"/>
          <w:color w:val="auto"/>
        </w:rPr>
      </w:pPr>
      <w:r>
        <w:rPr>
          <w:rFonts w:ascii="Arial" w:cs="Arial" w:eastAsia="Arial" w:hAnsi="Arial"/>
          <w:sz w:val="11"/>
          <w:szCs w:val="11"/>
          <w:color w:val="auto"/>
        </w:rPr>
        <w:t>shares of Class A common stock held by Zeev Opportunity Fund I, LP, or Zeev I, (iii) 4,529,493 shares of Class A common stock held by Zeev Ventures II, LP, or Zeev II, (iv) 15,766,767 shares of Class A common stock held</w:t>
      </w:r>
    </w:p>
    <w:p>
      <w:pPr>
        <w:spacing w:after="0" w:line="1" w:lineRule="exact"/>
        <w:rPr>
          <w:sz w:val="20"/>
          <w:szCs w:val="20"/>
          <w:color w:val="auto"/>
        </w:rPr>
      </w:pPr>
    </w:p>
    <w:p>
      <w:pPr>
        <w:ind w:left="1760" w:right="1620"/>
        <w:spacing w:after="0" w:line="257" w:lineRule="auto"/>
        <w:rPr>
          <w:sz w:val="20"/>
          <w:szCs w:val="20"/>
          <w:color w:val="auto"/>
        </w:rPr>
      </w:pPr>
      <w:r>
        <w:rPr>
          <w:rFonts w:ascii="Arial" w:cs="Arial" w:eastAsia="Arial" w:hAnsi="Arial"/>
          <w:sz w:val="11"/>
          <w:szCs w:val="11"/>
          <w:color w:val="auto"/>
        </w:rPr>
        <w:t>by Zeev Ventures II-A, LP, or Zeev II-A, (v) 10,823,032 shares of Class A common stock held by Zeev Ventures III, LP, or Zeev III, (vi) 1,974,957 shares of Class A common stock held by Zeev Ventures IV, LP, or Zeev IV,</w:t>
      </w:r>
    </w:p>
    <w:p>
      <w:pPr>
        <w:spacing w:after="0" w:line="1" w:lineRule="exact"/>
        <w:rPr>
          <w:sz w:val="20"/>
          <w:szCs w:val="20"/>
          <w:color w:val="auto"/>
        </w:rPr>
      </w:pPr>
    </w:p>
    <w:p>
      <w:pPr>
        <w:ind w:left="1760" w:right="1660" w:hanging="8"/>
        <w:spacing w:after="0" w:line="198" w:lineRule="auto"/>
        <w:tabs>
          <w:tab w:leader="none" w:pos="1970" w:val="left"/>
        </w:tabs>
        <w:numPr>
          <w:ilvl w:val="0"/>
          <w:numId w:val="150"/>
        </w:numPr>
        <w:rPr>
          <w:rFonts w:ascii="Arial" w:cs="Arial" w:eastAsia="Arial" w:hAnsi="Arial"/>
          <w:sz w:val="11"/>
          <w:szCs w:val="11"/>
          <w:color w:val="auto"/>
        </w:rPr>
      </w:pPr>
      <w:r>
        <w:rPr>
          <w:rFonts w:ascii="Arial" w:cs="Arial" w:eastAsia="Arial" w:hAnsi="Arial"/>
          <w:sz w:val="11"/>
          <w:szCs w:val="11"/>
          <w:color w:val="auto"/>
        </w:rPr>
        <w:t>999,716</w:t>
      </w:r>
      <w:r>
        <w:rPr>
          <w:rFonts w:ascii="Arial" w:cs="Arial" w:eastAsia="Arial" w:hAnsi="Arial"/>
          <w:sz w:val="22"/>
          <w:szCs w:val="22"/>
          <w:color w:val="auto"/>
          <w:vertAlign w:val="subscript"/>
        </w:rPr>
        <w:t>)</w:t>
      </w:r>
      <w:r>
        <w:rPr>
          <w:rFonts w:ascii="Arial" w:cs="Arial" w:eastAsia="Arial" w:hAnsi="Arial"/>
          <w:sz w:val="11"/>
          <w:szCs w:val="11"/>
          <w:color w:val="auto"/>
        </w:rPr>
        <w:t>shares of Class A common stock held by Zeev Ventures V, LP, or Zeev V, (viii 382,391 shares of Class A common stock directly held by Zeev Ventures VI, LP, or Zeev VI, (ixi) 1,121,556 shares of Class A common stock directly held by Zeev Ventures VII, LP, or Zeev VII, and (x) 909,146 shares of Class A common</w:t>
      </w:r>
    </w:p>
    <w:p>
      <w:pPr>
        <w:ind w:left="1760"/>
        <w:spacing w:after="0" w:line="185" w:lineRule="auto"/>
        <w:rPr>
          <w:sz w:val="20"/>
          <w:szCs w:val="20"/>
          <w:color w:val="auto"/>
        </w:rPr>
      </w:pPr>
      <w:r>
        <w:rPr>
          <w:rFonts w:ascii="Arial" w:cs="Arial" w:eastAsia="Arial" w:hAnsi="Arial"/>
          <w:sz w:val="9"/>
          <w:szCs w:val="9"/>
          <w:color w:val="auto"/>
        </w:rPr>
        <w:t>stock directly held by Zeev Ventures VIII, LP., or Zeev VIII. Zeev Opportunity Management I, LLC, or Zeev I GP</w:t>
      </w:r>
    </w:p>
    <w:p>
      <w:pPr>
        <w:ind w:left="1760"/>
        <w:spacing w:after="0" w:line="201" w:lineRule="auto"/>
        <w:rPr>
          <w:sz w:val="20"/>
          <w:szCs w:val="20"/>
          <w:color w:val="auto"/>
        </w:rPr>
      </w:pPr>
      <w:r>
        <w:rPr>
          <w:rFonts w:ascii="Arial" w:cs="Arial" w:eastAsia="Arial" w:hAnsi="Arial"/>
          <w:sz w:val="6"/>
          <w:szCs w:val="6"/>
          <w:color w:val="auto"/>
        </w:rPr>
        <w:t>,</w:t>
      </w:r>
    </w:p>
    <w:p>
      <w:pPr>
        <w:ind w:left="1760"/>
        <w:spacing w:after="0"/>
        <w:rPr>
          <w:sz w:val="20"/>
          <w:szCs w:val="20"/>
          <w:color w:val="auto"/>
        </w:rPr>
      </w:pPr>
      <w:r>
        <w:rPr>
          <w:rFonts w:ascii="Arial" w:cs="Arial" w:eastAsia="Arial" w:hAnsi="Arial"/>
          <w:sz w:val="11"/>
          <w:szCs w:val="11"/>
          <w:color w:val="auto"/>
        </w:rPr>
        <w:t>is the general partner of Zeev I. Zeev Ventures Management II, L.L.C., or Zeev II GP, is the general partner of</w:t>
      </w:r>
    </w:p>
    <w:p>
      <w:pPr>
        <w:ind w:left="1760"/>
        <w:spacing w:after="0" w:line="194" w:lineRule="auto"/>
        <w:rPr>
          <w:sz w:val="20"/>
          <w:szCs w:val="20"/>
          <w:color w:val="auto"/>
        </w:rPr>
      </w:pPr>
      <w:r>
        <w:rPr>
          <w:rFonts w:ascii="Arial" w:cs="Arial" w:eastAsia="Arial" w:hAnsi="Arial"/>
          <w:sz w:val="9"/>
          <w:szCs w:val="9"/>
          <w:color w:val="auto"/>
        </w:rPr>
        <w:t>Zeev II and Zeev II-A. Zeev Ventures Management III, L.L.C., or Zeev III GP, is the general partner of Zeev III</w:t>
      </w:r>
    </w:p>
    <w:p>
      <w:pPr>
        <w:ind w:left="1760"/>
        <w:spacing w:after="0" w:line="200" w:lineRule="auto"/>
        <w:rPr>
          <w:sz w:val="20"/>
          <w:szCs w:val="20"/>
          <w:color w:val="auto"/>
        </w:rPr>
      </w:pPr>
      <w:r>
        <w:rPr>
          <w:rFonts w:ascii="Arial" w:cs="Arial" w:eastAsia="Arial" w:hAnsi="Arial"/>
          <w:sz w:val="7"/>
          <w:szCs w:val="7"/>
          <w:color w:val="auto"/>
        </w:rPr>
        <w:t>.</w:t>
      </w:r>
    </w:p>
    <w:p>
      <w:pPr>
        <w:ind w:left="1760"/>
        <w:spacing w:after="0"/>
        <w:rPr>
          <w:sz w:val="20"/>
          <w:szCs w:val="20"/>
          <w:color w:val="auto"/>
        </w:rPr>
      </w:pPr>
      <w:r>
        <w:rPr>
          <w:rFonts w:ascii="Arial" w:cs="Arial" w:eastAsia="Arial" w:hAnsi="Arial"/>
          <w:sz w:val="11"/>
          <w:szCs w:val="11"/>
          <w:color w:val="auto"/>
        </w:rPr>
        <w:t>Zeev Ventures Management IV, L.L.C., or Zeev IV GP, is the general partner of Zeev IV. Zeev Ventures</w:t>
      </w:r>
    </w:p>
    <w:p>
      <w:pPr>
        <w:ind w:left="1760"/>
        <w:spacing w:after="0" w:line="194" w:lineRule="auto"/>
        <w:rPr>
          <w:sz w:val="20"/>
          <w:szCs w:val="20"/>
          <w:color w:val="auto"/>
        </w:rPr>
      </w:pPr>
      <w:r>
        <w:rPr>
          <w:rFonts w:ascii="Arial" w:cs="Arial" w:eastAsia="Arial" w:hAnsi="Arial"/>
          <w:sz w:val="9"/>
          <w:szCs w:val="9"/>
          <w:color w:val="auto"/>
        </w:rPr>
        <w:t>Management V, L.L.C., or Zeev V GP, is the general partner of Zeev V. Zeev Ventures Management VI, L.L.C.</w:t>
      </w:r>
    </w:p>
    <w:p>
      <w:pPr>
        <w:ind w:left="1760"/>
        <w:spacing w:after="0" w:line="200" w:lineRule="auto"/>
        <w:rPr>
          <w:sz w:val="20"/>
          <w:szCs w:val="20"/>
          <w:color w:val="auto"/>
        </w:rPr>
      </w:pPr>
      <w:r>
        <w:rPr>
          <w:rFonts w:ascii="Arial" w:cs="Arial" w:eastAsia="Arial" w:hAnsi="Arial"/>
          <w:sz w:val="7"/>
          <w:szCs w:val="7"/>
          <w:color w:val="auto"/>
        </w:rPr>
        <w:t>,</w:t>
      </w:r>
    </w:p>
    <w:p>
      <w:pPr>
        <w:ind w:left="1760"/>
        <w:spacing w:after="0"/>
        <w:rPr>
          <w:sz w:val="20"/>
          <w:szCs w:val="20"/>
          <w:color w:val="auto"/>
        </w:rPr>
      </w:pPr>
      <w:r>
        <w:rPr>
          <w:rFonts w:ascii="Arial" w:cs="Arial" w:eastAsia="Arial" w:hAnsi="Arial"/>
          <w:sz w:val="11"/>
          <w:szCs w:val="11"/>
          <w:color w:val="auto"/>
        </w:rPr>
        <w:t>or Zeev VI GP, is the general partner of Zeev VI. Zeev Ventures Management VII, L.L.C., or Zeev VII GP, is the</w:t>
      </w:r>
    </w:p>
    <w:p>
      <w:pPr>
        <w:spacing w:after="0" w:line="7" w:lineRule="exact"/>
        <w:rPr>
          <w:sz w:val="20"/>
          <w:szCs w:val="20"/>
          <w:color w:val="auto"/>
        </w:rPr>
      </w:pPr>
    </w:p>
    <w:p>
      <w:pPr>
        <w:ind w:left="1760" w:right="1720"/>
        <w:spacing w:after="0"/>
        <w:rPr>
          <w:sz w:val="20"/>
          <w:szCs w:val="20"/>
          <w:color w:val="auto"/>
        </w:rPr>
      </w:pPr>
      <w:r>
        <w:rPr>
          <w:rFonts w:ascii="Arial" w:cs="Arial" w:eastAsia="Arial" w:hAnsi="Arial"/>
          <w:sz w:val="11"/>
          <w:szCs w:val="11"/>
          <w:color w:val="auto"/>
        </w:rPr>
        <w:t>general partner of Zeev VII. Zeev Ventures Management VIII, L.L.C., or Zeev VIII GP, is the general partner o f</w:t>
      </w:r>
    </w:p>
    <w:p>
      <w:pPr>
        <w:spacing w:after="0" w:line="7" w:lineRule="exact"/>
        <w:rPr>
          <w:sz w:val="20"/>
          <w:szCs w:val="20"/>
          <w:color w:val="auto"/>
        </w:rPr>
      </w:pPr>
    </w:p>
    <w:p>
      <w:pPr>
        <w:ind w:left="1760" w:right="1620"/>
        <w:spacing w:after="0"/>
        <w:rPr>
          <w:sz w:val="20"/>
          <w:szCs w:val="20"/>
          <w:color w:val="auto"/>
        </w:rPr>
      </w:pPr>
      <w:r>
        <w:rPr>
          <w:rFonts w:ascii="Arial" w:cs="Arial" w:eastAsia="Arial" w:hAnsi="Arial"/>
          <w:sz w:val="11"/>
          <w:szCs w:val="11"/>
          <w:color w:val="auto"/>
        </w:rPr>
        <w:t>Zeev VIII. Oren Zeev, a member of our board of directors, is the managing director of each of Zeev I GP, Zeev I I</w:t>
      </w:r>
    </w:p>
    <w:p>
      <w:pPr>
        <w:spacing w:after="0" w:line="17"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GP, Zeev III GP, Zeev IV GP, Zeev V GP, Zeev VI GP, Zeev VII GP, and Zeev VIII GP, or collectively, the Zeev</w:t>
      </w:r>
    </w:p>
    <w:p>
      <w:pPr>
        <w:spacing w:after="0" w:line="7" w:lineRule="exact"/>
        <w:rPr>
          <w:sz w:val="20"/>
          <w:szCs w:val="20"/>
          <w:color w:val="auto"/>
        </w:rPr>
      </w:pPr>
    </w:p>
    <w:p>
      <w:pPr>
        <w:ind w:left="1760" w:right="1820"/>
        <w:spacing w:after="0"/>
        <w:rPr>
          <w:sz w:val="20"/>
          <w:szCs w:val="20"/>
          <w:color w:val="auto"/>
        </w:rPr>
      </w:pPr>
      <w:r>
        <w:rPr>
          <w:rFonts w:ascii="Arial" w:cs="Arial" w:eastAsia="Arial" w:hAnsi="Arial"/>
          <w:sz w:val="11"/>
          <w:szCs w:val="11"/>
          <w:color w:val="auto"/>
        </w:rPr>
        <w:t>GP Entities, and, as such, Mr. Zeev may be deemed to share voting and investment power with regard to th e</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198</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securities held by the Zeev GP Entities. The address of each of the aforementioned entities is 555 Bryant Street,</w:t>
      </w:r>
    </w:p>
    <w:p>
      <w:pPr>
        <w:ind w:left="1760"/>
        <w:spacing w:after="0" w:line="196" w:lineRule="auto"/>
        <w:rPr>
          <w:sz w:val="20"/>
          <w:szCs w:val="20"/>
          <w:color w:val="auto"/>
        </w:rPr>
      </w:pPr>
      <w:r>
        <w:rPr>
          <w:rFonts w:ascii="Arial" w:cs="Arial" w:eastAsia="Arial" w:hAnsi="Arial"/>
          <w:sz w:val="10"/>
          <w:szCs w:val="10"/>
          <w:color w:val="auto"/>
        </w:rPr>
        <w:t>Suite 811, Palo Alto, CA 94301</w:t>
      </w:r>
    </w:p>
    <w:p>
      <w:pPr>
        <w:ind w:left="1760"/>
        <w:spacing w:after="0" w:line="200" w:lineRule="auto"/>
        <w:rPr>
          <w:sz w:val="20"/>
          <w:szCs w:val="20"/>
          <w:color w:val="auto"/>
        </w:rPr>
      </w:pPr>
      <w:r>
        <w:rPr>
          <w:rFonts w:ascii="Arial" w:cs="Arial" w:eastAsia="Arial" w:hAnsi="Arial"/>
          <w:sz w:val="6"/>
          <w:szCs w:val="6"/>
          <w:color w:val="auto"/>
        </w:rPr>
        <w:t>.</w:t>
      </w:r>
    </w:p>
    <w:p>
      <w:pPr>
        <w:ind w:left="2980" w:right="1720" w:hanging="1463"/>
        <w:spacing w:after="0"/>
        <w:rPr>
          <w:sz w:val="20"/>
          <w:szCs w:val="20"/>
          <w:color w:val="auto"/>
        </w:rPr>
      </w:pPr>
      <w:r>
        <w:rPr>
          <w:rFonts w:ascii="Arial" w:cs="Arial" w:eastAsia="Arial" w:hAnsi="Arial"/>
          <w:sz w:val="11"/>
          <w:szCs w:val="11"/>
          <w:color w:val="auto"/>
        </w:rPr>
        <w:t>(14) Consists of (i) 7,188,416 shares of Class A common stock held by Greenoaks Capital MS LP - Archie Goodwi n</w:t>
      </w:r>
    </w:p>
    <w:p>
      <w:pPr>
        <w:spacing w:after="0" w:line="17"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Series, or Greenoaks Archie Goodwin, (ii) 4,041,493 shares of Class A common stock held by Greenoaks</w:t>
      </w:r>
    </w:p>
    <w:p>
      <w:pPr>
        <w:ind w:left="1760"/>
        <w:spacing w:after="0" w:line="194" w:lineRule="auto"/>
        <w:rPr>
          <w:sz w:val="20"/>
          <w:szCs w:val="20"/>
          <w:color w:val="auto"/>
        </w:rPr>
      </w:pPr>
      <w:r>
        <w:rPr>
          <w:rFonts w:ascii="Arial" w:cs="Arial" w:eastAsia="Arial" w:hAnsi="Arial"/>
          <w:sz w:val="9"/>
          <w:szCs w:val="9"/>
          <w:color w:val="auto"/>
        </w:rPr>
        <w:t>Capital Opportunities Fund III LP, or Greenoaks III, and (iii 3,091,429 shares of Class A common stock held by</w:t>
      </w:r>
    </w:p>
    <w:p>
      <w:pPr>
        <w:ind w:left="1760"/>
        <w:spacing w:after="0" w:line="200" w:lineRule="auto"/>
        <w:rPr>
          <w:sz w:val="20"/>
          <w:szCs w:val="20"/>
          <w:color w:val="auto"/>
        </w:rPr>
      </w:pPr>
      <w:r>
        <w:rPr>
          <w:rFonts w:ascii="Arial" w:cs="Arial" w:eastAsia="Arial" w:hAnsi="Arial"/>
          <w:sz w:val="7"/>
          <w:szCs w:val="7"/>
          <w:color w:val="auto"/>
        </w:rPr>
        <w:t>)</w:t>
      </w:r>
    </w:p>
    <w:p>
      <w:pPr>
        <w:ind w:left="1760" w:right="1640"/>
        <w:spacing w:after="0"/>
        <w:rPr>
          <w:sz w:val="20"/>
          <w:szCs w:val="20"/>
          <w:color w:val="auto"/>
        </w:rPr>
      </w:pPr>
      <w:r>
        <w:rPr>
          <w:rFonts w:ascii="Arial" w:cs="Arial" w:eastAsia="Arial" w:hAnsi="Arial"/>
          <w:sz w:val="11"/>
          <w:szCs w:val="11"/>
          <w:color w:val="auto"/>
        </w:rPr>
        <w:t>JDC Enterprises Ltd, or JDC. Greenoaks Capital (TTGP) III Ltd serves as the sole general partner of Greenoak s</w:t>
      </w:r>
    </w:p>
    <w:p>
      <w:pPr>
        <w:spacing w:after="0" w:line="7" w:lineRule="exact"/>
        <w:rPr>
          <w:sz w:val="20"/>
          <w:szCs w:val="20"/>
          <w:color w:val="auto"/>
        </w:rPr>
      </w:pPr>
    </w:p>
    <w:p>
      <w:pPr>
        <w:ind w:left="1760" w:right="1780"/>
        <w:spacing w:after="0"/>
        <w:rPr>
          <w:sz w:val="20"/>
          <w:szCs w:val="20"/>
          <w:color w:val="auto"/>
        </w:rPr>
      </w:pPr>
      <w:r>
        <w:rPr>
          <w:rFonts w:ascii="Arial" w:cs="Arial" w:eastAsia="Arial" w:hAnsi="Arial"/>
          <w:sz w:val="11"/>
          <w:szCs w:val="11"/>
          <w:color w:val="auto"/>
        </w:rPr>
        <w:t>Capital (MTGP) III LP, which serves as the sole general partner of Greenoaks III. Greenoaks Capital Partner s</w:t>
      </w:r>
    </w:p>
    <w:p>
      <w:pPr>
        <w:spacing w:after="0" w:line="7" w:lineRule="exact"/>
        <w:rPr>
          <w:sz w:val="20"/>
          <w:szCs w:val="20"/>
          <w:color w:val="auto"/>
        </w:rPr>
      </w:pPr>
    </w:p>
    <w:p>
      <w:pPr>
        <w:ind w:left="1760" w:right="2060"/>
        <w:spacing w:after="0"/>
        <w:rPr>
          <w:sz w:val="20"/>
          <w:szCs w:val="20"/>
          <w:color w:val="auto"/>
        </w:rPr>
      </w:pPr>
      <w:r>
        <w:rPr>
          <w:rFonts w:ascii="Arial" w:cs="Arial" w:eastAsia="Arial" w:hAnsi="Arial"/>
          <w:sz w:val="11"/>
          <w:szCs w:val="11"/>
          <w:color w:val="auto"/>
        </w:rPr>
        <w:t>LLC has been delegated investment authority with respect to the securities held by JDC. Neil Mehta an d</w:t>
      </w:r>
    </w:p>
    <w:p>
      <w:pPr>
        <w:spacing w:after="0" w:line="17"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Benjamin Peretz are the directors of Greenoaks Capital (TTGP) III Ltd and managing members of Greenoaks</w:t>
      </w:r>
    </w:p>
    <w:p>
      <w:pPr>
        <w:spacing w:after="0" w:line="7" w:lineRule="exact"/>
        <w:rPr>
          <w:sz w:val="20"/>
          <w:szCs w:val="20"/>
          <w:color w:val="auto"/>
        </w:rPr>
      </w:pPr>
    </w:p>
    <w:p>
      <w:pPr>
        <w:ind w:left="1760" w:right="1960"/>
        <w:spacing w:after="0"/>
        <w:rPr>
          <w:sz w:val="20"/>
          <w:szCs w:val="20"/>
          <w:color w:val="auto"/>
        </w:rPr>
      </w:pPr>
      <w:r>
        <w:rPr>
          <w:rFonts w:ascii="Arial" w:cs="Arial" w:eastAsia="Arial" w:hAnsi="Arial"/>
          <w:sz w:val="11"/>
          <w:szCs w:val="11"/>
          <w:color w:val="auto"/>
        </w:rPr>
        <w:t>Capital MS Management LLC - Archie Goodwin Series, Greenoaks Capital (MTGP) III LP, and Greenoak s</w:t>
      </w:r>
    </w:p>
    <w:p>
      <w:pPr>
        <w:spacing w:after="0" w:line="17" w:lineRule="exact"/>
        <w:rPr>
          <w:sz w:val="20"/>
          <w:szCs w:val="20"/>
          <w:color w:val="auto"/>
        </w:rPr>
      </w:pPr>
    </w:p>
    <w:p>
      <w:pPr>
        <w:ind w:left="1760" w:right="1760"/>
        <w:spacing w:after="0"/>
        <w:rPr>
          <w:sz w:val="20"/>
          <w:szCs w:val="20"/>
          <w:color w:val="auto"/>
        </w:rPr>
      </w:pPr>
      <w:r>
        <w:rPr>
          <w:rFonts w:ascii="Arial" w:cs="Arial" w:eastAsia="Arial" w:hAnsi="Arial"/>
          <w:sz w:val="11"/>
          <w:szCs w:val="11"/>
          <w:color w:val="auto"/>
        </w:rPr>
        <w:t>Capital Partners LLC. Messrs. Mehta and Peretz may be deemed to hold shared voting and dispositive powe r</w:t>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with respect to the securities held by Greenoaks Archie Goodwin, Greenoaks III, and JDC. The address of each</w:t>
      </w:r>
    </w:p>
    <w:p>
      <w:pPr>
        <w:spacing w:after="0" w:line="7" w:lineRule="exact"/>
        <w:rPr>
          <w:sz w:val="20"/>
          <w:szCs w:val="20"/>
          <w:color w:val="auto"/>
        </w:rPr>
      </w:pPr>
    </w:p>
    <w:p>
      <w:pPr>
        <w:ind w:left="1760" w:right="2540"/>
        <w:spacing w:after="0"/>
        <w:rPr>
          <w:sz w:val="20"/>
          <w:szCs w:val="20"/>
          <w:color w:val="auto"/>
        </w:rPr>
      </w:pPr>
      <w:r>
        <w:rPr>
          <w:rFonts w:ascii="Arial" w:cs="Arial" w:eastAsia="Arial" w:hAnsi="Arial"/>
          <w:sz w:val="11"/>
          <w:szCs w:val="11"/>
          <w:color w:val="auto"/>
        </w:rPr>
        <w:t>of the aforementioned entities is 4 Orinda Way, Building C, Suite 200, Orinda, California 9456 3.</w:t>
      </w:r>
    </w:p>
    <w:p>
      <w:pPr>
        <w:spacing w:after="0" w:line="17"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(15) Consists of 5,313,445 shares of Class A common stock held by Zeev 2008 Children's Trust, over which JP</w:t>
      </w:r>
    </w:p>
    <w:p>
      <w:pPr>
        <w:spacing w:after="0" w:line="7" w:lineRule="exact"/>
        <w:rPr>
          <w:sz w:val="20"/>
          <w:szCs w:val="20"/>
          <w:color w:val="auto"/>
        </w:rPr>
      </w:pPr>
    </w:p>
    <w:p>
      <w:pPr>
        <w:ind w:left="1760" w:right="1660"/>
        <w:spacing w:after="0"/>
        <w:rPr>
          <w:sz w:val="20"/>
          <w:szCs w:val="20"/>
          <w:color w:val="auto"/>
        </w:rPr>
      </w:pPr>
      <w:r>
        <w:rPr>
          <w:rFonts w:ascii="Arial" w:cs="Arial" w:eastAsia="Arial" w:hAnsi="Arial"/>
          <w:sz w:val="11"/>
          <w:szCs w:val="11"/>
          <w:color w:val="auto"/>
        </w:rPr>
        <w:t>Morgan Trust Company of Delaware serves as the independent trustee. Mr. Zeev, a director of the Company, i s</w:t>
      </w:r>
    </w:p>
    <w:p>
      <w:pPr>
        <w:spacing w:after="0" w:line="17" w:lineRule="exact"/>
        <w:rPr>
          <w:sz w:val="20"/>
          <w:szCs w:val="20"/>
          <w:color w:val="auto"/>
        </w:rPr>
      </w:pPr>
    </w:p>
    <w:p>
      <w:pPr>
        <w:ind w:left="1760" w:right="1680"/>
        <w:spacing w:after="0"/>
        <w:rPr>
          <w:sz w:val="20"/>
          <w:szCs w:val="20"/>
          <w:color w:val="auto"/>
        </w:rPr>
      </w:pPr>
      <w:r>
        <w:rPr>
          <w:rFonts w:ascii="Arial" w:cs="Arial" w:eastAsia="Arial" w:hAnsi="Arial"/>
          <w:sz w:val="11"/>
          <w:szCs w:val="11"/>
          <w:color w:val="auto"/>
        </w:rPr>
        <w:t>not deemed to have beneficial ownership of these shares as he does not have voting or investment power ove r</w:t>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the securities held by Zeev 2008 Children's Trust.</w:t>
      </w:r>
    </w:p>
    <w:p>
      <w:pPr>
        <w:spacing w:after="0" w:line="7"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(16) Consists of (i) 4,638,102 shares of Class A common stock and (ii) 2,290,057 shares underlying stock options to</w:t>
      </w:r>
    </w:p>
    <w:p>
      <w:pPr>
        <w:spacing w:after="0" w:line="13" w:lineRule="exact"/>
        <w:rPr>
          <w:sz w:val="20"/>
          <w:szCs w:val="20"/>
          <w:color w:val="auto"/>
        </w:rPr>
      </w:pPr>
    </w:p>
    <w:p>
      <w:pPr>
        <w:ind w:left="1760" w:right="2060"/>
        <w:spacing w:after="0"/>
        <w:rPr>
          <w:sz w:val="20"/>
          <w:szCs w:val="20"/>
          <w:color w:val="auto"/>
        </w:rPr>
      </w:pPr>
      <w:r>
        <w:rPr>
          <w:rFonts w:ascii="Arial" w:cs="Arial" w:eastAsia="Arial" w:hAnsi="Arial"/>
          <w:sz w:val="11"/>
          <w:szCs w:val="11"/>
          <w:color w:val="auto"/>
        </w:rPr>
        <w:t>purchase shares of Class A common stock that are exercisable within 60 days of July 31, 2025, held in a</w:t>
      </w:r>
    </w:p>
    <w:p>
      <w:pPr>
        <w:ind w:left="1760"/>
        <w:spacing w:after="0" w:line="182" w:lineRule="auto"/>
        <w:rPr>
          <w:sz w:val="20"/>
          <w:szCs w:val="20"/>
          <w:color w:val="auto"/>
        </w:rPr>
      </w:pPr>
      <w:r>
        <w:rPr>
          <w:rFonts w:ascii="Arial" w:cs="Arial" w:eastAsia="Arial" w:hAnsi="Arial"/>
          <w:sz w:val="10"/>
          <w:szCs w:val="10"/>
          <w:color w:val="auto"/>
        </w:rPr>
        <w:t>constructive trust for the benefit of Ms. Klopfer Cohen</w:t>
      </w:r>
    </w:p>
    <w:p>
      <w:pPr>
        <w:ind w:left="1760"/>
        <w:spacing w:after="0" w:line="200" w:lineRule="auto"/>
        <w:rPr>
          <w:sz w:val="20"/>
          <w:szCs w:val="20"/>
          <w:color w:val="auto"/>
        </w:rPr>
      </w:pPr>
      <w:r>
        <w:rPr>
          <w:rFonts w:ascii="Arial" w:cs="Arial" w:eastAsia="Arial" w:hAnsi="Arial"/>
          <w:sz w:val="7"/>
          <w:szCs w:val="7"/>
          <w:color w:val="auto"/>
        </w:rPr>
        <w:t>.</w:t>
      </w:r>
    </w:p>
    <w:p>
      <w:pPr>
        <w:ind w:left="1520"/>
        <w:spacing w:after="0" w:line="186" w:lineRule="auto"/>
        <w:rPr>
          <w:sz w:val="20"/>
          <w:szCs w:val="20"/>
          <w:color w:val="auto"/>
        </w:rPr>
      </w:pPr>
      <w:r>
        <w:rPr>
          <w:rFonts w:ascii="Arial" w:cs="Arial" w:eastAsia="Arial" w:hAnsi="Arial"/>
          <w:sz w:val="9"/>
          <w:szCs w:val="9"/>
          <w:color w:val="auto"/>
        </w:rPr>
        <w:t>(17) Consists of 3,121,634</w:t>
      </w:r>
      <w:r>
        <w:rPr>
          <w:rFonts w:ascii="Arial" w:cs="Arial" w:eastAsia="Arial" w:hAnsi="Arial"/>
          <w:sz w:val="15"/>
          <w:szCs w:val="15"/>
          <w:color w:val="auto"/>
          <w:vertAlign w:val="subscript"/>
        </w:rPr>
        <w:t>.</w:t>
      </w:r>
      <w:r>
        <w:rPr>
          <w:rFonts w:ascii="Arial" w:cs="Arial" w:eastAsia="Arial" w:hAnsi="Arial"/>
          <w:sz w:val="9"/>
          <w:szCs w:val="9"/>
          <w:color w:val="auto"/>
        </w:rPr>
        <w:t>shares of Class A common stock. H. Barton Co-Invest Fund II, LLC is managed by H</w:t>
      </w:r>
    </w:p>
    <w:p>
      <w:pPr>
        <w:ind w:left="1760"/>
        <w:spacing w:after="0" w:line="201" w:lineRule="auto"/>
        <w:rPr>
          <w:sz w:val="20"/>
          <w:szCs w:val="20"/>
          <w:color w:val="auto"/>
        </w:rPr>
      </w:pPr>
      <w:r>
        <w:rPr>
          <w:rFonts w:ascii="Arial" w:cs="Arial" w:eastAsia="Arial" w:hAnsi="Arial"/>
          <w:sz w:val="8"/>
          <w:szCs w:val="8"/>
          <w:color w:val="auto"/>
        </w:rPr>
        <w:t>Barton Asset Management, LLC. Harris Barton is the sole managing member of H. Barton Asset Management</w:t>
      </w:r>
    </w:p>
    <w:p>
      <w:pPr>
        <w:ind w:left="1760"/>
        <w:spacing w:after="0" w:line="200" w:lineRule="auto"/>
        <w:rPr>
          <w:sz w:val="20"/>
          <w:szCs w:val="20"/>
          <w:color w:val="auto"/>
        </w:rPr>
      </w:pPr>
      <w:r>
        <w:rPr>
          <w:rFonts w:ascii="Arial" w:cs="Arial" w:eastAsia="Arial" w:hAnsi="Arial"/>
          <w:sz w:val="6"/>
          <w:szCs w:val="6"/>
          <w:color w:val="auto"/>
        </w:rPr>
        <w:t>,</w:t>
      </w:r>
    </w:p>
    <w:p>
      <w:pPr>
        <w:ind w:left="1760" w:right="1640"/>
        <w:spacing w:after="0"/>
        <w:rPr>
          <w:sz w:val="20"/>
          <w:szCs w:val="20"/>
          <w:color w:val="auto"/>
        </w:rPr>
      </w:pPr>
      <w:r>
        <w:rPr>
          <w:rFonts w:ascii="Arial" w:cs="Arial" w:eastAsia="Arial" w:hAnsi="Arial"/>
          <w:sz w:val="11"/>
          <w:szCs w:val="11"/>
          <w:color w:val="auto"/>
        </w:rPr>
        <w:t>LLC and, accordingly, has the sole control or voting power over our ordinary shares held by H. Barton Co-Inves t</w:t>
      </w:r>
    </w:p>
    <w:p>
      <w:pPr>
        <w:spacing w:after="0" w:line="17" w:lineRule="exact"/>
        <w:rPr>
          <w:sz w:val="20"/>
          <w:szCs w:val="20"/>
          <w:color w:val="auto"/>
        </w:rPr>
      </w:pPr>
    </w:p>
    <w:p>
      <w:pPr>
        <w:ind w:left="1760" w:right="1700"/>
        <w:spacing w:after="0"/>
        <w:rPr>
          <w:sz w:val="20"/>
          <w:szCs w:val="20"/>
          <w:color w:val="auto"/>
        </w:rPr>
      </w:pPr>
      <w:r>
        <w:rPr>
          <w:rFonts w:ascii="Arial" w:cs="Arial" w:eastAsia="Arial" w:hAnsi="Arial"/>
          <w:sz w:val="11"/>
          <w:szCs w:val="11"/>
          <w:color w:val="auto"/>
        </w:rPr>
        <w:t>Fund II, LLC. Mr. Barton expressly disclaims beneficial ownership of the securities held by H. Barton Co-Inves t</w:t>
      </w:r>
    </w:p>
    <w:p>
      <w:pPr>
        <w:spacing w:after="0" w:line="7" w:lineRule="exact"/>
        <w:rPr>
          <w:sz w:val="20"/>
          <w:szCs w:val="20"/>
          <w:color w:val="auto"/>
        </w:rPr>
      </w:pPr>
    </w:p>
    <w:p>
      <w:pPr>
        <w:ind w:left="1760" w:right="2040"/>
        <w:spacing w:after="0"/>
        <w:rPr>
          <w:sz w:val="20"/>
          <w:szCs w:val="20"/>
          <w:color w:val="auto"/>
        </w:rPr>
      </w:pPr>
      <w:r>
        <w:rPr>
          <w:rFonts w:ascii="Arial" w:cs="Arial" w:eastAsia="Arial" w:hAnsi="Arial"/>
          <w:sz w:val="11"/>
          <w:szCs w:val="11"/>
          <w:color w:val="auto"/>
        </w:rPr>
        <w:t>Fund II, LLC, except to the extent of any pecuniary interest therein. The address of the entity and perso n</w:t>
      </w:r>
    </w:p>
    <w:p>
      <w:pPr>
        <w:ind w:left="1760"/>
        <w:spacing w:after="0" w:line="195" w:lineRule="auto"/>
        <w:rPr>
          <w:sz w:val="20"/>
          <w:szCs w:val="20"/>
          <w:color w:val="auto"/>
        </w:rPr>
      </w:pPr>
      <w:r>
        <w:rPr>
          <w:rFonts w:ascii="Arial" w:cs="Arial" w:eastAsia="Arial" w:hAnsi="Arial"/>
          <w:sz w:val="10"/>
          <w:szCs w:val="10"/>
          <w:color w:val="auto"/>
        </w:rPr>
        <w:t>identified in this footnote is 135 Main Street, Suite 850, San Francisco, CA 9410</w:t>
      </w:r>
    </w:p>
    <w:p>
      <w:pPr>
        <w:ind w:left="1760"/>
        <w:spacing w:after="0" w:line="200" w:lineRule="auto"/>
        <w:rPr>
          <w:sz w:val="20"/>
          <w:szCs w:val="20"/>
          <w:color w:val="auto"/>
        </w:rPr>
      </w:pPr>
      <w:r>
        <w:rPr>
          <w:rFonts w:ascii="Arial" w:cs="Arial" w:eastAsia="Arial" w:hAnsi="Arial"/>
          <w:sz w:val="6"/>
          <w:szCs w:val="6"/>
          <w:color w:val="auto"/>
        </w:rPr>
        <w:t>5.</w:t>
      </w:r>
    </w:p>
    <w:p>
      <w:pPr>
        <w:ind w:left="1760" w:right="1700" w:hanging="229"/>
        <w:spacing w:after="0"/>
        <w:rPr>
          <w:sz w:val="20"/>
          <w:szCs w:val="20"/>
          <w:color w:val="auto"/>
        </w:rPr>
      </w:pPr>
      <w:r>
        <w:rPr>
          <w:rFonts w:ascii="Arial" w:cs="Arial" w:eastAsia="Arial" w:hAnsi="Arial"/>
          <w:sz w:val="11"/>
          <w:szCs w:val="11"/>
          <w:color w:val="auto"/>
        </w:rPr>
        <w:t>(18) Consists of stockholders not otherwise listed in this table who, within the groups indicated, collectively own les s</w:t>
      </w:r>
    </w:p>
    <w:p>
      <w:pPr>
        <w:ind w:left="1760"/>
        <w:spacing w:after="0" w:line="194" w:lineRule="auto"/>
        <w:rPr>
          <w:sz w:val="20"/>
          <w:szCs w:val="20"/>
          <w:color w:val="auto"/>
        </w:rPr>
      </w:pPr>
      <w:r>
        <w:rPr>
          <w:rFonts w:ascii="Arial" w:cs="Arial" w:eastAsia="Arial" w:hAnsi="Arial"/>
          <w:sz w:val="9"/>
          <w:szCs w:val="9"/>
          <w:color w:val="auto"/>
        </w:rPr>
        <w:t>than 1% of our Class A common stock</w:t>
      </w:r>
    </w:p>
    <w:p>
      <w:pPr>
        <w:ind w:left="2320"/>
        <w:spacing w:after="0"/>
        <w:rPr>
          <w:sz w:val="20"/>
          <w:szCs w:val="20"/>
          <w:color w:val="auto"/>
        </w:rPr>
      </w:pPr>
      <w:r>
        <w:rPr>
          <w:rFonts w:ascii="Arial" w:cs="Arial" w:eastAsia="Arial" w:hAnsi="Arial"/>
          <w:sz w:val="11"/>
          <w:szCs w:val="11"/>
          <w:color w:val="auto"/>
        </w:rPr>
        <w:t>.</w:t>
      </w:r>
    </w:p>
    <w:p>
      <w:pPr>
        <w:sectPr>
          <w:pgSz w:w="11900" w:h="16840" w:orient="portrait"/>
          <w:cols w:equalWidth="0" w:num="1">
            <w:col w:w="9020"/>
          </w:cols>
          <w:pgMar w:left="1440" w:top="561" w:right="1440" w:bottom="1440" w:gutter="0" w:footer="0" w:header="0"/>
        </w:sectPr>
      </w:pPr>
    </w:p>
    <w:bookmarkStart w:id="137" w:name="page138"/>
    <w:bookmarkEnd w:id="137"/>
    <w:p>
      <w:pPr>
        <w:jc w:val="center"/>
        <w:ind w:right="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199</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DESCRIPTION OF MATERIAL INDEBTEDNESS</w:t>
      </w:r>
    </w:p>
    <w:p>
      <w:pPr>
        <w:spacing w:after="0" w:line="132" w:lineRule="exact"/>
        <w:rPr>
          <w:sz w:val="20"/>
          <w:szCs w:val="20"/>
          <w:color w:val="auto"/>
        </w:rPr>
      </w:pPr>
    </w:p>
    <w:p>
      <w:pPr>
        <w:ind w:left="1520" w:right="1800" w:firstLine="230"/>
        <w:spacing w:after="0" w:line="280" w:lineRule="auto"/>
        <w:rPr>
          <w:sz w:val="20"/>
          <w:szCs w:val="20"/>
          <w:color w:val="auto"/>
        </w:rPr>
      </w:pPr>
      <w:r>
        <w:rPr>
          <w:rFonts w:ascii="Arial" w:cs="Arial" w:eastAsia="Arial" w:hAnsi="Arial"/>
          <w:sz w:val="12"/>
          <w:szCs w:val="12"/>
          <w:i w:val="1"/>
          <w:iCs w:val="1"/>
          <w:color w:val="auto"/>
        </w:rPr>
        <w:t>The following description is a summary of the material terms of our material indebtedness. We refer you to the credit agreements, security documents and other loan documents governing our material indebtedness, copies of which are filed as exhibits to the registration statement of which this prospectus forms a part.</w:t>
      </w:r>
    </w:p>
    <w:p>
      <w:pPr>
        <w:spacing w:after="0" w:line="8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ABL Facility</w:t>
      </w:r>
    </w:p>
    <w:p>
      <w:pPr>
        <w:spacing w:after="0" w:line="130" w:lineRule="exact"/>
        <w:rPr>
          <w:sz w:val="20"/>
          <w:szCs w:val="20"/>
          <w:color w:val="auto"/>
        </w:rPr>
      </w:pPr>
    </w:p>
    <w:p>
      <w:pPr>
        <w:ind w:left="1520" w:right="1700" w:firstLine="230"/>
        <w:spacing w:after="0" w:line="271" w:lineRule="auto"/>
        <w:rPr>
          <w:sz w:val="20"/>
          <w:szCs w:val="20"/>
          <w:color w:val="auto"/>
        </w:rPr>
      </w:pPr>
      <w:r>
        <w:rPr>
          <w:rFonts w:ascii="Arial" w:cs="Arial" w:eastAsia="Arial" w:hAnsi="Arial"/>
          <w:sz w:val="12"/>
          <w:szCs w:val="12"/>
          <w:color w:val="auto"/>
        </w:rPr>
        <w:t>On March 14, 2025, we, Reed &amp; Mackay Travel Inc. and Reed &amp; Mackay Travel Limited, as co-borrowers, entered into a credit agreement, or the ABL Facility Agreement, with Citibank, N.A., as administrative agent and collateral agent, the guarantors party thereto, and the lenders and issuing banks party thereto, which provides for a maximum aggregate revolving credit commitment of $100 million, which, together with the ABL Facility Agreement, we refer to as the ABL Facility. Commitments pursuant to the ABL Facility may be increased by an additional $75 million, pursuant to the exercise of uncommitted incremental provisions through which existing and new lenders may, at their option, agree to provide additional financing. The proceeds of the ABL Facility may be used for working capital and general corporate purposes (including the financing of acquisitions and investments). The ABL Facility includes a $10.0 million letter of credit sub-facility.</w:t>
      </w:r>
    </w:p>
    <w:p>
      <w:pPr>
        <w:spacing w:after="0" w:line="88" w:lineRule="exact"/>
        <w:rPr>
          <w:sz w:val="20"/>
          <w:szCs w:val="20"/>
          <w:color w:val="auto"/>
        </w:rPr>
      </w:pPr>
    </w:p>
    <w:p>
      <w:pPr>
        <w:ind w:left="1760" w:right="1980"/>
        <w:spacing w:after="0" w:line="579" w:lineRule="auto"/>
        <w:rPr>
          <w:sz w:val="20"/>
          <w:szCs w:val="20"/>
          <w:color w:val="auto"/>
        </w:rPr>
      </w:pPr>
      <w:r>
        <w:rPr>
          <w:rFonts w:ascii="Arial" w:cs="Arial" w:eastAsia="Arial" w:hAnsi="Arial"/>
          <w:sz w:val="12"/>
          <w:szCs w:val="12"/>
          <w:color w:val="auto"/>
        </w:rPr>
        <w:t xml:space="preserve">As of July 31, 2025, the aggregate amount outstanding under the ABL Facility was $34.5 million. The material terms of the ABL Facility Agreement are described below. </w:t>
      </w:r>
      <w:r>
        <w:rPr>
          <w:rFonts w:ascii="Arial" w:cs="Arial" w:eastAsia="Arial" w:hAnsi="Arial"/>
          <w:sz w:val="12"/>
          <w:szCs w:val="12"/>
          <w:b w:val="1"/>
          <w:bCs w:val="1"/>
          <w:i w:val="1"/>
          <w:iCs w:val="1"/>
          <w:color w:val="auto"/>
        </w:rPr>
        <w:t>Interest Rate and Fees</w:t>
      </w:r>
    </w:p>
    <w:p>
      <w:pPr>
        <w:spacing w:after="0" w:line="138"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Amounts borrowed under the ABL Facility are subject to an interest rate per annum equal to, at our option, either (i) for base rate loans, an applicable margin of 1.50% plus a base rate (subject to a 1.00% floor) by reference to the highest of (A) the prime rate, (B) the federal funds effective rate plus 0.50%, and</w:t>
      </w:r>
    </w:p>
    <w:p>
      <w:pPr>
        <w:spacing w:after="0" w:line="2" w:lineRule="exact"/>
        <w:rPr>
          <w:sz w:val="20"/>
          <w:szCs w:val="20"/>
          <w:color w:val="auto"/>
        </w:rPr>
      </w:pPr>
    </w:p>
    <w:p>
      <w:pPr>
        <w:ind w:left="1520" w:right="1900" w:firstLine="2"/>
        <w:spacing w:after="0" w:line="279" w:lineRule="auto"/>
        <w:tabs>
          <w:tab w:leader="none" w:pos="1727" w:val="left"/>
        </w:tabs>
        <w:numPr>
          <w:ilvl w:val="0"/>
          <w:numId w:val="151"/>
        </w:numPr>
        <w:rPr>
          <w:rFonts w:ascii="Arial" w:cs="Arial" w:eastAsia="Arial" w:hAnsi="Arial"/>
          <w:sz w:val="12"/>
          <w:szCs w:val="12"/>
          <w:color w:val="auto"/>
        </w:rPr>
      </w:pPr>
      <w:r>
        <w:rPr>
          <w:rFonts w:ascii="Arial" w:cs="Arial" w:eastAsia="Arial" w:hAnsi="Arial"/>
          <w:sz w:val="12"/>
          <w:szCs w:val="12"/>
          <w:color w:val="auto"/>
        </w:rPr>
        <w:t>the one month term Secured Overnight Financing Rate, or SOFR, plus 1.00% plus a 0.10% SOFR adjustment or (ii) for term benchmark loans, an applicable margin of 2.50% plus a 0.10% SOFR adjustment (subject to a 0.00% floor) for a one, three or six month interest period.</w:t>
      </w:r>
    </w:p>
    <w:p>
      <w:pPr>
        <w:spacing w:after="0" w:line="81" w:lineRule="exact"/>
        <w:rPr>
          <w:sz w:val="20"/>
          <w:szCs w:val="20"/>
          <w:color w:val="auto"/>
        </w:rPr>
      </w:pPr>
    </w:p>
    <w:p>
      <w:pPr>
        <w:ind w:left="1520" w:right="1820" w:firstLine="230"/>
        <w:spacing w:after="0" w:line="312" w:lineRule="auto"/>
        <w:rPr>
          <w:sz w:val="20"/>
          <w:szCs w:val="20"/>
          <w:color w:val="auto"/>
        </w:rPr>
      </w:pPr>
      <w:r>
        <w:rPr>
          <w:rFonts w:ascii="Arial" w:cs="Arial" w:eastAsia="Arial" w:hAnsi="Arial"/>
          <w:sz w:val="12"/>
          <w:szCs w:val="12"/>
          <w:color w:val="auto"/>
        </w:rPr>
        <w:t>The unused portion of the ABL Facility accrues unused commitment fees at a rate per annum equal to 0.25%.</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Voluntary Repayments</w:t>
      </w:r>
    </w:p>
    <w:p>
      <w:pPr>
        <w:spacing w:after="0" w:line="128" w:lineRule="exact"/>
        <w:rPr>
          <w:sz w:val="20"/>
          <w:szCs w:val="20"/>
          <w:color w:val="auto"/>
        </w:rPr>
      </w:pPr>
    </w:p>
    <w:p>
      <w:pPr>
        <w:ind w:left="1520" w:right="1820" w:firstLine="230"/>
        <w:spacing w:after="0" w:line="312" w:lineRule="auto"/>
        <w:rPr>
          <w:sz w:val="20"/>
          <w:szCs w:val="20"/>
          <w:color w:val="auto"/>
        </w:rPr>
      </w:pPr>
      <w:r>
        <w:rPr>
          <w:rFonts w:ascii="Arial" w:cs="Arial" w:eastAsia="Arial" w:hAnsi="Arial"/>
          <w:sz w:val="12"/>
          <w:szCs w:val="12"/>
          <w:color w:val="auto"/>
        </w:rPr>
        <w:t>We may voluntarily prepay outstanding loans under the ABL Facility at any time without premium or penalty, other than customary “breakage” costs.</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Maturity Date</w:t>
      </w:r>
    </w:p>
    <w:p>
      <w:pPr>
        <w:spacing w:after="0" w:line="128" w:lineRule="exact"/>
        <w:rPr>
          <w:sz w:val="20"/>
          <w:szCs w:val="20"/>
          <w:color w:val="auto"/>
        </w:rPr>
      </w:pPr>
    </w:p>
    <w:p>
      <w:pPr>
        <w:ind w:left="1520" w:right="1840" w:firstLine="230"/>
        <w:spacing w:after="0" w:line="289" w:lineRule="auto"/>
        <w:rPr>
          <w:sz w:val="20"/>
          <w:szCs w:val="20"/>
          <w:color w:val="auto"/>
        </w:rPr>
      </w:pPr>
      <w:r>
        <w:rPr>
          <w:rFonts w:ascii="Arial" w:cs="Arial" w:eastAsia="Arial" w:hAnsi="Arial"/>
          <w:sz w:val="12"/>
          <w:szCs w:val="12"/>
          <w:color w:val="auto"/>
        </w:rPr>
        <w:t>The ABL Facility has a springing maturity concept, whereby indebtedness thereunder is due on the earlier of March 14, 2028 or the occurrence of certain conversion or maturity dates of our other outstanding debt instruments.</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Guarantees and Security</w:t>
      </w:r>
    </w:p>
    <w:p>
      <w:pPr>
        <w:spacing w:after="0" w:line="128" w:lineRule="exact"/>
        <w:rPr>
          <w:sz w:val="20"/>
          <w:szCs w:val="20"/>
          <w:color w:val="auto"/>
        </w:rPr>
      </w:pPr>
    </w:p>
    <w:p>
      <w:pPr>
        <w:ind w:left="1520" w:right="1920" w:firstLine="230"/>
        <w:spacing w:after="0" w:line="281" w:lineRule="auto"/>
        <w:rPr>
          <w:sz w:val="20"/>
          <w:szCs w:val="20"/>
          <w:color w:val="auto"/>
        </w:rPr>
      </w:pPr>
      <w:r>
        <w:rPr>
          <w:rFonts w:ascii="Arial" w:cs="Arial" w:eastAsia="Arial" w:hAnsi="Arial"/>
          <w:sz w:val="12"/>
          <w:szCs w:val="12"/>
          <w:color w:val="auto"/>
        </w:rPr>
        <w:t>The obligations under the ABL Facility are required to be unconditionally guaranteed by our subsidiaries subject to certain exceptions for materiality, domicile and nature of subsidiary. Subsidiary guarantors of the ABL Facility generally include our direct and indirect wholly owned domestic subsidiaries and certain subsidiaries formed in the United Kingdom.</w:t>
      </w:r>
    </w:p>
    <w:p>
      <w:pPr>
        <w:spacing w:after="0" w:line="81" w:lineRule="exact"/>
        <w:rPr>
          <w:sz w:val="20"/>
          <w:szCs w:val="20"/>
          <w:color w:val="auto"/>
        </w:rPr>
      </w:pPr>
    </w:p>
    <w:p>
      <w:pPr>
        <w:ind w:left="1520" w:right="1960" w:firstLine="230"/>
        <w:spacing w:after="0" w:line="312" w:lineRule="auto"/>
        <w:rPr>
          <w:sz w:val="20"/>
          <w:szCs w:val="20"/>
          <w:color w:val="auto"/>
        </w:rPr>
      </w:pPr>
      <w:r>
        <w:rPr>
          <w:rFonts w:ascii="Arial" w:cs="Arial" w:eastAsia="Arial" w:hAnsi="Arial"/>
          <w:sz w:val="12"/>
          <w:szCs w:val="12"/>
          <w:color w:val="auto"/>
        </w:rPr>
        <w:t>As of July 31, 2025, Reed &amp; Mackay Holdings Limited and Navan Labs UK Limited were the only subsidiary guarantors of the ABL Facility.</w:t>
      </w: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200</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800" w:firstLine="230"/>
        <w:spacing w:after="0" w:line="281" w:lineRule="auto"/>
        <w:rPr>
          <w:sz w:val="20"/>
          <w:szCs w:val="20"/>
          <w:color w:val="auto"/>
        </w:rPr>
      </w:pPr>
      <w:r>
        <w:rPr>
          <w:rFonts w:ascii="Arial" w:cs="Arial" w:eastAsia="Arial" w:hAnsi="Arial"/>
          <w:sz w:val="12"/>
          <w:szCs w:val="12"/>
          <w:color w:val="auto"/>
        </w:rPr>
        <w:t>The obligations under the ABL Facility are secured by a first-priority lien on the Company’s and the guarantors’ ABL priority collateral (generally, working capital assets such as accounts receivable and inventory), and a second-priority lien on the remaining collateral, in each case subject to the terms of an intercreditor agreement between the ABL Facility agent and the Vista Facility agent .</w:t>
      </w:r>
    </w:p>
    <w:p>
      <w:pPr>
        <w:spacing w:after="0" w:line="8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Financial Covenants</w:t>
      </w:r>
    </w:p>
    <w:p>
      <w:pPr>
        <w:spacing w:after="0" w:line="128" w:lineRule="exact"/>
        <w:rPr>
          <w:sz w:val="20"/>
          <w:szCs w:val="20"/>
          <w:color w:val="auto"/>
        </w:rPr>
      </w:pPr>
    </w:p>
    <w:p>
      <w:pPr>
        <w:ind w:left="1520" w:right="2200" w:firstLine="230"/>
        <w:spacing w:after="0" w:line="312" w:lineRule="auto"/>
        <w:rPr>
          <w:sz w:val="20"/>
          <w:szCs w:val="20"/>
          <w:color w:val="auto"/>
        </w:rPr>
      </w:pPr>
      <w:r>
        <w:rPr>
          <w:rFonts w:ascii="Arial" w:cs="Arial" w:eastAsia="Arial" w:hAnsi="Arial"/>
          <w:sz w:val="12"/>
          <w:szCs w:val="12"/>
          <w:color w:val="auto"/>
        </w:rPr>
        <w:t>We are required to comply with certain financial covenants under our ABL Facility, which are described below.</w:t>
      </w:r>
    </w:p>
    <w:p>
      <w:pPr>
        <w:spacing w:after="0" w:line="62" w:lineRule="exact"/>
        <w:rPr>
          <w:sz w:val="20"/>
          <w:szCs w:val="20"/>
          <w:color w:val="auto"/>
        </w:rPr>
      </w:pPr>
    </w:p>
    <w:p>
      <w:pPr>
        <w:ind w:left="1520" w:right="1880" w:firstLine="230"/>
        <w:spacing w:after="0" w:line="277" w:lineRule="auto"/>
        <w:rPr>
          <w:sz w:val="20"/>
          <w:szCs w:val="20"/>
          <w:color w:val="auto"/>
        </w:rPr>
      </w:pPr>
      <w:r>
        <w:rPr>
          <w:rFonts w:ascii="Arial" w:cs="Arial" w:eastAsia="Arial" w:hAnsi="Arial"/>
          <w:sz w:val="12"/>
          <w:szCs w:val="12"/>
          <w:i w:val="1"/>
          <w:iCs w:val="1"/>
          <w:color w:val="auto"/>
        </w:rPr>
        <w:t xml:space="preserve">Minimum Liquidity </w:t>
      </w:r>
      <w:r>
        <w:rPr>
          <w:rFonts w:ascii="Arial" w:cs="Arial" w:eastAsia="Arial" w:hAnsi="Arial"/>
          <w:sz w:val="12"/>
          <w:szCs w:val="12"/>
          <w:color w:val="auto"/>
        </w:rPr>
        <w:t>. Until the Covenant Transition Date (as defined below), we are required to</w:t>
      </w:r>
      <w:r>
        <w:rPr>
          <w:rFonts w:ascii="Arial" w:cs="Arial" w:eastAsia="Arial" w:hAnsi="Arial"/>
          <w:sz w:val="12"/>
          <w:szCs w:val="12"/>
          <w:i w:val="1"/>
          <w:iCs w:val="1"/>
          <w:color w:val="auto"/>
        </w:rPr>
        <w:t xml:space="preserve"> </w:t>
      </w:r>
      <w:r>
        <w:rPr>
          <w:rFonts w:ascii="Arial" w:cs="Arial" w:eastAsia="Arial" w:hAnsi="Arial"/>
          <w:sz w:val="12"/>
          <w:szCs w:val="12"/>
          <w:color w:val="auto"/>
        </w:rPr>
        <w:t>maintain compliance with a minimum liquidity covenant in an amount equal to the sum of the Excess Cash Burn (as defined below) of the loan parties and their subsidiaries for the preceding four quarter period, measured quarterly as of the last day of each fiscal quarter for which financial statements have been required to be delivered pursuant to the ABL Facility Agreement.</w:t>
      </w:r>
    </w:p>
    <w:p>
      <w:pPr>
        <w:spacing w:after="0" w:line="84" w:lineRule="exact"/>
        <w:rPr>
          <w:sz w:val="20"/>
          <w:szCs w:val="20"/>
          <w:color w:val="auto"/>
        </w:rPr>
      </w:pPr>
    </w:p>
    <w:p>
      <w:pPr>
        <w:ind w:left="1520" w:right="1680" w:firstLine="230"/>
        <w:spacing w:after="0" w:line="281" w:lineRule="auto"/>
        <w:rPr>
          <w:sz w:val="20"/>
          <w:szCs w:val="20"/>
          <w:color w:val="auto"/>
        </w:rPr>
      </w:pPr>
      <w:r>
        <w:rPr>
          <w:rFonts w:ascii="Arial" w:cs="Arial" w:eastAsia="Arial" w:hAnsi="Arial"/>
          <w:sz w:val="12"/>
          <w:szCs w:val="12"/>
          <w:color w:val="auto"/>
        </w:rPr>
        <w:t>“Covenant Transition Date” means the last day of the fiscal quarter for which we have delivered a compliance certificate pursuant to the ABL Facility Agreement demonstrating that for such period and the immediately prior consecutive fiscal quarter, we have achieved a consolidated fixed charge coverage ratio of at least 1:00 to 1:00.</w:t>
      </w:r>
    </w:p>
    <w:p>
      <w:pPr>
        <w:spacing w:after="0" w:line="81" w:lineRule="exact"/>
        <w:rPr>
          <w:sz w:val="20"/>
          <w:szCs w:val="20"/>
          <w:color w:val="auto"/>
        </w:rPr>
      </w:pPr>
    </w:p>
    <w:p>
      <w:pPr>
        <w:ind w:left="1520" w:right="1720" w:firstLine="230"/>
        <w:spacing w:after="0" w:line="281" w:lineRule="auto"/>
        <w:rPr>
          <w:sz w:val="20"/>
          <w:szCs w:val="20"/>
          <w:color w:val="auto"/>
        </w:rPr>
      </w:pPr>
      <w:r>
        <w:rPr>
          <w:rFonts w:ascii="Arial" w:cs="Arial" w:eastAsia="Arial" w:hAnsi="Arial"/>
          <w:sz w:val="12"/>
          <w:szCs w:val="12"/>
          <w:color w:val="auto"/>
        </w:rPr>
        <w:t>“Excess Cash Burn” means for any period, on a consolidated basis in accordance with GAAP, the sum of (a) EBITDA for such period, minus (b) all unfinanced capital expenditures paid or payable (including capitalized software expenses), minus (c) all scheduled principal payments on long-term indebtedness (including payments in respect of capital leases) paid or payable, minus (d) all cash interest</w:t>
      </w:r>
    </w:p>
    <w:p>
      <w:pPr>
        <w:sectPr>
          <w:pgSz w:w="11900" w:h="16840" w:orient="portrait"/>
          <w:cols w:equalWidth="0" w:num="1">
            <w:col w:w="9020"/>
          </w:cols>
          <w:pgMar w:left="1440" w:top="770" w:right="1440" w:bottom="0" w:gutter="0" w:footer="0" w:header="0"/>
        </w:sectPr>
      </w:pPr>
    </w:p>
    <w:bookmarkStart w:id="138" w:name="page139"/>
    <w:bookmarkEnd w:id="138"/>
    <w:p>
      <w:pPr>
        <w:ind w:left="1520" w:right="1700"/>
        <w:spacing w:after="0" w:line="277" w:lineRule="auto"/>
        <w:rPr>
          <w:sz w:val="20"/>
          <w:szCs w:val="20"/>
          <w:color w:val="auto"/>
        </w:rPr>
      </w:pPr>
      <w:r>
        <w:rPr>
          <w:rFonts w:ascii="Arial" w:cs="Arial" w:eastAsia="Arial" w:hAnsi="Arial"/>
          <w:sz w:val="12"/>
          <w:szCs w:val="12"/>
          <w:color w:val="auto"/>
        </w:rPr>
        <w:t>expense and all fees for the use of money or the availability of money, including commitment, facility and like fees and charges upon indebtedness (including indebtedness under the ABL Facility) paid or payable, without duplication, during such period, minus (e) all cash tax expense paid or payable, without duplication, during such period, minus (f) all dividends, redemptions, repurchases or other distributions paid or payable, without duplication, in cash during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-504825</wp:posOffset>
            </wp:positionV>
            <wp:extent cx="6732270" cy="99707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64" w:lineRule="exact"/>
        <w:rPr>
          <w:sz w:val="20"/>
          <w:szCs w:val="20"/>
          <w:color w:val="auto"/>
        </w:rPr>
      </w:pPr>
    </w:p>
    <w:p>
      <w:pPr>
        <w:ind w:left="1520" w:right="1740" w:firstLine="230"/>
        <w:spacing w:after="0" w:line="277" w:lineRule="auto"/>
        <w:rPr>
          <w:sz w:val="20"/>
          <w:szCs w:val="20"/>
          <w:color w:val="auto"/>
        </w:rPr>
      </w:pPr>
      <w:r>
        <w:rPr>
          <w:rFonts w:ascii="Arial" w:cs="Arial" w:eastAsia="Arial" w:hAnsi="Arial"/>
          <w:sz w:val="12"/>
          <w:szCs w:val="12"/>
          <w:i w:val="1"/>
          <w:iCs w:val="1"/>
          <w:color w:val="auto"/>
        </w:rPr>
        <w:t xml:space="preserve">Consolidated Fixed Charge Coverage Ratio. </w:t>
      </w:r>
      <w:r>
        <w:rPr>
          <w:rFonts w:ascii="Arial" w:cs="Arial" w:eastAsia="Arial" w:hAnsi="Arial"/>
          <w:sz w:val="12"/>
          <w:szCs w:val="12"/>
          <w:color w:val="auto"/>
        </w:rPr>
        <w:t>At any time that a Covenant Trigger Event (as defined</w:t>
      </w:r>
      <w:r>
        <w:rPr>
          <w:rFonts w:ascii="Arial" w:cs="Arial" w:eastAsia="Arial" w:hAnsi="Arial"/>
          <w:sz w:val="12"/>
          <w:szCs w:val="12"/>
          <w:i w:val="1"/>
          <w:iCs w:val="1"/>
          <w:color w:val="auto"/>
        </w:rPr>
        <w:t xml:space="preserve"> </w:t>
      </w:r>
      <w:r>
        <w:rPr>
          <w:rFonts w:ascii="Arial" w:cs="Arial" w:eastAsia="Arial" w:hAnsi="Arial"/>
          <w:sz w:val="12"/>
          <w:szCs w:val="12"/>
          <w:color w:val="auto"/>
        </w:rPr>
        <w:t>below) has occurred until cured in compliance with the terms of the ABL Facility Agreement, we are required to maintain a consolidated fixed charge coverage ratio, calculated as of the last day of the four fiscal quarter period ending on the last day of each fiscal quarter most recently ended prior to the occurrence of such Covenant Trigger Event, of at least 1:00 to 1:00.</w:t>
      </w:r>
    </w:p>
    <w:p>
      <w:pPr>
        <w:spacing w:after="0" w:line="84" w:lineRule="exact"/>
        <w:rPr>
          <w:sz w:val="20"/>
          <w:szCs w:val="20"/>
          <w:color w:val="auto"/>
        </w:rPr>
      </w:pPr>
    </w:p>
    <w:p>
      <w:pPr>
        <w:jc w:val="both"/>
        <w:ind w:left="1520" w:right="1760" w:firstLine="230"/>
        <w:spacing w:after="0" w:line="289" w:lineRule="auto"/>
        <w:rPr>
          <w:sz w:val="20"/>
          <w:szCs w:val="20"/>
          <w:color w:val="auto"/>
        </w:rPr>
      </w:pPr>
      <w:r>
        <w:rPr>
          <w:rFonts w:ascii="Arial" w:cs="Arial" w:eastAsia="Arial" w:hAnsi="Arial"/>
          <w:sz w:val="12"/>
          <w:szCs w:val="12"/>
          <w:color w:val="auto"/>
        </w:rPr>
        <w:t>“Covenant Trigger Event” means the occurrence at any time of the failure to have excess availability in an amount of at least the greater of (i) $5,000,000 and (ii) 10% of the line cap (defined as the lesser of the aggregate commitments and available borrowing base).</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Certain Other Covenants and Events of Default</w:t>
      </w:r>
    </w:p>
    <w:p>
      <w:pPr>
        <w:spacing w:after="0" w:line="128" w:lineRule="exact"/>
        <w:rPr>
          <w:sz w:val="20"/>
          <w:szCs w:val="20"/>
          <w:color w:val="auto"/>
        </w:rPr>
      </w:pPr>
    </w:p>
    <w:p>
      <w:pPr>
        <w:ind w:left="1520" w:right="1760" w:firstLine="230"/>
        <w:spacing w:after="0" w:line="273" w:lineRule="auto"/>
        <w:rPr>
          <w:sz w:val="20"/>
          <w:szCs w:val="20"/>
          <w:color w:val="auto"/>
        </w:rPr>
      </w:pPr>
      <w:r>
        <w:rPr>
          <w:rFonts w:ascii="Arial" w:cs="Arial" w:eastAsia="Arial" w:hAnsi="Arial"/>
          <w:sz w:val="12"/>
          <w:szCs w:val="12"/>
          <w:color w:val="auto"/>
        </w:rPr>
        <w:t>The ABL Facility includes customary covenants and events of default for agreements of this type, including various reporting, affirmative and negative covenants. With respect to negative covenants, the ABL Facility contains a number of other covenants that, among other things and subject to certain exceptions, restrict our ability to incur additional indebtedness (including capital leases), create liens, consolidate, merge, or undertake other corporate reorganizations, dispose of assets (including the equity interests of subsidiaries), make certain restricted payments, engage in transactions with affiliates, make loans, acquisitions and other investments, and enter into certain burdensome agreements.</w:t>
      </w:r>
    </w:p>
    <w:p>
      <w:pPr>
        <w:spacing w:after="0" w:line="88" w:lineRule="exact"/>
        <w:rPr>
          <w:sz w:val="20"/>
          <w:szCs w:val="20"/>
          <w:color w:val="auto"/>
        </w:rPr>
      </w:pPr>
    </w:p>
    <w:p>
      <w:pPr>
        <w:ind w:left="1520" w:right="1760" w:firstLine="230"/>
        <w:spacing w:after="0" w:line="289" w:lineRule="auto"/>
        <w:rPr>
          <w:sz w:val="20"/>
          <w:szCs w:val="20"/>
          <w:color w:val="auto"/>
        </w:rPr>
      </w:pPr>
      <w:r>
        <w:rPr>
          <w:rFonts w:ascii="Arial" w:cs="Arial" w:eastAsia="Arial" w:hAnsi="Arial"/>
          <w:sz w:val="12"/>
          <w:szCs w:val="12"/>
          <w:color w:val="auto"/>
        </w:rPr>
        <w:t>The ABL Facility contains customary events of default, including payment defaults, failure to perform or observe covenants, cross-defaults with certain other indebtedness, a change of control, and certain bankruptcy events, among others.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201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Vista Facility</w:t>
      </w:r>
    </w:p>
    <w:p>
      <w:pPr>
        <w:spacing w:after="0" w:line="130" w:lineRule="exact"/>
        <w:rPr>
          <w:sz w:val="20"/>
          <w:szCs w:val="20"/>
          <w:color w:val="auto"/>
        </w:rPr>
      </w:pPr>
    </w:p>
    <w:p>
      <w:pPr>
        <w:ind w:left="1520" w:right="1720" w:firstLine="230"/>
        <w:spacing w:after="0" w:line="273" w:lineRule="auto"/>
        <w:rPr>
          <w:sz w:val="20"/>
          <w:szCs w:val="20"/>
          <w:color w:val="auto"/>
        </w:rPr>
      </w:pPr>
      <w:r>
        <w:rPr>
          <w:rFonts w:ascii="Arial" w:cs="Arial" w:eastAsia="Arial" w:hAnsi="Arial"/>
          <w:sz w:val="12"/>
          <w:szCs w:val="12"/>
          <w:color w:val="auto"/>
        </w:rPr>
        <w:t>On February 24, 2025, Navan, as borrower, entered into a credit agreement, or the Term Loan Credit Agreement, with VCP Capital Markets, LLC, as administrative agent and collateral agent, the guarantors party thereto, and the lenders party thereto, providing for a $130.0 million term loan facility, which, together with the Term Loan Credit Agreement, we refer to as the Vista Facility. On February 24, 2025, we borrowed the full $130.0 million of loans available under the Vista Facility. The proceeds of the Vista Facility may be used for working capital and general corporate purposes (including the financing of acquisitions and investments).</w:t>
      </w:r>
    </w:p>
    <w:p>
      <w:pPr>
        <w:spacing w:after="0" w:line="8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As of July 31, 2025, we had $130.0 million  of principal outstanding under the Vista Facility .</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Interest Rate and Fees</w:t>
      </w:r>
    </w:p>
    <w:p>
      <w:pPr>
        <w:spacing w:after="0" w:line="128"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Amounts borrowed under the Vista Facility bear interest at a variable interest rate based on either the Alternate Base Rate, with a 2.00% Alternate Base Rate floor, or SOFR (based on a 3-month interest period), with a 1.00% SOFR floor, in each case, plus an applicable rate. The applicable rate is, at our option, (i) in the case of SOFR Loans, (A) if we have elected to cash pay the interest, 6.50% per annum in cash or (B) if we have elected to pay the interest partially in cash and partially PIK, 6.50% per annum (of which 5.00% shall be paid in cash and 1.50% PIK) and (ii) in the case of Alternate Base Rate Loans, (A) if we have elected to cash pay the interest, 5.50% per annum or (B) if we have elected to pay the interest partially in cash and partially PIK, 5.50% (of which 4.00% shall be paid in cash and 1.50% PIK).</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Repayments</w:t>
      </w:r>
    </w:p>
    <w:p>
      <w:pPr>
        <w:spacing w:after="0" w:line="128" w:lineRule="exact"/>
        <w:rPr>
          <w:sz w:val="20"/>
          <w:szCs w:val="20"/>
          <w:color w:val="auto"/>
        </w:rPr>
      </w:pPr>
    </w:p>
    <w:p>
      <w:pPr>
        <w:ind w:left="1520" w:right="1680" w:firstLine="230"/>
        <w:spacing w:after="0" w:line="272" w:lineRule="auto"/>
        <w:rPr>
          <w:sz w:val="20"/>
          <w:szCs w:val="20"/>
          <w:color w:val="auto"/>
        </w:rPr>
      </w:pPr>
      <w:r>
        <w:rPr>
          <w:rFonts w:ascii="Arial" w:cs="Arial" w:eastAsia="Arial" w:hAnsi="Arial"/>
          <w:sz w:val="12"/>
          <w:szCs w:val="12"/>
          <w:color w:val="auto"/>
        </w:rPr>
        <w:t>The Vista Facility is required to be prepaid upon the occurrence of an event of default, or with the proceeds of certain asset dispositions, insurance recovery events or incurrences of indebtedness. Any prepayments upon an event of default or the incurrence of certain indebtedness are subject to a prepayment premium of (x) 3.00% of the principal amount prepaid, if prepayment is prior to the first anniversary of the Term Loan Credit Agreement closing date or (y) 1.50% of the principal amount prepaid, if the prepayment is on or after the first anniversary but prior to the second anniversary of the Term Loan Credit Agreement closing date. We may also voluntarily prepay outstanding loans under the Vista Facility at any time subject to payment of a p repayment premium and other customary “breakage” costs.</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Maturity Date</w:t>
      </w:r>
    </w:p>
    <w:p>
      <w:pPr>
        <w:spacing w:after="0" w:line="128" w:lineRule="exact"/>
        <w:rPr>
          <w:sz w:val="20"/>
          <w:szCs w:val="20"/>
          <w:color w:val="auto"/>
        </w:rPr>
      </w:pPr>
    </w:p>
    <w:p>
      <w:pPr>
        <w:ind w:left="1520" w:right="1800" w:firstLine="230"/>
        <w:spacing w:after="0" w:line="289" w:lineRule="auto"/>
        <w:rPr>
          <w:sz w:val="20"/>
          <w:szCs w:val="20"/>
          <w:color w:val="auto"/>
        </w:rPr>
      </w:pPr>
      <w:r>
        <w:rPr>
          <w:rFonts w:ascii="Arial" w:cs="Arial" w:eastAsia="Arial" w:hAnsi="Arial"/>
          <w:sz w:val="12"/>
          <w:szCs w:val="12"/>
          <w:color w:val="auto"/>
        </w:rPr>
        <w:t>The Vista Facility has a springing maturity concept, whereby indebtedness thereunder is due on the earlier of February 24, 2030 or the occurrence of certain conversion or maturity dates of our other outstanding debt instruments.</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Financial Covenants</w:t>
      </w:r>
    </w:p>
    <w:p>
      <w:pPr>
        <w:spacing w:after="0" w:line="128" w:lineRule="exact"/>
        <w:rPr>
          <w:sz w:val="20"/>
          <w:szCs w:val="20"/>
          <w:color w:val="auto"/>
        </w:rPr>
      </w:pPr>
    </w:p>
    <w:p>
      <w:pPr>
        <w:ind w:left="1520" w:right="1780" w:firstLine="230"/>
        <w:spacing w:after="0" w:line="312" w:lineRule="auto"/>
        <w:rPr>
          <w:sz w:val="20"/>
          <w:szCs w:val="20"/>
          <w:color w:val="auto"/>
        </w:rPr>
      </w:pPr>
      <w:r>
        <w:rPr>
          <w:rFonts w:ascii="Arial" w:cs="Arial" w:eastAsia="Arial" w:hAnsi="Arial"/>
          <w:sz w:val="12"/>
          <w:szCs w:val="12"/>
          <w:color w:val="auto"/>
        </w:rPr>
        <w:t>Under the terms of the Vista Facility we are required to maintain liquidity, as of the last business day of each calendar month, of not less than $50.0 million.</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Guarantees and Security</w:t>
      </w:r>
    </w:p>
    <w:p>
      <w:pPr>
        <w:spacing w:after="0" w:line="128" w:lineRule="exact"/>
        <w:rPr>
          <w:sz w:val="20"/>
          <w:szCs w:val="20"/>
          <w:color w:val="auto"/>
        </w:rPr>
      </w:pPr>
    </w:p>
    <w:p>
      <w:pPr>
        <w:ind w:left="1520" w:right="1920" w:firstLine="230"/>
        <w:spacing w:after="0" w:line="281" w:lineRule="auto"/>
        <w:rPr>
          <w:sz w:val="20"/>
          <w:szCs w:val="20"/>
          <w:color w:val="auto"/>
        </w:rPr>
      </w:pPr>
      <w:r>
        <w:rPr>
          <w:rFonts w:ascii="Arial" w:cs="Arial" w:eastAsia="Arial" w:hAnsi="Arial"/>
          <w:sz w:val="12"/>
          <w:szCs w:val="12"/>
          <w:color w:val="auto"/>
        </w:rPr>
        <w:t>The obligations under the Vista Facility are required to be unconditionally guaranteed by our subsidiaries subject to certain exceptions for materiality, domicile and nature of subsidiary. Subsidiary guarantors of the Vista Facility generally include our direct and indirect wholly owned domestic subsidiaries and certain subsidiaries formed in the United Kingdom.</w:t>
      </w:r>
    </w:p>
    <w:p>
      <w:pPr>
        <w:spacing w:after="0" w:line="81" w:lineRule="exact"/>
        <w:rPr>
          <w:sz w:val="20"/>
          <w:szCs w:val="20"/>
          <w:color w:val="auto"/>
        </w:rPr>
      </w:pPr>
    </w:p>
    <w:p>
      <w:pPr>
        <w:ind w:left="1520" w:right="1840" w:firstLine="230"/>
        <w:spacing w:after="0" w:line="305" w:lineRule="auto"/>
        <w:rPr>
          <w:sz w:val="20"/>
          <w:szCs w:val="20"/>
          <w:color w:val="auto"/>
        </w:rPr>
      </w:pPr>
      <w:r>
        <w:rPr>
          <w:rFonts w:ascii="Arial" w:cs="Arial" w:eastAsia="Arial" w:hAnsi="Arial"/>
          <w:sz w:val="12"/>
          <w:szCs w:val="12"/>
          <w:color w:val="auto"/>
        </w:rPr>
        <w:t>As of February 24, 2025, Reed &amp; Mackay Travel Limited, Reed &amp; Mackay Travel Inc., Reed &amp; Mackay Holdings Limited, and Navan Labs UK Limited were the only subsidiary guarantors of the Vista Facility.</w:t>
      </w:r>
    </w:p>
    <w:p>
      <w:pPr>
        <w:sectPr>
          <w:pgSz w:w="11900" w:h="16840" w:orient="portrait"/>
          <w:cols w:equalWidth="0" w:num="1">
            <w:col w:w="9020"/>
          </w:cols>
          <w:pgMar w:left="1440" w:top="569" w:right="1440" w:bottom="4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202</w:t>
      </w:r>
    </w:p>
    <w:p>
      <w:pPr>
        <w:sectPr>
          <w:pgSz w:w="11900" w:h="16840" w:orient="portrait"/>
          <w:cols w:equalWidth="0" w:num="1">
            <w:col w:w="9020"/>
          </w:cols>
          <w:pgMar w:left="1440" w:top="569" w:right="1440" w:bottom="480" w:gutter="0" w:footer="0" w:header="0"/>
          <w:type w:val="continuous"/>
        </w:sectPr>
      </w:pPr>
    </w:p>
    <w:bookmarkStart w:id="139" w:name="page140"/>
    <w:bookmarkEnd w:id="139"/>
    <w:p>
      <w:pPr>
        <w:ind w:left="1520"/>
        <w:spacing w:after="0"/>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00" w:firstLine="230"/>
        <w:spacing w:after="0" w:line="275" w:lineRule="auto"/>
        <w:rPr>
          <w:sz w:val="20"/>
          <w:szCs w:val="20"/>
          <w:color w:val="auto"/>
        </w:rPr>
      </w:pPr>
      <w:r>
        <w:rPr>
          <w:rFonts w:ascii="Arial" w:cs="Arial" w:eastAsia="Arial" w:hAnsi="Arial"/>
          <w:sz w:val="12"/>
          <w:szCs w:val="12"/>
          <w:color w:val="auto"/>
        </w:rPr>
        <w:t>The obligations under the Vista Facility are secured, on a second-priority basis, by a lien on substantially all of the Company’s and the guarantors’ assets that constitute ABL priority collateral (generally, working capital assets such as accounts receivable and inventory), and on a first-priority basis by a lien on all other assets, including but not limited to equipment, intellectual property, equity interests in subsidiaries, deposit accounts, and certain other personal property, in each case subject to customary exceptions and permitted liens.</w:t>
      </w:r>
    </w:p>
    <w:p>
      <w:pPr>
        <w:spacing w:after="0" w:line="87"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Certain Other Covenants and Events of Default</w:t>
      </w:r>
    </w:p>
    <w:p>
      <w:pPr>
        <w:spacing w:after="0" w:line="128" w:lineRule="exact"/>
        <w:rPr>
          <w:sz w:val="20"/>
          <w:szCs w:val="20"/>
          <w:color w:val="auto"/>
        </w:rPr>
      </w:pPr>
    </w:p>
    <w:p>
      <w:pPr>
        <w:ind w:left="1520" w:right="1760" w:firstLine="230"/>
        <w:spacing w:after="0" w:line="273" w:lineRule="auto"/>
        <w:rPr>
          <w:sz w:val="20"/>
          <w:szCs w:val="20"/>
          <w:color w:val="auto"/>
        </w:rPr>
      </w:pPr>
      <w:r>
        <w:rPr>
          <w:rFonts w:ascii="Arial" w:cs="Arial" w:eastAsia="Arial" w:hAnsi="Arial"/>
          <w:sz w:val="12"/>
          <w:szCs w:val="12"/>
          <w:color w:val="auto"/>
        </w:rPr>
        <w:t>The Vista Facility includes customary covenants and events of default for agreements of this type, including various reporting, affirmative and negative covenants. With respect to negative covenants, the Vista Facility contains a number of other covenants that, among other things and subject to certain exceptions, restrict our ability to incur additional indebtedness (including capital leases), create liens, consolidate, merge, or undertake other corporate reorganizations, dispose of assets (including the equity interests of subsidiaries), make certain restricted payments, engage in transactions with affiliates, make loans, acquisitions and other investments, and enter into certain burdensome agreements.</w:t>
      </w:r>
    </w:p>
    <w:p>
      <w:pPr>
        <w:spacing w:after="0" w:line="88" w:lineRule="exact"/>
        <w:rPr>
          <w:sz w:val="20"/>
          <w:szCs w:val="20"/>
          <w:color w:val="auto"/>
        </w:rPr>
      </w:pPr>
    </w:p>
    <w:p>
      <w:pPr>
        <w:ind w:left="1520" w:right="1720" w:firstLine="230"/>
        <w:spacing w:after="0" w:line="289" w:lineRule="auto"/>
        <w:rPr>
          <w:sz w:val="20"/>
          <w:szCs w:val="20"/>
          <w:color w:val="auto"/>
        </w:rPr>
      </w:pPr>
      <w:r>
        <w:rPr>
          <w:rFonts w:ascii="Arial" w:cs="Arial" w:eastAsia="Arial" w:hAnsi="Arial"/>
          <w:sz w:val="12"/>
          <w:szCs w:val="12"/>
          <w:color w:val="auto"/>
        </w:rPr>
        <w:t>The Vista Facility contains customary events of default, including payment defaults, failure to perform or observe covenants, cross-defaults with certain other indebtedness, a change of control, and certain bankruptcy events, among others.</w:t>
      </w:r>
    </w:p>
    <w:p>
      <w:pPr>
        <w:spacing w:after="0" w:line="76"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highlight w:val="white"/>
        </w:rPr>
        <w:t>Warehouse Credit Facility</w:t>
      </w:r>
    </w:p>
    <w:p>
      <w:pPr>
        <w:spacing w:after="0" w:line="130" w:lineRule="exact"/>
        <w:rPr>
          <w:sz w:val="20"/>
          <w:szCs w:val="20"/>
          <w:color w:val="auto"/>
        </w:rPr>
      </w:pPr>
    </w:p>
    <w:p>
      <w:pPr>
        <w:ind w:left="1520" w:right="1700" w:firstLine="230"/>
        <w:spacing w:after="0" w:line="268" w:lineRule="auto"/>
        <w:rPr>
          <w:sz w:val="20"/>
          <w:szCs w:val="20"/>
          <w:color w:val="auto"/>
        </w:rPr>
      </w:pPr>
      <w:r>
        <w:rPr>
          <w:rFonts w:ascii="Arial" w:cs="Arial" w:eastAsia="Arial" w:hAnsi="Arial"/>
          <w:sz w:val="12"/>
          <w:szCs w:val="12"/>
          <w:color w:val="auto"/>
          <w:highlight w:val="white"/>
        </w:rPr>
        <w:t xml:space="preserve">On November 18, 2022, Liquid Labs SPV, LLC, or Liquid Labs, a wholly owned subsidiary of Navan, entered into a credit agreement, or the Warehouse Facility Agreement, with Goldman Sachs Bank USA, as administrative agent and the lenders party thereto, </w:t>
      </w:r>
      <w:r>
        <w:rPr>
          <w:rFonts w:ascii="Arial" w:cs="Arial" w:eastAsia="Arial" w:hAnsi="Arial"/>
          <w:sz w:val="12"/>
          <w:szCs w:val="12"/>
          <w:color w:val="auto"/>
        </w:rPr>
        <w:t>which, together with the Warehouse Facility</w:t>
      </w:r>
      <w:r>
        <w:rPr>
          <w:rFonts w:ascii="Arial" w:cs="Arial" w:eastAsia="Arial" w:hAnsi="Arial"/>
          <w:sz w:val="12"/>
          <w:szCs w:val="12"/>
          <w:color w:val="auto"/>
          <w:highlight w:val="white"/>
        </w:rPr>
        <w:t xml:space="preserve"> </w:t>
      </w:r>
      <w:r>
        <w:rPr>
          <w:rFonts w:ascii="Arial" w:cs="Arial" w:eastAsia="Arial" w:hAnsi="Arial"/>
          <w:sz w:val="12"/>
          <w:szCs w:val="12"/>
          <w:color w:val="auto"/>
        </w:rPr>
        <w:t xml:space="preserve">Agreement, we refer to as the </w:t>
      </w:r>
      <w:r>
        <w:rPr>
          <w:rFonts w:ascii="Arial" w:cs="Arial" w:eastAsia="Arial" w:hAnsi="Arial"/>
          <w:sz w:val="12"/>
          <w:szCs w:val="12"/>
          <w:color w:val="auto"/>
          <w:highlight w:val="white"/>
        </w:rPr>
        <w:t>Warehouse Credit Facility. On February 17, 2023, the Warehouse Facility</w:t>
      </w:r>
      <w:r>
        <w:rPr>
          <w:rFonts w:ascii="Arial" w:cs="Arial" w:eastAsia="Arial" w:hAnsi="Arial"/>
          <w:sz w:val="12"/>
          <w:szCs w:val="12"/>
          <w:color w:val="auto"/>
        </w:rPr>
        <w:t xml:space="preserve"> </w:t>
      </w:r>
      <w:r>
        <w:rPr>
          <w:rFonts w:ascii="Arial" w:cs="Arial" w:eastAsia="Arial" w:hAnsi="Arial"/>
          <w:sz w:val="12"/>
          <w:szCs w:val="12"/>
          <w:color w:val="auto"/>
          <w:highlight w:val="white"/>
        </w:rPr>
        <w:t>Agreement was amended to reflect our name change from “TripActions, Inc.” to “Navan, Inc.”, among other revisions reflected therein. On July 28, 2023, the Warehouse Facility Agreement was further amended to increase the total committed amount under the facility to $300.0 million, among other revisions reflected therein. On October 12, 2023, the Warehouse Facility Agreement was further amended to revise the definition of “Unrestricted Cash,” among other revisions reflected therein. On March 11, 2024, the Warehouse Facility Agreement was further amended to make certain receivables denominated in Euros and British Pounds eligible for financing thereunder, among other revisions reflected therein. On April 19, 2024, the Warehouse Facility Agreement was further amended to revise performance covenants, among other revisions reflected therein. On August 2, 2024, the Warehouse Facility Agreement was further amended to extend the maturity date to February 18, 2026, among other revisions reflected therein. On November 15, 2024, the Warehouse Facility Agreement was further amended to revise the definition of “Excess Concentration Amount” and “Eligible Card Account,” among other revisions reflected therein. On February 24, 2025, the Warehouse Facility Agreement was further amended to revise performance covenants, among other revisions reflected therein. On March 6, 2025, the Warehouse Facility Agreement was further amended to include a guaranty by Navan in favor of the administrative agent, among other revisions reflected therein. On April 16, 2025, the Warehouse Facility Agreement was further amended to extend the maturity date to February 18, 2028, among other revisions reflected therein. The proceeds of our Warehouse Credit Facility may be used to fund or pay the purchase price of eligible receivables acquired by Liquid Labs pursuant to a receivables purchase agreement and for general working capital and corporate purposes permitted under the facility’s documentation.</w:t>
      </w:r>
    </w:p>
    <w:p>
      <w:pPr>
        <w:spacing w:after="0" w:line="244" w:lineRule="exact"/>
        <w:rPr>
          <w:sz w:val="20"/>
          <w:szCs w:val="20"/>
          <w:color w:val="auto"/>
        </w:rPr>
      </w:pPr>
    </w:p>
    <w:p>
      <w:pPr>
        <w:ind w:left="1760"/>
        <w:spacing w:after="0"/>
        <w:rPr>
          <w:sz w:val="20"/>
          <w:szCs w:val="20"/>
          <w:color w:val="auto"/>
        </w:rPr>
      </w:pPr>
      <w:r>
        <w:rPr>
          <w:rFonts w:ascii="Arial" w:cs="Arial" w:eastAsia="Arial" w:hAnsi="Arial"/>
          <w:sz w:val="12"/>
          <w:szCs w:val="12"/>
          <w:color w:val="auto"/>
          <w:highlight w:val="white"/>
        </w:rPr>
        <w:t>The material terms of our Warehouse Credit Facility are described below.</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highlight w:val="white"/>
        </w:rPr>
        <w:t>Interest Rate and Fees</w:t>
      </w:r>
    </w:p>
    <w:p>
      <w:pPr>
        <w:spacing w:after="0" w:line="128" w:lineRule="exact"/>
        <w:rPr>
          <w:sz w:val="20"/>
          <w:szCs w:val="20"/>
          <w:color w:val="auto"/>
        </w:rPr>
      </w:pPr>
    </w:p>
    <w:p>
      <w:pPr>
        <w:ind w:left="1520" w:right="1940" w:firstLine="230"/>
        <w:spacing w:after="0" w:line="276" w:lineRule="auto"/>
        <w:rPr>
          <w:sz w:val="20"/>
          <w:szCs w:val="20"/>
          <w:color w:val="auto"/>
        </w:rPr>
      </w:pPr>
      <w:r>
        <w:rPr>
          <w:rFonts w:ascii="Arial" w:cs="Arial" w:eastAsia="Arial" w:hAnsi="Arial"/>
          <w:sz w:val="12"/>
          <w:szCs w:val="12"/>
          <w:color w:val="auto"/>
          <w:highlight w:val="white"/>
        </w:rPr>
        <w:t>Amounts borrowed under our Warehouse Credit Facility are subject to an interest rate per annum equal to, for the (i) Class A interest rate, the sum of one-month adjusted Term SOFR (with a floor of</w:t>
      </w:r>
    </w:p>
    <w:p>
      <w:pPr>
        <w:ind w:left="1520"/>
        <w:spacing w:after="0"/>
        <w:rPr>
          <w:sz w:val="20"/>
          <w:szCs w:val="20"/>
          <w:color w:val="auto"/>
        </w:rPr>
      </w:pPr>
      <w:r>
        <w:rPr>
          <w:rFonts w:ascii="Arial" w:cs="Arial" w:eastAsia="Arial" w:hAnsi="Arial"/>
          <w:sz w:val="12"/>
          <w:szCs w:val="12"/>
          <w:color w:val="auto"/>
          <w:highlight w:val="white"/>
        </w:rPr>
        <w:t>0.25%) plus 3.15% of the Class A loan principal balance that is less than or equal to $100,000,000 and</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203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880"/>
        <w:spacing w:after="0" w:line="312" w:lineRule="auto"/>
        <w:rPr>
          <w:sz w:val="20"/>
          <w:szCs w:val="20"/>
          <w:color w:val="auto"/>
        </w:rPr>
      </w:pPr>
      <w:r>
        <w:rPr>
          <w:rFonts w:ascii="Arial" w:cs="Arial" w:eastAsia="Arial" w:hAnsi="Arial"/>
          <w:sz w:val="12"/>
          <w:szCs w:val="12"/>
          <w:color w:val="auto"/>
          <w:highlight w:val="white"/>
        </w:rPr>
        <w:t>3.00% of the Class A loan principal balance that is greater than $100,000,000, and (ii) Class B interest rate, the sum of one-month Term SOFR (with a floor of 0.25%) plus 9.00%.</w:t>
      </w:r>
    </w:p>
    <w:p>
      <w:pPr>
        <w:spacing w:after="0" w:line="62" w:lineRule="exact"/>
        <w:rPr>
          <w:sz w:val="20"/>
          <w:szCs w:val="20"/>
          <w:color w:val="auto"/>
        </w:rPr>
      </w:pPr>
    </w:p>
    <w:p>
      <w:pPr>
        <w:ind w:left="1980" w:right="1740" w:hanging="228"/>
        <w:spacing w:after="0" w:line="312" w:lineRule="auto"/>
        <w:tabs>
          <w:tab w:leader="none" w:pos="198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An additional 1.00% is added on to both the Class A and Class B rates on or after November 18, 2024.</w:t>
      </w:r>
    </w:p>
    <w:p>
      <w:pPr>
        <w:spacing w:after="0" w:line="62" w:lineRule="exact"/>
        <w:rPr>
          <w:rFonts w:ascii="Arial" w:cs="Arial" w:eastAsia="Arial" w:hAnsi="Arial"/>
          <w:sz w:val="12"/>
          <w:szCs w:val="12"/>
          <w:color w:val="auto"/>
        </w:rPr>
      </w:pPr>
    </w:p>
    <w:p>
      <w:pPr>
        <w:ind w:left="1980" w:right="2380" w:hanging="228"/>
        <w:spacing w:after="0" w:line="312" w:lineRule="auto"/>
        <w:tabs>
          <w:tab w:leader="none" w:pos="198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An additional 2.00% is added on to both the Class A and Class B rates upon an early amortization event or an event of default.</w:t>
      </w:r>
    </w:p>
    <w:p>
      <w:pPr>
        <w:spacing w:after="0" w:line="62" w:lineRule="exact"/>
        <w:rPr>
          <w:sz w:val="20"/>
          <w:szCs w:val="20"/>
          <w:color w:val="auto"/>
        </w:rPr>
      </w:pPr>
    </w:p>
    <w:p>
      <w:pPr>
        <w:ind w:left="1520" w:right="1700" w:firstLine="230"/>
        <w:spacing w:after="0" w:line="280" w:lineRule="auto"/>
        <w:rPr>
          <w:sz w:val="20"/>
          <w:szCs w:val="20"/>
          <w:color w:val="auto"/>
        </w:rPr>
      </w:pPr>
      <w:r>
        <w:rPr>
          <w:rFonts w:ascii="Arial" w:cs="Arial" w:eastAsia="Arial" w:hAnsi="Arial"/>
          <w:sz w:val="12"/>
          <w:szCs w:val="12"/>
          <w:color w:val="auto"/>
          <w:highlight w:val="white"/>
        </w:rPr>
        <w:t>Class A fees include an upfront fee of 1.10% on the Class A committed amount, a Class B placement fee payable to administrative agent on 0.50% of the Class B committed amount on the closing date, draw fees equal to 0.50% of the Class A incremental drawn amount and in the case of prepayment, a Class A exit fee of 0.25% on the outstanding principal amount of the Class A advances and an undrawn fee of 0.50%.</w:t>
      </w:r>
    </w:p>
    <w:p>
      <w:pPr>
        <w:spacing w:after="0" w:line="236" w:lineRule="exact"/>
        <w:rPr>
          <w:sz w:val="20"/>
          <w:szCs w:val="20"/>
          <w:color w:val="auto"/>
        </w:rPr>
      </w:pPr>
    </w:p>
    <w:p>
      <w:pPr>
        <w:ind w:left="1520" w:right="1840" w:firstLine="230"/>
        <w:spacing w:after="0" w:line="312" w:lineRule="auto"/>
        <w:rPr>
          <w:sz w:val="20"/>
          <w:szCs w:val="20"/>
          <w:color w:val="auto"/>
        </w:rPr>
      </w:pPr>
      <w:r>
        <w:rPr>
          <w:rFonts w:ascii="Arial" w:cs="Arial" w:eastAsia="Arial" w:hAnsi="Arial"/>
          <w:sz w:val="12"/>
          <w:szCs w:val="12"/>
          <w:color w:val="auto"/>
          <w:highlight w:val="white"/>
        </w:rPr>
        <w:t>Class B fees include an upfront fee of 1.10% on the Class B committed amount, draw fees equal to 0.75% of the Class B incremental drawn amount, and an undrawn fee of 0.50%.</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highlight w:val="white"/>
        </w:rPr>
        <w:t>Voluntary Repayments</w:t>
      </w:r>
    </w:p>
    <w:p>
      <w:pPr>
        <w:spacing w:after="0" w:line="128" w:lineRule="exact"/>
        <w:rPr>
          <w:sz w:val="20"/>
          <w:szCs w:val="20"/>
          <w:color w:val="auto"/>
        </w:rPr>
      </w:pPr>
    </w:p>
    <w:p>
      <w:pPr>
        <w:ind w:left="1520" w:right="1900" w:firstLine="230"/>
        <w:spacing w:after="0" w:line="312" w:lineRule="auto"/>
        <w:rPr>
          <w:sz w:val="20"/>
          <w:szCs w:val="20"/>
          <w:color w:val="auto"/>
        </w:rPr>
      </w:pPr>
      <w:r>
        <w:rPr>
          <w:rFonts w:ascii="Arial" w:cs="Arial" w:eastAsia="Arial" w:hAnsi="Arial"/>
          <w:sz w:val="12"/>
          <w:szCs w:val="12"/>
          <w:color w:val="auto"/>
          <w:highlight w:val="white"/>
        </w:rPr>
        <w:t>We may voluntarily prepay outstanding advances under our Warehouse Credit Facility at any time without premium or penalty, other than customary “breakage” costs.</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highlight w:val="white"/>
        </w:rPr>
        <w:t>Maturity Date</w:t>
      </w:r>
    </w:p>
    <w:p>
      <w:pPr>
        <w:spacing w:after="0" w:line="128" w:lineRule="exact"/>
        <w:rPr>
          <w:sz w:val="20"/>
          <w:szCs w:val="20"/>
          <w:color w:val="auto"/>
        </w:rPr>
      </w:pPr>
    </w:p>
    <w:p>
      <w:pPr>
        <w:ind w:left="1760"/>
        <w:spacing w:after="0"/>
        <w:rPr>
          <w:sz w:val="20"/>
          <w:szCs w:val="20"/>
          <w:color w:val="auto"/>
        </w:rPr>
      </w:pPr>
      <w:r>
        <w:rPr>
          <w:rFonts w:ascii="Arial" w:cs="Arial" w:eastAsia="Arial" w:hAnsi="Arial"/>
          <w:sz w:val="12"/>
          <w:szCs w:val="12"/>
          <w:color w:val="auto"/>
          <w:highlight w:val="white"/>
        </w:rPr>
        <w:t>The maturity date of our Warehouse Credit Facility is February 18, 2028.</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highlight w:val="white"/>
        </w:rPr>
        <w:t>Guarantees and Security</w:t>
      </w:r>
    </w:p>
    <w:p>
      <w:pPr>
        <w:spacing w:after="0" w:line="128" w:lineRule="exact"/>
        <w:rPr>
          <w:sz w:val="20"/>
          <w:szCs w:val="20"/>
          <w:color w:val="auto"/>
        </w:rPr>
      </w:pPr>
    </w:p>
    <w:p>
      <w:pPr>
        <w:ind w:left="1520" w:right="1680" w:firstLine="230"/>
        <w:spacing w:after="0" w:line="312" w:lineRule="auto"/>
        <w:rPr>
          <w:sz w:val="20"/>
          <w:szCs w:val="20"/>
          <w:color w:val="auto"/>
        </w:rPr>
      </w:pPr>
      <w:r>
        <w:rPr>
          <w:rFonts w:ascii="Arial" w:cs="Arial" w:eastAsia="Arial" w:hAnsi="Arial"/>
          <w:sz w:val="12"/>
          <w:szCs w:val="12"/>
          <w:color w:val="auto"/>
          <w:highlight w:val="white"/>
        </w:rPr>
        <w:t>Navan unconditionally and irrevocably guarantees to the secured parties under our Warehouse Credit Facility the complete payment and performance of losses incurred by such secured party as a result of</w:t>
      </w:r>
    </w:p>
    <w:p>
      <w:pPr>
        <w:sectPr>
          <w:pgSz w:w="11900" w:h="16840" w:orient="portrait"/>
          <w:cols w:equalWidth="0" w:num="1">
            <w:col w:w="9020"/>
          </w:cols>
          <w:pgMar w:left="1440" w:top="885" w:right="1440" w:bottom="28" w:gutter="0" w:footer="0" w:header="0"/>
        </w:sectPr>
      </w:pPr>
    </w:p>
    <w:bookmarkStart w:id="140" w:name="page141"/>
    <w:bookmarkEnd w:id="140"/>
    <w:p>
      <w:pPr>
        <w:ind w:left="1520" w:right="1760"/>
        <w:spacing w:after="0" w:line="218" w:lineRule="auto"/>
        <w:rPr>
          <w:sz w:val="20"/>
          <w:szCs w:val="20"/>
          <w:color w:val="auto"/>
        </w:rPr>
      </w:pPr>
      <w:r>
        <w:rPr>
          <w:rFonts w:ascii="Arial" w:cs="Arial" w:eastAsia="Arial" w:hAnsi="Arial"/>
          <w:sz w:val="12"/>
          <w:szCs w:val="12"/>
          <w:color w:val="auto"/>
          <w:highlight w:val="white"/>
        </w:rPr>
        <w:t>certain intentional “bad acts,” which include (among other acts): fraud, malfeasance, intentional material misrepresentation, misappropriation of funds, noncompliance with applicable law or willful misconduct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-152400</wp:posOffset>
            </wp:positionV>
            <wp:extent cx="6732270" cy="99707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840"/>
        <w:spacing w:after="0" w:line="275" w:lineRule="auto"/>
        <w:rPr>
          <w:sz w:val="20"/>
          <w:szCs w:val="20"/>
          <w:color w:val="auto"/>
        </w:rPr>
      </w:pPr>
      <w:r>
        <w:rPr>
          <w:rFonts w:ascii="Arial" w:cs="Arial" w:eastAsia="Arial" w:hAnsi="Arial"/>
          <w:sz w:val="12"/>
          <w:szCs w:val="12"/>
          <w:color w:val="auto"/>
          <w:highlight w:val="white"/>
        </w:rPr>
        <w:t>SPV Borrower or Navan, breaches of reps and warranties that have a material adverse effect on the collectability of receivables taken as a whole, any incurrence of other indebtedness by SPV Borrower, filing of petitions for bankruptcy, regulatory events and certain other bad acts which are customary for a transaction of this nature.</w:t>
      </w:r>
    </w:p>
    <w:p>
      <w:pPr>
        <w:spacing w:after="0" w:line="83" w:lineRule="exact"/>
        <w:rPr>
          <w:sz w:val="20"/>
          <w:szCs w:val="20"/>
          <w:color w:val="auto"/>
        </w:rPr>
      </w:pPr>
    </w:p>
    <w:p>
      <w:pPr>
        <w:ind w:left="1520" w:right="1960" w:firstLine="230"/>
        <w:spacing w:after="0" w:line="312" w:lineRule="auto"/>
        <w:rPr>
          <w:sz w:val="20"/>
          <w:szCs w:val="20"/>
          <w:color w:val="auto"/>
        </w:rPr>
      </w:pPr>
      <w:r>
        <w:rPr>
          <w:rFonts w:ascii="Arial" w:cs="Arial" w:eastAsia="Arial" w:hAnsi="Arial"/>
          <w:sz w:val="12"/>
          <w:szCs w:val="12"/>
          <w:color w:val="auto"/>
          <w:highlight w:val="white"/>
        </w:rPr>
        <w:t>All obligations under our Warehouse Credit Facility are secured, subject to certain exceptions, by substantially all of SPV Borrower’s assets and Navan’s equity interests in Liquid Labs.</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highlight w:val="white"/>
        </w:rPr>
        <w:t>Financial Covenants</w:t>
      </w:r>
    </w:p>
    <w:p>
      <w:pPr>
        <w:spacing w:after="0" w:line="128" w:lineRule="exact"/>
        <w:rPr>
          <w:sz w:val="20"/>
          <w:szCs w:val="20"/>
          <w:color w:val="auto"/>
        </w:rPr>
      </w:pPr>
    </w:p>
    <w:p>
      <w:pPr>
        <w:ind w:left="1520" w:right="1680" w:firstLine="230"/>
        <w:spacing w:after="0" w:line="312" w:lineRule="auto"/>
        <w:rPr>
          <w:sz w:val="20"/>
          <w:szCs w:val="20"/>
          <w:color w:val="auto"/>
        </w:rPr>
      </w:pPr>
      <w:r>
        <w:rPr>
          <w:rFonts w:ascii="Arial" w:cs="Arial" w:eastAsia="Arial" w:hAnsi="Arial"/>
          <w:sz w:val="12"/>
          <w:szCs w:val="12"/>
          <w:color w:val="auto"/>
          <w:highlight w:val="white"/>
        </w:rPr>
        <w:t xml:space="preserve">We are required to comply with certain financial covenants under our Warehouse Credit Facility which include the below. </w:t>
      </w:r>
      <w:r>
        <w:rPr>
          <w:rFonts w:ascii="Arial" w:cs="Arial" w:eastAsia="Arial" w:hAnsi="Arial"/>
          <w:sz w:val="12"/>
          <w:szCs w:val="12"/>
          <w:color w:val="auto"/>
        </w:rPr>
        <w:t>This offering constitutes a qualifying public offering as described below.</w:t>
      </w:r>
    </w:p>
    <w:p>
      <w:pPr>
        <w:spacing w:after="0" w:line="62" w:lineRule="exact"/>
        <w:rPr>
          <w:sz w:val="20"/>
          <w:szCs w:val="20"/>
          <w:color w:val="auto"/>
        </w:rPr>
      </w:pPr>
    </w:p>
    <w:p>
      <w:pPr>
        <w:ind w:left="1520" w:right="1800" w:firstLine="230"/>
        <w:spacing w:after="0" w:line="276" w:lineRule="auto"/>
        <w:rPr>
          <w:sz w:val="20"/>
          <w:szCs w:val="20"/>
          <w:color w:val="auto"/>
        </w:rPr>
      </w:pPr>
      <w:r>
        <w:rPr>
          <w:rFonts w:ascii="Arial" w:cs="Arial" w:eastAsia="Arial" w:hAnsi="Arial"/>
          <w:sz w:val="12"/>
          <w:szCs w:val="12"/>
          <w:i w:val="1"/>
          <w:iCs w:val="1"/>
          <w:color w:val="auto"/>
          <w:highlight w:val="white"/>
        </w:rPr>
        <w:t xml:space="preserve">Tangible Net Worth. </w:t>
      </w:r>
      <w:r>
        <w:rPr>
          <w:rFonts w:ascii="Arial" w:cs="Arial" w:eastAsia="Arial" w:hAnsi="Arial"/>
          <w:sz w:val="12"/>
          <w:szCs w:val="12"/>
          <w:color w:val="auto"/>
          <w:highlight w:val="white"/>
        </w:rPr>
        <w:t>Prior to any qualifying public offering, as of the last day of any calendar month,</w:t>
      </w:r>
      <w:r>
        <w:rPr>
          <w:rFonts w:ascii="Arial" w:cs="Arial" w:eastAsia="Arial" w:hAnsi="Arial"/>
          <w:sz w:val="12"/>
          <w:szCs w:val="12"/>
          <w:i w:val="1"/>
          <w:iCs w:val="1"/>
          <w:color w:val="auto"/>
          <w:highlight w:val="white"/>
        </w:rPr>
        <w:t xml:space="preserve"> </w:t>
      </w:r>
      <w:r>
        <w:rPr>
          <w:rFonts w:ascii="Arial" w:cs="Arial" w:eastAsia="Arial" w:hAnsi="Arial"/>
          <w:sz w:val="12"/>
          <w:szCs w:val="12"/>
          <w:color w:val="auto"/>
          <w:highlight w:val="white"/>
        </w:rPr>
        <w:t>or from and after any qualifying public offering, as of the last day of any fiscal quarter, the tangible net worth of Navan shall be less than the greater of (i) the sum of (A) $100,000,000 and (B) twenty percent (20.00%) of the net cash proceeds received by Navan in all issuances of equity interests occurring after February 24, 2025 and (ii) any minimum net worth or similar covenant set forth in any comparable transaction;</w:t>
      </w:r>
    </w:p>
    <w:p>
      <w:pPr>
        <w:spacing w:after="0" w:line="240" w:lineRule="exact"/>
        <w:rPr>
          <w:sz w:val="20"/>
          <w:szCs w:val="20"/>
          <w:color w:val="auto"/>
        </w:rPr>
      </w:pPr>
    </w:p>
    <w:p>
      <w:pPr>
        <w:jc w:val="both"/>
        <w:ind w:left="1520" w:right="1820" w:firstLine="230"/>
        <w:spacing w:after="0" w:line="281" w:lineRule="auto"/>
        <w:rPr>
          <w:sz w:val="20"/>
          <w:szCs w:val="20"/>
          <w:color w:val="auto"/>
        </w:rPr>
      </w:pPr>
      <w:r>
        <w:rPr>
          <w:rFonts w:ascii="Arial" w:cs="Arial" w:eastAsia="Arial" w:hAnsi="Arial"/>
          <w:sz w:val="12"/>
          <w:szCs w:val="12"/>
          <w:i w:val="1"/>
          <w:iCs w:val="1"/>
          <w:color w:val="auto"/>
          <w:highlight w:val="white"/>
        </w:rPr>
        <w:t xml:space="preserve">Leverage Ratio. </w:t>
      </w:r>
      <w:r>
        <w:rPr>
          <w:rFonts w:ascii="Arial" w:cs="Arial" w:eastAsia="Arial" w:hAnsi="Arial"/>
          <w:sz w:val="12"/>
          <w:szCs w:val="12"/>
          <w:color w:val="auto"/>
          <w:highlight w:val="white"/>
        </w:rPr>
        <w:t>Prior to any qualifying public offering, as of the last day of any calendar month, or</w:t>
      </w:r>
      <w:r>
        <w:rPr>
          <w:rFonts w:ascii="Arial" w:cs="Arial" w:eastAsia="Arial" w:hAnsi="Arial"/>
          <w:sz w:val="12"/>
          <w:szCs w:val="12"/>
          <w:i w:val="1"/>
          <w:iCs w:val="1"/>
          <w:color w:val="auto"/>
          <w:highlight w:val="white"/>
        </w:rPr>
        <w:t xml:space="preserve"> </w:t>
      </w:r>
      <w:r>
        <w:rPr>
          <w:rFonts w:ascii="Arial" w:cs="Arial" w:eastAsia="Arial" w:hAnsi="Arial"/>
          <w:sz w:val="12"/>
          <w:szCs w:val="12"/>
          <w:color w:val="auto"/>
          <w:highlight w:val="white"/>
        </w:rPr>
        <w:t>from and after any qualifying public offering, as of the last day of any fiscal quarter, the leverage ratio of Navan shall be greater than the lesser of (i) 3.75:1.0 and (ii) the maximum ratio for any leverage ratio or similar covenant set forth in any comparable transaction;</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204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40" w:firstLine="230"/>
        <w:spacing w:after="0" w:line="281" w:lineRule="auto"/>
        <w:rPr>
          <w:sz w:val="20"/>
          <w:szCs w:val="20"/>
          <w:color w:val="auto"/>
        </w:rPr>
      </w:pPr>
      <w:r>
        <w:rPr>
          <w:rFonts w:ascii="Arial" w:cs="Arial" w:eastAsia="Arial" w:hAnsi="Arial"/>
          <w:sz w:val="12"/>
          <w:szCs w:val="12"/>
          <w:i w:val="1"/>
          <w:iCs w:val="1"/>
          <w:color w:val="auto"/>
          <w:highlight w:val="white"/>
        </w:rPr>
        <w:t xml:space="preserve">Corporate Leverage Ratio. </w:t>
      </w:r>
      <w:r>
        <w:rPr>
          <w:rFonts w:ascii="Arial" w:cs="Arial" w:eastAsia="Arial" w:hAnsi="Arial"/>
          <w:sz w:val="12"/>
          <w:szCs w:val="12"/>
          <w:color w:val="auto"/>
          <w:highlight w:val="white"/>
        </w:rPr>
        <w:t>Prior to any qualifying public offering, as of the last day of any calendar</w:t>
      </w:r>
      <w:r>
        <w:rPr>
          <w:rFonts w:ascii="Arial" w:cs="Arial" w:eastAsia="Arial" w:hAnsi="Arial"/>
          <w:sz w:val="12"/>
          <w:szCs w:val="12"/>
          <w:i w:val="1"/>
          <w:iCs w:val="1"/>
          <w:color w:val="auto"/>
          <w:highlight w:val="white"/>
        </w:rPr>
        <w:t xml:space="preserve"> </w:t>
      </w:r>
      <w:r>
        <w:rPr>
          <w:rFonts w:ascii="Arial" w:cs="Arial" w:eastAsia="Arial" w:hAnsi="Arial"/>
          <w:sz w:val="12"/>
          <w:szCs w:val="12"/>
          <w:color w:val="auto"/>
          <w:highlight w:val="white"/>
        </w:rPr>
        <w:t>month, or from and after any qualifying public offering, as of the last day of any fiscal quarter, the corporate leverage ratio of Navan shall be greater than the lesser of (i) 2.0:1.0 and (ii) the maximum ratio for any corporate leverage ratio or similar covenant set forth in any comparable transaction; or</w:t>
      </w:r>
    </w:p>
    <w:p>
      <w:pPr>
        <w:spacing w:after="0" w:line="81" w:lineRule="exact"/>
        <w:rPr>
          <w:sz w:val="20"/>
          <w:szCs w:val="20"/>
          <w:color w:val="auto"/>
        </w:rPr>
      </w:pPr>
    </w:p>
    <w:p>
      <w:pPr>
        <w:jc w:val="both"/>
        <w:ind w:left="1520" w:right="1740" w:firstLine="230"/>
        <w:spacing w:after="0" w:line="281" w:lineRule="auto"/>
        <w:rPr>
          <w:sz w:val="20"/>
          <w:szCs w:val="20"/>
          <w:color w:val="auto"/>
        </w:rPr>
      </w:pPr>
      <w:r>
        <w:rPr>
          <w:rFonts w:ascii="Arial" w:cs="Arial" w:eastAsia="Arial" w:hAnsi="Arial"/>
          <w:sz w:val="12"/>
          <w:szCs w:val="12"/>
          <w:i w:val="1"/>
          <w:iCs w:val="1"/>
          <w:color w:val="auto"/>
          <w:highlight w:val="white"/>
        </w:rPr>
        <w:t xml:space="preserve">Unrestricted Cash. </w:t>
      </w:r>
      <w:r>
        <w:rPr>
          <w:rFonts w:ascii="Arial" w:cs="Arial" w:eastAsia="Arial" w:hAnsi="Arial"/>
          <w:sz w:val="12"/>
          <w:szCs w:val="12"/>
          <w:color w:val="auto"/>
          <w:highlight w:val="white"/>
        </w:rPr>
        <w:t>As of any day, the unrestricted cash of Navan shall be less than the greater of (i)</w:t>
      </w:r>
      <w:r>
        <w:rPr>
          <w:rFonts w:ascii="Arial" w:cs="Arial" w:eastAsia="Arial" w:hAnsi="Arial"/>
          <w:sz w:val="12"/>
          <w:szCs w:val="12"/>
          <w:i w:val="1"/>
          <w:iCs w:val="1"/>
          <w:color w:val="auto"/>
          <w:highlight w:val="white"/>
        </w:rPr>
        <w:t xml:space="preserve"> </w:t>
      </w:r>
      <w:r>
        <w:rPr>
          <w:rFonts w:ascii="Arial" w:cs="Arial" w:eastAsia="Arial" w:hAnsi="Arial"/>
          <w:sz w:val="12"/>
          <w:szCs w:val="12"/>
          <w:color w:val="auto"/>
          <w:highlight w:val="white"/>
        </w:rPr>
        <w:t>$100,000,000, (ii) Navan average monthly burn during the most recently ended period of three calendar months and (iii) the dollar minimum for any minimum liquidity or unrestricted cash or similar covenant set forth in any comparable transaction.</w:t>
      </w:r>
    </w:p>
    <w:p>
      <w:pPr>
        <w:spacing w:after="0" w:line="8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highlight w:val="white"/>
        </w:rPr>
        <w:t>Certain Other Covenants and Events of Default</w:t>
      </w:r>
    </w:p>
    <w:p>
      <w:pPr>
        <w:spacing w:after="0" w:line="128" w:lineRule="exact"/>
        <w:rPr>
          <w:sz w:val="20"/>
          <w:szCs w:val="20"/>
          <w:color w:val="auto"/>
        </w:rPr>
      </w:pPr>
    </w:p>
    <w:p>
      <w:pPr>
        <w:ind w:left="1520" w:right="1880" w:firstLine="230"/>
        <w:spacing w:after="0" w:line="312" w:lineRule="auto"/>
        <w:rPr>
          <w:sz w:val="20"/>
          <w:szCs w:val="20"/>
          <w:color w:val="auto"/>
        </w:rPr>
      </w:pPr>
      <w:r>
        <w:rPr>
          <w:rFonts w:ascii="Arial" w:cs="Arial" w:eastAsia="Arial" w:hAnsi="Arial"/>
          <w:sz w:val="12"/>
          <w:szCs w:val="12"/>
          <w:color w:val="auto"/>
          <w:highlight w:val="white"/>
        </w:rPr>
        <w:t>Our Warehouse Credit Facility contains a number of other covenants that, among other things and subject to certain exceptions, restrict the ability of SPV Borrower to:</w:t>
      </w:r>
    </w:p>
    <w:p>
      <w:pPr>
        <w:spacing w:after="0" w:line="62" w:lineRule="exact"/>
        <w:rPr>
          <w:sz w:val="20"/>
          <w:szCs w:val="20"/>
          <w:color w:val="auto"/>
        </w:rPr>
      </w:pPr>
    </w:p>
    <w:p>
      <w:pPr>
        <w:ind w:left="1980" w:hanging="228"/>
        <w:spacing w:after="0"/>
        <w:tabs>
          <w:tab w:leader="none" w:pos="198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incur additional indebtedness;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create liens;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consolidate or merge;</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sell assets;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pay dividends its equity interests;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engage in transactions with our affiliates; and</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amend credit and collection policies.</w:t>
      </w:r>
    </w:p>
    <w:p>
      <w:pPr>
        <w:spacing w:after="0" w:line="130" w:lineRule="exact"/>
        <w:rPr>
          <w:sz w:val="20"/>
          <w:szCs w:val="20"/>
          <w:color w:val="auto"/>
        </w:rPr>
      </w:pPr>
    </w:p>
    <w:p>
      <w:pPr>
        <w:ind w:left="1520" w:right="1760" w:firstLine="230"/>
        <w:spacing w:after="0" w:line="289" w:lineRule="auto"/>
        <w:rPr>
          <w:sz w:val="20"/>
          <w:szCs w:val="20"/>
          <w:color w:val="auto"/>
        </w:rPr>
      </w:pPr>
      <w:r>
        <w:rPr>
          <w:rFonts w:ascii="Arial" w:cs="Arial" w:eastAsia="Arial" w:hAnsi="Arial"/>
          <w:sz w:val="12"/>
          <w:szCs w:val="12"/>
          <w:color w:val="auto"/>
          <w:highlight w:val="white"/>
        </w:rPr>
        <w:t>The credit agreement governing our Warehouse Credit Facility contains customary events of default, including payment defaults, failure to perform or observe covenants, cross-defaults with certain other indebtedness, and a change of control,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205</w:t>
      </w:r>
    </w:p>
    <w:p>
      <w:pPr>
        <w:sectPr>
          <w:pgSz w:w="11900" w:h="16840" w:orient="portrait"/>
          <w:cols w:equalWidth="0" w:num="1">
            <w:col w:w="9020"/>
          </w:cols>
          <w:pgMar w:left="1440" w:top="560" w:right="1440" w:bottom="3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ectPr>
          <w:pgSz w:w="11900" w:h="16840" w:orient="portrait"/>
          <w:cols w:equalWidth="0" w:num="1">
            <w:col w:w="9020"/>
          </w:cols>
          <w:pgMar w:left="1440" w:top="560" w:right="1440" w:bottom="354" w:gutter="0" w:footer="0" w:header="0"/>
          <w:type w:val="continuous"/>
        </w:sectPr>
      </w:pPr>
    </w:p>
    <w:bookmarkStart w:id="141" w:name="page142"/>
    <w:bookmarkEnd w:id="141"/>
    <w:p>
      <w:pPr>
        <w:jc w:val="center"/>
        <w:ind w:right="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DESCRIPTION OF CAPITAL STOCK</w:t>
      </w:r>
    </w:p>
    <w:p>
      <w:pPr>
        <w:spacing w:after="0" w:line="130"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General</w:t>
      </w:r>
    </w:p>
    <w:p>
      <w:pPr>
        <w:spacing w:after="0" w:line="130"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The following description summarizes the most important terms of our capital stock, as they will be in effect following this offering. Because it is only a summary, it does not contain all the information that may be important to you. We expect to adopt an amended and restated certificate of incorporation and amended and restated bylaws that will become effective immediately prior to the completion of this offering, and this description summarizes provisions that are expected to be included in these documents. For a complete description, you should refer to our amended and restated certificate of incorporation, amended and restated bylaws, and our IRA, which are included as exhibits to the registration statement of which this prospectus forms a part, and to the applicable provisions of Delaware law.</w:t>
      </w:r>
    </w:p>
    <w:p>
      <w:pPr>
        <w:spacing w:after="0" w:line="88" w:lineRule="exact"/>
        <w:rPr>
          <w:sz w:val="20"/>
          <w:szCs w:val="20"/>
          <w:color w:val="auto"/>
        </w:rPr>
      </w:pPr>
    </w:p>
    <w:p>
      <w:pPr>
        <w:ind w:left="1520" w:right="1600" w:firstLine="230"/>
        <w:spacing w:after="0" w:line="281" w:lineRule="auto"/>
        <w:rPr>
          <w:sz w:val="20"/>
          <w:szCs w:val="20"/>
          <w:color w:val="auto"/>
        </w:rPr>
      </w:pPr>
      <w:r>
        <w:rPr>
          <w:rFonts w:ascii="Arial" w:cs="Arial" w:eastAsia="Arial" w:hAnsi="Arial"/>
          <w:sz w:val="12"/>
          <w:szCs w:val="12"/>
          <w:color w:val="auto"/>
        </w:rPr>
        <w:t>Upon the completion of this offering, our authorized capital stock will consist of 2,000,000,000 shares of our Class A common stock, $0.00000625 par value per share, 50,000,000 shares of our Class B common stock, $0.00000625 par value per share, and 20,000,000 shares of undesignated preferred stock, $0.00000625 par value per share.</w:t>
      </w:r>
    </w:p>
    <w:p>
      <w:pPr>
        <w:spacing w:after="0" w:line="81" w:lineRule="exact"/>
        <w:rPr>
          <w:sz w:val="20"/>
          <w:szCs w:val="20"/>
          <w:color w:val="auto"/>
        </w:rPr>
      </w:pPr>
    </w:p>
    <w:p>
      <w:pPr>
        <w:jc w:val="both"/>
        <w:ind w:left="1520" w:right="1880" w:firstLine="230"/>
        <w:spacing w:after="0" w:line="289" w:lineRule="auto"/>
        <w:rPr>
          <w:sz w:val="20"/>
          <w:szCs w:val="20"/>
          <w:color w:val="auto"/>
        </w:rPr>
      </w:pPr>
      <w:r>
        <w:rPr>
          <w:rFonts w:ascii="Arial" w:cs="Arial" w:eastAsia="Arial" w:hAnsi="Arial"/>
          <w:sz w:val="12"/>
          <w:szCs w:val="12"/>
          <w:color w:val="auto"/>
        </w:rPr>
        <w:t>Assuming the occurrence of the Capital Stock Conversion, the Class B Stock Exchange, the Note Conversion, the SAFE Conversion, and the Warrant Exercises, in each case as of July 31, 2025, there were outstanding:</w:t>
      </w:r>
    </w:p>
    <w:p>
      <w:pPr>
        <w:spacing w:after="0" w:line="76" w:lineRule="exact"/>
        <w:rPr>
          <w:sz w:val="20"/>
          <w:szCs w:val="20"/>
          <w:color w:val="auto"/>
        </w:rPr>
      </w:pPr>
    </w:p>
    <w:p>
      <w:pPr>
        <w:ind w:left="1760" w:right="2100"/>
        <w:spacing w:after="0" w:line="465" w:lineRule="auto"/>
        <w:rPr>
          <w:sz w:val="20"/>
          <w:szCs w:val="20"/>
          <w:color w:val="auto"/>
        </w:rPr>
      </w:pPr>
      <w:r>
        <w:rPr>
          <w:rFonts w:ascii="Arial" w:cs="Arial" w:eastAsia="Arial" w:hAnsi="Arial"/>
          <w:sz w:val="12"/>
          <w:szCs w:val="12"/>
          <w:color w:val="auto"/>
        </w:rPr>
        <w:t>• 200,961,542 shares of our Class A common stock, held by 1,132 stockholders of record; • 15,304,696 shares of our Class B common stock, held by 10 stockholders of record;</w:t>
      </w:r>
    </w:p>
    <w:p>
      <w:pPr>
        <w:spacing w:after="0" w:line="1" w:lineRule="exact"/>
        <w:rPr>
          <w:sz w:val="20"/>
          <w:szCs w:val="20"/>
          <w:color w:val="auto"/>
        </w:rPr>
      </w:pPr>
    </w:p>
    <w:p>
      <w:pPr>
        <w:ind w:left="1980" w:right="1720" w:hanging="228"/>
        <w:spacing w:after="0" w:line="289" w:lineRule="auto"/>
        <w:tabs>
          <w:tab w:leader="none" w:pos="198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41,581,733 shares of our Class A common stock issuable upon the exercise of stock options, of which 8,611,649 shares will be exchangeable for an equal number of shares of Class B common stock at the election of our co-founders upon exercise;</w:t>
      </w:r>
    </w:p>
    <w:p>
      <w:pPr>
        <w:spacing w:after="0" w:line="75" w:lineRule="exact"/>
        <w:rPr>
          <w:rFonts w:ascii="Arial" w:cs="Arial" w:eastAsia="Arial" w:hAnsi="Arial"/>
          <w:sz w:val="12"/>
          <w:szCs w:val="12"/>
          <w:color w:val="auto"/>
        </w:rPr>
      </w:pPr>
    </w:p>
    <w:p>
      <w:pPr>
        <w:ind w:left="1980" w:right="1680" w:hanging="228"/>
        <w:spacing w:after="0" w:line="289" w:lineRule="auto"/>
        <w:tabs>
          <w:tab w:leader="none" w:pos="198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7,771,766 shares of our Class A common stock issuable upon the vesting and settlement of RSUs, of which 1,742,147 shares will be exchangeable for an equal number of shares of Class B common stock at the election of our co-founders upon vest and settlement; and</w:t>
      </w:r>
    </w:p>
    <w:p>
      <w:pPr>
        <w:spacing w:after="0" w:line="75" w:lineRule="exact"/>
        <w:rPr>
          <w:rFonts w:ascii="Arial" w:cs="Arial" w:eastAsia="Arial" w:hAnsi="Arial"/>
          <w:sz w:val="12"/>
          <w:szCs w:val="12"/>
          <w:color w:val="auto"/>
        </w:rPr>
      </w:pPr>
    </w:p>
    <w:p>
      <w:pPr>
        <w:ind w:left="1980" w:right="2300" w:hanging="228"/>
        <w:spacing w:after="0" w:line="312" w:lineRule="auto"/>
        <w:tabs>
          <w:tab w:leader="none" w:pos="198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40,160 shares of our Class A common stock issuable upon the exercise of warrants to purchase shares of Class A common stock.</w:t>
      </w:r>
    </w:p>
    <w:p>
      <w:pPr>
        <w:spacing w:after="0" w:line="62"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Class A Common Stock and Class B Common Stock</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Dividend Rights</w:t>
      </w:r>
    </w:p>
    <w:p>
      <w:pPr>
        <w:spacing w:after="0" w:line="128" w:lineRule="exact"/>
        <w:rPr>
          <w:sz w:val="20"/>
          <w:szCs w:val="20"/>
          <w:color w:val="auto"/>
        </w:rPr>
      </w:pPr>
    </w:p>
    <w:p>
      <w:pPr>
        <w:ind w:left="1520" w:right="1740" w:firstLine="230"/>
        <w:spacing w:after="0" w:line="280" w:lineRule="auto"/>
        <w:rPr>
          <w:sz w:val="20"/>
          <w:szCs w:val="20"/>
          <w:color w:val="auto"/>
        </w:rPr>
      </w:pPr>
      <w:r>
        <w:rPr>
          <w:rFonts w:ascii="Arial" w:cs="Arial" w:eastAsia="Arial" w:hAnsi="Arial"/>
          <w:sz w:val="12"/>
          <w:szCs w:val="12"/>
          <w:color w:val="auto"/>
        </w:rPr>
        <w:t>Subject to preferences that may apply to any shares of convertible preferred stock outstanding at the time, the holders of shares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w:t>
      </w:r>
    </w:p>
    <w:p>
      <w:pPr>
        <w:spacing w:after="0" w:line="23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Voting Rights</w:t>
      </w:r>
    </w:p>
    <w:p>
      <w:pPr>
        <w:spacing w:after="0" w:line="128" w:lineRule="exact"/>
        <w:rPr>
          <w:sz w:val="20"/>
          <w:szCs w:val="20"/>
          <w:color w:val="auto"/>
        </w:rPr>
      </w:pPr>
    </w:p>
    <w:p>
      <w:pPr>
        <w:ind w:left="1520" w:right="1680" w:firstLine="230"/>
        <w:spacing w:after="0" w:line="272" w:lineRule="auto"/>
        <w:rPr>
          <w:sz w:val="20"/>
          <w:szCs w:val="20"/>
          <w:color w:val="auto"/>
        </w:rPr>
      </w:pPr>
      <w:r>
        <w:rPr>
          <w:rFonts w:ascii="Arial" w:cs="Arial" w:eastAsia="Arial" w:hAnsi="Arial"/>
          <w:sz w:val="12"/>
          <w:szCs w:val="12"/>
          <w:color w:val="auto"/>
        </w:rPr>
        <w:t>Holders of shares of our Class A common stock are entitled to one vote for each share of Class A common stock held on all matters submitted to a vote of stockholders and holders of our Class B common stock are entitled to 30 votes for each share of Class B common stock held on all matters submitted to a vote of stockholders. Following this offering, the holders of our outstanding Class B common stock will beneficially own approximately 74% of the voting power of our outstanding capital stock, with our directors, executive officers, and beneficial owners of 5% or greater of our outstanding capital stock and their respective affiliates beneficially owning approximately 89% of the voting power in the aggregate. Holders of shares of our Class A common stock and Class B common stock vote together as a single</w:t>
      </w: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206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860"/>
        <w:spacing w:after="0" w:line="289" w:lineRule="auto"/>
        <w:rPr>
          <w:sz w:val="20"/>
          <w:szCs w:val="20"/>
          <w:color w:val="auto"/>
        </w:rPr>
      </w:pPr>
      <w:r>
        <w:rPr>
          <w:rFonts w:ascii="Arial" w:cs="Arial" w:eastAsia="Arial" w:hAnsi="Arial"/>
          <w:sz w:val="12"/>
          <w:szCs w:val="12"/>
          <w:color w:val="auto"/>
        </w:rPr>
        <w:t>class on all matters (including the election of directors) submitted to a vote of stockholders, unless otherwise required by Delaware law. Delaware law could require either holders of our Class A common stock or Class B common stock to vote separately as a single class in the following circumstances:</w:t>
      </w:r>
    </w:p>
    <w:p>
      <w:pPr>
        <w:spacing w:after="0" w:line="76" w:lineRule="exact"/>
        <w:rPr>
          <w:sz w:val="20"/>
          <w:szCs w:val="20"/>
          <w:color w:val="auto"/>
        </w:rPr>
      </w:pPr>
    </w:p>
    <w:p>
      <w:pPr>
        <w:ind w:left="1980" w:right="1760" w:hanging="228"/>
        <w:spacing w:after="0" w:line="289" w:lineRule="auto"/>
        <w:tabs>
          <w:tab w:leader="none" w:pos="198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75" w:lineRule="exact"/>
        <w:rPr>
          <w:rFonts w:ascii="Arial" w:cs="Arial" w:eastAsia="Arial" w:hAnsi="Arial"/>
          <w:sz w:val="12"/>
          <w:szCs w:val="12"/>
          <w:color w:val="auto"/>
        </w:rPr>
      </w:pPr>
    </w:p>
    <w:p>
      <w:pPr>
        <w:ind w:left="1980" w:right="1680" w:hanging="228"/>
        <w:spacing w:after="0" w:line="281" w:lineRule="auto"/>
        <w:tabs>
          <w:tab w:leader="none" w:pos="198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81" w:lineRule="exact"/>
        <w:rPr>
          <w:sz w:val="20"/>
          <w:szCs w:val="20"/>
          <w:color w:val="auto"/>
        </w:rPr>
      </w:pPr>
    </w:p>
    <w:p>
      <w:pPr>
        <w:ind w:left="1520" w:right="1780" w:firstLine="230"/>
        <w:spacing w:after="0" w:line="273" w:lineRule="auto"/>
        <w:rPr>
          <w:sz w:val="20"/>
          <w:szCs w:val="20"/>
          <w:color w:val="auto"/>
        </w:rPr>
      </w:pPr>
      <w:r>
        <w:rPr>
          <w:rFonts w:ascii="Arial" w:cs="Arial" w:eastAsia="Arial" w:hAnsi="Arial"/>
          <w:sz w:val="12"/>
          <w:szCs w:val="12"/>
          <w:color w:val="auto"/>
        </w:rPr>
        <w:t>In addition, our amended and restated certificate of incorporation will provide that a separate vote of the holders of our Class B common stock will be required in connection with any amendment to the certificate of incorporation that would alter the rights of the Class B common stock, reclassify any shares of Class A common stock into shares senior to the Class B common stock, or authorize the issuance of any shares of capital stock with voting rights greater than one vote per share (other than the Class B common stock). We have not provided for cumulative voting for the election of directors in our amended and restated certificate of incorporation that will become effective immediately prior to the completion of this offering.</w:t>
      </w:r>
    </w:p>
    <w:p>
      <w:pPr>
        <w:spacing w:after="0" w:line="24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No Preemptive or Similar Rights</w:t>
      </w:r>
    </w:p>
    <w:p>
      <w:pPr>
        <w:spacing w:after="0" w:line="128" w:lineRule="exact"/>
        <w:rPr>
          <w:sz w:val="20"/>
          <w:szCs w:val="20"/>
          <w:color w:val="auto"/>
        </w:rPr>
      </w:pPr>
    </w:p>
    <w:p>
      <w:pPr>
        <w:ind w:left="1520" w:right="1940" w:firstLine="230"/>
        <w:spacing w:after="0" w:line="312" w:lineRule="auto"/>
        <w:rPr>
          <w:sz w:val="20"/>
          <w:szCs w:val="20"/>
          <w:color w:val="auto"/>
        </w:rPr>
      </w:pPr>
      <w:r>
        <w:rPr>
          <w:rFonts w:ascii="Arial" w:cs="Arial" w:eastAsia="Arial" w:hAnsi="Arial"/>
          <w:sz w:val="12"/>
          <w:szCs w:val="12"/>
          <w:color w:val="auto"/>
        </w:rPr>
        <w:t>Our common stock is not entitled to preemptive rights, and is not subject to redemption or sinking fund provisions.</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Right to Receive Liquidation Distributions</w:t>
      </w:r>
    </w:p>
    <w:p>
      <w:pPr>
        <w:spacing w:after="0" w:line="128" w:lineRule="exact"/>
        <w:rPr>
          <w:sz w:val="20"/>
          <w:szCs w:val="20"/>
          <w:color w:val="auto"/>
        </w:rPr>
      </w:pPr>
    </w:p>
    <w:p>
      <w:pPr>
        <w:ind w:left="1520" w:right="1720" w:firstLine="230"/>
        <w:spacing w:after="0" w:line="277" w:lineRule="auto"/>
        <w:rPr>
          <w:sz w:val="20"/>
          <w:szCs w:val="20"/>
          <w:color w:val="auto"/>
        </w:rPr>
      </w:pPr>
      <w:r>
        <w:rPr>
          <w:rFonts w:ascii="Arial" w:cs="Arial" w:eastAsia="Arial" w:hAnsi="Arial"/>
          <w:sz w:val="12"/>
          <w:szCs w:val="12"/>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ectPr>
          <w:pgSz w:w="11900" w:h="16840" w:orient="portrait"/>
          <w:cols w:equalWidth="0" w:num="1">
            <w:col w:w="9020"/>
          </w:cols>
          <w:pgMar w:left="1440" w:top="828" w:right="1440" w:bottom="55" w:gutter="0" w:footer="0" w:header="0"/>
        </w:sectPr>
      </w:pPr>
    </w:p>
    <w:p>
      <w:pPr>
        <w:spacing w:after="0" w:line="8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Conversion of Class B Common Stock</w:t>
      </w:r>
    </w:p>
    <w:p>
      <w:pPr>
        <w:sectPr>
          <w:pgSz w:w="11900" w:h="16840" w:orient="portrait"/>
          <w:cols w:equalWidth="0" w:num="1">
            <w:col w:w="9020"/>
          </w:cols>
          <w:pgMar w:left="1440" w:top="828" w:right="1440" w:bottom="55" w:gutter="0" w:footer="0" w:header="0"/>
          <w:type w:val="continuous"/>
        </w:sectPr>
      </w:pPr>
    </w:p>
    <w:bookmarkStart w:id="142" w:name="page143"/>
    <w:bookmarkEnd w:id="142"/>
    <w:p>
      <w:pPr>
        <w:ind w:left="1520" w:right="1720" w:firstLine="230"/>
        <w:spacing w:after="0" w:line="27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Following the completion of this offering, each share of our Class B common stock will be convertible into one share of our Class A common stock at any time and will convert automatically upon certain sales or transfers. Our amended and restated certificate of incorporation will also provide for certain permitted transfers by holders of shares of Class B common stock that will not trigger conversion to Class A common stock, including transfers effected for estate planning where voting control with respect to the shares of Class B common stock is retained by or granted to Ariel Cohen or Ilan Twig, as applicable.</w:t>
      </w:r>
    </w:p>
    <w:p>
      <w:pPr>
        <w:spacing w:after="0" w:line="85" w:lineRule="exact"/>
        <w:rPr>
          <w:sz w:val="20"/>
          <w:szCs w:val="20"/>
          <w:color w:val="auto"/>
        </w:rPr>
      </w:pPr>
    </w:p>
    <w:p>
      <w:pPr>
        <w:ind w:left="1520" w:right="1740" w:firstLine="230"/>
        <w:spacing w:after="0" w:line="270" w:lineRule="auto"/>
        <w:rPr>
          <w:sz w:val="20"/>
          <w:szCs w:val="20"/>
          <w:color w:val="auto"/>
        </w:rPr>
      </w:pPr>
      <w:r>
        <w:rPr>
          <w:rFonts w:ascii="Arial" w:cs="Arial" w:eastAsia="Arial" w:hAnsi="Arial"/>
          <w:sz w:val="12"/>
          <w:szCs w:val="12"/>
          <w:color w:val="auto"/>
        </w:rPr>
        <w:t>Additionally, each outstanding share of Class B common stock will convert automatically into a share of Class A common stock upon the earliest to occur following this offering: (i) the date fixed by our board of directors that is no less than 61 days and no more than 180 days following the first date following the completion of this offering on which the number of shares of our Class B common stock, and any shares of Class B common stock underlying equity securities, held by Mr. Cohen, and his permitted entities and permitted transferees, is less than 20% of the Class B common stock held by Mr. Cohen and his permitted entities as of immediately following the completion of this offering; (ii) the last trading day of the fiscal year following the tenth anniversary of this offering; (iii) the date fixed by our board of directors that is no less than 61 days and no more than 180 days following the date on which Mr. Cohen is no longer providing services as an officer or employee and Mr. Cohen is no longer a member of our board of directors as a result of his voluntary resignation or agreement not to stand for reelection; (iv) the date fixed by our board of directors that is no less than 61 days and no more than 180 days following the date</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207</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920"/>
        <w:spacing w:after="0" w:line="289" w:lineRule="auto"/>
        <w:rPr>
          <w:sz w:val="20"/>
          <w:szCs w:val="20"/>
          <w:color w:val="auto"/>
        </w:rPr>
      </w:pPr>
      <w:r>
        <w:rPr>
          <w:rFonts w:ascii="Arial" w:cs="Arial" w:eastAsia="Arial" w:hAnsi="Arial"/>
          <w:sz w:val="12"/>
          <w:szCs w:val="12"/>
          <w:color w:val="auto"/>
        </w:rPr>
        <w:t>on which Mr. Cohen is terminated for cause (as defined in our amended and restated certificate of incorporation); and (v) twelve months after Mr. Cohen’s death or disability (as defined in our amended and restated certificate of incorporation).</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Founder Voting Proxy</w:t>
      </w:r>
    </w:p>
    <w:p>
      <w:pPr>
        <w:spacing w:after="0" w:line="12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At the time of this offering, Mr. Twig will enter into a voting proxy in favor of Mr. Cohen such that upon</w:t>
      </w:r>
    </w:p>
    <w:p>
      <w:pPr>
        <w:spacing w:after="0" w:line="27" w:lineRule="exact"/>
        <w:rPr>
          <w:sz w:val="20"/>
          <w:szCs w:val="20"/>
          <w:color w:val="auto"/>
        </w:rPr>
      </w:pPr>
    </w:p>
    <w:p>
      <w:pPr>
        <w:ind w:left="1520" w:right="1760" w:firstLine="2"/>
        <w:spacing w:after="0" w:line="275" w:lineRule="auto"/>
        <w:tabs>
          <w:tab w:leader="none" w:pos="1665" w:val="left"/>
        </w:tabs>
        <w:numPr>
          <w:ilvl w:val="0"/>
          <w:numId w:val="156"/>
        </w:numPr>
        <w:rPr>
          <w:rFonts w:ascii="Arial" w:cs="Arial" w:eastAsia="Arial" w:hAnsi="Arial"/>
          <w:sz w:val="12"/>
          <w:szCs w:val="12"/>
          <w:color w:val="auto"/>
        </w:rPr>
      </w:pPr>
      <w:r>
        <w:rPr>
          <w:rFonts w:ascii="Arial" w:cs="Arial" w:eastAsia="Arial" w:hAnsi="Arial"/>
          <w:sz w:val="12"/>
          <w:szCs w:val="12"/>
          <w:color w:val="auto"/>
        </w:rPr>
        <w:t>the date that Mr. Twig is no longer providing services to us as an officer, employee, or director, or (ii) the date of the death or disability of Mr. Twig, a voting proxy will automatically be granted to Mr. Cohen over all of the shares of Class B common stock held by Mr. Twig and his related entities and permitted transferees in favor Mr. Cohen, pursuant to which Mr. Cohen will have exclusive voting control over such shares.</w:t>
      </w:r>
    </w:p>
    <w:p>
      <w:pPr>
        <w:spacing w:after="0" w:line="236"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Preferred Stock</w:t>
      </w:r>
    </w:p>
    <w:p>
      <w:pPr>
        <w:spacing w:after="0" w:line="130" w:lineRule="exact"/>
        <w:rPr>
          <w:sz w:val="20"/>
          <w:szCs w:val="20"/>
          <w:color w:val="auto"/>
        </w:rPr>
      </w:pPr>
    </w:p>
    <w:p>
      <w:pPr>
        <w:ind w:left="1520" w:right="1720" w:firstLine="230"/>
        <w:spacing w:after="0" w:line="281" w:lineRule="auto"/>
        <w:rPr>
          <w:sz w:val="20"/>
          <w:szCs w:val="20"/>
          <w:color w:val="auto"/>
        </w:rPr>
      </w:pPr>
      <w:r>
        <w:rPr>
          <w:rFonts w:ascii="Arial" w:cs="Arial" w:eastAsia="Arial" w:hAnsi="Arial"/>
          <w:sz w:val="12"/>
          <w:szCs w:val="12"/>
          <w:color w:val="auto"/>
        </w:rPr>
        <w:t>Pursuant to the provisions of our currently in effect amended and restated certificate of incorporation, each currently outstanding share of redeemable convertible preferred stock will automatically be converted into one share of Class A common stock in connection with the completion of this offering. Following this offering, no shares of redeemable convertible preferred stock will be outstanding.</w:t>
      </w:r>
    </w:p>
    <w:p>
      <w:pPr>
        <w:spacing w:after="0" w:line="81" w:lineRule="exact"/>
        <w:rPr>
          <w:sz w:val="20"/>
          <w:szCs w:val="20"/>
          <w:color w:val="auto"/>
        </w:rPr>
      </w:pPr>
    </w:p>
    <w:p>
      <w:pPr>
        <w:ind w:left="1520" w:right="1740" w:firstLine="230"/>
        <w:spacing w:after="0" w:line="268" w:lineRule="auto"/>
        <w:rPr>
          <w:sz w:val="20"/>
          <w:szCs w:val="20"/>
          <w:color w:val="auto"/>
        </w:rPr>
      </w:pPr>
      <w:r>
        <w:rPr>
          <w:rFonts w:ascii="Arial" w:cs="Arial" w:eastAsia="Arial" w:hAnsi="Arial"/>
          <w:sz w:val="12"/>
          <w:szCs w:val="12"/>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The number of authorized shares of our preferred stock may be increased or decreased (but not below the number of shares thereof then outstanding) by the affirmative vote of the holders of a majority of the voting stock, without a separate vote of the holders of the preferred stock, irrespective of the provisions of Section 242(b)(2) of the DGCL, unless a separate vote of the holders of one or more series is required pursuant to the terms of any applicable certificate of designation.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Class A common stock and the voting and other rights of the holders of our Class A common stock and Class B common stock. We have no current plan to issue any shares of preferred stock.</w:t>
      </w:r>
    </w:p>
    <w:p>
      <w:pPr>
        <w:spacing w:after="0" w:line="97"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Options</w:t>
      </w:r>
    </w:p>
    <w:p>
      <w:pPr>
        <w:spacing w:after="0" w:line="130" w:lineRule="exact"/>
        <w:rPr>
          <w:sz w:val="20"/>
          <w:szCs w:val="20"/>
          <w:color w:val="auto"/>
        </w:rPr>
      </w:pPr>
    </w:p>
    <w:p>
      <w:pPr>
        <w:ind w:left="1520" w:right="1700" w:firstLine="230"/>
        <w:spacing w:after="0" w:line="275" w:lineRule="auto"/>
        <w:rPr>
          <w:sz w:val="20"/>
          <w:szCs w:val="20"/>
          <w:color w:val="auto"/>
        </w:rPr>
      </w:pPr>
      <w:r>
        <w:rPr>
          <w:rFonts w:ascii="Arial" w:cs="Arial" w:eastAsia="Arial" w:hAnsi="Arial"/>
          <w:sz w:val="12"/>
          <w:szCs w:val="12"/>
          <w:color w:val="auto"/>
        </w:rPr>
        <w:t>As of July 31, 2025, we had outstanding options to purchase an aggregate of 41,581,733 shares of our Class A common stock under our 2015 Plan, with a weighted-average exercise price of $13.32 per share, of which 8,611,649 shares will be exchangeable for an equal number of shares of Class B common stock at the election of our co-founders upon exercise. Subsequent to July 31, 2025, we granted options to purchase an aggregate of 339,246 shares of our Class A common stock, with a weighted-average exercise price of $25.35 per share.</w:t>
      </w:r>
    </w:p>
    <w:p>
      <w:pPr>
        <w:spacing w:after="0" w:line="85"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Restricted Stock Units</w:t>
      </w:r>
    </w:p>
    <w:p>
      <w:pPr>
        <w:spacing w:after="0" w:line="130" w:lineRule="exact"/>
        <w:rPr>
          <w:sz w:val="20"/>
          <w:szCs w:val="20"/>
          <w:color w:val="auto"/>
        </w:rPr>
      </w:pPr>
    </w:p>
    <w:p>
      <w:pPr>
        <w:ind w:left="1520" w:right="1620" w:firstLine="230"/>
        <w:spacing w:after="0" w:line="277" w:lineRule="auto"/>
        <w:rPr>
          <w:sz w:val="20"/>
          <w:szCs w:val="20"/>
          <w:color w:val="auto"/>
        </w:rPr>
      </w:pPr>
      <w:r>
        <w:rPr>
          <w:rFonts w:ascii="Arial" w:cs="Arial" w:eastAsia="Arial" w:hAnsi="Arial"/>
          <w:sz w:val="12"/>
          <w:szCs w:val="12"/>
          <w:color w:val="auto"/>
        </w:rPr>
        <w:t>As of July 31, 2025, we had an aggregate of 7,771,766 shares of our Class A common stock outstanding subject to RSUs, pursuant to our 2015 Plan, of which 1,742,147 shares will be exchangeable for an equal number of shares of Class B common stock at the election of our co-founders. Subsequent to July 31, 2025, we have granted an aggregate of 2,250,259 shares of our Class A common stock subject to RSUs, pursuant to our 2015 Plan.</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208</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Warrants</w:t>
      </w:r>
    </w:p>
    <w:p>
      <w:pPr>
        <w:spacing w:after="0" w:line="130"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As of July 31, 2025, assuming the occurrence of the Warrant Determination, we had warrants</w:t>
      </w:r>
    </w:p>
    <w:p>
      <w:pPr>
        <w:sectPr>
          <w:pgSz w:w="11900" w:h="16840" w:orient="portrait"/>
          <w:cols w:equalWidth="0" w:num="1">
            <w:col w:w="9020"/>
          </w:cols>
          <w:pgMar w:left="1440" w:top="646" w:right="1440" w:bottom="143" w:gutter="0" w:footer="0" w:header="0"/>
        </w:sectPr>
      </w:pPr>
    </w:p>
    <w:bookmarkStart w:id="143" w:name="page144"/>
    <w:bookmarkEnd w:id="143"/>
    <w:p>
      <w:pPr>
        <w:ind w:left="1520" w:right="2000"/>
        <w:spacing w:after="0" w:line="192" w:lineRule="auto"/>
        <w:rPr>
          <w:sz w:val="20"/>
          <w:szCs w:val="20"/>
          <w:color w:val="auto"/>
        </w:rPr>
      </w:pPr>
      <w:r>
        <w:rPr>
          <w:rFonts w:ascii="Arial" w:cs="Arial" w:eastAsia="Arial" w:hAnsi="Arial"/>
          <w:sz w:val="11"/>
          <w:szCs w:val="11"/>
          <w:color w:val="auto"/>
        </w:rPr>
        <w:t>outstanding to purchase 1,743,032 shares of our Class A common stock with a weighted-average exercise price of $0.07 per share. After giving effect to the Warrant Exercises in connection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-121920</wp:posOffset>
            </wp:positionV>
            <wp:extent cx="6732270" cy="99707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680"/>
        <w:spacing w:after="0" w:line="292" w:lineRule="auto"/>
        <w:rPr>
          <w:sz w:val="20"/>
          <w:szCs w:val="20"/>
          <w:color w:val="auto"/>
        </w:rPr>
      </w:pPr>
      <w:r>
        <w:rPr>
          <w:rFonts w:ascii="Arial" w:cs="Arial" w:eastAsia="Arial" w:hAnsi="Arial"/>
          <w:sz w:val="12"/>
          <w:szCs w:val="12"/>
          <w:color w:val="auto"/>
        </w:rPr>
        <w:t>completion of this offering, warrants to purchase 40,160 shares of our Class A common stock will remain outstanding, with an exercise price of $1.87 per share.</w:t>
      </w:r>
    </w:p>
    <w:p>
      <w:pPr>
        <w:spacing w:after="0" w:line="74"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Registration Rights</w:t>
      </w:r>
    </w:p>
    <w:p>
      <w:pPr>
        <w:spacing w:after="0" w:line="130" w:lineRule="exact"/>
        <w:rPr>
          <w:sz w:val="20"/>
          <w:szCs w:val="20"/>
          <w:color w:val="auto"/>
        </w:rPr>
      </w:pPr>
    </w:p>
    <w:p>
      <w:pPr>
        <w:ind w:left="1520" w:right="1680" w:firstLine="230"/>
        <w:spacing w:after="0" w:line="271" w:lineRule="auto"/>
        <w:rPr>
          <w:sz w:val="20"/>
          <w:szCs w:val="20"/>
          <w:color w:val="auto"/>
        </w:rPr>
      </w:pPr>
      <w:r>
        <w:rPr>
          <w:rFonts w:ascii="Arial" w:cs="Arial" w:eastAsia="Arial" w:hAnsi="Arial"/>
          <w:sz w:val="12"/>
          <w:szCs w:val="12"/>
          <w:color w:val="auto"/>
        </w:rPr>
        <w:t>Following the completion of this offering, certain holders of shares of our Class A common stock or their permitted transferees will be entitled to rights with respect to the registration of their shares under the Securities Act. These rights are provided under the terms of our IRA, which was entered into in connection with our redeemable convertible preferred stock financings, and include demand registration rights, Form S-3 registration rights and piggyback registration rights. In any registration made pursuant to our IRA, all fees, costs and expenses of underwritten registrations will be borne by us and all selling expenses, including underwriting discounts, selling commissions, stock transfer taxes, and fees and disbursements of counsel for any holder will be borne by the holders of the shares being registered, provided, however, that we will pay the reasonable fees and disbursements of one counsel to any selling holders not to exceed $30,000.</w:t>
      </w:r>
    </w:p>
    <w:p>
      <w:pPr>
        <w:spacing w:after="0" w:line="243" w:lineRule="exact"/>
        <w:rPr>
          <w:sz w:val="20"/>
          <w:szCs w:val="20"/>
          <w:color w:val="auto"/>
        </w:rPr>
      </w:pPr>
    </w:p>
    <w:p>
      <w:pPr>
        <w:ind w:left="1520" w:right="1760" w:firstLine="230"/>
        <w:spacing w:after="0" w:line="277" w:lineRule="auto"/>
        <w:rPr>
          <w:sz w:val="20"/>
          <w:szCs w:val="20"/>
          <w:color w:val="auto"/>
        </w:rPr>
      </w:pPr>
      <w:r>
        <w:rPr>
          <w:rFonts w:ascii="Arial" w:cs="Arial" w:eastAsia="Arial" w:hAnsi="Arial"/>
          <w:sz w:val="12"/>
          <w:szCs w:val="12"/>
          <w:color w:val="auto"/>
        </w:rPr>
        <w:t>The registration rights terminate (i) five years following the completion of this offering, (ii) upon a deemed liquidation event or a stock sale (both as defined in our IRA) or (iii) with respect to any particular stockholder, at the time that such stockholder can sell all of its registrable securities (as defined in our IRA) without any restriction on volume or manner of sale in any three-month period pursuant to Rule 144 of the Securities Act or any successor rule thereto.</w:t>
      </w:r>
    </w:p>
    <w:p>
      <w:pPr>
        <w:spacing w:after="0" w:line="8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Demand Registration Rights</w:t>
      </w:r>
    </w:p>
    <w:p>
      <w:pPr>
        <w:spacing w:after="0" w:line="128" w:lineRule="exact"/>
        <w:rPr>
          <w:sz w:val="20"/>
          <w:szCs w:val="20"/>
          <w:color w:val="auto"/>
        </w:rPr>
      </w:pPr>
    </w:p>
    <w:p>
      <w:pPr>
        <w:ind w:left="1520" w:right="1780" w:firstLine="230"/>
        <w:spacing w:after="0" w:line="270" w:lineRule="auto"/>
        <w:rPr>
          <w:sz w:val="20"/>
          <w:szCs w:val="20"/>
          <w:color w:val="auto"/>
        </w:rPr>
      </w:pPr>
      <w:r>
        <w:rPr>
          <w:rFonts w:ascii="Arial" w:cs="Arial" w:eastAsia="Arial" w:hAnsi="Arial"/>
          <w:sz w:val="12"/>
          <w:szCs w:val="12"/>
          <w:color w:val="auto"/>
        </w:rPr>
        <w:t>Following the completion of this offering, holders of 156,483,658 shares of our Class A common stock, including holders of shares of Class A common stock issuable upon conversion of the Convertible Notes, will be entitled to demand registration rights at any time after 180 days after the effective date of the registration statement of which this prospectus forms a part. Under the terms of our IRA, we will be required, upon the request of holders of a majority of the shares that are entitled to registration rights under our IRA, to file a registration statement on Form S-1 to register, as soon as practicable and in any event within 90 days of the date of the request, all or a portion of these shares for public resale, if the aggregate price to the public of the shares offered is at least $25.0 million, net of selling expenses. We are required to effect only two registrations pursuant to this provision of the IRA. We may postpone the filing of a registration statement no more than once during any 12-month period for a period of not more than 90 days if our board of directors determines that the filing would be materially detrimental to us. We are not required to effect a demand registration under certain additional circumstances specified in our IRA.</w:t>
      </w:r>
    </w:p>
    <w:p>
      <w:pPr>
        <w:spacing w:after="0" w:line="24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Form S-3 Registration Rights</w:t>
      </w:r>
    </w:p>
    <w:p>
      <w:pPr>
        <w:spacing w:after="0" w:line="128" w:lineRule="exact"/>
        <w:rPr>
          <w:sz w:val="20"/>
          <w:szCs w:val="20"/>
          <w:color w:val="auto"/>
        </w:rPr>
      </w:pPr>
    </w:p>
    <w:p>
      <w:pPr>
        <w:ind w:left="1520" w:right="1760" w:firstLine="230"/>
        <w:spacing w:after="0" w:line="271" w:lineRule="auto"/>
        <w:rPr>
          <w:sz w:val="20"/>
          <w:szCs w:val="20"/>
          <w:color w:val="auto"/>
        </w:rPr>
      </w:pPr>
      <w:r>
        <w:rPr>
          <w:rFonts w:ascii="Arial" w:cs="Arial" w:eastAsia="Arial" w:hAnsi="Arial"/>
          <w:sz w:val="12"/>
          <w:szCs w:val="12"/>
          <w:color w:val="auto"/>
        </w:rPr>
        <w:t>Following the completion of this offering, holders of 156,483,658 shares of our Class A common stock, including holders of shares of Class A common stock issuable upon conversion of the Convertible Notes, will be entitled to Form S-3 registration rights. The holders representing at least 25% of the then-outstanding shares having registration rights can request that we register all or part of their shares on Form S-3 if we are eligible to file a registration statement on Form S-3 and if the aggregate price to the public of the shares offered is at least $5.0 million, net of selling expenses. The holders may only require us to effect at most two registration statements on Form S-3 in any 12-month period. We may postpone the filing of a registration statement on Form S-3 no more than once during any 12-month period for a period of not more than 90 days if our board of directors determines that the filing would be materially detrimental to us.</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209</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Piggyback Registration Rights</w:t>
      </w:r>
    </w:p>
    <w:p>
      <w:pPr>
        <w:spacing w:after="0" w:line="128" w:lineRule="exact"/>
        <w:rPr>
          <w:sz w:val="20"/>
          <w:szCs w:val="20"/>
          <w:color w:val="auto"/>
        </w:rPr>
      </w:pPr>
    </w:p>
    <w:p>
      <w:pPr>
        <w:ind w:left="1520" w:right="1720" w:firstLine="230"/>
        <w:spacing w:after="0" w:line="269" w:lineRule="auto"/>
        <w:rPr>
          <w:sz w:val="20"/>
          <w:szCs w:val="20"/>
          <w:color w:val="auto"/>
        </w:rPr>
      </w:pPr>
      <w:r>
        <w:rPr>
          <w:rFonts w:ascii="Arial" w:cs="Arial" w:eastAsia="Arial" w:hAnsi="Arial"/>
          <w:sz w:val="12"/>
          <w:szCs w:val="12"/>
          <w:color w:val="auto"/>
        </w:rPr>
        <w:t>If we propose to register any of our securities for public sale, holders of 156,483,658 shares of our Class A common stock, including holders of shares of Class A common stock issuable upon conversion of the Convertible Notes, having registration rights will have the right to include their shares in the registration statement. However, this right does not apply to a registration relating to employee benefit plans, a registration relating to an SEC Rule 145 transaction, a registration on any form that does not include substantially the same information as would be required to be included in a registration statement covering the sale of our Class A common stock, or a registration in which the only Class A common stock being registered is Class A common stock issuable upon conversion of debt securities that are also being registered. The underwriters of any underwritten offering will have the right to limit the number of shares registered by these holders if they determine that marketing factors require limitation, in which case the number of shares to be registered will be apportioned pro rata among these holders, according to the total amount of securities entitled to be included by each holder. However, the number of shares to be registered by these holders cannot be reduced (i) unless all other securities (other than securities to be sold by us) are first excluded from the offering or (ii) below 30% of the total shares covered by the registration statement, other than in the initial public offering.</w:t>
      </w:r>
    </w:p>
    <w:p>
      <w:pPr>
        <w:spacing w:after="0" w:line="9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Anti-Takeover Provisions</w:t>
      </w:r>
    </w:p>
    <w:p>
      <w:pPr>
        <w:spacing w:after="0" w:line="130"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The provisions of the DGCL, our amended and restated certificate of incorporation, and our amended and restated bylaws following this offering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Delaware Law</w:t>
      </w:r>
    </w:p>
    <w:p>
      <w:pPr>
        <w:spacing w:after="0" w:line="128" w:lineRule="exact"/>
        <w:rPr>
          <w:sz w:val="20"/>
          <w:szCs w:val="20"/>
          <w:color w:val="auto"/>
        </w:rPr>
      </w:pPr>
    </w:p>
    <w:p>
      <w:pPr>
        <w:ind w:left="1520" w:right="1740" w:firstLine="230"/>
        <w:spacing w:after="0" w:line="275" w:lineRule="auto"/>
        <w:rPr>
          <w:sz w:val="20"/>
          <w:szCs w:val="20"/>
          <w:color w:val="auto"/>
        </w:rPr>
      </w:pPr>
      <w:r>
        <w:rPr>
          <w:rFonts w:ascii="Arial" w:cs="Arial" w:eastAsia="Arial" w:hAnsi="Arial"/>
          <w:sz w:val="12"/>
          <w:szCs w:val="12"/>
          <w:color w:val="auto"/>
        </w:rPr>
        <w:t>We are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85" w:lineRule="exact"/>
        <w:rPr>
          <w:sz w:val="20"/>
          <w:szCs w:val="20"/>
          <w:color w:val="auto"/>
        </w:rPr>
      </w:pPr>
    </w:p>
    <w:p>
      <w:pPr>
        <w:ind w:left="1980" w:right="1880" w:hanging="228"/>
        <w:spacing w:after="0" w:line="289" w:lineRule="auto"/>
        <w:tabs>
          <w:tab w:leader="none" w:pos="198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before the stockholder became interested, our board of directors approved either the business combination or the transaction, which resulted in the stockholder becoming an interested stockholder;</w:t>
      </w:r>
    </w:p>
    <w:p>
      <w:pPr>
        <w:sectPr>
          <w:pgSz w:w="11900" w:h="16840" w:orient="portrait"/>
          <w:cols w:equalWidth="0" w:num="1">
            <w:col w:w="9020"/>
          </w:cols>
          <w:pgMar w:left="1440" w:top="560" w:right="1440" w:bottom="0" w:gutter="0" w:footer="0" w:header="0"/>
        </w:sectPr>
      </w:pPr>
    </w:p>
    <w:bookmarkStart w:id="144" w:name="page145"/>
    <w:bookmarkEnd w:id="144"/>
    <w:p>
      <w:pPr>
        <w:ind w:left="1980" w:right="1740" w:hanging="228"/>
        <w:spacing w:after="0" w:line="275" w:lineRule="auto"/>
        <w:tabs>
          <w:tab w:leader="none" w:pos="1980" w:val="left"/>
        </w:tabs>
        <w:numPr>
          <w:ilvl w:val="0"/>
          <w:numId w:val="15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4" w:lineRule="exact"/>
        <w:rPr>
          <w:rFonts w:ascii="Arial" w:cs="Arial" w:eastAsia="Arial" w:hAnsi="Arial"/>
          <w:sz w:val="12"/>
          <w:szCs w:val="12"/>
          <w:color w:val="auto"/>
        </w:rPr>
      </w:pPr>
    </w:p>
    <w:p>
      <w:pPr>
        <w:ind w:left="1980" w:right="1820" w:hanging="228"/>
        <w:spacing w:after="0" w:line="281" w:lineRule="auto"/>
        <w:tabs>
          <w:tab w:leader="none" w:pos="198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210</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Section 203 defines a business combination to include:</w:t>
      </w:r>
    </w:p>
    <w:p>
      <w:pPr>
        <w:spacing w:after="0" w:line="130" w:lineRule="exact"/>
        <w:rPr>
          <w:sz w:val="20"/>
          <w:szCs w:val="20"/>
          <w:color w:val="auto"/>
        </w:rPr>
      </w:pPr>
    </w:p>
    <w:p>
      <w:pPr>
        <w:ind w:left="1980" w:hanging="228"/>
        <w:spacing w:after="0"/>
        <w:tabs>
          <w:tab w:leader="none" w:pos="198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any merger or consolidation involving the corporation and the interested stockholder;</w:t>
      </w:r>
    </w:p>
    <w:p>
      <w:pPr>
        <w:spacing w:after="0" w:line="129" w:lineRule="exact"/>
        <w:rPr>
          <w:rFonts w:ascii="Arial" w:cs="Arial" w:eastAsia="Arial" w:hAnsi="Arial"/>
          <w:sz w:val="12"/>
          <w:szCs w:val="12"/>
          <w:color w:val="auto"/>
        </w:rPr>
      </w:pPr>
    </w:p>
    <w:p>
      <w:pPr>
        <w:ind w:left="1980" w:right="1760" w:hanging="228"/>
        <w:spacing w:after="0" w:line="312" w:lineRule="auto"/>
        <w:tabs>
          <w:tab w:leader="none" w:pos="198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any sale, transfer, lease, pledge, or other disposition involving the interested stockholder of 10% or more of the assets of the corporation;</w:t>
      </w:r>
    </w:p>
    <w:p>
      <w:pPr>
        <w:spacing w:after="0" w:line="62" w:lineRule="exact"/>
        <w:rPr>
          <w:rFonts w:ascii="Arial" w:cs="Arial" w:eastAsia="Arial" w:hAnsi="Arial"/>
          <w:sz w:val="12"/>
          <w:szCs w:val="12"/>
          <w:color w:val="auto"/>
        </w:rPr>
      </w:pPr>
    </w:p>
    <w:p>
      <w:pPr>
        <w:ind w:left="1980" w:right="1700" w:hanging="228"/>
        <w:spacing w:after="0" w:line="312" w:lineRule="auto"/>
        <w:tabs>
          <w:tab w:leader="none" w:pos="198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subject to exceptions, any transaction that results in the issuance of transfer by the corporation of any stock of the corporation to the interested stockholder;</w:t>
      </w:r>
    </w:p>
    <w:p>
      <w:pPr>
        <w:spacing w:after="0" w:line="62" w:lineRule="exact"/>
        <w:rPr>
          <w:rFonts w:ascii="Arial" w:cs="Arial" w:eastAsia="Arial" w:hAnsi="Arial"/>
          <w:sz w:val="12"/>
          <w:szCs w:val="12"/>
          <w:color w:val="auto"/>
        </w:rPr>
      </w:pPr>
    </w:p>
    <w:p>
      <w:pPr>
        <w:jc w:val="both"/>
        <w:ind w:left="1980" w:right="1820" w:hanging="228"/>
        <w:spacing w:after="0" w:line="289" w:lineRule="auto"/>
        <w:tabs>
          <w:tab w:leader="none" w:pos="198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75" w:lineRule="exact"/>
        <w:rPr>
          <w:rFonts w:ascii="Arial" w:cs="Arial" w:eastAsia="Arial" w:hAnsi="Arial"/>
          <w:sz w:val="12"/>
          <w:szCs w:val="12"/>
          <w:color w:val="auto"/>
        </w:rPr>
      </w:pPr>
    </w:p>
    <w:p>
      <w:pPr>
        <w:ind w:left="1980" w:right="2060" w:hanging="228"/>
        <w:spacing w:after="0" w:line="312" w:lineRule="auto"/>
        <w:tabs>
          <w:tab w:leader="none" w:pos="198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the receipt by the interested stockholder of the benefit of any loans, advances, guarantees, pledges, or other financial benefits provided by or through the corporation.</w:t>
      </w:r>
    </w:p>
    <w:p>
      <w:pPr>
        <w:spacing w:after="0" w:line="62" w:lineRule="exact"/>
        <w:rPr>
          <w:sz w:val="20"/>
          <w:szCs w:val="20"/>
          <w:color w:val="auto"/>
        </w:rPr>
      </w:pPr>
    </w:p>
    <w:p>
      <w:pPr>
        <w:jc w:val="both"/>
        <w:ind w:left="1520" w:right="1760" w:firstLine="230"/>
        <w:spacing w:after="0" w:line="289" w:lineRule="auto"/>
        <w:rPr>
          <w:sz w:val="20"/>
          <w:szCs w:val="20"/>
          <w:color w:val="auto"/>
        </w:rPr>
      </w:pPr>
      <w:r>
        <w:rPr>
          <w:rFonts w:ascii="Arial" w:cs="Arial" w:eastAsia="Arial" w:hAnsi="Arial"/>
          <w:sz w:val="12"/>
          <w:szCs w:val="12"/>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78" w:lineRule="exact"/>
        <w:rPr>
          <w:sz w:val="20"/>
          <w:szCs w:val="20"/>
          <w:color w:val="auto"/>
        </w:rPr>
      </w:pPr>
    </w:p>
    <w:p>
      <w:pPr>
        <w:ind w:left="1520" w:right="2200" w:firstLine="230"/>
        <w:spacing w:after="0" w:line="319" w:lineRule="auto"/>
        <w:rPr>
          <w:sz w:val="20"/>
          <w:szCs w:val="20"/>
          <w:color w:val="auto"/>
        </w:rPr>
      </w:pPr>
      <w:r>
        <w:rPr>
          <w:rFonts w:ascii="Arial" w:cs="Arial" w:eastAsia="Arial" w:hAnsi="Arial"/>
          <w:sz w:val="12"/>
          <w:szCs w:val="12"/>
          <w:b w:val="1"/>
          <w:bCs w:val="1"/>
          <w:i w:val="1"/>
          <w:iCs w:val="1"/>
          <w:color w:val="auto"/>
        </w:rPr>
        <w:t>Amended and Restated Certificate of Incorporation and Amended and Restated Bylaw Provisions</w:t>
      </w:r>
    </w:p>
    <w:p>
      <w:pPr>
        <w:spacing w:after="0" w:line="52" w:lineRule="exact"/>
        <w:rPr>
          <w:sz w:val="20"/>
          <w:szCs w:val="20"/>
          <w:color w:val="auto"/>
        </w:rPr>
      </w:pPr>
    </w:p>
    <w:p>
      <w:pPr>
        <w:ind w:left="1520" w:right="1700" w:firstLine="230"/>
        <w:spacing w:after="0" w:line="281" w:lineRule="auto"/>
        <w:rPr>
          <w:sz w:val="20"/>
          <w:szCs w:val="20"/>
          <w:color w:val="auto"/>
        </w:rPr>
      </w:pPr>
      <w:r>
        <w:rPr>
          <w:rFonts w:ascii="Arial" w:cs="Arial" w:eastAsia="Arial" w:hAnsi="Arial"/>
          <w:sz w:val="12"/>
          <w:szCs w:val="12"/>
          <w:color w:val="auto"/>
        </w:rPr>
        <w:t>Our amended and restated certificate of incorporation and our amended and restated bylaws, each to be effective upon the completion of this offering, will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81" w:lineRule="exact"/>
        <w:rPr>
          <w:sz w:val="20"/>
          <w:szCs w:val="20"/>
          <w:color w:val="auto"/>
        </w:rPr>
      </w:pPr>
    </w:p>
    <w:p>
      <w:pPr>
        <w:ind w:left="1980" w:right="1780" w:hanging="228"/>
        <w:spacing w:after="0" w:line="273" w:lineRule="auto"/>
        <w:tabs>
          <w:tab w:leader="none" w:pos="1980" w:val="left"/>
        </w:tabs>
        <w:numPr>
          <w:ilvl w:val="0"/>
          <w:numId w:val="160"/>
        </w:numPr>
        <w:rPr>
          <w:rFonts w:ascii="Arial" w:cs="Arial" w:eastAsia="Arial" w:hAnsi="Arial"/>
          <w:sz w:val="12"/>
          <w:szCs w:val="12"/>
          <w:color w:val="auto"/>
        </w:rPr>
      </w:pPr>
      <w:r>
        <w:rPr>
          <w:rFonts w:ascii="Arial" w:cs="Arial" w:eastAsia="Arial" w:hAnsi="Arial"/>
          <w:sz w:val="12"/>
          <w:szCs w:val="12"/>
          <w:i w:val="1"/>
          <w:iCs w:val="1"/>
          <w:color w:val="auto"/>
        </w:rPr>
        <w:t xml:space="preserve">Dual Class Common Stock </w:t>
      </w:r>
      <w:r>
        <w:rPr>
          <w:rFonts w:ascii="Arial" w:cs="Arial" w:eastAsia="Arial" w:hAnsi="Arial"/>
          <w:sz w:val="12"/>
          <w:szCs w:val="12"/>
          <w:color w:val="auto"/>
        </w:rPr>
        <w:t>. As described above in the section titled “—Class A Common Stock</w:t>
      </w:r>
      <w:r>
        <w:rPr>
          <w:rFonts w:ascii="Arial" w:cs="Arial" w:eastAsia="Arial" w:hAnsi="Arial"/>
          <w:sz w:val="12"/>
          <w:szCs w:val="12"/>
          <w:i w:val="1"/>
          <w:iCs w:val="1"/>
          <w:color w:val="auto"/>
        </w:rPr>
        <w:t xml:space="preserve"> </w:t>
      </w:r>
      <w:r>
        <w:rPr>
          <w:rFonts w:ascii="Arial" w:cs="Arial" w:eastAsia="Arial" w:hAnsi="Arial"/>
          <w:sz w:val="12"/>
          <w:szCs w:val="12"/>
          <w:color w:val="auto"/>
        </w:rPr>
        <w:t>and Class B Common Stock—Voting Rights,” our amended and restated certificate of incorporation will provide for a dual class common stock structure pursuant to which our co-founders, as holders of our Class B common stock, may have significant influence over the outcome of matters requiring stockholder approval, even if they own significantly less than a majority of the shares of our outstanding Class A common stock and Class B common stock, including the election of directors and significant corporate transactions, such as a merger or other sale of our company or its assets.</w:t>
      </w:r>
    </w:p>
    <w:p>
      <w:pPr>
        <w:spacing w:after="0" w:line="240" w:lineRule="exact"/>
        <w:rPr>
          <w:rFonts w:ascii="Arial" w:cs="Arial" w:eastAsia="Arial" w:hAnsi="Arial"/>
          <w:sz w:val="12"/>
          <w:szCs w:val="12"/>
          <w:color w:val="auto"/>
        </w:rPr>
      </w:pPr>
    </w:p>
    <w:p>
      <w:pPr>
        <w:ind w:left="1980" w:right="1740" w:hanging="228"/>
        <w:spacing w:after="0" w:line="272" w:lineRule="auto"/>
        <w:tabs>
          <w:tab w:leader="none" w:pos="1980" w:val="left"/>
        </w:tabs>
        <w:numPr>
          <w:ilvl w:val="0"/>
          <w:numId w:val="160"/>
        </w:numPr>
        <w:rPr>
          <w:rFonts w:ascii="Arial" w:cs="Arial" w:eastAsia="Arial" w:hAnsi="Arial"/>
          <w:sz w:val="12"/>
          <w:szCs w:val="12"/>
          <w:color w:val="auto"/>
        </w:rPr>
      </w:pPr>
      <w:r>
        <w:rPr>
          <w:rFonts w:ascii="Arial" w:cs="Arial" w:eastAsia="Arial" w:hAnsi="Arial"/>
          <w:sz w:val="12"/>
          <w:szCs w:val="12"/>
          <w:i w:val="1"/>
          <w:iCs w:val="1"/>
          <w:color w:val="auto"/>
        </w:rPr>
        <w:t xml:space="preserve">Board of Directors Vacancies. </w:t>
      </w:r>
      <w:r>
        <w:rPr>
          <w:rFonts w:ascii="Arial" w:cs="Arial" w:eastAsia="Arial" w:hAnsi="Arial"/>
          <w:sz w:val="12"/>
          <w:szCs w:val="12"/>
          <w:color w:val="auto"/>
        </w:rPr>
        <w:t>Our amended and restated certificate of incorporation and our</w:t>
      </w:r>
      <w:r>
        <w:rPr>
          <w:rFonts w:ascii="Arial" w:cs="Arial" w:eastAsia="Arial" w:hAnsi="Arial"/>
          <w:sz w:val="12"/>
          <w:szCs w:val="12"/>
          <w:i w:val="1"/>
          <w:iCs w:val="1"/>
          <w:color w:val="auto"/>
        </w:rPr>
        <w:t xml:space="preserve"> </w:t>
      </w:r>
      <w:r>
        <w:rPr>
          <w:rFonts w:ascii="Arial" w:cs="Arial" w:eastAsia="Arial" w:hAnsi="Arial"/>
          <w:sz w:val="12"/>
          <w:szCs w:val="12"/>
          <w:color w:val="auto"/>
        </w:rPr>
        <w:t>amended and restated bylaws will authorize generally only our board of directors to fill vacant directorships resulting from 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 entitled to vote generally at an election of directors.</w:t>
      </w:r>
    </w:p>
    <w:p>
      <w:pPr>
        <w:spacing w:after="0" w:line="88" w:lineRule="exact"/>
        <w:rPr>
          <w:rFonts w:ascii="Arial" w:cs="Arial" w:eastAsia="Arial" w:hAnsi="Arial"/>
          <w:sz w:val="12"/>
          <w:szCs w:val="12"/>
          <w:color w:val="auto"/>
        </w:rPr>
      </w:pPr>
    </w:p>
    <w:p>
      <w:pPr>
        <w:ind w:left="1980" w:right="1680" w:hanging="228"/>
        <w:spacing w:after="0" w:line="275" w:lineRule="auto"/>
        <w:tabs>
          <w:tab w:leader="none" w:pos="1980" w:val="left"/>
        </w:tabs>
        <w:numPr>
          <w:ilvl w:val="0"/>
          <w:numId w:val="160"/>
        </w:numPr>
        <w:rPr>
          <w:rFonts w:ascii="Arial" w:cs="Arial" w:eastAsia="Arial" w:hAnsi="Arial"/>
          <w:sz w:val="12"/>
          <w:szCs w:val="12"/>
          <w:color w:val="auto"/>
        </w:rPr>
      </w:pPr>
      <w:r>
        <w:rPr>
          <w:rFonts w:ascii="Arial" w:cs="Arial" w:eastAsia="Arial" w:hAnsi="Arial"/>
          <w:sz w:val="12"/>
          <w:szCs w:val="12"/>
          <w:i w:val="1"/>
          <w:iCs w:val="1"/>
          <w:color w:val="auto"/>
        </w:rPr>
        <w:t xml:space="preserve">Classified Board. </w:t>
      </w:r>
      <w:r>
        <w:rPr>
          <w:rFonts w:ascii="Arial" w:cs="Arial" w:eastAsia="Arial" w:hAnsi="Arial"/>
          <w:sz w:val="12"/>
          <w:szCs w:val="12"/>
          <w:color w:val="auto"/>
        </w:rPr>
        <w:t>Our amended and restated certificate of incorporation and our amended and</w:t>
      </w:r>
      <w:r>
        <w:rPr>
          <w:rFonts w:ascii="Arial" w:cs="Arial" w:eastAsia="Arial" w:hAnsi="Arial"/>
          <w:sz w:val="12"/>
          <w:szCs w:val="12"/>
          <w:i w:val="1"/>
          <w:iCs w:val="1"/>
          <w:color w:val="auto"/>
        </w:rPr>
        <w:t xml:space="preserve"> </w:t>
      </w:r>
      <w:r>
        <w:rPr>
          <w:rFonts w:ascii="Arial" w:cs="Arial" w:eastAsia="Arial" w:hAnsi="Arial"/>
          <w:sz w:val="12"/>
          <w:szCs w:val="12"/>
          <w:color w:val="auto"/>
        </w:rPr>
        <w:t>restated bylaws will provide that our board of directors is classified into three classes of directors. The existence of a classified board of directors could delay a successful tender offeror from obtaining majority control of our board of directors, and the prospect of that delay might deter a potential offeror. For additional information, see the section titled “Management—Classified Board of Directors.”</w:t>
      </w:r>
    </w:p>
    <w:p>
      <w:pPr>
        <w:spacing w:after="0" w:line="84" w:lineRule="exact"/>
        <w:rPr>
          <w:rFonts w:ascii="Arial" w:cs="Arial" w:eastAsia="Arial" w:hAnsi="Arial"/>
          <w:sz w:val="12"/>
          <w:szCs w:val="12"/>
          <w:color w:val="auto"/>
        </w:rPr>
      </w:pPr>
    </w:p>
    <w:p>
      <w:pPr>
        <w:ind w:left="1980" w:right="1720" w:hanging="228"/>
        <w:spacing w:after="0" w:line="289" w:lineRule="auto"/>
        <w:tabs>
          <w:tab w:leader="none" w:pos="1980" w:val="left"/>
        </w:tabs>
        <w:numPr>
          <w:ilvl w:val="0"/>
          <w:numId w:val="160"/>
        </w:numPr>
        <w:rPr>
          <w:rFonts w:ascii="Arial" w:cs="Arial" w:eastAsia="Arial" w:hAnsi="Arial"/>
          <w:sz w:val="12"/>
          <w:szCs w:val="12"/>
          <w:color w:val="auto"/>
        </w:rPr>
      </w:pPr>
      <w:r>
        <w:rPr>
          <w:rFonts w:ascii="Arial" w:cs="Arial" w:eastAsia="Arial" w:hAnsi="Arial"/>
          <w:sz w:val="12"/>
          <w:szCs w:val="12"/>
          <w:i w:val="1"/>
          <w:iCs w:val="1"/>
          <w:color w:val="auto"/>
        </w:rPr>
        <w:t xml:space="preserve">Directors Removed Only for Cause. </w:t>
      </w:r>
      <w:r>
        <w:rPr>
          <w:rFonts w:ascii="Arial" w:cs="Arial" w:eastAsia="Arial" w:hAnsi="Arial"/>
          <w:sz w:val="12"/>
          <w:szCs w:val="12"/>
          <w:color w:val="auto"/>
        </w:rPr>
        <w:t>Our amended and restated certificate of incorporation will</w:t>
      </w:r>
      <w:r>
        <w:rPr>
          <w:rFonts w:ascii="Arial" w:cs="Arial" w:eastAsia="Arial" w:hAnsi="Arial"/>
          <w:sz w:val="12"/>
          <w:szCs w:val="12"/>
          <w:i w:val="1"/>
          <w:iCs w:val="1"/>
          <w:color w:val="auto"/>
        </w:rPr>
        <w:t xml:space="preserve"> </w:t>
      </w:r>
      <w:r>
        <w:rPr>
          <w:rFonts w:ascii="Arial" w:cs="Arial" w:eastAsia="Arial" w:hAnsi="Arial"/>
          <w:sz w:val="12"/>
          <w:szCs w:val="12"/>
          <w:color w:val="auto"/>
        </w:rPr>
        <w:t>provide that stockholders may remove directors only for cause and only by the affirmative vote of the holders of at least 66 2/3% of the voting power of the then-outstanding capital stock.</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211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80" w:right="1680" w:hanging="228"/>
        <w:spacing w:after="0" w:line="272" w:lineRule="auto"/>
        <w:tabs>
          <w:tab w:leader="none" w:pos="1980" w:val="left"/>
        </w:tabs>
        <w:numPr>
          <w:ilvl w:val="0"/>
          <w:numId w:val="161"/>
        </w:numPr>
        <w:rPr>
          <w:rFonts w:ascii="Arial" w:cs="Arial" w:eastAsia="Arial" w:hAnsi="Arial"/>
          <w:sz w:val="12"/>
          <w:szCs w:val="12"/>
          <w:color w:val="auto"/>
        </w:rPr>
      </w:pPr>
      <w:r>
        <w:rPr>
          <w:rFonts w:ascii="Arial" w:cs="Arial" w:eastAsia="Arial" w:hAnsi="Arial"/>
          <w:sz w:val="12"/>
          <w:szCs w:val="12"/>
          <w:i w:val="1"/>
          <w:iCs w:val="1"/>
          <w:color w:val="auto"/>
        </w:rPr>
        <w:t xml:space="preserve">Supermajority Requirements for Amendments of Our Amended and Restated Certificate of Incorporation and Amended and Restated Bylaws. </w:t>
      </w:r>
      <w:r>
        <w:rPr>
          <w:rFonts w:ascii="Arial" w:cs="Arial" w:eastAsia="Arial" w:hAnsi="Arial"/>
          <w:sz w:val="12"/>
          <w:szCs w:val="12"/>
          <w:color w:val="auto"/>
        </w:rPr>
        <w:t>Our amended and restated certificate of</w:t>
      </w:r>
      <w:r>
        <w:rPr>
          <w:rFonts w:ascii="Arial" w:cs="Arial" w:eastAsia="Arial" w:hAnsi="Arial"/>
          <w:sz w:val="12"/>
          <w:szCs w:val="12"/>
          <w:i w:val="1"/>
          <w:iCs w:val="1"/>
          <w:color w:val="auto"/>
        </w:rPr>
        <w:t xml:space="preserve"> </w:t>
      </w:r>
      <w:r>
        <w:rPr>
          <w:rFonts w:ascii="Arial" w:cs="Arial" w:eastAsia="Arial" w:hAnsi="Arial"/>
          <w:sz w:val="12"/>
          <w:szCs w:val="12"/>
          <w:color w:val="auto"/>
        </w:rPr>
        <w:t>incorporation will further provide that the affirmative vote of holders of at least 66 2/3% of the voting power of the then-outstanding shares of capital stock will be required to amend certain provisions of our amended and restated certificate of incorporation, including provisions relating to the classified board, the size of our board of directors, removal of directors, special meetings, actions by written consent of our stockholders, and designation of our preferred stock. In addition, the affirmative vote of holders of at least 66 2/3% of the voting power of each of our Class A</w:t>
      </w:r>
    </w:p>
    <w:p>
      <w:pPr>
        <w:sectPr>
          <w:pgSz w:w="11900" w:h="16840" w:orient="portrait"/>
          <w:cols w:equalWidth="0" w:num="1">
            <w:col w:w="9020"/>
          </w:cols>
          <w:pgMar w:left="1440" w:top="684" w:right="1440" w:bottom="100" w:gutter="0" w:footer="0" w:header="0"/>
        </w:sectPr>
      </w:pPr>
    </w:p>
    <w:bookmarkStart w:id="145" w:name="page146"/>
    <w:bookmarkEnd w:id="145"/>
    <w:p>
      <w:pPr>
        <w:ind w:left="1980" w:right="1700"/>
        <w:spacing w:after="0" w:line="192" w:lineRule="auto"/>
        <w:rPr>
          <w:sz w:val="20"/>
          <w:szCs w:val="20"/>
          <w:color w:val="auto"/>
        </w:rPr>
      </w:pPr>
      <w:r>
        <w:rPr>
          <w:rFonts w:ascii="Arial" w:cs="Arial" w:eastAsia="Arial" w:hAnsi="Arial"/>
          <w:sz w:val="11"/>
          <w:szCs w:val="11"/>
          <w:color w:val="auto"/>
        </w:rPr>
        <w:t>common stock and Class B common stock, voting separately by class, will be required to amend the provisions of our amended and restated certificate of incorporation relating to the terms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-121920</wp:posOffset>
            </wp:positionV>
            <wp:extent cx="6732270" cy="99707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jc w:val="both"/>
        <w:ind w:left="1980" w:right="1780"/>
        <w:spacing w:after="0" w:line="275" w:lineRule="auto"/>
        <w:rPr>
          <w:sz w:val="20"/>
          <w:szCs w:val="20"/>
          <w:color w:val="auto"/>
        </w:rPr>
      </w:pPr>
      <w:r>
        <w:rPr>
          <w:rFonts w:ascii="Arial" w:cs="Arial" w:eastAsia="Arial" w:hAnsi="Arial"/>
          <w:sz w:val="12"/>
          <w:szCs w:val="12"/>
          <w:color w:val="auto"/>
        </w:rPr>
        <w:t>Class A common stock or Class B common stock. The affirmative vote of holders of at least 66 2/3% of the voting power of all of the then-outstanding shares of capital stock will be required to amend or repeal our amended and restated bylaws, although our amended and restated bylaws may be amended by a simple majority vote of our board of directors.</w:t>
      </w:r>
    </w:p>
    <w:p>
      <w:pPr>
        <w:spacing w:after="0" w:line="83" w:lineRule="exact"/>
        <w:rPr>
          <w:sz w:val="20"/>
          <w:szCs w:val="20"/>
          <w:color w:val="auto"/>
        </w:rPr>
      </w:pPr>
    </w:p>
    <w:p>
      <w:pPr>
        <w:ind w:left="1980" w:right="1700" w:hanging="228"/>
        <w:spacing w:after="0" w:line="271" w:lineRule="auto"/>
        <w:tabs>
          <w:tab w:leader="none" w:pos="1980" w:val="left"/>
        </w:tabs>
        <w:numPr>
          <w:ilvl w:val="0"/>
          <w:numId w:val="162"/>
        </w:numPr>
        <w:rPr>
          <w:rFonts w:ascii="Arial" w:cs="Arial" w:eastAsia="Arial" w:hAnsi="Arial"/>
          <w:sz w:val="12"/>
          <w:szCs w:val="12"/>
          <w:color w:val="auto"/>
        </w:rPr>
      </w:pPr>
      <w:r>
        <w:rPr>
          <w:rFonts w:ascii="Arial" w:cs="Arial" w:eastAsia="Arial" w:hAnsi="Arial"/>
          <w:sz w:val="12"/>
          <w:szCs w:val="12"/>
          <w:i w:val="1"/>
          <w:iCs w:val="1"/>
          <w:color w:val="auto"/>
        </w:rPr>
        <w:t xml:space="preserve">Stockholder Action; Special Meetings of Stockholders. </w:t>
      </w:r>
      <w:r>
        <w:rPr>
          <w:rFonts w:ascii="Arial" w:cs="Arial" w:eastAsia="Arial" w:hAnsi="Arial"/>
          <w:sz w:val="12"/>
          <w:szCs w:val="12"/>
          <w:color w:val="auto"/>
        </w:rPr>
        <w:t>Our amended and restated certificate of</w:t>
      </w:r>
      <w:r>
        <w:rPr>
          <w:rFonts w:ascii="Arial" w:cs="Arial" w:eastAsia="Arial" w:hAnsi="Arial"/>
          <w:sz w:val="12"/>
          <w:szCs w:val="12"/>
          <w:i w:val="1"/>
          <w:iCs w:val="1"/>
          <w:color w:val="auto"/>
        </w:rPr>
        <w:t xml:space="preserve"> </w:t>
      </w:r>
      <w:r>
        <w:rPr>
          <w:rFonts w:ascii="Arial" w:cs="Arial" w:eastAsia="Arial" w:hAnsi="Arial"/>
          <w:sz w:val="12"/>
          <w:szCs w:val="12"/>
          <w:color w:val="auto"/>
        </w:rPr>
        <w:t>incorporation will provide that our stockholders may not take action by written consent, but may only take action at annual or special meetings of our stockholders. As a result, holders of our capital stock would not be able to amend our amended and restated bylaws or remove directors without holding a meeting of our stockholders called in accordance with our amended and restated bylaws. Our amended and restated certificate of incorporation and our amended and restated bylaws will provide that special meetings of our stockholders may be called only by a majority of our board of directors, thus prohibiting a stockholder from calling a special meeting. These provisions might delay the ability of our stockholders to force consideration of a proposal or for stockholders to take any action, including the removal of directors.</w:t>
      </w:r>
    </w:p>
    <w:p>
      <w:pPr>
        <w:spacing w:after="0" w:line="88" w:lineRule="exact"/>
        <w:rPr>
          <w:sz w:val="20"/>
          <w:szCs w:val="20"/>
          <w:color w:val="auto"/>
        </w:rPr>
      </w:pPr>
    </w:p>
    <w:p>
      <w:pPr>
        <w:ind w:left="1760"/>
        <w:spacing w:after="0"/>
        <w:tabs>
          <w:tab w:leader="none" w:pos="1960" w:val="left"/>
          <w:tab w:leader="none" w:pos="678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i w:val="1"/>
          <w:iCs w:val="1"/>
          <w:color w:val="auto"/>
        </w:rPr>
        <w:t>Advance Notice Requirements for Stockholder Proposals and Director Nominations.</w:t>
      </w:r>
      <w:r>
        <w:rPr>
          <w:sz w:val="20"/>
          <w:szCs w:val="20"/>
          <w:color w:val="auto"/>
        </w:rPr>
        <w:tab/>
      </w:r>
      <w:r>
        <w:rPr>
          <w:rFonts w:ascii="Arial" w:cs="Arial" w:eastAsia="Arial" w:hAnsi="Arial"/>
          <w:sz w:val="11"/>
          <w:szCs w:val="11"/>
          <w:color w:val="auto"/>
        </w:rPr>
        <w:t>Our</w:t>
      </w:r>
    </w:p>
    <w:p>
      <w:pPr>
        <w:spacing w:after="0" w:line="27" w:lineRule="exact"/>
        <w:rPr>
          <w:sz w:val="20"/>
          <w:szCs w:val="20"/>
          <w:color w:val="auto"/>
        </w:rPr>
      </w:pPr>
    </w:p>
    <w:p>
      <w:pPr>
        <w:ind w:left="1980" w:right="1680"/>
        <w:spacing w:after="0" w:line="269" w:lineRule="auto"/>
        <w:rPr>
          <w:sz w:val="20"/>
          <w:szCs w:val="20"/>
          <w:color w:val="auto"/>
        </w:rPr>
      </w:pPr>
      <w:r>
        <w:rPr>
          <w:rFonts w:ascii="Arial" w:cs="Arial" w:eastAsia="Arial" w:hAnsi="Arial"/>
          <w:sz w:val="12"/>
          <w:szCs w:val="12"/>
          <w:color w:val="auto"/>
        </w:rPr>
        <w:t>amended and restated bylaws will provide advance notice procedures for stockholders seeking to bring business before our annual meeting of stockholders or to nominate candidates for election as directors at our annual meeting of stockholders. Our amended and restated bylaws also will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89" w:lineRule="exact"/>
        <w:rPr>
          <w:sz w:val="20"/>
          <w:szCs w:val="20"/>
          <w:color w:val="auto"/>
        </w:rPr>
      </w:pPr>
    </w:p>
    <w:p>
      <w:pPr>
        <w:ind w:left="1980" w:right="1960" w:hanging="228"/>
        <w:spacing w:after="0" w:line="281" w:lineRule="auto"/>
        <w:tabs>
          <w:tab w:leader="none" w:pos="1980" w:val="left"/>
        </w:tabs>
        <w:numPr>
          <w:ilvl w:val="0"/>
          <w:numId w:val="163"/>
        </w:numPr>
        <w:rPr>
          <w:rFonts w:ascii="Arial" w:cs="Arial" w:eastAsia="Arial" w:hAnsi="Arial"/>
          <w:sz w:val="12"/>
          <w:szCs w:val="12"/>
          <w:color w:val="auto"/>
        </w:rPr>
      </w:pPr>
      <w:r>
        <w:rPr>
          <w:rFonts w:ascii="Arial" w:cs="Arial" w:eastAsia="Arial" w:hAnsi="Arial"/>
          <w:sz w:val="12"/>
          <w:szCs w:val="12"/>
          <w:i w:val="1"/>
          <w:iCs w:val="1"/>
          <w:color w:val="auto"/>
        </w:rPr>
        <w:t xml:space="preserve">No Cumulative Voting. </w:t>
      </w:r>
      <w:r>
        <w:rPr>
          <w:rFonts w:ascii="Arial" w:cs="Arial" w:eastAsia="Arial" w:hAnsi="Arial"/>
          <w:sz w:val="12"/>
          <w:szCs w:val="12"/>
          <w:color w:val="auto"/>
        </w:rPr>
        <w:t>The DGCL provides that stockholders are not entitled to the right to</w:t>
      </w:r>
      <w:r>
        <w:rPr>
          <w:rFonts w:ascii="Arial" w:cs="Arial" w:eastAsia="Arial" w:hAnsi="Arial"/>
          <w:sz w:val="12"/>
          <w:szCs w:val="12"/>
          <w:i w:val="1"/>
          <w:iCs w:val="1"/>
          <w:color w:val="auto"/>
        </w:rPr>
        <w:t xml:space="preserve"> </w:t>
      </w:r>
      <w:r>
        <w:rPr>
          <w:rFonts w:ascii="Arial" w:cs="Arial" w:eastAsia="Arial" w:hAnsi="Arial"/>
          <w:sz w:val="12"/>
          <w:szCs w:val="12"/>
          <w:color w:val="auto"/>
        </w:rPr>
        <w:t>cumulate votes in the election of directors unless a corporation’s certificate of incorporation provides otherwise. Our amended and restated certificate of incorporation and amended and restated bylaws will not provide for cumulative voting.</w:t>
      </w:r>
    </w:p>
    <w:p>
      <w:pPr>
        <w:spacing w:after="0" w:line="80" w:lineRule="exact"/>
        <w:rPr>
          <w:rFonts w:ascii="Arial" w:cs="Arial" w:eastAsia="Arial" w:hAnsi="Arial"/>
          <w:sz w:val="12"/>
          <w:szCs w:val="12"/>
          <w:color w:val="auto"/>
        </w:rPr>
      </w:pPr>
    </w:p>
    <w:p>
      <w:pPr>
        <w:ind w:left="1980" w:right="1620" w:hanging="228"/>
        <w:spacing w:after="0" w:line="273" w:lineRule="auto"/>
        <w:tabs>
          <w:tab w:leader="none" w:pos="1980" w:val="left"/>
        </w:tabs>
        <w:numPr>
          <w:ilvl w:val="0"/>
          <w:numId w:val="163"/>
        </w:numPr>
        <w:rPr>
          <w:rFonts w:ascii="Arial" w:cs="Arial" w:eastAsia="Arial" w:hAnsi="Arial"/>
          <w:sz w:val="12"/>
          <w:szCs w:val="12"/>
          <w:color w:val="auto"/>
        </w:rPr>
      </w:pPr>
      <w:r>
        <w:rPr>
          <w:rFonts w:ascii="Arial" w:cs="Arial" w:eastAsia="Arial" w:hAnsi="Arial"/>
          <w:sz w:val="12"/>
          <w:szCs w:val="12"/>
          <w:i w:val="1"/>
          <w:iCs w:val="1"/>
          <w:color w:val="auto"/>
        </w:rPr>
        <w:t xml:space="preserve">Issuance of Undesignated Preferred Stock. </w:t>
      </w:r>
      <w:r>
        <w:rPr>
          <w:rFonts w:ascii="Arial" w:cs="Arial" w:eastAsia="Arial" w:hAnsi="Arial"/>
          <w:sz w:val="12"/>
          <w:szCs w:val="12"/>
          <w:color w:val="auto"/>
        </w:rPr>
        <w:t>We anticipate that after the filing of our amended and</w:t>
      </w:r>
      <w:r>
        <w:rPr>
          <w:rFonts w:ascii="Arial" w:cs="Arial" w:eastAsia="Arial" w:hAnsi="Arial"/>
          <w:sz w:val="12"/>
          <w:szCs w:val="12"/>
          <w:i w:val="1"/>
          <w:iCs w:val="1"/>
          <w:color w:val="auto"/>
        </w:rPr>
        <w:t xml:space="preserve"> </w:t>
      </w:r>
      <w:r>
        <w:rPr>
          <w:rFonts w:ascii="Arial" w:cs="Arial" w:eastAsia="Arial" w:hAnsi="Arial"/>
          <w:sz w:val="12"/>
          <w:szCs w:val="12"/>
          <w:color w:val="auto"/>
        </w:rPr>
        <w:t>restated certificate of incorporation, our board of directors will have the authority, without further action by the stockholders, to issue up to 20,000,000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87" w:lineRule="exact"/>
        <w:rPr>
          <w:rFonts w:ascii="Arial" w:cs="Arial" w:eastAsia="Arial" w:hAnsi="Arial"/>
          <w:sz w:val="12"/>
          <w:szCs w:val="12"/>
          <w:color w:val="auto"/>
        </w:rPr>
      </w:pPr>
    </w:p>
    <w:p>
      <w:pPr>
        <w:ind w:left="1980" w:right="1740" w:hanging="228"/>
        <w:spacing w:after="0" w:line="277" w:lineRule="auto"/>
        <w:tabs>
          <w:tab w:leader="none" w:pos="1980" w:val="left"/>
        </w:tabs>
        <w:numPr>
          <w:ilvl w:val="0"/>
          <w:numId w:val="163"/>
        </w:numPr>
        <w:rPr>
          <w:rFonts w:ascii="Arial" w:cs="Arial" w:eastAsia="Arial" w:hAnsi="Arial"/>
          <w:sz w:val="12"/>
          <w:szCs w:val="12"/>
          <w:color w:val="auto"/>
        </w:rPr>
      </w:pPr>
      <w:r>
        <w:rPr>
          <w:rFonts w:ascii="Arial" w:cs="Arial" w:eastAsia="Arial" w:hAnsi="Arial"/>
          <w:sz w:val="12"/>
          <w:szCs w:val="12"/>
          <w:i w:val="1"/>
          <w:iCs w:val="1"/>
          <w:color w:val="auto"/>
        </w:rPr>
        <w:t xml:space="preserve">Choice of Forum. </w:t>
      </w:r>
      <w:r>
        <w:rPr>
          <w:rFonts w:ascii="Arial" w:cs="Arial" w:eastAsia="Arial" w:hAnsi="Arial"/>
          <w:sz w:val="12"/>
          <w:szCs w:val="12"/>
          <w:color w:val="auto"/>
        </w:rPr>
        <w:t>In addition, our amended and restated certificate of incorporation will provide</w:t>
      </w:r>
      <w:r>
        <w:rPr>
          <w:rFonts w:ascii="Arial" w:cs="Arial" w:eastAsia="Arial" w:hAnsi="Arial"/>
          <w:sz w:val="12"/>
          <w:szCs w:val="12"/>
          <w:i w:val="1"/>
          <w:iCs w:val="1"/>
          <w:color w:val="auto"/>
        </w:rPr>
        <w:t xml:space="preserve"> </w:t>
      </w:r>
      <w:r>
        <w:rPr>
          <w:rFonts w:ascii="Arial" w:cs="Arial" w:eastAsia="Arial" w:hAnsi="Arial"/>
          <w:sz w:val="12"/>
          <w:szCs w:val="12"/>
          <w:color w:val="auto"/>
        </w:rPr>
        <w:t>that, to the fullest extent permitted by law, the Court of Chancery of the State of Delaware will be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212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80" w:right="1680"/>
        <w:spacing w:after="0" w:line="267" w:lineRule="auto"/>
        <w:rPr>
          <w:sz w:val="20"/>
          <w:szCs w:val="20"/>
          <w:color w:val="auto"/>
        </w:rPr>
      </w:pPr>
      <w:r>
        <w:rPr>
          <w:rFonts w:ascii="Arial" w:cs="Arial" w:eastAsia="Arial" w:hAnsi="Arial"/>
          <w:sz w:val="12"/>
          <w:szCs w:val="12"/>
          <w:color w:val="auto"/>
        </w:rPr>
        <w:t>bylaws; any action asserting a claim against us that is governed by the internal affairs doctrine; or any to interpret, apply, enforce, or determine the validity of the amended and restated certificate of incorporation or amended and restated bylaws.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will also contain a Federal Forum Provision. While there can be no assurance that federal or state courts will follow the holding of the Supreme Court of the State of Delaware which recently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As Section 22 of the Securities Act creates concurrent jurisdiction for federal and state courts over all suits brought to enforce any duty or liability created by the Securities Act or the rules and regulations thereunder, there is uncertainty as to whether a court would enforce such provision. Further, Section 27 of the Exchange Act creates exclusive federal jurisdiction over all claims brought to enforce any duty or liability created by the Exchange Act or the rules and regulations thereunder. In addition, the Federal Forum Provision applies, to the fullest extent permitted by law,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 If a court were to find the Federal 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spacing w:after="0" w:line="255"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Participation in Our Initial Public Offering</w:t>
      </w:r>
    </w:p>
    <w:p>
      <w:pPr>
        <w:spacing w:after="0" w:line="130"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In connection with our Series G and Series G-1 redeemable convertible preferred stock financing and our Series F redeemable convertible preferred stock financing, we entered into allocation agreements with an affiliated entity of Premji Invest and an affiliated entity of Greenoaks Capital Partners, referred to for this purpose as Greenoaks Capital Partners. Under these agreements, we agreed to use reasonable efforts to provide each of Premji Invest and Greenoaks Capital Partners with the right, but not the obligation, to purchase at the initial public offering price up to 5% of the shares sold in this offering. At our election, Premji Invest’s purchase may be made either through an allocation by the underwriters in this offering or in a concurrent private placement, while Greenoaks Capital Partners’ purchase may be made only through an allocation by the underwriters. Shares purchased by Premji Invest or Greenoaks Capital Partners pursuant to these rights will not be subject to any lock-up. The number of shares available for sale to the public will be reduced by any shares purchased pursuant to these rights, and any</w:t>
      </w:r>
    </w:p>
    <w:p>
      <w:pPr>
        <w:sectPr>
          <w:pgSz w:w="11900" w:h="16840" w:orient="portrait"/>
          <w:cols w:equalWidth="0" w:num="1">
            <w:col w:w="9020"/>
          </w:cols>
          <w:pgMar w:left="1440" w:top="560" w:right="1440" w:bottom="18" w:gutter="0" w:footer="0" w:header="0"/>
        </w:sectPr>
      </w:pPr>
    </w:p>
    <w:bookmarkStart w:id="146" w:name="page147"/>
    <w:bookmarkEnd w:id="146"/>
    <w:p>
      <w:pPr>
        <w:ind w:left="1520"/>
        <w:spacing w:after="0"/>
        <w:rPr>
          <w:sz w:val="20"/>
          <w:szCs w:val="20"/>
          <w:color w:val="auto"/>
        </w:rPr>
      </w:pPr>
      <w:r>
        <w:rPr>
          <w:rFonts w:ascii="Arial" w:cs="Arial" w:eastAsia="Arial" w:hAnsi="Arial"/>
          <w:sz w:val="12"/>
          <w:szCs w:val="12"/>
          <w:color w:val="auto"/>
        </w:rPr>
        <w:t>unpurchased shares will be offered to the public on the same basis as the other shares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8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Transfer Agent and Registrar</w:t>
      </w:r>
    </w:p>
    <w:p>
      <w:pPr>
        <w:spacing w:after="0" w:line="130" w:lineRule="exact"/>
        <w:rPr>
          <w:sz w:val="20"/>
          <w:szCs w:val="20"/>
          <w:color w:val="auto"/>
        </w:rPr>
      </w:pPr>
    </w:p>
    <w:p>
      <w:pPr>
        <w:jc w:val="both"/>
        <w:ind w:left="1520" w:right="1780" w:firstLine="230"/>
        <w:spacing w:after="0" w:line="289" w:lineRule="auto"/>
        <w:rPr>
          <w:sz w:val="20"/>
          <w:szCs w:val="20"/>
          <w:color w:val="auto"/>
        </w:rPr>
      </w:pPr>
      <w:r>
        <w:rPr>
          <w:rFonts w:ascii="Arial" w:cs="Arial" w:eastAsia="Arial" w:hAnsi="Arial"/>
          <w:sz w:val="12"/>
          <w:szCs w:val="12"/>
          <w:color w:val="auto"/>
        </w:rPr>
        <w:t>Upon the completion of this offering, the transfer agent and registrar for our Class A common stock and Class B common stock will be Computershare Trust Company, N.A. The transfer agent’s address is 150 Royall Street, Canton, Massachusetts 02021.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213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Exchange Listing</w:t>
      </w:r>
    </w:p>
    <w:p>
      <w:pPr>
        <w:spacing w:after="0" w:line="130"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We have applied to list our Class A common stock on Nasdaq under the symbol “NAVN.”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214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SHARES ELIGIBLE FOR FUTURE SALE</w:t>
      </w:r>
    </w:p>
    <w:p>
      <w:pPr>
        <w:spacing w:after="0" w:line="130" w:lineRule="exact"/>
        <w:rPr>
          <w:sz w:val="20"/>
          <w:szCs w:val="20"/>
          <w:color w:val="auto"/>
        </w:rPr>
      </w:pPr>
    </w:p>
    <w:p>
      <w:pPr>
        <w:ind w:left="1520" w:right="1780" w:firstLine="230"/>
        <w:spacing w:after="0" w:line="281" w:lineRule="auto"/>
        <w:rPr>
          <w:sz w:val="20"/>
          <w:szCs w:val="20"/>
          <w:color w:val="auto"/>
        </w:rPr>
      </w:pPr>
      <w:r>
        <w:rPr>
          <w:rFonts w:ascii="Arial" w:cs="Arial" w:eastAsia="Arial" w:hAnsi="Arial"/>
          <w:sz w:val="12"/>
          <w:szCs w:val="12"/>
          <w:color w:val="auto"/>
        </w:rPr>
        <w:t>Before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w:t>
      </w:r>
    </w:p>
    <w:p>
      <w:pPr>
        <w:spacing w:after="0" w:line="81" w:lineRule="exact"/>
        <w:rPr>
          <w:sz w:val="20"/>
          <w:szCs w:val="20"/>
          <w:color w:val="auto"/>
        </w:rPr>
      </w:pPr>
    </w:p>
    <w:p>
      <w:pPr>
        <w:jc w:val="both"/>
        <w:ind w:left="1520" w:right="1880" w:firstLine="230"/>
        <w:spacing w:after="0" w:line="281" w:lineRule="auto"/>
        <w:rPr>
          <w:sz w:val="20"/>
          <w:szCs w:val="20"/>
          <w:color w:val="auto"/>
        </w:rPr>
      </w:pPr>
      <w:r>
        <w:rPr>
          <w:rFonts w:ascii="Arial" w:cs="Arial" w:eastAsia="Arial" w:hAnsi="Arial"/>
          <w:sz w:val="12"/>
          <w:szCs w:val="12"/>
          <w:color w:val="auto"/>
        </w:rPr>
        <w:t>Nevertheless, sales of substantial amounts of our Class A common stock, including shares issued upon exercise of outstanding stock options, in the public market following this offering could adversely affect market prices prevailing from time to time and could impair our ability to raise capital through the sale of our equity securities.</w:t>
      </w:r>
    </w:p>
    <w:p>
      <w:pPr>
        <w:spacing w:after="0" w:line="81" w:lineRule="exact"/>
        <w:rPr>
          <w:sz w:val="20"/>
          <w:szCs w:val="20"/>
          <w:color w:val="auto"/>
        </w:rPr>
      </w:pPr>
    </w:p>
    <w:p>
      <w:pPr>
        <w:ind w:left="1520" w:right="1680" w:firstLine="230"/>
        <w:spacing w:after="0" w:line="312" w:lineRule="auto"/>
        <w:rPr>
          <w:sz w:val="20"/>
          <w:szCs w:val="20"/>
          <w:color w:val="auto"/>
        </w:rPr>
      </w:pPr>
      <w:r>
        <w:rPr>
          <w:rFonts w:ascii="Arial" w:cs="Arial" w:eastAsia="Arial" w:hAnsi="Arial"/>
          <w:sz w:val="12"/>
          <w:szCs w:val="12"/>
          <w:color w:val="auto"/>
        </w:rPr>
        <w:t>Upon the completion of this offering, based on the number of shares of our capital stock outstanding as of July 31, 2025, we will have a total of 230,961,542 shares of our Class A common stock outstanding</w:t>
      </w:r>
    </w:p>
    <w:p>
      <w:pPr>
        <w:sectPr>
          <w:pgSz w:w="11900" w:h="16840" w:orient="portrait"/>
          <w:cols w:equalWidth="0" w:num="1">
            <w:col w:w="9020"/>
          </w:cols>
          <w:pgMar w:left="1440" w:top="560" w:right="1440" w:bottom="76" w:gutter="0" w:footer="0" w:header="0"/>
        </w:sectPr>
      </w:pPr>
    </w:p>
    <w:bookmarkStart w:id="147" w:name="page148"/>
    <w:bookmarkEnd w:id="147"/>
    <w:p>
      <w:pPr>
        <w:ind w:left="1520" w:right="2040"/>
        <w:spacing w:after="0" w:line="192" w:lineRule="auto"/>
        <w:rPr>
          <w:sz w:val="20"/>
          <w:szCs w:val="20"/>
          <w:color w:val="auto"/>
        </w:rPr>
      </w:pPr>
      <w:r>
        <w:rPr>
          <w:rFonts w:ascii="Arial" w:cs="Arial" w:eastAsia="Arial" w:hAnsi="Arial"/>
          <w:sz w:val="11"/>
          <w:szCs w:val="11"/>
          <w:color w:val="auto"/>
        </w:rPr>
        <w:t>and 15,304,696 shares of our Class B common stock outstanding, assuming (i) the Capital Stock Conversion, the Class B Stock Exchange, the Note Conversion, the SAFE Conversion,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-121920</wp:posOffset>
            </wp:positionV>
            <wp:extent cx="6732270" cy="99707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760"/>
        <w:spacing w:after="0" w:line="266" w:lineRule="auto"/>
        <w:rPr>
          <w:sz w:val="20"/>
          <w:szCs w:val="20"/>
          <w:color w:val="auto"/>
        </w:rPr>
      </w:pPr>
      <w:r>
        <w:rPr>
          <w:rFonts w:ascii="Arial" w:cs="Arial" w:eastAsia="Arial" w:hAnsi="Arial"/>
          <w:sz w:val="12"/>
          <w:szCs w:val="12"/>
          <w:color w:val="auto"/>
        </w:rPr>
        <w:t>Exercises, and the Option Cash Exercise, (ii) the net issuance of 948,970 shares of Class A common stock in connection with the RSU Net Settlement, after withholding 694,607 shares to satisfy estimated tax withholding and remittance obligations (based on the assumed initial public offering price of</w:t>
      </w:r>
    </w:p>
    <w:p>
      <w:pPr>
        <w:ind w:left="1520" w:right="1620"/>
        <w:spacing w:after="0" w:line="271" w:lineRule="auto"/>
        <w:rPr>
          <w:sz w:val="20"/>
          <w:szCs w:val="20"/>
          <w:color w:val="auto"/>
        </w:rPr>
      </w:pPr>
      <w:r>
        <w:rPr>
          <w:rFonts w:ascii="Arial" w:cs="Arial" w:eastAsia="Arial" w:hAnsi="Arial"/>
          <w:sz w:val="12"/>
          <w:szCs w:val="12"/>
          <w:color w:val="auto"/>
        </w:rPr>
        <w:t>$25.00 per share, the midpoint of the price range set forth on the cover page of this prospectus, and an assumed 44% tax withholding rate), and (iii) the issuance of 30,000,000 shares of Class A common stock by us in this offering. Of these outstanding shares, all of the shares of Class A common stock sold in this offering will be freely tradable, except that any shares purchased in this offering by our affiliates, as that term is defined in Rule 144 under the Securities Act, only would be able to be sold in compliance with the Rule 144 limitations described below.</w:t>
      </w:r>
    </w:p>
    <w:p>
      <w:pPr>
        <w:spacing w:after="0" w:line="87" w:lineRule="exact"/>
        <w:rPr>
          <w:sz w:val="20"/>
          <w:szCs w:val="20"/>
          <w:color w:val="auto"/>
        </w:rPr>
      </w:pPr>
    </w:p>
    <w:p>
      <w:pPr>
        <w:ind w:left="1520" w:right="1700" w:firstLine="230"/>
        <w:spacing w:after="0" w:line="275" w:lineRule="auto"/>
        <w:rPr>
          <w:sz w:val="20"/>
          <w:szCs w:val="20"/>
          <w:color w:val="auto"/>
        </w:rPr>
      </w:pPr>
      <w:r>
        <w:rPr>
          <w:rFonts w:ascii="Arial" w:cs="Arial" w:eastAsia="Arial" w:hAnsi="Arial"/>
          <w:sz w:val="12"/>
          <w:szCs w:val="12"/>
          <w:color w:val="auto"/>
        </w:rPr>
        <w:t>The remaining outstanding shares of our Class A common stock and Class B common stock will be, and the shares underlying outstanding RSUs and shares subject to outstanding stock options will be upon issuance,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w:t>
      </w:r>
    </w:p>
    <w:p>
      <w:pPr>
        <w:spacing w:after="0" w:line="85" w:lineRule="exact"/>
        <w:rPr>
          <w:sz w:val="20"/>
          <w:szCs w:val="20"/>
          <w:color w:val="auto"/>
        </w:rPr>
      </w:pPr>
    </w:p>
    <w:p>
      <w:pPr>
        <w:ind w:left="1520" w:right="1740" w:firstLine="230"/>
        <w:spacing w:after="0" w:line="289" w:lineRule="auto"/>
        <w:rPr>
          <w:sz w:val="20"/>
          <w:szCs w:val="20"/>
          <w:color w:val="auto"/>
        </w:rPr>
      </w:pPr>
      <w:r>
        <w:rPr>
          <w:rFonts w:ascii="Arial" w:cs="Arial" w:eastAsia="Arial" w:hAnsi="Arial"/>
          <w:sz w:val="12"/>
          <w:szCs w:val="12"/>
          <w:color w:val="auto"/>
        </w:rPr>
        <w:t>As a result of the lock-up agreements described below and the provisions of our IRA described in the section titled “Description of Capital Stock—Registration Rights,” and subject to the provisions of Rule 144 or Rule 701, these restricted securities will be available for sale in the public market as follows:</w:t>
      </w:r>
    </w:p>
    <w:p>
      <w:pPr>
        <w:spacing w:after="0" w:line="100"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2900" w:type="dxa"/>
            <w:vAlign w:val="bottom"/>
          </w:tcPr>
          <w:p>
            <w:pPr>
              <w:spacing w:after="0"/>
              <w:rPr>
                <w:sz w:val="20"/>
                <w:szCs w:val="20"/>
                <w:color w:val="auto"/>
              </w:rPr>
            </w:pPr>
            <w:r>
              <w:rPr>
                <w:rFonts w:ascii="Arial" w:cs="Arial" w:eastAsia="Arial" w:hAnsi="Arial"/>
                <w:sz w:val="12"/>
                <w:szCs w:val="12"/>
                <w:b w:val="1"/>
                <w:bCs w:val="1"/>
                <w:u w:val="single" w:color="auto"/>
                <w:color w:val="auto"/>
              </w:rPr>
              <w:t>Earliest Date Available for Sale in the Public</w:t>
            </w:r>
          </w:p>
        </w:tc>
        <w:tc>
          <w:tcPr>
            <w:tcW w:w="2460" w:type="dxa"/>
            <w:vAlign w:val="bottom"/>
            <w:vMerge w:val="restart"/>
          </w:tcPr>
          <w:p>
            <w:pPr>
              <w:ind w:left="300"/>
              <w:spacing w:after="0"/>
              <w:rPr>
                <w:sz w:val="20"/>
                <w:szCs w:val="20"/>
                <w:color w:val="auto"/>
              </w:rPr>
            </w:pPr>
            <w:r>
              <w:rPr>
                <w:rFonts w:ascii="Arial" w:cs="Arial" w:eastAsia="Arial" w:hAnsi="Arial"/>
                <w:sz w:val="12"/>
                <w:szCs w:val="12"/>
                <w:b w:val="1"/>
                <w:bCs w:val="1"/>
                <w:u w:val="single" w:color="auto"/>
                <w:color w:val="auto"/>
              </w:rPr>
              <w:t>Number of Shares of Common Stock</w:t>
            </w:r>
          </w:p>
        </w:tc>
        <w:tc>
          <w:tcPr>
            <w:tcW w:w="0" w:type="dxa"/>
            <w:vAlign w:val="bottom"/>
          </w:tcPr>
          <w:p>
            <w:pPr>
              <w:spacing w:after="0"/>
              <w:rPr>
                <w:sz w:val="1"/>
                <w:szCs w:val="1"/>
                <w:color w:val="auto"/>
              </w:rPr>
            </w:pPr>
          </w:p>
        </w:tc>
      </w:tr>
      <w:tr>
        <w:trPr>
          <w:trHeight w:val="171"/>
        </w:trPr>
        <w:tc>
          <w:tcPr>
            <w:tcW w:w="2900" w:type="dxa"/>
            <w:vAlign w:val="bottom"/>
          </w:tcPr>
          <w:p>
            <w:pPr>
              <w:ind w:left="1120"/>
              <w:spacing w:after="0"/>
              <w:rPr>
                <w:sz w:val="20"/>
                <w:szCs w:val="20"/>
                <w:color w:val="auto"/>
              </w:rPr>
            </w:pPr>
            <w:r>
              <w:rPr>
                <w:rFonts w:ascii="Arial" w:cs="Arial" w:eastAsia="Arial" w:hAnsi="Arial"/>
                <w:sz w:val="12"/>
                <w:szCs w:val="12"/>
                <w:b w:val="1"/>
                <w:bCs w:val="1"/>
                <w:u w:val="single" w:color="auto"/>
                <w:color w:val="auto"/>
              </w:rPr>
              <w:t>Market</w:t>
            </w:r>
          </w:p>
        </w:tc>
        <w:tc>
          <w:tcPr>
            <w:tcW w:w="2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40" w:orient="portrait"/>
          <w:cols w:equalWidth="0" w:num="1">
            <w:col w:w="9020"/>
          </w:cols>
          <w:pgMar w:left="1440" w:top="560" w:right="1440" w:bottom="93" w:gutter="0" w:footer="0" w:header="0"/>
        </w:sectPr>
      </w:pPr>
    </w:p>
    <w:p>
      <w:pPr>
        <w:ind w:left="1560" w:right="300"/>
        <w:spacing w:after="0" w:line="235" w:lineRule="auto"/>
        <w:rPr>
          <w:sz w:val="20"/>
          <w:szCs w:val="20"/>
          <w:color w:val="auto"/>
        </w:rPr>
      </w:pPr>
      <w:r>
        <w:rPr>
          <w:rFonts w:ascii="Arial" w:cs="Arial" w:eastAsia="Arial" w:hAnsi="Arial"/>
          <w:sz w:val="12"/>
          <w:szCs w:val="12"/>
          <w:color w:val="auto"/>
        </w:rPr>
        <w:t>The opening of trading on the first trading day following a 10-consecutive trading day period</w:t>
      </w:r>
    </w:p>
    <w:p>
      <w:pPr>
        <w:ind w:left="1560"/>
        <w:spacing w:after="0" w:line="221" w:lineRule="auto"/>
        <w:rPr>
          <w:sz w:val="20"/>
          <w:szCs w:val="20"/>
          <w:color w:val="auto"/>
        </w:rPr>
      </w:pPr>
      <w:r>
        <w:rPr>
          <w:rFonts w:ascii="Arial" w:cs="Arial" w:eastAsia="Arial" w:hAnsi="Arial"/>
          <w:sz w:val="12"/>
          <w:szCs w:val="12"/>
          <w:color w:val="auto"/>
        </w:rPr>
        <w:t>during which the closing price of our Class A common stock on Nasdaq exceeds 130% of the initial public offering price per share set forth on the</w:t>
      </w:r>
    </w:p>
    <w:p>
      <w:pPr>
        <w:spacing w:after="0" w:line="2" w:lineRule="exact"/>
        <w:rPr>
          <w:sz w:val="20"/>
          <w:szCs w:val="20"/>
          <w:color w:val="auto"/>
        </w:rPr>
      </w:pPr>
    </w:p>
    <w:p>
      <w:pPr>
        <w:ind w:left="1560" w:right="120"/>
        <w:spacing w:after="0" w:line="221" w:lineRule="auto"/>
        <w:rPr>
          <w:sz w:val="20"/>
          <w:szCs w:val="20"/>
          <w:color w:val="auto"/>
        </w:rPr>
      </w:pPr>
      <w:r>
        <w:rPr>
          <w:rFonts w:ascii="Arial" w:cs="Arial" w:eastAsia="Arial" w:hAnsi="Arial"/>
          <w:sz w:val="12"/>
          <w:szCs w:val="12"/>
          <w:color w:val="auto"/>
        </w:rPr>
        <w:t>cover page of this prospectus for at least five trading days (one of which must be a trading day following our public release of earnings for the</w:t>
      </w:r>
    </w:p>
    <w:p>
      <w:pPr>
        <w:spacing w:after="0" w:line="2" w:lineRule="exact"/>
        <w:rPr>
          <w:sz w:val="20"/>
          <w:szCs w:val="20"/>
          <w:color w:val="auto"/>
        </w:rPr>
      </w:pPr>
    </w:p>
    <w:p>
      <w:pPr>
        <w:ind w:left="1560" w:right="60"/>
        <w:spacing w:after="0" w:line="232" w:lineRule="auto"/>
        <w:rPr>
          <w:sz w:val="20"/>
          <w:szCs w:val="20"/>
          <w:color w:val="auto"/>
        </w:rPr>
      </w:pPr>
      <w:r>
        <w:rPr>
          <w:rFonts w:ascii="Arial" w:cs="Arial" w:eastAsia="Arial" w:hAnsi="Arial"/>
          <w:sz w:val="12"/>
          <w:szCs w:val="12"/>
          <w:color w:val="auto"/>
        </w:rPr>
        <w:t>fiscal quarter ending October 31, 2025, referred to as the Initial Earnings Release) out of such 10-consecutive trading day period.</w:t>
      </w:r>
    </w:p>
    <w:p>
      <w:pPr>
        <w:spacing w:after="0" w:line="66" w:lineRule="exact"/>
        <w:rPr>
          <w:sz w:val="20"/>
          <w:szCs w:val="20"/>
          <w:color w:val="auto"/>
        </w:rPr>
      </w:pPr>
    </w:p>
    <w:p>
      <w:pPr>
        <w:ind w:left="1560" w:right="100"/>
        <w:spacing w:after="0" w:line="235" w:lineRule="auto"/>
        <w:rPr>
          <w:sz w:val="20"/>
          <w:szCs w:val="20"/>
          <w:color w:val="auto"/>
        </w:rPr>
      </w:pPr>
      <w:r>
        <w:rPr>
          <w:rFonts w:ascii="Arial" w:cs="Arial" w:eastAsia="Arial" w:hAnsi="Arial"/>
          <w:sz w:val="12"/>
          <w:szCs w:val="12"/>
          <w:color w:val="auto"/>
        </w:rPr>
        <w:t>The opening of trading on the second trading day following our public release of earnings for the</w:t>
      </w:r>
    </w:p>
    <w:p>
      <w:pPr>
        <w:ind w:left="1560" w:right="20"/>
        <w:spacing w:after="0" w:line="241" w:lineRule="auto"/>
        <w:rPr>
          <w:sz w:val="20"/>
          <w:szCs w:val="20"/>
          <w:color w:val="auto"/>
        </w:rPr>
      </w:pPr>
      <w:r>
        <w:rPr>
          <w:rFonts w:ascii="Arial" w:cs="Arial" w:eastAsia="Arial" w:hAnsi="Arial"/>
          <w:sz w:val="12"/>
          <w:szCs w:val="12"/>
          <w:color w:val="auto"/>
        </w:rPr>
        <w:t>fiscal quarter and fiscal year ending January 31, 2026, referred to as the Second Earnings Release.</w:t>
      </w:r>
    </w:p>
    <w:p>
      <w:pPr>
        <w:spacing w:after="0" w:line="20" w:lineRule="exact"/>
        <w:rPr>
          <w:sz w:val="20"/>
          <w:szCs w:val="20"/>
          <w:color w:val="auto"/>
        </w:rPr>
      </w:pPr>
      <w:r>
        <w:rPr>
          <w:sz w:val="20"/>
          <w:szCs w:val="20"/>
          <w:color w:val="auto"/>
        </w:rPr>
        <w:br w:type="column"/>
      </w:r>
    </w:p>
    <w:p>
      <w:pPr>
        <w:ind w:right="1800"/>
        <w:spacing w:after="0" w:line="262" w:lineRule="auto"/>
        <w:rPr>
          <w:sz w:val="20"/>
          <w:szCs w:val="20"/>
          <w:color w:val="auto"/>
        </w:rPr>
      </w:pPr>
      <w:r>
        <w:rPr>
          <w:rFonts w:ascii="Arial" w:cs="Arial" w:eastAsia="Arial" w:hAnsi="Arial"/>
          <w:sz w:val="12"/>
          <w:szCs w:val="12"/>
          <w:color w:val="auto"/>
        </w:rPr>
        <w:t>Approximately 7.7 million shares held by Eligible Stockholders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700"/>
        <w:spacing w:after="0" w:line="235" w:lineRule="auto"/>
        <w:rPr>
          <w:sz w:val="20"/>
          <w:szCs w:val="20"/>
          <w:color w:val="auto"/>
        </w:rPr>
      </w:pPr>
      <w:r>
        <w:rPr>
          <w:rFonts w:ascii="Arial" w:cs="Arial" w:eastAsia="Arial" w:hAnsi="Arial"/>
          <w:sz w:val="12"/>
          <w:szCs w:val="12"/>
          <w:color w:val="auto"/>
        </w:rPr>
        <w:t>All remaining shares held by our stockholders that were not previously eligible for sale under the lock-</w:t>
      </w:r>
    </w:p>
    <w:p>
      <w:pPr>
        <w:ind w:right="1700"/>
        <w:spacing w:after="0" w:line="221" w:lineRule="auto"/>
        <w:rPr>
          <w:sz w:val="20"/>
          <w:szCs w:val="20"/>
          <w:color w:val="auto"/>
        </w:rPr>
      </w:pPr>
      <w:r>
        <w:rPr>
          <w:rFonts w:ascii="Arial" w:cs="Arial" w:eastAsia="Arial" w:hAnsi="Arial"/>
          <w:sz w:val="12"/>
          <w:szCs w:val="12"/>
          <w:color w:val="auto"/>
        </w:rPr>
        <w:t>up agreements, subject to applicable limitations under Rule 144, including for “affiliates” and compliance with other applicable law, as described</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below.</w:t>
      </w:r>
    </w:p>
    <w:p>
      <w:pPr>
        <w:spacing w:after="0" w:line="200" w:lineRule="exact"/>
        <w:rPr>
          <w:sz w:val="20"/>
          <w:szCs w:val="20"/>
          <w:color w:val="auto"/>
        </w:rPr>
      </w:pPr>
    </w:p>
    <w:p>
      <w:pPr>
        <w:sectPr>
          <w:pgSz w:w="11900" w:h="16840" w:orient="portrait"/>
          <w:cols w:equalWidth="0" w:num="2">
            <w:col w:w="4360" w:space="180"/>
            <w:col w:w="4480"/>
          </w:cols>
          <w:pgMar w:left="1440" w:top="560" w:right="1440" w:bottom="93" w:gutter="0" w:footer="0" w:header="0"/>
          <w:type w:val="continuous"/>
        </w:sect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215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640" w:firstLine="230"/>
        <w:spacing w:after="0" w:line="276" w:lineRule="auto"/>
        <w:rPr>
          <w:sz w:val="20"/>
          <w:szCs w:val="20"/>
          <w:color w:val="auto"/>
        </w:rPr>
      </w:pPr>
      <w:r>
        <w:rPr>
          <w:rFonts w:ascii="Arial" w:cs="Arial" w:eastAsia="Arial" w:hAnsi="Arial"/>
          <w:sz w:val="12"/>
          <w:szCs w:val="12"/>
          <w:color w:val="auto"/>
        </w:rPr>
        <w:t>In addition, after this offering, up to 49,523,933 shares of Class A common stock may be issued upon exercise of outstanding stock options or vesting and settlement of outstanding RSUs as of July 31, 2025, of which, 10,353,796 shares may be exchanged, upon exercise or settlement, as applicable, for an equivalent number of shares of our Class B common stock pursuant to the Equity Exchange Rights and 87,887,502 shares of Class A common stock are available for future issuance under our 2025 Plan and our 2025 ESPP.</w:t>
      </w:r>
    </w:p>
    <w:p>
      <w:pPr>
        <w:spacing w:after="0" w:line="240"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Lock-Up Agreements and Market Standoff Provisions</w:t>
      </w:r>
    </w:p>
    <w:p>
      <w:pPr>
        <w:spacing w:after="0" w:line="130" w:lineRule="exact"/>
        <w:rPr>
          <w:sz w:val="20"/>
          <w:szCs w:val="20"/>
          <w:color w:val="auto"/>
        </w:rPr>
      </w:pPr>
    </w:p>
    <w:p>
      <w:pPr>
        <w:ind w:left="1520" w:right="1600" w:firstLine="230"/>
        <w:spacing w:after="0" w:line="270" w:lineRule="auto"/>
        <w:rPr>
          <w:sz w:val="20"/>
          <w:szCs w:val="20"/>
          <w:color w:val="auto"/>
        </w:rPr>
      </w:pPr>
      <w:r>
        <w:rPr>
          <w:rFonts w:ascii="Arial" w:cs="Arial" w:eastAsia="Arial" w:hAnsi="Arial"/>
          <w:sz w:val="12"/>
          <w:szCs w:val="12"/>
          <w:color w:val="auto"/>
        </w:rPr>
        <w:t>We and all of our directors and executive officers, the selling stockholders, and other holders of substantially all of our outstanding common stock and securities exercisable for or convertible into our Class A common stock or Class B common stock, have entered or will enter into agreements with the underwriters that restrict our and their ability to sell or transfer shares of our common stock or any options or warrants to purchase any shares of our common stock, or any securities convertible into, exchangeable for or that represent the right to receive shares of our common stock, such shares of common stock, options, rights, warrants or other securities, referred to as the Lock-Up Securities, during the period ending on the earlier of (i) the opening of trading on the second trading day following the Second Earnings Release, or (ii) the date that is 180 days after the date of this prospectus, or the Lock-Up Period. Subject to certain exceptions, we and they will not, and will not cause or direct any of our or their respective affiliates, and will not publicly disclose an intention to, without the prior written consent of Goldman Sachs &amp; Co. LLC and Citigroup Global Markets Inc.:</w:t>
      </w:r>
    </w:p>
    <w:p>
      <w:pPr>
        <w:spacing w:after="0" w:line="244" w:lineRule="exact"/>
        <w:rPr>
          <w:sz w:val="20"/>
          <w:szCs w:val="20"/>
          <w:color w:val="auto"/>
        </w:rPr>
      </w:pPr>
    </w:p>
    <w:p>
      <w:pPr>
        <w:ind w:left="1980" w:right="1720" w:hanging="228"/>
        <w:spacing w:after="0" w:line="281" w:lineRule="auto"/>
        <w:tabs>
          <w:tab w:leader="none" w:pos="1980" w:val="left"/>
        </w:tabs>
        <w:numPr>
          <w:ilvl w:val="0"/>
          <w:numId w:val="164"/>
        </w:numPr>
        <w:rPr>
          <w:rFonts w:ascii="Arial" w:cs="Arial" w:eastAsia="Arial" w:hAnsi="Arial"/>
          <w:sz w:val="12"/>
          <w:szCs w:val="12"/>
          <w:color w:val="auto"/>
        </w:rPr>
      </w:pPr>
      <w:r>
        <w:rPr>
          <w:rFonts w:ascii="Arial" w:cs="Arial" w:eastAsia="Arial" w:hAnsi="Arial"/>
          <w:sz w:val="12"/>
          <w:szCs w:val="12"/>
          <w:color w:val="auto"/>
        </w:rPr>
        <w:t>offer, sell, contract to sell, pledge, grant any option, right, or warrant to purchase, purchase any option or contract to sell, lend, or otherwise transfer or dispose of any shares of our common stock, or any options or warrants to purchase any of the Lock-Up Securities, whether now owned or hereinafter acquired;</w:t>
      </w:r>
    </w:p>
    <w:p>
      <w:pPr>
        <w:spacing w:after="0" w:line="80" w:lineRule="exact"/>
        <w:rPr>
          <w:rFonts w:ascii="Arial" w:cs="Arial" w:eastAsia="Arial" w:hAnsi="Arial"/>
          <w:sz w:val="12"/>
          <w:szCs w:val="12"/>
          <w:color w:val="auto"/>
        </w:rPr>
      </w:pPr>
    </w:p>
    <w:p>
      <w:pPr>
        <w:ind w:left="1980" w:right="1720" w:hanging="228"/>
        <w:spacing w:after="0" w:line="275" w:lineRule="auto"/>
        <w:tabs>
          <w:tab w:leader="none" w:pos="1980" w:val="left"/>
        </w:tabs>
        <w:numPr>
          <w:ilvl w:val="0"/>
          <w:numId w:val="164"/>
        </w:numPr>
        <w:rPr>
          <w:rFonts w:ascii="Arial" w:cs="Arial" w:eastAsia="Arial" w:hAnsi="Arial"/>
          <w:sz w:val="12"/>
          <w:szCs w:val="12"/>
          <w:color w:val="auto"/>
        </w:rPr>
      </w:pPr>
      <w:r>
        <w:rPr>
          <w:rFonts w:ascii="Arial" w:cs="Arial" w:eastAsia="Arial" w:hAnsi="Arial"/>
          <w:sz w:val="12"/>
          <w:szCs w:val="12"/>
          <w:color w:val="auto"/>
        </w:rPr>
        <w:t>engage in any hedging or other transaction or arrangement that is designed to or that reasonably could be expected to lead to or result in a sale, loan, pledge, or other disposition, or transfer of any of the economic consequences of ownership, in whole or in part, directly or indirectly, of any of the Lock-Up Securities, whether any such transaction or arrangement (or instrument provided for thereunder) would be settled by delivery of common stock or other securities, in cash or otherwise; or</w:t>
      </w:r>
    </w:p>
    <w:p>
      <w:pPr>
        <w:spacing w:after="0" w:line="84" w:lineRule="exact"/>
        <w:rPr>
          <w:rFonts w:ascii="Arial" w:cs="Arial" w:eastAsia="Arial" w:hAnsi="Arial"/>
          <w:sz w:val="12"/>
          <w:szCs w:val="12"/>
          <w:color w:val="auto"/>
        </w:rPr>
      </w:pPr>
    </w:p>
    <w:p>
      <w:pPr>
        <w:ind w:left="1980" w:right="1780" w:hanging="228"/>
        <w:spacing w:after="0" w:line="312" w:lineRule="auto"/>
        <w:tabs>
          <w:tab w:leader="none" w:pos="1980" w:val="left"/>
        </w:tabs>
        <w:numPr>
          <w:ilvl w:val="0"/>
          <w:numId w:val="164"/>
        </w:numPr>
        <w:rPr>
          <w:rFonts w:ascii="Arial" w:cs="Arial" w:eastAsia="Arial" w:hAnsi="Arial"/>
          <w:sz w:val="12"/>
          <w:szCs w:val="12"/>
          <w:color w:val="auto"/>
        </w:rPr>
      </w:pPr>
      <w:r>
        <w:rPr>
          <w:rFonts w:ascii="Arial" w:cs="Arial" w:eastAsia="Arial" w:hAnsi="Arial"/>
          <w:sz w:val="12"/>
          <w:szCs w:val="12"/>
          <w:color w:val="auto"/>
        </w:rPr>
        <w:t>make any demand for or exercise any right with respect to the registration of any of the Lock-Up Securities.</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Notwithstanding the foregoing:</w:t>
      </w:r>
    </w:p>
    <w:p>
      <w:pPr>
        <w:spacing w:after="0" w:line="130" w:lineRule="exact"/>
        <w:rPr>
          <w:sz w:val="20"/>
          <w:szCs w:val="20"/>
          <w:color w:val="auto"/>
        </w:rPr>
      </w:pPr>
    </w:p>
    <w:p>
      <w:pPr>
        <w:ind w:left="1980" w:right="1720" w:hanging="228"/>
        <w:spacing w:after="0" w:line="270" w:lineRule="auto"/>
        <w:tabs>
          <w:tab w:leader="none" w:pos="198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if (i) a holder is an employee and is not one of our directors or officers within the meaning of Section 16 of the Exchange Act, or is a former employee, as of and including the fifth calendar day prior to the date of the Initial Earnings Release, any such person, an Eligible Stockholder, and (ii) the closing price of our Class A common stock on Nasdaq has exceeded 130% of the initial public offering price per share set forth on the cover page of this prospectus for at least five trading days (one of which must be a trading day occurring after the date of the Initial Earnings Release) out of any 10-consecutive trading day period, provided that such release date occurs in a broadly applicable “open trading window” period under our insider trading policy, such Eligible Stockholder may sell in the public market, subject to compliance with our insider trading policy and applicable securities laws, beginning at the opening of trading on the first trading day after the applicable 10-consecutive trading day period, up to 25% of the sum of (i) the aggregate number of shares of Class A common stock that are held by such Eligible Stockholder as of</w:t>
      </w:r>
    </w:p>
    <w:p>
      <w:pPr>
        <w:sectPr>
          <w:pgSz w:w="11900" w:h="16840" w:orient="portrait"/>
          <w:cols w:equalWidth="0" w:num="1">
            <w:col w:w="9020"/>
          </w:cols>
          <w:pgMar w:left="1440" w:top="560" w:right="1440" w:bottom="93" w:gutter="0" w:footer="0" w:header="0"/>
          <w:type w:val="continuous"/>
        </w:sectPr>
      </w:pPr>
    </w:p>
    <w:bookmarkStart w:id="148" w:name="page149"/>
    <w:bookmarkEnd w:id="148"/>
    <w:p>
      <w:pPr>
        <w:ind w:left="1980" w:right="1760"/>
        <w:spacing w:after="0" w:line="184" w:lineRule="auto"/>
        <w:rPr>
          <w:sz w:val="20"/>
          <w:szCs w:val="20"/>
          <w:color w:val="auto"/>
        </w:rPr>
      </w:pPr>
      <w:r>
        <w:rPr>
          <w:rFonts w:ascii="Arial" w:cs="Arial" w:eastAsia="Arial" w:hAnsi="Arial"/>
          <w:sz w:val="12"/>
          <w:szCs w:val="12"/>
          <w:color w:val="auto"/>
        </w:rPr>
        <w:t>September 20, 2025, and (ii) the aggregate number of shares of Class A common stock subject to options, RSUs, and/or securities convertible into or exchangeable or exercisable for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-127635</wp:posOffset>
            </wp:positionV>
            <wp:extent cx="6732270" cy="99707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980" w:right="1740"/>
        <w:spacing w:after="0" w:line="292" w:lineRule="auto"/>
        <w:rPr>
          <w:sz w:val="20"/>
          <w:szCs w:val="20"/>
          <w:color w:val="auto"/>
        </w:rPr>
      </w:pPr>
      <w:r>
        <w:rPr>
          <w:rFonts w:ascii="Arial" w:cs="Arial" w:eastAsia="Arial" w:hAnsi="Arial"/>
          <w:sz w:val="12"/>
          <w:szCs w:val="12"/>
          <w:color w:val="auto"/>
        </w:rPr>
        <w:t>Class A common stock that were fully vested and directly held by such Eligible Stockholder as of September 20, 2025; and</w:t>
      </w: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216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80" w:right="2080" w:hanging="228"/>
        <w:spacing w:after="0" w:line="312" w:lineRule="auto"/>
        <w:tabs>
          <w:tab w:leader="none" w:pos="1980" w:val="left"/>
        </w:tabs>
        <w:numPr>
          <w:ilvl w:val="0"/>
          <w:numId w:val="166"/>
        </w:numPr>
        <w:rPr>
          <w:rFonts w:ascii="Arial" w:cs="Arial" w:eastAsia="Arial" w:hAnsi="Arial"/>
          <w:sz w:val="12"/>
          <w:szCs w:val="12"/>
          <w:color w:val="auto"/>
        </w:rPr>
      </w:pPr>
      <w:r>
        <w:rPr>
          <w:rFonts w:ascii="Arial" w:cs="Arial" w:eastAsia="Arial" w:hAnsi="Arial"/>
          <w:sz w:val="12"/>
          <w:szCs w:val="12"/>
          <w:color w:val="auto"/>
        </w:rPr>
        <w:t>the Lock-Up Period will fully terminate on the opening of trading on the second trading day following the Second Earnings Release.</w:t>
      </w:r>
    </w:p>
    <w:p>
      <w:pPr>
        <w:spacing w:after="0" w:line="62" w:lineRule="exact"/>
        <w:rPr>
          <w:sz w:val="20"/>
          <w:szCs w:val="20"/>
          <w:color w:val="auto"/>
        </w:rPr>
      </w:pPr>
    </w:p>
    <w:p>
      <w:pPr>
        <w:ind w:left="1520" w:right="1680" w:firstLine="230"/>
        <w:spacing w:after="0" w:line="289" w:lineRule="auto"/>
        <w:rPr>
          <w:sz w:val="20"/>
          <w:szCs w:val="20"/>
          <w:color w:val="auto"/>
        </w:rPr>
      </w:pPr>
      <w:r>
        <w:rPr>
          <w:rFonts w:ascii="Arial" w:cs="Arial" w:eastAsia="Arial" w:hAnsi="Arial"/>
          <w:sz w:val="12"/>
          <w:szCs w:val="12"/>
          <w:color w:val="auto"/>
        </w:rPr>
        <w:t>The number of shares eligible for release in the first release period equals approximately 7.7 million shares, including approximately 5.5 million shares issuable upon exercise of vested options and settlement of RSUs.</w:t>
      </w:r>
    </w:p>
    <w:p>
      <w:pPr>
        <w:spacing w:after="0" w:line="76" w:lineRule="exact"/>
        <w:rPr>
          <w:sz w:val="20"/>
          <w:szCs w:val="20"/>
          <w:color w:val="auto"/>
        </w:rPr>
      </w:pPr>
    </w:p>
    <w:p>
      <w:pPr>
        <w:ind w:left="1520" w:right="1680" w:firstLine="230"/>
        <w:spacing w:after="0" w:line="271" w:lineRule="auto"/>
        <w:rPr>
          <w:sz w:val="20"/>
          <w:szCs w:val="20"/>
          <w:color w:val="auto"/>
        </w:rPr>
      </w:pPr>
      <w:r>
        <w:rPr>
          <w:rFonts w:ascii="Arial" w:cs="Arial" w:eastAsia="Arial" w:hAnsi="Arial"/>
          <w:sz w:val="12"/>
          <w:szCs w:val="12"/>
          <w:color w:val="auto"/>
        </w:rPr>
        <w:t>In addition, our executive officers, directors and holders of a substantially all of our capital stock and securities convertible into or exchangeable for our capital stock are subject to market standoff provisions with us under which they have agreed that, subject to certain exceptions, for a period of 180 days after the date of this prospectus, they will not, directly or indirectly sell, offer to sell, grant any option for the sale of, or otherwise dispose of shares of our Class A common stock. For example, although some of these market standoff provisions do not specifically restrict hedging transactions and others may be subject to different interpretations between us and security holders as to whether they restrict hedging, our Insider Trading Policy prohibits hedging by all of our current directors, officers and employees. Sales, short sales or hedging transactions involving our equity securities, whether before or after this offering and whether or not we believe them to be prohibited, could adversely affect the price of our Class A common stock.</w:t>
      </w:r>
    </w:p>
    <w:p>
      <w:pPr>
        <w:spacing w:after="0" w:line="88" w:lineRule="exact"/>
        <w:rPr>
          <w:sz w:val="20"/>
          <w:szCs w:val="20"/>
          <w:color w:val="auto"/>
        </w:rPr>
      </w:pPr>
    </w:p>
    <w:p>
      <w:pPr>
        <w:ind w:left="1520" w:right="1680" w:firstLine="230"/>
        <w:spacing w:after="0" w:line="272" w:lineRule="auto"/>
        <w:rPr>
          <w:sz w:val="20"/>
          <w:szCs w:val="20"/>
          <w:color w:val="auto"/>
        </w:rPr>
      </w:pPr>
      <w:r>
        <w:rPr>
          <w:rFonts w:ascii="Arial" w:cs="Arial" w:eastAsia="Arial" w:hAnsi="Arial"/>
          <w:sz w:val="12"/>
          <w:szCs w:val="12"/>
          <w:color w:val="auto"/>
        </w:rPr>
        <w:t>As a result of the foregoing, substantially all of our outstanding Class A common stock and securities directly or indirectly convertible into or exchangeable or exercisable for our Class A common stock are subject to a lock-up agreement or market standoff provisions during the Lock-Up Period. We have agreed to enforce all such market standoff restrictions on behalf of the underwriters and not to amend or waive any such market standoff provisions during the Lock-Up Period without the prior written consent of Goldman Sachs &amp; Co. LLC and Citigroup Global Markets Inc., on behalf of the underwriters, provided that we may release shares from such restrictions to the extent such shares would be entitled to release under the form of lock-up agreement with the underwriters entered into by our directors and executive officers, and certain other holders of our securities as described herein.</w:t>
      </w:r>
    </w:p>
    <w:p>
      <w:pPr>
        <w:spacing w:after="0" w:line="85"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Rule 144</w:t>
      </w:r>
    </w:p>
    <w:p>
      <w:pPr>
        <w:spacing w:after="0" w:line="130" w:lineRule="exact"/>
        <w:rPr>
          <w:sz w:val="20"/>
          <w:szCs w:val="20"/>
          <w:color w:val="auto"/>
        </w:rPr>
      </w:pPr>
    </w:p>
    <w:p>
      <w:pPr>
        <w:ind w:left="1520" w:right="1700" w:firstLine="230"/>
        <w:spacing w:after="0" w:line="271" w:lineRule="auto"/>
        <w:rPr>
          <w:sz w:val="20"/>
          <w:szCs w:val="20"/>
          <w:color w:val="auto"/>
        </w:rPr>
      </w:pPr>
      <w:r>
        <w:rPr>
          <w:rFonts w:ascii="Arial" w:cs="Arial" w:eastAsia="Arial" w:hAnsi="Arial"/>
          <w:sz w:val="12"/>
          <w:szCs w:val="12"/>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243" w:lineRule="exact"/>
        <w:rPr>
          <w:sz w:val="20"/>
          <w:szCs w:val="20"/>
          <w:color w:val="auto"/>
        </w:rPr>
      </w:pPr>
    </w:p>
    <w:p>
      <w:pPr>
        <w:jc w:val="both"/>
        <w:ind w:left="1520" w:right="1740" w:firstLine="230"/>
        <w:spacing w:after="0" w:line="289" w:lineRule="auto"/>
        <w:rPr>
          <w:sz w:val="20"/>
          <w:szCs w:val="20"/>
          <w:color w:val="auto"/>
        </w:rPr>
      </w:pPr>
      <w:r>
        <w:rPr>
          <w:rFonts w:ascii="Arial" w:cs="Arial" w:eastAsia="Arial" w:hAnsi="Arial"/>
          <w:sz w:val="12"/>
          <w:szCs w:val="12"/>
          <w:color w:val="auto"/>
        </w:rPr>
        <w:t>In general, under Rule 144, as currently in effect, our affiliates or persons selling shares on behalf of our affiliates are entitled to sell upon expiration of the lock-up agreements and market standoff provisions described above, within any three-month period, a number of shares that does not exceed the greater of:</w:t>
      </w:r>
    </w:p>
    <w:p>
      <w:pPr>
        <w:spacing w:after="0" w:line="76" w:lineRule="exact"/>
        <w:rPr>
          <w:sz w:val="20"/>
          <w:szCs w:val="20"/>
          <w:color w:val="auto"/>
        </w:rPr>
      </w:pPr>
    </w:p>
    <w:p>
      <w:pPr>
        <w:ind w:left="1980" w:right="1980" w:hanging="228"/>
        <w:spacing w:after="0" w:line="312" w:lineRule="auto"/>
        <w:tabs>
          <w:tab w:leader="none" w:pos="198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1% of the number of shares of our Class A common stock then outstanding, which will equal approximately 2,309,615 shares immediately after this offering; or</w:t>
      </w:r>
    </w:p>
    <w:p>
      <w:pPr>
        <w:spacing w:after="0" w:line="62" w:lineRule="exact"/>
        <w:rPr>
          <w:rFonts w:ascii="Arial" w:cs="Arial" w:eastAsia="Arial" w:hAnsi="Arial"/>
          <w:sz w:val="12"/>
          <w:szCs w:val="12"/>
          <w:color w:val="auto"/>
        </w:rPr>
      </w:pPr>
    </w:p>
    <w:p>
      <w:pPr>
        <w:ind w:left="1980" w:right="1740" w:hanging="228"/>
        <w:spacing w:after="0" w:line="312" w:lineRule="auto"/>
        <w:tabs>
          <w:tab w:leader="none" w:pos="198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the average weekly trading volume of our Class A common stock during the four calendar weeks preceding the filing of a notice on Form 144 with respect to that sale.</w:t>
      </w:r>
    </w:p>
    <w:p>
      <w:pPr>
        <w:spacing w:after="0" w:line="62" w:lineRule="exact"/>
        <w:rPr>
          <w:sz w:val="20"/>
          <w:szCs w:val="20"/>
          <w:color w:val="auto"/>
        </w:rPr>
      </w:pPr>
    </w:p>
    <w:p>
      <w:pPr>
        <w:jc w:val="both"/>
        <w:ind w:left="1520" w:right="1920" w:firstLine="230"/>
        <w:spacing w:after="0" w:line="289" w:lineRule="auto"/>
        <w:rPr>
          <w:sz w:val="20"/>
          <w:szCs w:val="20"/>
          <w:color w:val="auto"/>
        </w:rPr>
      </w:pPr>
      <w:r>
        <w:rPr>
          <w:rFonts w:ascii="Arial" w:cs="Arial" w:eastAsia="Arial" w:hAnsi="Arial"/>
          <w:sz w:val="12"/>
          <w:szCs w:val="12"/>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217</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Rule 701</w:t>
      </w:r>
    </w:p>
    <w:p>
      <w:pPr>
        <w:spacing w:after="0" w:line="130" w:lineRule="exact"/>
        <w:rPr>
          <w:sz w:val="20"/>
          <w:szCs w:val="20"/>
          <w:color w:val="auto"/>
        </w:rPr>
      </w:pPr>
    </w:p>
    <w:p>
      <w:pPr>
        <w:ind w:left="1520" w:right="1720" w:firstLine="230"/>
        <w:spacing w:after="0" w:line="272" w:lineRule="auto"/>
        <w:rPr>
          <w:sz w:val="20"/>
          <w:szCs w:val="20"/>
          <w:color w:val="auto"/>
        </w:rPr>
      </w:pPr>
      <w:r>
        <w:rPr>
          <w:rFonts w:ascii="Arial" w:cs="Arial" w:eastAsia="Arial" w:hAnsi="Arial"/>
          <w:sz w:val="12"/>
          <w:szCs w:val="12"/>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Stock Options and RSUs</w:t>
      </w:r>
    </w:p>
    <w:p>
      <w:pPr>
        <w:spacing w:after="0" w:line="130" w:lineRule="exact"/>
        <w:rPr>
          <w:sz w:val="20"/>
          <w:szCs w:val="20"/>
          <w:color w:val="auto"/>
        </w:rPr>
      </w:pPr>
    </w:p>
    <w:p>
      <w:pPr>
        <w:ind w:left="1520" w:right="1680" w:firstLine="230"/>
        <w:spacing w:after="0" w:line="273" w:lineRule="auto"/>
        <w:rPr>
          <w:sz w:val="20"/>
          <w:szCs w:val="20"/>
          <w:color w:val="auto"/>
        </w:rPr>
      </w:pPr>
      <w:r>
        <w:rPr>
          <w:rFonts w:ascii="Arial" w:cs="Arial" w:eastAsia="Arial" w:hAnsi="Arial"/>
          <w:sz w:val="12"/>
          <w:szCs w:val="12"/>
          <w:color w:val="auto"/>
        </w:rPr>
        <w:t>As soon as practicable after the completion of this offering, we intend to file one or more registration statements on Form S-8 under the Securities Act covering all of the shares of our common stock subject to outstanding options and RSUs and the shares of our Class A common stock reserved for issuance under our equity incentive plans. In addition, we intend to file a registration statement on Form S-8 or such other form as may be required under the Securities Act for the resale of shares of our common stock issued upon the exercise of options that were not granted under Rule 701. We expect to file this registration statement as soon as permitted under the Securities Act. However, the shares registered on</w:t>
      </w:r>
    </w:p>
    <w:p>
      <w:pPr>
        <w:sectPr>
          <w:pgSz w:w="11900" w:h="16840" w:orient="portrait"/>
          <w:cols w:equalWidth="0" w:num="1">
            <w:col w:w="9020"/>
          </w:cols>
          <w:pgMar w:left="1440" w:top="560" w:right="1440" w:bottom="0" w:gutter="0" w:footer="0" w:header="0"/>
        </w:sectPr>
      </w:pPr>
    </w:p>
    <w:bookmarkStart w:id="149" w:name="page150"/>
    <w:bookmarkEnd w:id="149"/>
    <w:p>
      <w:pPr>
        <w:jc w:val="both"/>
        <w:ind w:left="1520" w:right="1760"/>
        <w:spacing w:after="0" w:line="289" w:lineRule="auto"/>
        <w:rPr>
          <w:sz w:val="20"/>
          <w:szCs w:val="20"/>
          <w:color w:val="auto"/>
        </w:rPr>
      </w:pPr>
      <w:r>
        <w:rPr>
          <w:rFonts w:ascii="Arial" w:cs="Arial" w:eastAsia="Arial" w:hAnsi="Arial"/>
          <w:sz w:val="12"/>
          <w:szCs w:val="12"/>
          <w:color w:val="auto"/>
        </w:rPr>
        <w:t>Form S-8 may be subject to the volume limitations and the manner of sale, notice and public information requirements of Rule 144 and will not be eligible for resale until expiration of the lock-up agreements and market standoff provisions to which they are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-309880</wp:posOffset>
            </wp:positionV>
            <wp:extent cx="6732270" cy="99707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56"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Registration Rights</w:t>
      </w:r>
    </w:p>
    <w:p>
      <w:pPr>
        <w:spacing w:after="0" w:line="130" w:lineRule="exact"/>
        <w:rPr>
          <w:sz w:val="20"/>
          <w:szCs w:val="20"/>
          <w:color w:val="auto"/>
        </w:rPr>
      </w:pPr>
    </w:p>
    <w:p>
      <w:pPr>
        <w:ind w:left="1520" w:right="1720" w:firstLine="230"/>
        <w:spacing w:after="0" w:line="277" w:lineRule="auto"/>
        <w:rPr>
          <w:sz w:val="20"/>
          <w:szCs w:val="20"/>
          <w:color w:val="auto"/>
        </w:rPr>
      </w:pPr>
      <w:r>
        <w:rPr>
          <w:rFonts w:ascii="Arial" w:cs="Arial" w:eastAsia="Arial" w:hAnsi="Arial"/>
          <w:sz w:val="12"/>
          <w:szCs w:val="12"/>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the section titled “Description of Capital Stock—Registration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218</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80"/>
        <w:spacing w:after="0"/>
        <w:rPr>
          <w:sz w:val="20"/>
          <w:szCs w:val="20"/>
          <w:color w:val="auto"/>
        </w:rPr>
      </w:pPr>
      <w:r>
        <w:rPr>
          <w:rFonts w:ascii="Arial" w:cs="Arial" w:eastAsia="Arial" w:hAnsi="Arial"/>
          <w:sz w:val="12"/>
          <w:szCs w:val="12"/>
          <w:b w:val="1"/>
          <w:bCs w:val="1"/>
          <w:color w:val="auto"/>
        </w:rPr>
        <w:t>MATERIAL U.S. FEDERAL INCOME TAX CONSEQUENCES TO NON-U.S. HOLDERS OF OUR</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CLASS A COMMON STOCK</w:t>
      </w:r>
    </w:p>
    <w:p>
      <w:pPr>
        <w:spacing w:after="0" w:line="118" w:lineRule="exact"/>
        <w:rPr>
          <w:sz w:val="20"/>
          <w:szCs w:val="20"/>
          <w:color w:val="auto"/>
        </w:rPr>
      </w:pPr>
    </w:p>
    <w:p>
      <w:pPr>
        <w:ind w:left="1520" w:right="1720" w:firstLine="230"/>
        <w:spacing w:after="0" w:line="273" w:lineRule="auto"/>
        <w:rPr>
          <w:sz w:val="20"/>
          <w:szCs w:val="20"/>
          <w:color w:val="auto"/>
        </w:rPr>
      </w:pPr>
      <w:r>
        <w:rPr>
          <w:rFonts w:ascii="Arial" w:cs="Arial" w:eastAsia="Arial" w:hAnsi="Arial"/>
          <w:sz w:val="12"/>
          <w:szCs w:val="12"/>
          <w:color w:val="auto"/>
        </w:rPr>
        <w:t>The following summary describes the material U.S. federal income tax consequences of the acquisition, ownership and disposition of our Class A common stock acquired in this offering by Non-U.S. Holders (as defined below). This discussion does not address all aspects of U.S. federal income taxes, does not discuss the potential application of any alternative minimum tax, the special tax accounting rules under Section 451(b) of the Code, or the Medicare contribution tax on net investment income, and does not deal with state or local taxes, U.S. federal gift or estate tax laws, or any non-U.S. tax consequences that may be relevant to Non-U.S. Holders in light of their particular circumstances.</w:t>
      </w:r>
    </w:p>
    <w:p>
      <w:pPr>
        <w:spacing w:after="0" w:line="88" w:lineRule="exact"/>
        <w:rPr>
          <w:sz w:val="20"/>
          <w:szCs w:val="20"/>
          <w:color w:val="auto"/>
        </w:rPr>
      </w:pPr>
    </w:p>
    <w:p>
      <w:pPr>
        <w:ind w:left="1520" w:right="1920" w:firstLine="230"/>
        <w:spacing w:after="0" w:line="312" w:lineRule="auto"/>
        <w:rPr>
          <w:sz w:val="20"/>
          <w:szCs w:val="20"/>
          <w:color w:val="auto"/>
        </w:rPr>
      </w:pPr>
      <w:r>
        <w:rPr>
          <w:rFonts w:ascii="Arial" w:cs="Arial" w:eastAsia="Arial" w:hAnsi="Arial"/>
          <w:sz w:val="12"/>
          <w:szCs w:val="12"/>
          <w:color w:val="auto"/>
        </w:rPr>
        <w:t>Special rules different from those described below may apply to certain Non-U.S. Holders that are subject to special treatment under the Code, such as:</w:t>
      </w:r>
    </w:p>
    <w:p>
      <w:pPr>
        <w:spacing w:after="0" w:line="62" w:lineRule="exact"/>
        <w:rPr>
          <w:sz w:val="20"/>
          <w:szCs w:val="20"/>
          <w:color w:val="auto"/>
        </w:rPr>
      </w:pPr>
    </w:p>
    <w:p>
      <w:pPr>
        <w:ind w:left="1980" w:hanging="228"/>
        <w:spacing w:after="0"/>
        <w:tabs>
          <w:tab w:leader="none" w:pos="19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insurance companies, banks, and other financial institutions;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tax-exempt organizations (including private foundations) and tax-qualified retirement plans;</w:t>
      </w:r>
    </w:p>
    <w:p>
      <w:pPr>
        <w:spacing w:after="0" w:line="129" w:lineRule="exact"/>
        <w:rPr>
          <w:rFonts w:ascii="Arial" w:cs="Arial" w:eastAsia="Arial" w:hAnsi="Arial"/>
          <w:sz w:val="12"/>
          <w:szCs w:val="12"/>
          <w:color w:val="auto"/>
        </w:rPr>
      </w:pPr>
    </w:p>
    <w:p>
      <w:pPr>
        <w:ind w:left="1980" w:right="1720" w:hanging="228"/>
        <w:spacing w:after="0" w:line="312" w:lineRule="auto"/>
        <w:tabs>
          <w:tab w:leader="none" w:pos="19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“qualified foreign pension funds” as defined in Section 897(l)(2) of the Code and entities all of the interests of which are held by qualified foreign pension funds;</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non-U.S. governments and international organizations;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dealers and traders in securities;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certain former citizens or long-term residents of the United States;</w:t>
      </w:r>
    </w:p>
    <w:p>
      <w:pPr>
        <w:spacing w:after="0" w:line="129" w:lineRule="exact"/>
        <w:rPr>
          <w:rFonts w:ascii="Arial" w:cs="Arial" w:eastAsia="Arial" w:hAnsi="Arial"/>
          <w:sz w:val="12"/>
          <w:szCs w:val="12"/>
          <w:color w:val="auto"/>
        </w:rPr>
      </w:pPr>
    </w:p>
    <w:p>
      <w:pPr>
        <w:ind w:left="1980" w:right="1940" w:hanging="228"/>
        <w:spacing w:after="0" w:line="312" w:lineRule="auto"/>
        <w:tabs>
          <w:tab w:leader="none" w:pos="19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persons that own, or are deemed to own, more than 5% of our Class A common stock or any shares of our Class B common stock;</w:t>
      </w:r>
    </w:p>
    <w:p>
      <w:pPr>
        <w:spacing w:after="0" w:line="62" w:lineRule="exact"/>
        <w:rPr>
          <w:rFonts w:ascii="Arial" w:cs="Arial" w:eastAsia="Arial" w:hAnsi="Arial"/>
          <w:sz w:val="12"/>
          <w:szCs w:val="12"/>
          <w:color w:val="auto"/>
        </w:rPr>
      </w:pPr>
    </w:p>
    <w:p>
      <w:pPr>
        <w:ind w:left="1980" w:right="2200" w:hanging="228"/>
        <w:spacing w:after="0" w:line="289" w:lineRule="auto"/>
        <w:tabs>
          <w:tab w:leader="none" w:pos="19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“controlled foreign corporations,” as defined in Section 957 of the Code, “passive foreign investment companies,” as defined in Section 1297 of the Code, and corporations that accumulate earnings to avoid U.S. federal income tax;</w:t>
      </w:r>
    </w:p>
    <w:p>
      <w:pPr>
        <w:spacing w:after="0" w:line="75" w:lineRule="exact"/>
        <w:rPr>
          <w:rFonts w:ascii="Arial" w:cs="Arial" w:eastAsia="Arial" w:hAnsi="Arial"/>
          <w:sz w:val="12"/>
          <w:szCs w:val="12"/>
          <w:color w:val="auto"/>
        </w:rPr>
      </w:pPr>
    </w:p>
    <w:p>
      <w:pPr>
        <w:jc w:val="both"/>
        <w:ind w:left="1980" w:right="2140" w:hanging="228"/>
        <w:spacing w:after="0" w:line="312" w:lineRule="auto"/>
        <w:tabs>
          <w:tab w:leader="none" w:pos="19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persons that hold our Class A common stock as part of a “straddle,” “hedge,” “conversion transaction,” “synthetic security,” or integrated investment or other risk reduction strategy;</w:t>
      </w:r>
    </w:p>
    <w:p>
      <w:pPr>
        <w:spacing w:after="0" w:line="62" w:lineRule="exact"/>
        <w:rPr>
          <w:rFonts w:ascii="Arial" w:cs="Arial" w:eastAsia="Arial" w:hAnsi="Arial"/>
          <w:sz w:val="12"/>
          <w:szCs w:val="12"/>
          <w:color w:val="auto"/>
        </w:rPr>
      </w:pPr>
    </w:p>
    <w:p>
      <w:pPr>
        <w:ind w:left="1980" w:right="1780" w:hanging="228"/>
        <w:spacing w:after="0" w:line="312" w:lineRule="auto"/>
        <w:tabs>
          <w:tab w:leader="none" w:pos="19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persons deemed to sell our Class A common stock under the constructive sale provisions of the Code;</w:t>
      </w:r>
    </w:p>
    <w:p>
      <w:pPr>
        <w:spacing w:after="0" w:line="62" w:lineRule="exact"/>
        <w:rPr>
          <w:rFonts w:ascii="Arial" w:cs="Arial" w:eastAsia="Arial" w:hAnsi="Arial"/>
          <w:sz w:val="12"/>
          <w:szCs w:val="12"/>
          <w:color w:val="auto"/>
        </w:rPr>
      </w:pPr>
    </w:p>
    <w:p>
      <w:pPr>
        <w:ind w:left="1980" w:right="2240" w:hanging="228"/>
        <w:spacing w:after="0" w:line="312" w:lineRule="auto"/>
        <w:tabs>
          <w:tab w:leader="none" w:pos="19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persons who hold or receive our Class A common stock pursuant to the exercise of any employee stock option or otherwise as compensation;</w:t>
      </w:r>
    </w:p>
    <w:p>
      <w:pPr>
        <w:spacing w:after="0" w:line="62" w:lineRule="exact"/>
        <w:rPr>
          <w:rFonts w:ascii="Arial" w:cs="Arial" w:eastAsia="Arial" w:hAnsi="Arial"/>
          <w:sz w:val="12"/>
          <w:szCs w:val="12"/>
          <w:color w:val="auto"/>
        </w:rPr>
      </w:pPr>
    </w:p>
    <w:p>
      <w:pPr>
        <w:ind w:left="1980" w:right="1960" w:hanging="228"/>
        <w:spacing w:after="0" w:line="312" w:lineRule="auto"/>
        <w:tabs>
          <w:tab w:leader="none" w:pos="19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persons who do not hold our Class A common stock as a capital asset within the meaning of Section 1221 of the Code (generally, for investment purposes); and</w:t>
      </w:r>
    </w:p>
    <w:p>
      <w:pPr>
        <w:spacing w:after="0" w:line="62" w:lineRule="exact"/>
        <w:rPr>
          <w:rFonts w:ascii="Arial" w:cs="Arial" w:eastAsia="Arial" w:hAnsi="Arial"/>
          <w:sz w:val="12"/>
          <w:szCs w:val="12"/>
          <w:color w:val="auto"/>
        </w:rPr>
      </w:pPr>
    </w:p>
    <w:p>
      <w:pPr>
        <w:ind w:left="1980" w:right="2180" w:hanging="228"/>
        <w:spacing w:after="0" w:line="312" w:lineRule="auto"/>
        <w:tabs>
          <w:tab w:leader="none" w:pos="19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partnerships and other pass-through entities, and investors in such pass-through entities (regardless of their places of organization or formation).</w:t>
      </w:r>
    </w:p>
    <w:p>
      <w:pPr>
        <w:spacing w:after="0" w:line="62" w:lineRule="exact"/>
        <w:rPr>
          <w:sz w:val="20"/>
          <w:szCs w:val="20"/>
          <w:color w:val="auto"/>
        </w:rPr>
      </w:pPr>
    </w:p>
    <w:p>
      <w:pPr>
        <w:ind w:left="1520" w:right="1820" w:firstLine="230"/>
        <w:spacing w:after="0" w:line="289" w:lineRule="auto"/>
        <w:rPr>
          <w:sz w:val="20"/>
          <w:szCs w:val="20"/>
          <w:color w:val="auto"/>
        </w:rPr>
      </w:pPr>
      <w:r>
        <w:rPr>
          <w:rFonts w:ascii="Arial" w:cs="Arial" w:eastAsia="Arial" w:hAnsi="Arial"/>
          <w:sz w:val="12"/>
          <w:szCs w:val="12"/>
          <w:color w:val="auto"/>
        </w:rPr>
        <w:t>Such Non-U.S. Holders are urged to consult their own tax advisors to determine the U.S. federal, state, local, and other tax consequences that may be relevant to them of the ownership or disposition of our Class A common stock.</w:t>
      </w:r>
    </w:p>
    <w:p>
      <w:pPr>
        <w:spacing w:after="0" w:line="76" w:lineRule="exact"/>
        <w:rPr>
          <w:sz w:val="20"/>
          <w:szCs w:val="20"/>
          <w:color w:val="auto"/>
        </w:rPr>
      </w:pPr>
    </w:p>
    <w:p>
      <w:pPr>
        <w:ind w:left="1520" w:right="1760" w:firstLine="230"/>
        <w:spacing w:after="0" w:line="277" w:lineRule="auto"/>
        <w:rPr>
          <w:sz w:val="20"/>
          <w:szCs w:val="20"/>
          <w:color w:val="auto"/>
        </w:rPr>
      </w:pPr>
      <w:r>
        <w:rPr>
          <w:rFonts w:ascii="Arial" w:cs="Arial" w:eastAsia="Arial" w:hAnsi="Arial"/>
          <w:sz w:val="12"/>
          <w:szCs w:val="12"/>
          <w:color w:val="auto"/>
        </w:rPr>
        <w:t>Furthermore, the discussion below is based upon the provisions of the Code, Treasury Regulations promulgated thereunder, rulings and administrative pronouncements of the Internal Revenue Service, or the IRS, and judicial decisions thereunder, all as of the date hereof, and such authorities may be repealed, revoked, or modified, possibly retroactively, and are subject to differing interpretations which could result in U.S. federal income tax consequences different from those discussed below. We have not</w:t>
      </w:r>
    </w:p>
    <w:p>
      <w:pPr>
        <w:sectPr>
          <w:pgSz w:w="11900" w:h="16840" w:orient="portrait"/>
          <w:cols w:equalWidth="0" w:num="1">
            <w:col w:w="9020"/>
          </w:cols>
          <w:pgMar w:left="1440" w:top="560" w:right="1440" w:bottom="203" w:gutter="0" w:footer="0" w:header="0"/>
        </w:sectPr>
      </w:pPr>
    </w:p>
    <w:bookmarkStart w:id="150" w:name="page151"/>
    <w:bookmarkEnd w:id="150"/>
    <w:p>
      <w:pPr>
        <w:jc w:val="center"/>
        <w:ind w:right="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219</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00"/>
        <w:spacing w:after="0" w:line="286" w:lineRule="auto"/>
        <w:rPr>
          <w:sz w:val="20"/>
          <w:szCs w:val="20"/>
          <w:color w:val="auto"/>
        </w:rPr>
      </w:pPr>
      <w:r>
        <w:rPr>
          <w:rFonts w:ascii="Arial" w:cs="Arial" w:eastAsia="Arial" w:hAnsi="Arial"/>
          <w:sz w:val="12"/>
          <w:szCs w:val="12"/>
          <w:color w:val="auto"/>
        </w:rPr>
        <w:t>requested a ruling from the IRS with respect to the statements made and the conclusions reached in the following summary, and there can be no assurance that the IRS will not take a contrary position regarding the tax consequences described herein or that any such contrary position would not be sustained by a court.</w:t>
      </w:r>
    </w:p>
    <w:p>
      <w:pPr>
        <w:spacing w:after="0" w:line="234" w:lineRule="exact"/>
        <w:rPr>
          <w:sz w:val="20"/>
          <w:szCs w:val="20"/>
          <w:color w:val="auto"/>
        </w:rPr>
      </w:pPr>
    </w:p>
    <w:p>
      <w:pPr>
        <w:ind w:left="1520" w:right="1780" w:firstLine="230"/>
        <w:spacing w:after="0" w:line="273" w:lineRule="auto"/>
        <w:rPr>
          <w:sz w:val="20"/>
          <w:szCs w:val="20"/>
          <w:color w:val="auto"/>
        </w:rPr>
      </w:pPr>
      <w:r>
        <w:rPr>
          <w:rFonts w:ascii="Arial" w:cs="Arial" w:eastAsia="Arial" w:hAnsi="Arial"/>
          <w:sz w:val="12"/>
          <w:szCs w:val="12"/>
          <w:color w:val="auto"/>
        </w:rPr>
        <w:t>PERSONS CONSIDERING THE PURCHASE OF OUR CLASS A COMMON STOCK PURSUANT TO THIS OFFERING SHOULD CONSULT THEIR OWN TAX ADVISORS CONCERNING THE U.S. FEDERAL INCOME TAX CONSEQUENCES OF ACQUIRING, OWNING, AND DISPOSING OF OUR CLASS A COMMON STOCK IN LIGHT OF THEIR PARTICULAR SITUATIONS AS WELL AS ANY TAX CONSEQUENCES ARISING UNDER THE LAWS OF ANY OTHER TAXING JURISDICTION, INCLUDING ANY STATE, LOCAL, OR NON-U.S. TAX CONSEQUENCES OR ANY U.S. FEDERAL NON-INCOME TAX CONSEQUENCES, AND THE POSSIBLE APPLICATION OF TAX TREATIES.</w:t>
      </w:r>
    </w:p>
    <w:p>
      <w:pPr>
        <w:spacing w:after="0" w:line="88"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For purposes of this discussion, a “Non-U.S. Holder” is a beneficial owner of our Class A common stock that is not a U.S. Holder or an entity or arrangement treated as a partnership or other pass-through entity for U.S. federal income tax purposes. A “U.S. Holder” is a beneficial owner of our Class A common stock that is, for U.S. federal income tax purposes, (i) an individual who is a citizen or resident of the United States, (ii) a corporation (or other entity taxable as a corporation for U.S. federal income tax purposes), created or organized in or under the laws of the United States, any state thereof, or the District of Columbia, (iii) an estate the income of which is subject to U.S. federal income taxation regardless of its source, or (iv) a trust if it (A) is subject to the primary supervision of a court within the United States and one or more United States persons (within the meaning of Section 7701(a)(30) of the Code) have the authority to control all substantial decisions of the trust or (B) has a valid election in effect under applicable U.S. Treasury Regulations to be treated as a United States person.</w:t>
      </w:r>
    </w:p>
    <w:p>
      <w:pPr>
        <w:spacing w:after="0" w:line="91" w:lineRule="exact"/>
        <w:rPr>
          <w:sz w:val="20"/>
          <w:szCs w:val="20"/>
          <w:color w:val="auto"/>
        </w:rPr>
      </w:pPr>
    </w:p>
    <w:p>
      <w:pPr>
        <w:ind w:left="1520" w:right="1840" w:firstLine="230"/>
        <w:spacing w:after="0" w:line="276" w:lineRule="auto"/>
        <w:rPr>
          <w:sz w:val="20"/>
          <w:szCs w:val="20"/>
          <w:color w:val="auto"/>
        </w:rPr>
      </w:pPr>
      <w:r>
        <w:rPr>
          <w:rFonts w:ascii="Arial" w:cs="Arial" w:eastAsia="Arial" w:hAnsi="Arial"/>
          <w:sz w:val="12"/>
          <w:szCs w:val="12"/>
          <w:color w:val="auto"/>
        </w:rPr>
        <w:t>If you are an individual who is not a U.S. citizen, you may be deemed to be a resident of the United States (as opposed to a nonresident alien) by virtue of being present in the United States for at least</w:t>
      </w:r>
    </w:p>
    <w:p>
      <w:pPr>
        <w:ind w:left="1520" w:right="1720"/>
        <w:spacing w:after="0" w:line="270" w:lineRule="auto"/>
        <w:rPr>
          <w:sz w:val="20"/>
          <w:szCs w:val="20"/>
          <w:color w:val="auto"/>
        </w:rPr>
      </w:pPr>
      <w:r>
        <w:rPr>
          <w:rFonts w:ascii="Arial" w:cs="Arial" w:eastAsia="Arial" w:hAnsi="Arial"/>
          <w:sz w:val="12"/>
          <w:szCs w:val="12"/>
          <w:color w:val="auto"/>
        </w:rPr>
        <w:t>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Class A common stock.</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Distributions</w:t>
      </w:r>
    </w:p>
    <w:p>
      <w:pPr>
        <w:spacing w:after="0" w:line="130" w:lineRule="exact"/>
        <w:rPr>
          <w:sz w:val="20"/>
          <w:szCs w:val="20"/>
          <w:color w:val="auto"/>
        </w:rPr>
      </w:pPr>
    </w:p>
    <w:p>
      <w:pPr>
        <w:jc w:val="both"/>
        <w:ind w:left="1520" w:right="1740" w:firstLine="230"/>
        <w:spacing w:after="0" w:line="271" w:lineRule="auto"/>
        <w:rPr>
          <w:sz w:val="20"/>
          <w:szCs w:val="20"/>
          <w:color w:val="auto"/>
        </w:rPr>
      </w:pPr>
      <w:r>
        <w:rPr>
          <w:rFonts w:ascii="Arial" w:cs="Arial" w:eastAsia="Arial" w:hAnsi="Arial"/>
          <w:sz w:val="12"/>
          <w:szCs w:val="12"/>
          <w:color w:val="auto"/>
        </w:rPr>
        <w:t>We do not anticipate paying any dividends on our Class A common stock in the foreseeable future. If we do make distributions on our Class A common stock, however, such distributions made to a Non-U.S. Holder will constitute dividends for U.S. federal income tax purposes to the extent paid out of our current or accumulated earnings and profits (as determined under U.S. federal income tax principles).</w:t>
      </w:r>
    </w:p>
    <w:p>
      <w:pPr>
        <w:spacing w:after="0" w:line="1" w:lineRule="exact"/>
        <w:rPr>
          <w:sz w:val="20"/>
          <w:szCs w:val="20"/>
          <w:color w:val="auto"/>
        </w:rPr>
      </w:pPr>
    </w:p>
    <w:p>
      <w:pPr>
        <w:ind w:left="1520" w:right="1760"/>
        <w:spacing w:after="0" w:line="272" w:lineRule="auto"/>
        <w:rPr>
          <w:sz w:val="20"/>
          <w:szCs w:val="20"/>
          <w:color w:val="auto"/>
        </w:rPr>
      </w:pPr>
      <w:r>
        <w:rPr>
          <w:rFonts w:ascii="Arial" w:cs="Arial" w:eastAsia="Arial" w:hAnsi="Arial"/>
          <w:sz w:val="12"/>
          <w:szCs w:val="12"/>
          <w:color w:val="auto"/>
        </w:rPr>
        <w:t>Distributions in excess of our current and accumulated earnings and profits will constitute a return of capital that is applied against and reduces, but not below zero, a Non-U.S. Holder’s adjusted tax basis in our Class A common stock. Any remaining excess will be treated as capital gain realized on the sale or exchange of our Class A common stock as described below under the section titled “—Gain on Disposition of Our Class A Common Stock.”</w:t>
      </w:r>
    </w:p>
    <w:p>
      <w:pPr>
        <w:spacing w:after="0" w:line="87" w:lineRule="exact"/>
        <w:rPr>
          <w:sz w:val="20"/>
          <w:szCs w:val="20"/>
          <w:color w:val="auto"/>
        </w:rPr>
      </w:pPr>
    </w:p>
    <w:p>
      <w:pPr>
        <w:ind w:left="1520" w:right="1720" w:firstLine="230"/>
        <w:spacing w:after="0" w:line="272" w:lineRule="auto"/>
        <w:rPr>
          <w:sz w:val="20"/>
          <w:szCs w:val="20"/>
          <w:color w:val="auto"/>
        </w:rPr>
      </w:pPr>
      <w:r>
        <w:rPr>
          <w:rFonts w:ascii="Arial" w:cs="Arial" w:eastAsia="Arial" w:hAnsi="Arial"/>
          <w:sz w:val="12"/>
          <w:szCs w:val="12"/>
          <w:color w:val="auto"/>
        </w:rPr>
        <w:t>Any distribution on our Class A common stock that is treated as a dividend paid to a Non-U.S. Holder that is not effectively connected with the holder’s conduct of a trade or business in the United States generally will be subject to withholding tax at a 30% rate or such lower rate as may be specified by an applicable income tax treaty between the United States and the Non-U.S. Holder’s country of residence. To obtain a reduced rate of withholding tax under an applicable income tax treaty, a Non-U.S. Holder generally will be required to provide the applicable withholding agent with a properly executed IRS Form W-8BEN, IRS Form W-8BEN-E, or other appropriate form, certifying the Non-U.S. Holder’s entitlement to benefits under that income tax treaty. Such form must be provided prior to the payment of dividends and</w:t>
      </w:r>
    </w:p>
    <w:p>
      <w:pPr>
        <w:spacing w:after="0" w:line="318"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220</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800"/>
        <w:spacing w:after="0" w:line="272" w:lineRule="auto"/>
        <w:rPr>
          <w:sz w:val="20"/>
          <w:szCs w:val="20"/>
          <w:color w:val="auto"/>
        </w:rPr>
      </w:pPr>
      <w:r>
        <w:rPr>
          <w:rFonts w:ascii="Arial" w:cs="Arial" w:eastAsia="Arial" w:hAnsi="Arial"/>
          <w:sz w:val="12"/>
          <w:szCs w:val="12"/>
          <w:color w:val="auto"/>
        </w:rPr>
        <w:t>must be updated periodically. If a Non-U.S. Holder holds stock through a financial institution or other agent acting on the holder’s behalf, the holder will be required to provide appropriate documentation to such agent. The holder’s agent will then be required to provide certification to the applicable withholding agent, either directly or through other intermediaries. A Non-U.S. Holder that does not timely furnish the required documentation, but that qualifies for a reduced treaty rate, may obtain a refund of any excess amounts withheld by timely filing an appropriate claim for refund with the IRS. If you are eligible for a reduced rate of U.S. withholding tax under an income tax treaty, you should consult with your own tax advisor to determine if you are able to obtain a refund or credit of any excess amounts withheld.</w:t>
      </w:r>
    </w:p>
    <w:p>
      <w:pPr>
        <w:spacing w:after="0" w:line="88" w:lineRule="exact"/>
        <w:rPr>
          <w:sz w:val="20"/>
          <w:szCs w:val="20"/>
          <w:color w:val="auto"/>
        </w:rPr>
      </w:pPr>
    </w:p>
    <w:p>
      <w:pPr>
        <w:ind w:left="1520" w:right="1800" w:firstLine="230"/>
        <w:spacing w:after="0" w:line="271" w:lineRule="auto"/>
        <w:rPr>
          <w:sz w:val="20"/>
          <w:szCs w:val="20"/>
          <w:color w:val="auto"/>
        </w:rPr>
      </w:pPr>
      <w:r>
        <w:rPr>
          <w:rFonts w:ascii="Arial" w:cs="Arial" w:eastAsia="Arial" w:hAnsi="Arial"/>
          <w:sz w:val="12"/>
          <w:szCs w:val="12"/>
          <w:color w:val="auto"/>
        </w:rPr>
        <w:t>We generally are not required to withhold tax on dividends paid to a Non-U.S. Holder that are effectively connected with the holder’s conduct of a trade or business within the United States (and, if required by an applicable income tax treaty, are attributable to a permanent establishment or fixed base that the holder maintains in the United States) if a properly executed IRS Form W-8ECI, stating that the dividends are so connected, is furnished to the applicable withholding agent. In general, such effectively connected dividends will be subject to U.S. federal income tax on a net income basis at the regular U.S. federal income tax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241" w:lineRule="exact"/>
        <w:rPr>
          <w:sz w:val="20"/>
          <w:szCs w:val="20"/>
          <w:color w:val="auto"/>
        </w:rPr>
      </w:pPr>
    </w:p>
    <w:p>
      <w:pPr>
        <w:ind w:left="1520" w:right="1960" w:firstLine="230"/>
        <w:spacing w:after="0" w:line="312" w:lineRule="auto"/>
        <w:rPr>
          <w:sz w:val="20"/>
          <w:szCs w:val="20"/>
          <w:color w:val="auto"/>
        </w:rPr>
      </w:pPr>
      <w:r>
        <w:rPr>
          <w:rFonts w:ascii="Arial" w:cs="Arial" w:eastAsia="Arial" w:hAnsi="Arial"/>
          <w:sz w:val="12"/>
          <w:szCs w:val="12"/>
          <w:color w:val="auto"/>
        </w:rPr>
        <w:t>See also the section titled “—Foreign Accounts” for additional withholding rules that may apply to dividends paid to certain foreign financial institutions or non-financial foreign entities.</w:t>
      </w:r>
    </w:p>
    <w:p>
      <w:pPr>
        <w:spacing w:after="0" w:line="62"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Gain on Disposition of Our Class A Common Stock</w:t>
      </w:r>
    </w:p>
    <w:p>
      <w:pPr>
        <w:sectPr>
          <w:pgSz w:w="11900" w:h="16840" w:orient="portrait"/>
          <w:cols w:equalWidth="0" w:num="1">
            <w:col w:w="9020"/>
          </w:cols>
          <w:pgMar w:left="1440" w:top="646" w:right="1440" w:bottom="67" w:gutter="0" w:footer="0" w:header="0"/>
        </w:sectPr>
      </w:pPr>
    </w:p>
    <w:bookmarkStart w:id="151" w:name="page152"/>
    <w:bookmarkEnd w:id="151"/>
    <w:p>
      <w:pPr>
        <w:ind w:left="1520" w:right="1720" w:firstLine="230"/>
        <w:spacing w:after="0" w:line="27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Subject to the discussions below under the sections titled “—Backup Withholding and Information Reporting” and “—Foreign Accounts,” a Non-U.S. Holder generally will not be subject to U.S. federal income or withholding tax with respect to gain realized on a sale or other taxable disposition of our Class A common stock unless (i) the gain is effectively connected with a trade or business of the Non-U.S. Holder in the United States (and, if required by an applicable income tax treaty, is attributable to a permanent establishment or fixed base that the Non-U.S. Holder maintains in the United States), (ii) the Non-U.S. Holder is a nonresident alien individual and is present in the United States for 183 or more days in the taxable year of the disposition and certain other conditions are met, or (iii) we are or have been a “United States real property holding corporation” within the meaning of Section 897(c)(2) of the Code at any time within the shorter of the five-year period preceding such disposition or the Non-U.S. Holder’s holding period in the Class A common stock.</w:t>
      </w:r>
    </w:p>
    <w:p>
      <w:pPr>
        <w:spacing w:after="0" w:line="91" w:lineRule="exact"/>
        <w:rPr>
          <w:sz w:val="20"/>
          <w:szCs w:val="20"/>
          <w:color w:val="auto"/>
        </w:rPr>
      </w:pPr>
    </w:p>
    <w:p>
      <w:pPr>
        <w:ind w:left="1520" w:right="1700" w:firstLine="230"/>
        <w:spacing w:after="0" w:line="267" w:lineRule="auto"/>
        <w:rPr>
          <w:sz w:val="20"/>
          <w:szCs w:val="20"/>
          <w:color w:val="auto"/>
        </w:rPr>
      </w:pPr>
      <w:r>
        <w:rPr>
          <w:rFonts w:ascii="Arial" w:cs="Arial" w:eastAsia="Arial" w:hAnsi="Arial"/>
          <w:sz w:val="12"/>
          <w:szCs w:val="12"/>
          <w:color w:val="auto"/>
        </w:rPr>
        <w:t>If you are a Non-U.S. Holder, gain described in (i) above will be subject to U.S. federal income tax on the net gain derived from the sale at the regular U.S. federal income tax rates applicable to U.S. persons. If you are a corporate Non-U.S. Holder, gain described in (i) above may also be subject to the additional branch profits tax at a 30% rate or such lower rate as may be specified by an applicable income tax treaty. If you are an individual Non-U.S. Holder described in (ii) above, you will be required to pay a flat 30% tax on the gain derived from the sale (or such lower rate as may be specified by an applicable income tax treaty), which gain may be offset by certain U.S. source capital losses (even though you are not considered a resident of the United States), provided you have timely filed U.S. federal income tax returns with respect to such losses. With respect to (iii) above, in general, we would be a United States real property holding corporation if United States real property interests (as defined in the Code and the Treasury Regulations) comprised (by fair market value) at least half of our worldwide real property and our other assets which are used or held for use in a trade or business. We believe that we are not, and do not anticipate becoming, a United States real property holding corporation. However, there can be no assurance that we will not become a United States real property holding corporation in the future. Even if we are treated as a United States real property holding corporation, gain realized by a Non-U.S. Holder on a disposition of our Class A common stock will not be subject to U.S. federal income tax so long as</w:t>
      </w:r>
    </w:p>
    <w:p>
      <w:pPr>
        <w:spacing w:after="0" w:line="5" w:lineRule="exact"/>
        <w:rPr>
          <w:sz w:val="20"/>
          <w:szCs w:val="20"/>
          <w:color w:val="auto"/>
        </w:rPr>
      </w:pPr>
    </w:p>
    <w:p>
      <w:pPr>
        <w:jc w:val="center"/>
        <w:ind w:left="4400" w:right="1920" w:hanging="2878"/>
        <w:spacing w:after="0" w:line="825" w:lineRule="auto"/>
        <w:tabs>
          <w:tab w:leader="none" w:pos="1674" w:val="left"/>
        </w:tabs>
        <w:numPr>
          <w:ilvl w:val="0"/>
          <w:numId w:val="169"/>
        </w:numPr>
        <w:rPr>
          <w:rFonts w:ascii="Arial" w:cs="Arial" w:eastAsia="Arial" w:hAnsi="Arial"/>
          <w:sz w:val="12"/>
          <w:szCs w:val="12"/>
          <w:color w:val="auto"/>
        </w:rPr>
      </w:pPr>
      <w:r>
        <w:rPr>
          <w:rFonts w:ascii="Arial" w:cs="Arial" w:eastAsia="Arial" w:hAnsi="Arial"/>
          <w:sz w:val="12"/>
          <w:szCs w:val="12"/>
          <w:color w:val="auto"/>
        </w:rPr>
        <w:t>the Non-U.S. Holder owned, directly, indirectly, and constructively, no more than five percent of our 221</w:t>
      </w:r>
    </w:p>
    <w:p>
      <w:pPr>
        <w:spacing w:after="0" w:line="200" w:lineRule="exact"/>
        <w:rPr>
          <w:sz w:val="20"/>
          <w:szCs w:val="20"/>
          <w:color w:val="auto"/>
        </w:rPr>
      </w:pPr>
    </w:p>
    <w:p>
      <w:pPr>
        <w:spacing w:after="0" w:line="21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680"/>
        <w:spacing w:after="0" w:line="272" w:lineRule="auto"/>
        <w:rPr>
          <w:sz w:val="20"/>
          <w:szCs w:val="20"/>
          <w:color w:val="auto"/>
        </w:rPr>
      </w:pPr>
      <w:r>
        <w:rPr>
          <w:rFonts w:ascii="Arial" w:cs="Arial" w:eastAsia="Arial" w:hAnsi="Arial"/>
          <w:sz w:val="12"/>
          <w:szCs w:val="12"/>
          <w:color w:val="auto"/>
        </w:rPr>
        <w:t>Class A common stock at all times within the shorter of (A) the five-year period preceding the disposition or (B) the Non-U.S. Holder’s holding period and (ii) our Class A common stock is regularly traded on an established securities market for purposes of the relevant rules. There can be no assurance that our Class A common stock will qualify as regularly traded on an established securities market for this purpose. If we are treated as a United States real property holding corporation and the exception described in the previous two sentences does not apply, gain realized by a Non-U.S. Holder on a disposition of our Class A common stock generally will be subject to U.S. federal income tax at the regular U.S. federal income tax rates applicable to U.S. persons.</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Backup Withholding and Information Reporting</w:t>
      </w:r>
    </w:p>
    <w:p>
      <w:pPr>
        <w:spacing w:after="0" w:line="130" w:lineRule="exact"/>
        <w:rPr>
          <w:sz w:val="20"/>
          <w:szCs w:val="20"/>
          <w:color w:val="auto"/>
        </w:rPr>
      </w:pPr>
    </w:p>
    <w:p>
      <w:pPr>
        <w:ind w:left="1520" w:right="1720" w:firstLine="230"/>
        <w:spacing w:after="0" w:line="277" w:lineRule="auto"/>
        <w:rPr>
          <w:sz w:val="20"/>
          <w:szCs w:val="20"/>
          <w:color w:val="auto"/>
        </w:rPr>
      </w:pPr>
      <w:r>
        <w:rPr>
          <w:rFonts w:ascii="Arial" w:cs="Arial" w:eastAsia="Arial" w:hAnsi="Arial"/>
          <w:sz w:val="12"/>
          <w:szCs w:val="12"/>
          <w:color w:val="auto"/>
        </w:rPr>
        <w:t>Generally, we or an applicable withholding agent must report information to the IRS with respect to any distributions we pay on our Class A common stock, including the amount of any such distributions,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84" w:lineRule="exact"/>
        <w:rPr>
          <w:sz w:val="20"/>
          <w:szCs w:val="20"/>
          <w:color w:val="auto"/>
        </w:rPr>
      </w:pPr>
    </w:p>
    <w:p>
      <w:pPr>
        <w:ind w:left="1520" w:right="1700" w:firstLine="230"/>
        <w:spacing w:after="0" w:line="277" w:lineRule="auto"/>
        <w:rPr>
          <w:sz w:val="20"/>
          <w:szCs w:val="20"/>
          <w:color w:val="auto"/>
        </w:rPr>
      </w:pPr>
      <w:r>
        <w:rPr>
          <w:rFonts w:ascii="Arial" w:cs="Arial" w:eastAsia="Arial" w:hAnsi="Arial"/>
          <w:sz w:val="12"/>
          <w:szCs w:val="12"/>
          <w:color w:val="auto"/>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84" w:lineRule="exact"/>
        <w:rPr>
          <w:sz w:val="20"/>
          <w:szCs w:val="20"/>
          <w:color w:val="auto"/>
        </w:rPr>
      </w:pPr>
    </w:p>
    <w:p>
      <w:pPr>
        <w:ind w:left="1520" w:right="1740" w:firstLine="230"/>
        <w:spacing w:after="0" w:line="270" w:lineRule="auto"/>
        <w:rPr>
          <w:sz w:val="20"/>
          <w:szCs w:val="20"/>
          <w:color w:val="auto"/>
        </w:rPr>
      </w:pPr>
      <w:r>
        <w:rPr>
          <w:rFonts w:ascii="Arial" w:cs="Arial" w:eastAsia="Arial" w:hAnsi="Arial"/>
          <w:sz w:val="12"/>
          <w:szCs w:val="12"/>
          <w:color w:val="auto"/>
        </w:rPr>
        <w:t>Under current U.S. federal income tax law, U.S. information reporting and backup withholding requirements generally will apply to the proceeds of a disposition of our Class A common stock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only, certain brokers with substantial U.S. ownership or operations will generally be treated in a manner similar to U.S. brokers.</w:t>
      </w:r>
    </w:p>
    <w:p>
      <w:pPr>
        <w:spacing w:after="0" w:line="244" w:lineRule="exact"/>
        <w:rPr>
          <w:sz w:val="20"/>
          <w:szCs w:val="20"/>
          <w:color w:val="auto"/>
        </w:rPr>
      </w:pPr>
    </w:p>
    <w:p>
      <w:pPr>
        <w:ind w:left="1520" w:right="1700" w:firstLine="230"/>
        <w:spacing w:after="0" w:line="289" w:lineRule="auto"/>
        <w:rPr>
          <w:sz w:val="20"/>
          <w:szCs w:val="20"/>
          <w:color w:val="auto"/>
        </w:rPr>
      </w:pPr>
      <w:r>
        <w:rPr>
          <w:rFonts w:ascii="Arial" w:cs="Arial" w:eastAsia="Arial" w:hAnsi="Arial"/>
          <w:sz w:val="12"/>
          <w:szCs w:val="12"/>
          <w:color w:val="auto"/>
        </w:rPr>
        <w:t>Backup withholding is not an additional tax. If backup withholding is applied to you, you should consult with your own tax advisor to determine whether you are able to obtain a tax refund or credit of any overpaid amount.</w:t>
      </w:r>
    </w:p>
    <w:p>
      <w:pPr>
        <w:spacing w:after="0" w:line="76"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Foreign Accounts</w:t>
      </w:r>
    </w:p>
    <w:p>
      <w:pPr>
        <w:spacing w:after="0" w:line="130" w:lineRule="exact"/>
        <w:rPr>
          <w:sz w:val="20"/>
          <w:szCs w:val="20"/>
          <w:color w:val="auto"/>
        </w:rPr>
      </w:pPr>
    </w:p>
    <w:p>
      <w:pPr>
        <w:ind w:left="1520" w:right="1680" w:firstLine="230"/>
        <w:spacing w:after="0" w:line="270" w:lineRule="auto"/>
        <w:rPr>
          <w:sz w:val="20"/>
          <w:szCs w:val="20"/>
          <w:color w:val="auto"/>
        </w:rPr>
      </w:pPr>
      <w:r>
        <w:rPr>
          <w:rFonts w:ascii="Arial" w:cs="Arial" w:eastAsia="Arial" w:hAnsi="Arial"/>
          <w:sz w:val="12"/>
          <w:szCs w:val="12"/>
          <w:color w:val="auto"/>
        </w:rPr>
        <w:t>In addition, U.S. federal withholding taxes may apply under the Foreign Account Tax Compliance Act, or FATCA, on certain types of payments, including dividends on our Class A common stock, made to non-U.S. financial institutions and certain other non-U.S. entities. Specifically, a 30% withholding tax may be imposed on dividends on our Class A common stock paid to a “foreign financial institution” or a “non-financial foreign entity” (each as defined in the Code), unless (i) the foreign financial institution agrees to undertake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The 30% federal withholding tax described in this paragraph is not generally subject to reduction under income tax treaties with the United States. If the payee is a foreign financial institution and is subject to the diligence and reporting requirements in (i) above, it must enter into an agreement with the U.S. Department of the Treasury requiring, among other things, that it undertake to identify accounts held by certain “specified United</w:t>
      </w:r>
    </w:p>
    <w:p>
      <w:pPr>
        <w:sectPr>
          <w:pgSz w:w="11900" w:h="16840" w:orient="portrait"/>
          <w:cols w:equalWidth="0" w:num="1">
            <w:col w:w="9020"/>
          </w:cols>
          <w:pgMar w:left="1440" w:top="636" w:right="1440" w:bottom="604" w:gutter="0" w:footer="0" w:header="0"/>
        </w:sect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222</w:t>
      </w:r>
    </w:p>
    <w:p>
      <w:pPr>
        <w:sectPr>
          <w:pgSz w:w="11900" w:h="16840" w:orient="portrait"/>
          <w:cols w:equalWidth="0" w:num="1">
            <w:col w:w="9020"/>
          </w:cols>
          <w:pgMar w:left="1440" w:top="636" w:right="1440" w:bottom="604" w:gutter="0" w:footer="0" w:header="0"/>
          <w:type w:val="continuous"/>
        </w:sectPr>
      </w:pPr>
    </w:p>
    <w:bookmarkStart w:id="152" w:name="page153"/>
    <w:bookmarkEnd w:id="152"/>
    <w:p>
      <w:pPr>
        <w:ind w:left="1520"/>
        <w:spacing w:after="0"/>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60"/>
        <w:spacing w:after="0" w:line="277" w:lineRule="auto"/>
        <w:rPr>
          <w:sz w:val="20"/>
          <w:szCs w:val="20"/>
          <w:color w:val="auto"/>
        </w:rPr>
      </w:pPr>
      <w:r>
        <w:rPr>
          <w:rFonts w:ascii="Arial" w:cs="Arial" w:eastAsia="Arial" w:hAnsi="Arial"/>
          <w:sz w:val="12"/>
          <w:szCs w:val="12"/>
          <w:color w:val="auto"/>
        </w:rPr>
        <w:t>States persons” or “United States-owned foreign entities” (each as defined in the Code), annually report certain information about such accounts, and withhold 30% tax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84" w:lineRule="exact"/>
        <w:rPr>
          <w:sz w:val="20"/>
          <w:szCs w:val="20"/>
          <w:color w:val="auto"/>
        </w:rPr>
      </w:pPr>
    </w:p>
    <w:p>
      <w:pPr>
        <w:ind w:left="1520" w:right="1760" w:firstLine="230"/>
        <w:spacing w:after="0" w:line="275" w:lineRule="auto"/>
        <w:rPr>
          <w:sz w:val="20"/>
          <w:szCs w:val="20"/>
          <w:color w:val="auto"/>
        </w:rPr>
      </w:pPr>
      <w:r>
        <w:rPr>
          <w:rFonts w:ascii="Arial" w:cs="Arial" w:eastAsia="Arial" w:hAnsi="Arial"/>
          <w:sz w:val="12"/>
          <w:szCs w:val="12"/>
          <w:color w:val="auto"/>
        </w:rPr>
        <w:t>Although the Code provides that FATCA withholding generally also will apply to payments of gross proceeds from the sale or other disposition of our Class A common stock, proposed U.S. Treasury Regulations have been released that, if finalized in their present form, would eliminate the FATCA withholding of 30% applicable to gross proceeds from sales or other dispositions of our Class A common stock (other than amounts treated dividends). The preamble to the proposed U.S. Treasury Regulations states that taxpayers generally may rely on them until final U.S. Treasury Regulations are issued.</w:t>
      </w:r>
    </w:p>
    <w:p>
      <w:pPr>
        <w:spacing w:after="0" w:line="85" w:lineRule="exact"/>
        <w:rPr>
          <w:sz w:val="20"/>
          <w:szCs w:val="20"/>
          <w:color w:val="auto"/>
        </w:rPr>
      </w:pPr>
    </w:p>
    <w:p>
      <w:pPr>
        <w:ind w:left="1520" w:right="2240" w:firstLine="230"/>
        <w:spacing w:after="0" w:line="312" w:lineRule="auto"/>
        <w:rPr>
          <w:sz w:val="20"/>
          <w:szCs w:val="20"/>
          <w:color w:val="auto"/>
        </w:rPr>
      </w:pPr>
      <w:r>
        <w:rPr>
          <w:rFonts w:ascii="Arial" w:cs="Arial" w:eastAsia="Arial" w:hAnsi="Arial"/>
          <w:sz w:val="12"/>
          <w:szCs w:val="12"/>
          <w:color w:val="auto"/>
        </w:rPr>
        <w:t>Prospective investors should consult their tax advisors regarding the potential application of withholding taxes under FATCA to their investment in our Class A common stock.</w:t>
      </w:r>
    </w:p>
    <w:p>
      <w:pPr>
        <w:spacing w:after="0" w:line="62" w:lineRule="exact"/>
        <w:rPr>
          <w:sz w:val="20"/>
          <w:szCs w:val="20"/>
          <w:color w:val="auto"/>
        </w:rPr>
      </w:pPr>
    </w:p>
    <w:p>
      <w:pPr>
        <w:ind w:left="1520" w:right="1660" w:firstLine="230"/>
        <w:spacing w:after="0" w:line="275" w:lineRule="auto"/>
        <w:rPr>
          <w:sz w:val="20"/>
          <w:szCs w:val="20"/>
          <w:color w:val="auto"/>
        </w:rPr>
      </w:pPr>
      <w:r>
        <w:rPr>
          <w:rFonts w:ascii="Arial" w:cs="Arial" w:eastAsia="Arial" w:hAnsi="Arial"/>
          <w:sz w:val="12"/>
          <w:szCs w:val="12"/>
          <w:color w:val="auto"/>
        </w:rPr>
        <w:t>EACH PROSPECTIVE INVESTOR SHOULD CONSULT ITS OWN TAX ADVISOR REGARDING THE TAX CONSEQUENCES OF ACQUIRING, OWNING, AND DISPOSING OF OUR CLASS A COMMON STOCK, INCLUDING THE CONSEQUENCES OF ANY PROPOSED CHANGE IN APPLICABLE LAW, AS WELL AS TAX CONSEQUENCES ARISING UNDER ANY STATE, LOCAL, NON-U.S. OR U.S. FEDERAL NON-INCOME TAX LAWS SUCH AS ESTATE AND GIFT TAX, AND THE POSSIBLE APPLICATION OF TAX TREATIES.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223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UNDERWRITING</w:t>
      </w:r>
    </w:p>
    <w:p>
      <w:pPr>
        <w:spacing w:after="0" w:line="130" w:lineRule="exact"/>
        <w:rPr>
          <w:sz w:val="20"/>
          <w:szCs w:val="20"/>
          <w:color w:val="auto"/>
        </w:rPr>
      </w:pPr>
    </w:p>
    <w:p>
      <w:pPr>
        <w:ind w:left="1520" w:right="1860" w:firstLine="230"/>
        <w:spacing w:after="0" w:line="277" w:lineRule="auto"/>
        <w:rPr>
          <w:sz w:val="20"/>
          <w:szCs w:val="20"/>
          <w:color w:val="auto"/>
        </w:rPr>
      </w:pPr>
      <w:r>
        <w:rPr>
          <w:rFonts w:ascii="Arial" w:cs="Arial" w:eastAsia="Arial" w:hAnsi="Arial"/>
          <w:sz w:val="12"/>
          <w:szCs w:val="12"/>
          <w:color w:val="auto"/>
        </w:rPr>
        <w:t>We, the selling stockholders and the underwriters named below will enter into an underwriting agreement with respect to the shares of Class A common stock being offered. Subject to certain conditions, each underwriter will severally agree to purchase the number of shares of Class A common stock indicated in the following table. Goldman Sachs &amp; Co. LLC and Citigroup Global Markets Inc. are the representatives of the underwriters.</w:t>
      </w:r>
    </w:p>
    <w:p>
      <w:pPr>
        <w:spacing w:after="0" w:line="111"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5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4"/>
              </w:rPr>
              <w:t>Number of</w:t>
            </w:r>
          </w:p>
        </w:tc>
      </w:tr>
      <w:tr>
        <w:trPr>
          <w:trHeight w:val="153"/>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Underwriters</w:t>
            </w:r>
          </w:p>
        </w:tc>
        <w:tc>
          <w:tcPr>
            <w:tcW w:w="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Shares</w:t>
            </w:r>
          </w:p>
        </w:tc>
      </w:tr>
      <w:tr>
        <w:trPr>
          <w:trHeight w:val="172"/>
        </w:trPr>
        <w:tc>
          <w:tcPr>
            <w:tcW w:w="510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Goldman Sachs &amp; Co. LLC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73"/>
        </w:trPr>
        <w:tc>
          <w:tcPr>
            <w:tcW w:w="5100" w:type="dxa"/>
            <w:vAlign w:val="bottom"/>
          </w:tcPr>
          <w:p>
            <w:pPr>
              <w:ind w:left="40"/>
              <w:spacing w:after="0"/>
              <w:rPr>
                <w:sz w:val="20"/>
                <w:szCs w:val="20"/>
                <w:color w:val="auto"/>
              </w:rPr>
            </w:pPr>
            <w:r>
              <w:rPr>
                <w:rFonts w:ascii="Arial" w:cs="Arial" w:eastAsia="Arial" w:hAnsi="Arial"/>
                <w:sz w:val="12"/>
                <w:szCs w:val="12"/>
                <w:color w:val="auto"/>
              </w:rPr>
              <w:t xml:space="preserve">Citigroup Global Markets Inc. </w:t>
            </w:r>
            <w:r>
              <w:rPr>
                <w:rFonts w:ascii="Times New Roman" w:cs="Times New Roman" w:eastAsia="Times New Roman" w:hAnsi="Times New Roman"/>
                <w:sz w:val="12"/>
                <w:szCs w:val="12"/>
                <w:color w:val="B4B4B4"/>
              </w:rPr>
              <w:t>.........................................................................................................</w:t>
            </w: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0"/>
        </w:trPr>
        <w:tc>
          <w:tcPr>
            <w:tcW w:w="510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Jefferies LLC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3"/>
        </w:trPr>
        <w:tc>
          <w:tcPr>
            <w:tcW w:w="5100" w:type="dxa"/>
            <w:vAlign w:val="bottom"/>
          </w:tcPr>
          <w:p>
            <w:pPr>
              <w:ind w:left="40"/>
              <w:spacing w:after="0"/>
              <w:rPr>
                <w:sz w:val="20"/>
                <w:szCs w:val="20"/>
                <w:color w:val="auto"/>
              </w:rPr>
            </w:pPr>
            <w:r>
              <w:rPr>
                <w:rFonts w:ascii="Arial" w:cs="Arial" w:eastAsia="Arial" w:hAnsi="Arial"/>
                <w:sz w:val="12"/>
                <w:szCs w:val="12"/>
                <w:color w:val="auto"/>
              </w:rPr>
              <w:t xml:space="preserve">Mizuho Securities USA LLC  </w:t>
            </w:r>
            <w:r>
              <w:rPr>
                <w:rFonts w:ascii="Times New Roman" w:cs="Times New Roman" w:eastAsia="Times New Roman" w:hAnsi="Times New Roman"/>
                <w:sz w:val="12"/>
                <w:szCs w:val="12"/>
                <w:color w:val="B4B4B4"/>
              </w:rPr>
              <w:t>...........................................................................................................</w:t>
            </w: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0"/>
        </w:trPr>
        <w:tc>
          <w:tcPr>
            <w:tcW w:w="510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Morgan Stanley &amp; Co. LLC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3"/>
        </w:trPr>
        <w:tc>
          <w:tcPr>
            <w:tcW w:w="5100" w:type="dxa"/>
            <w:vAlign w:val="bottom"/>
          </w:tcPr>
          <w:p>
            <w:pPr>
              <w:ind w:left="40"/>
              <w:spacing w:after="0"/>
              <w:rPr>
                <w:sz w:val="20"/>
                <w:szCs w:val="20"/>
                <w:color w:val="auto"/>
              </w:rPr>
            </w:pPr>
            <w:r>
              <w:rPr>
                <w:rFonts w:ascii="Arial" w:cs="Arial" w:eastAsia="Arial" w:hAnsi="Arial"/>
                <w:sz w:val="12"/>
                <w:szCs w:val="12"/>
                <w:color w:val="auto"/>
              </w:rPr>
              <w:t xml:space="preserve">BNP Paribas Securities Corp. </w:t>
            </w:r>
            <w:r>
              <w:rPr>
                <w:rFonts w:ascii="Times New Roman" w:cs="Times New Roman" w:eastAsia="Times New Roman" w:hAnsi="Times New Roman"/>
                <w:sz w:val="12"/>
                <w:szCs w:val="12"/>
                <w:color w:val="B4B4B4"/>
              </w:rPr>
              <w:t>........................................................................................................</w:t>
            </w: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0"/>
        </w:trPr>
        <w:tc>
          <w:tcPr>
            <w:tcW w:w="510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Citizens JMP Securities, LLC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3"/>
        </w:trPr>
        <w:tc>
          <w:tcPr>
            <w:tcW w:w="5100" w:type="dxa"/>
            <w:vAlign w:val="bottom"/>
          </w:tcPr>
          <w:p>
            <w:pPr>
              <w:ind w:left="40"/>
              <w:spacing w:after="0"/>
              <w:rPr>
                <w:sz w:val="20"/>
                <w:szCs w:val="20"/>
                <w:color w:val="auto"/>
              </w:rPr>
            </w:pPr>
            <w:r>
              <w:rPr>
                <w:rFonts w:ascii="Arial" w:cs="Arial" w:eastAsia="Arial" w:hAnsi="Arial"/>
                <w:sz w:val="12"/>
                <w:szCs w:val="12"/>
                <w:color w:val="auto"/>
              </w:rPr>
              <w:t xml:space="preserve">Oppenheimer &amp; Co. Inc. </w:t>
            </w:r>
            <w:r>
              <w:rPr>
                <w:rFonts w:ascii="Times New Roman" w:cs="Times New Roman" w:eastAsia="Times New Roman" w:hAnsi="Times New Roman"/>
                <w:sz w:val="12"/>
                <w:szCs w:val="12"/>
                <w:color w:val="B4B4B4"/>
              </w:rPr>
              <w:t>..................................................................................................................</w:t>
            </w: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0"/>
        </w:trPr>
        <w:tc>
          <w:tcPr>
            <w:tcW w:w="510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MUFG Securities Americas Inc.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3"/>
        </w:trPr>
        <w:tc>
          <w:tcPr>
            <w:tcW w:w="5100" w:type="dxa"/>
            <w:vAlign w:val="bottom"/>
          </w:tcPr>
          <w:p>
            <w:pPr>
              <w:ind w:left="40"/>
              <w:spacing w:after="0"/>
              <w:rPr>
                <w:sz w:val="20"/>
                <w:szCs w:val="20"/>
                <w:color w:val="auto"/>
              </w:rPr>
            </w:pPr>
            <w:r>
              <w:rPr>
                <w:rFonts w:ascii="Arial" w:cs="Arial" w:eastAsia="Arial" w:hAnsi="Arial"/>
                <w:sz w:val="12"/>
                <w:szCs w:val="12"/>
                <w:color w:val="auto"/>
              </w:rPr>
              <w:t xml:space="preserve">Needham &amp; Company, LLC  </w:t>
            </w:r>
            <w:r>
              <w:rPr>
                <w:rFonts w:ascii="Times New Roman" w:cs="Times New Roman" w:eastAsia="Times New Roman" w:hAnsi="Times New Roman"/>
                <w:sz w:val="12"/>
                <w:szCs w:val="12"/>
                <w:color w:val="B4B4B4"/>
              </w:rPr>
              <w:t>...........................................................................................................</w:t>
            </w: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0"/>
        </w:trPr>
        <w:tc>
          <w:tcPr>
            <w:tcW w:w="510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BTIG, LLC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3"/>
        </w:trPr>
        <w:tc>
          <w:tcPr>
            <w:tcW w:w="5100" w:type="dxa"/>
            <w:vAlign w:val="bottom"/>
          </w:tcPr>
          <w:p>
            <w:pPr>
              <w:ind w:left="40"/>
              <w:spacing w:after="0"/>
              <w:rPr>
                <w:sz w:val="20"/>
                <w:szCs w:val="20"/>
                <w:color w:val="auto"/>
              </w:rPr>
            </w:pPr>
            <w:r>
              <w:rPr>
                <w:rFonts w:ascii="Arial" w:cs="Arial" w:eastAsia="Arial" w:hAnsi="Arial"/>
                <w:sz w:val="12"/>
                <w:szCs w:val="12"/>
                <w:color w:val="auto"/>
              </w:rPr>
              <w:t xml:space="preserve">Loop Capital Markets LLC </w:t>
            </w:r>
            <w:r>
              <w:rPr>
                <w:rFonts w:ascii="Times New Roman" w:cs="Times New Roman" w:eastAsia="Times New Roman" w:hAnsi="Times New Roman"/>
                <w:sz w:val="12"/>
                <w:szCs w:val="12"/>
                <w:color w:val="B4B4B4"/>
              </w:rPr>
              <w:t>...............................................................................................................</w:t>
            </w: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0"/>
        </w:trPr>
        <w:tc>
          <w:tcPr>
            <w:tcW w:w="510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Academy Securities, Inc.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3"/>
        </w:trPr>
        <w:tc>
          <w:tcPr>
            <w:tcW w:w="510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Rosenblatt Securities Inc. </w:t>
            </w:r>
            <w:r>
              <w:rPr>
                <w:rFonts w:ascii="Times New Roman" w:cs="Times New Roman" w:eastAsia="Times New Roman" w:hAnsi="Times New Roman"/>
                <w:sz w:val="12"/>
                <w:szCs w:val="12"/>
                <w:color w:val="B4B4B4"/>
              </w:rPr>
              <w:t>................................................................................................................</w:t>
            </w:r>
          </w:p>
        </w:tc>
        <w:tc>
          <w:tcPr>
            <w:tcW w:w="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70"/>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w:t>
            </w:r>
          </w:p>
        </w:tc>
        <w:tc>
          <w:tcPr>
            <w:tcW w:w="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2"/>
                <w:szCs w:val="12"/>
                <w:color w:val="auto"/>
              </w:rPr>
              <w:t>36,924,406</w:t>
            </w:r>
          </w:p>
        </w:tc>
      </w:tr>
    </w:tbl>
    <w:p>
      <w:pPr>
        <w:spacing w:after="0" w:line="115"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The underwriters will be committed to take and pay for all of the shares of Class A common stock</w:t>
      </w:r>
    </w:p>
    <w:p>
      <w:pPr>
        <w:sectPr>
          <w:pgSz w:w="11900" w:h="16840" w:orient="portrait"/>
          <w:cols w:equalWidth="0" w:num="1">
            <w:col w:w="9020"/>
          </w:cols>
          <w:pgMar w:left="1440" w:top="703" w:right="1440" w:bottom="162" w:gutter="0" w:footer="0" w:header="0"/>
        </w:sectPr>
      </w:pPr>
    </w:p>
    <w:bookmarkStart w:id="153" w:name="page154"/>
    <w:bookmarkEnd w:id="153"/>
    <w:p>
      <w:pPr>
        <w:ind w:left="1520"/>
        <w:spacing w:after="0"/>
        <w:rPr>
          <w:sz w:val="20"/>
          <w:szCs w:val="20"/>
          <w:color w:val="auto"/>
        </w:rPr>
      </w:pPr>
      <w:r>
        <w:rPr>
          <w:rFonts w:ascii="Arial" w:cs="Arial" w:eastAsia="Arial" w:hAnsi="Arial"/>
          <w:sz w:val="9"/>
          <w:szCs w:val="9"/>
          <w:color w:val="auto"/>
        </w:rPr>
        <w:t>bd</w:t>
      </w:r>
      <w:r>
        <w:rPr>
          <w:rFonts w:ascii="Arial" w:cs="Arial" w:eastAsia="Arial" w:hAnsi="Arial"/>
          <w:sz w:val="9"/>
          <w:szCs w:val="9"/>
          <w:b w:val="1"/>
          <w:bCs w:val="1"/>
          <w:color w:val="auto"/>
        </w:rPr>
        <w:t>e</w:t>
      </w:r>
      <w:r>
        <w:rPr>
          <w:rFonts w:ascii="Arial" w:cs="Arial" w:eastAsia="Arial" w:hAnsi="Arial"/>
          <w:sz w:val="9"/>
          <w:szCs w:val="9"/>
          <w:color w:val="auto"/>
        </w:rPr>
        <w:t>ingscribedoffered,belowifanyunlessare andtaken,untilotherthis thanoptiontheissharesexercisedofClass. A common stock covered by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-59055</wp:posOffset>
            </wp:positionV>
            <wp:extent cx="6732270" cy="99707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164" w:lineRule="exact"/>
        <w:rPr>
          <w:sz w:val="20"/>
          <w:szCs w:val="20"/>
          <w:color w:val="auto"/>
        </w:rPr>
      </w:pPr>
    </w:p>
    <w:p>
      <w:pPr>
        <w:ind w:left="1520" w:right="1640" w:firstLine="230"/>
        <w:spacing w:after="0" w:line="276" w:lineRule="auto"/>
        <w:rPr>
          <w:sz w:val="20"/>
          <w:szCs w:val="20"/>
          <w:color w:val="auto"/>
        </w:rPr>
      </w:pPr>
      <w:r>
        <w:rPr>
          <w:rFonts w:ascii="Arial" w:cs="Arial" w:eastAsia="Arial" w:hAnsi="Arial"/>
          <w:sz w:val="12"/>
          <w:szCs w:val="12"/>
          <w:color w:val="auto"/>
        </w:rPr>
        <w:t>The underwriters will have an option to buy up to an additional 5,538,660 shares of Class A common stock from us to cover sales by the underwriters of a greater number of shares of Class A common stock than the total number set forth in the table above. They may exercise that option for 30 days. If any shares of Class A common stock are purchased pursuant to this option, the underwriters will severally purchase shares of Class A common stock in approximately the same proportion as set forth in the table above.</w:t>
      </w:r>
    </w:p>
    <w:p>
      <w:pPr>
        <w:spacing w:after="0" w:line="240" w:lineRule="exact"/>
        <w:rPr>
          <w:sz w:val="20"/>
          <w:szCs w:val="20"/>
          <w:color w:val="auto"/>
        </w:rPr>
      </w:pPr>
    </w:p>
    <w:p>
      <w:pPr>
        <w:ind w:left="1520" w:right="1720" w:firstLine="230"/>
        <w:spacing w:after="0" w:line="289" w:lineRule="auto"/>
        <w:rPr>
          <w:sz w:val="20"/>
          <w:szCs w:val="20"/>
          <w:color w:val="auto"/>
        </w:rPr>
      </w:pPr>
      <w:r>
        <w:rPr>
          <w:rFonts w:ascii="Arial" w:cs="Arial" w:eastAsia="Arial" w:hAnsi="Arial"/>
          <w:sz w:val="12"/>
          <w:szCs w:val="12"/>
          <w:color w:val="auto"/>
        </w:rPr>
        <w:t>The following table shows the per share and total underwriting discounts and commissions to be paid to the underwriters by us. Such amounts are shown assuming both no exercise and full exercise of the underwriters’ option to purchase additional shares of our Class A common stock.</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6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No Exercise</w:t>
            </w:r>
          </w:p>
        </w:tc>
        <w:tc>
          <w:tcPr>
            <w:tcW w:w="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Full Exercise</w:t>
            </w:r>
          </w:p>
        </w:tc>
      </w:tr>
      <w:tr>
        <w:trPr>
          <w:trHeight w:val="172"/>
        </w:trPr>
        <w:tc>
          <w:tcPr>
            <w:tcW w:w="42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PerShare</w:t>
            </w:r>
          </w:p>
        </w:tc>
        <w:tc>
          <w:tcPr>
            <w:tcW w:w="840" w:type="dxa"/>
            <w:vAlign w:val="bottom"/>
            <w:shd w:val="clear" w:color="auto" w:fill="CCEEFF"/>
          </w:tcPr>
          <w:p>
            <w:pPr>
              <w:jc w:val="right"/>
              <w:ind w:right="68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3"/>
              <w:spacing w:after="0"/>
              <w:rPr>
                <w:sz w:val="20"/>
                <w:szCs w:val="20"/>
                <w:color w:val="auto"/>
              </w:rPr>
            </w:pPr>
            <w:r>
              <w:rPr>
                <w:rFonts w:ascii="Arial" w:cs="Arial" w:eastAsia="Arial" w:hAnsi="Arial"/>
                <w:sz w:val="12"/>
                <w:szCs w:val="12"/>
                <w:color w:val="auto"/>
              </w:rPr>
              <w:t>$</w:t>
            </w:r>
          </w:p>
        </w:tc>
      </w:tr>
      <w:tr>
        <w:trPr>
          <w:trHeight w:val="182"/>
        </w:trPr>
        <w:tc>
          <w:tcPr>
            <w:tcW w:w="4260" w:type="dxa"/>
            <w:vAlign w:val="bottom"/>
          </w:tcPr>
          <w:p>
            <w:pPr>
              <w:jc w:val="right"/>
              <w:ind w:right="58"/>
              <w:spacing w:after="0"/>
              <w:rPr>
                <w:sz w:val="20"/>
                <w:szCs w:val="20"/>
                <w:color w:val="auto"/>
              </w:rPr>
            </w:pPr>
            <w:r>
              <w:rPr>
                <w:rFonts w:ascii="Arial" w:cs="Arial" w:eastAsia="Arial" w:hAnsi="Arial"/>
                <w:sz w:val="12"/>
                <w:szCs w:val="12"/>
                <w:color w:val="auto"/>
              </w:rPr>
              <w:t xml:space="preserve">Total </w:t>
            </w:r>
            <w:r>
              <w:rPr>
                <w:rFonts w:ascii="Times New Roman" w:cs="Times New Roman" w:eastAsia="Times New Roman" w:hAnsi="Times New Roman"/>
                <w:sz w:val="12"/>
                <w:szCs w:val="12"/>
                <w:color w:val="B4B4B4"/>
              </w:rPr>
              <w:t>....................................................................................................................</w:t>
            </w:r>
          </w:p>
        </w:tc>
        <w:tc>
          <w:tcPr>
            <w:tcW w:w="840" w:type="dxa"/>
            <w:vAlign w:val="bottom"/>
          </w:tcPr>
          <w:p>
            <w:pPr>
              <w:jc w:val="right"/>
              <w:ind w:right="681"/>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683"/>
              <w:spacing w:after="0"/>
              <w:rPr>
                <w:sz w:val="20"/>
                <w:szCs w:val="20"/>
                <w:color w:val="auto"/>
              </w:rPr>
            </w:pPr>
            <w:r>
              <w:rPr>
                <w:rFonts w:ascii="Arial" w:cs="Arial" w:eastAsia="Arial" w:hAnsi="Arial"/>
                <w:sz w:val="12"/>
                <w:szCs w:val="12"/>
                <w:color w:val="auto"/>
              </w:rPr>
              <w:t>$</w:t>
            </w:r>
          </w:p>
        </w:tc>
      </w:tr>
    </w:tbl>
    <w:p>
      <w:pPr>
        <w:spacing w:after="0" w:line="143" w:lineRule="exact"/>
        <w:rPr>
          <w:sz w:val="20"/>
          <w:szCs w:val="20"/>
          <w:color w:val="auto"/>
        </w:rPr>
      </w:pPr>
    </w:p>
    <w:p>
      <w:pPr>
        <w:ind w:left="1520" w:right="1760" w:firstLine="230"/>
        <w:spacing w:after="0" w:line="276" w:lineRule="auto"/>
        <w:rPr>
          <w:sz w:val="20"/>
          <w:szCs w:val="20"/>
          <w:color w:val="auto"/>
        </w:rPr>
      </w:pPr>
      <w:r>
        <w:rPr>
          <w:rFonts w:ascii="Arial" w:cs="Arial" w:eastAsia="Arial" w:hAnsi="Arial"/>
          <w:sz w:val="12"/>
          <w:szCs w:val="12"/>
          <w:color w:val="auto"/>
        </w:rPr>
        <w:t>Shares of Class A common stock sold by the underwriters to the public will initially be offered at the initial public offering price set forth on the cover of this prospectus. Any shares of Class A common stock</w:t>
      </w:r>
    </w:p>
    <w:p>
      <w:pPr>
        <w:ind w:left="1520" w:right="1620"/>
        <w:spacing w:after="0" w:line="272" w:lineRule="auto"/>
        <w:rPr>
          <w:sz w:val="20"/>
          <w:szCs w:val="20"/>
          <w:color w:val="auto"/>
        </w:rPr>
      </w:pPr>
      <w:r>
        <w:rPr>
          <w:rFonts w:ascii="Arial" w:cs="Arial" w:eastAsia="Arial" w:hAnsi="Arial"/>
          <w:sz w:val="12"/>
          <w:szCs w:val="12"/>
          <w:color w:val="auto"/>
        </w:rPr>
        <w:t>sold by the underwriters to securities dealers may be sold at a discount of up to $ per share from the initial public offering price. After the initial offering of the shares of Class A common stock, the representatives may change the offering price and the other selling terms. The offering of the shares of Class A common stock by the underwriters is subject to receipt and acceptance and subject to the underwriters’ right to reject any order in whole or in part.</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224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We and all of our directors and executive officers, the selling stockholders, and other holders of substantially all of our outstanding common stock and securities exercisable for or convertible into our Class A common stock or Class B common stock, have entered or will enter into agreements with the underwriters that restrict our and their ability to sell or transfer any shares of the Lock-Up Securities, during the period ending on the earlier of (i) the opening of trading on the second trading day following the Second Earnings Release, or (ii) the date that is 180 days after the Lock-Up Period. Subject to certain exceptions, they will not, and will not cause or direct any of our or their respective affiliates, and will not publicly disclose an intention to, without the prior written consent of Goldman Sachs &amp; Co. LLC and Citigroup Global Markets Inc.:</w:t>
      </w:r>
    </w:p>
    <w:p>
      <w:pPr>
        <w:spacing w:after="0" w:line="242" w:lineRule="exact"/>
        <w:rPr>
          <w:sz w:val="20"/>
          <w:szCs w:val="20"/>
          <w:color w:val="auto"/>
        </w:rPr>
      </w:pPr>
    </w:p>
    <w:p>
      <w:pPr>
        <w:ind w:left="1980" w:right="1760" w:hanging="228"/>
        <w:spacing w:after="0" w:line="277" w:lineRule="auto"/>
        <w:tabs>
          <w:tab w:leader="none" w:pos="198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offer, sell, contract to sell, pledge, grant any option, right, or warrant to purchase, purchase any option or contract to sell, lend, or otherwise transfer or dispose of any shares of our common stock, or any options or warrants to purchase any shares of our common stock, or any securities convertible into, exchangeable for, or that represent the right to receive, shares of our common stock, whether now owned or hereinafter acquired;</w:t>
      </w:r>
    </w:p>
    <w:p>
      <w:pPr>
        <w:spacing w:after="0" w:line="83" w:lineRule="exact"/>
        <w:rPr>
          <w:rFonts w:ascii="Arial" w:cs="Arial" w:eastAsia="Arial" w:hAnsi="Arial"/>
          <w:sz w:val="12"/>
          <w:szCs w:val="12"/>
          <w:color w:val="auto"/>
        </w:rPr>
      </w:pPr>
    </w:p>
    <w:p>
      <w:pPr>
        <w:ind w:left="1980" w:right="1720" w:hanging="228"/>
        <w:spacing w:after="0" w:line="273" w:lineRule="auto"/>
        <w:tabs>
          <w:tab w:leader="none" w:pos="198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engage in any hedging or other transaction or arrangement that is designed to or that reasonably could be expected to lead to or result in a sale, loan, pledge, or other disposition, or transfer of any of the economic consequences of ownership, in whole or in part, directly or indirectly, of any shares of our common stock, or any securities convertible into, exchangeable for, or that represent the right to receive, shares of our common stock, whether any such transaction or arrangement (or instrument provided for thereunder) would be settled by delivery of common stock or other securities, in cash or otherwise; or</w:t>
      </w:r>
    </w:p>
    <w:p>
      <w:pPr>
        <w:spacing w:after="0" w:line="87" w:lineRule="exact"/>
        <w:rPr>
          <w:rFonts w:ascii="Arial" w:cs="Arial" w:eastAsia="Arial" w:hAnsi="Arial"/>
          <w:sz w:val="12"/>
          <w:szCs w:val="12"/>
          <w:color w:val="auto"/>
        </w:rPr>
      </w:pPr>
    </w:p>
    <w:p>
      <w:pPr>
        <w:ind w:left="1980" w:right="1760" w:hanging="228"/>
        <w:spacing w:after="0" w:line="289" w:lineRule="auto"/>
        <w:tabs>
          <w:tab w:leader="none" w:pos="198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make any demand for or exercise any right with respect to the registration of any shares of our common stock, or any securities convertible into, exchangeable for, or that represent the right to receive, shares of our common stock.</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the section titled “Shares Eligible for Future Sale” for a discussion of certain transfer restrictions.</w:t>
      </w:r>
    </w:p>
    <w:p>
      <w:pPr>
        <w:spacing w:after="0" w:line="130" w:lineRule="exact"/>
        <w:rPr>
          <w:sz w:val="20"/>
          <w:szCs w:val="20"/>
          <w:color w:val="auto"/>
        </w:rPr>
      </w:pPr>
    </w:p>
    <w:p>
      <w:pPr>
        <w:ind w:left="1520" w:right="1680" w:firstLine="230"/>
        <w:spacing w:after="0" w:line="269" w:lineRule="auto"/>
        <w:rPr>
          <w:sz w:val="20"/>
          <w:szCs w:val="20"/>
          <w:color w:val="auto"/>
        </w:rPr>
      </w:pPr>
      <w:r>
        <w:rPr>
          <w:rFonts w:ascii="Arial" w:cs="Arial" w:eastAsia="Arial" w:hAnsi="Arial"/>
          <w:sz w:val="12"/>
          <w:szCs w:val="12"/>
          <w:color w:val="auto"/>
        </w:rPr>
        <w:t>Notwithstanding the foregoing, if (i) a holder is an Eligible Stockholder and (ii) the closing price of our Class A common stock on Nasdaq has exceeded 130% of the initial public offering price per share set forth on the cover page of this prospectus for at least five trading days (one of which must be a trading day occurring after the date of the Initial Earnings Release) out of any 10-consecutive trading day period, provided that such release date occurs in a broadly applicable “open trading window” period under our insider trading policy, such Eligible Stockholder may sell in the public market, subject to compliance with our insider trading policy and applicable securities laws, beginning at the opening of trading on the first trading day after the applicable 10-consecutive trading day period, up to 25% of the sum of (i) the aggregate number of outstanding shares of Class A common stock that are held by such Eligible Stockholder as of September 20, 2025, and (ii) the aggregate number of shares of Class A common stock subject to options, RSUs and/or securities convertible into or exchangeable or exercisable for shares of Class A common stock that were fully vested and were directly held by such Eligible Stockholder and fully vested as of September 20, 2025. The number of shares eligible for release in the first release period equals approximately 7.7 million shares, including approximately 5.5 million shares issuable upon exercise of vested options and settlement of RSUs.</w:t>
      </w:r>
    </w:p>
    <w:p>
      <w:pPr>
        <w:spacing w:after="0" w:line="246" w:lineRule="exact"/>
        <w:rPr>
          <w:sz w:val="20"/>
          <w:szCs w:val="20"/>
          <w:color w:val="auto"/>
        </w:rPr>
      </w:pPr>
    </w:p>
    <w:p>
      <w:pPr>
        <w:ind w:left="1520" w:right="1720" w:firstLine="230"/>
        <w:spacing w:after="0" w:line="289" w:lineRule="auto"/>
        <w:rPr>
          <w:sz w:val="20"/>
          <w:szCs w:val="20"/>
          <w:color w:val="auto"/>
        </w:rPr>
      </w:pPr>
      <w:r>
        <w:rPr>
          <w:rFonts w:ascii="Arial" w:cs="Arial" w:eastAsia="Arial" w:hAnsi="Arial"/>
          <w:sz w:val="12"/>
          <w:szCs w:val="12"/>
          <w:color w:val="auto"/>
        </w:rPr>
        <w:t>Subject to certain additional limitations, including those relating to public filings required to be or voluntarily made in connection with a transfer, the restrictions contained in the lock-up agreements do not apply to:</w:t>
      </w:r>
    </w:p>
    <w:p>
      <w:pPr>
        <w:spacing w:after="0" w:line="76" w:lineRule="exact"/>
        <w:rPr>
          <w:sz w:val="20"/>
          <w:szCs w:val="20"/>
          <w:color w:val="auto"/>
        </w:rPr>
      </w:pPr>
    </w:p>
    <w:p>
      <w:pPr>
        <w:ind w:left="1980" w:hanging="228"/>
        <w:spacing w:after="0"/>
        <w:tabs>
          <w:tab w:leader="none" w:pos="198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transfers as bona fide gifts or charitable contributions, or for bona fide estate planning purposes;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transfers upon death by will, testamentary document, or the laws of intestate succession;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225</w:t>
      </w:r>
    </w:p>
    <w:p>
      <w:pPr>
        <w:sectPr>
          <w:pgSz w:w="11900" w:h="16840" w:orient="portrait"/>
          <w:cols w:equalWidth="0" w:num="1">
            <w:col w:w="9020"/>
          </w:cols>
          <w:pgMar w:left="1440" w:top="560" w:right="1440" w:bottom="5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ectPr>
          <w:pgSz w:w="11900" w:h="16840" w:orient="portrait"/>
          <w:cols w:equalWidth="0" w:num="1">
            <w:col w:w="9020"/>
          </w:cols>
          <w:pgMar w:left="1440" w:top="560" w:right="1440" w:bottom="536" w:gutter="0" w:footer="0" w:header="0"/>
          <w:type w:val="continuous"/>
        </w:sectPr>
      </w:pPr>
    </w:p>
    <w:bookmarkStart w:id="154" w:name="page155"/>
    <w:bookmarkEnd w:id="154"/>
    <w:p>
      <w:pPr>
        <w:ind w:left="1980" w:right="1700" w:hanging="228"/>
        <w:spacing w:after="0" w:line="289" w:lineRule="auto"/>
        <w:tabs>
          <w:tab w:leader="none" w:pos="1980" w:val="left"/>
        </w:tabs>
        <w:numPr>
          <w:ilvl w:val="0"/>
          <w:numId w:val="17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transfers to immediate family members or to any trust for the direct or indirect benefit of the holder or the immediate family of the holder or, if the holder is a trust, to a trustor or beneficiary of the trust or the estate of a beneficiary of such trust;</w:t>
      </w:r>
    </w:p>
    <w:p>
      <w:pPr>
        <w:spacing w:after="0" w:line="75" w:lineRule="exact"/>
        <w:rPr>
          <w:rFonts w:ascii="Arial" w:cs="Arial" w:eastAsia="Arial" w:hAnsi="Arial"/>
          <w:sz w:val="12"/>
          <w:szCs w:val="12"/>
          <w:color w:val="auto"/>
        </w:rPr>
      </w:pPr>
    </w:p>
    <w:p>
      <w:pPr>
        <w:ind w:left="1980" w:right="1800" w:hanging="228"/>
        <w:spacing w:after="0" w:line="289" w:lineRule="auto"/>
        <w:tabs>
          <w:tab w:leader="none" w:pos="198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transfers to a partnership, limited liability company, or other entity of which the holder and the immediate family of the holder are the legal and beneficial owner of all of the outstanding equity securities or similar interests;</w:t>
      </w:r>
    </w:p>
    <w:p>
      <w:pPr>
        <w:spacing w:after="0" w:line="75" w:lineRule="exact"/>
        <w:rPr>
          <w:rFonts w:ascii="Arial" w:cs="Arial" w:eastAsia="Arial" w:hAnsi="Arial"/>
          <w:sz w:val="12"/>
          <w:szCs w:val="12"/>
          <w:color w:val="auto"/>
        </w:rPr>
      </w:pPr>
    </w:p>
    <w:p>
      <w:pPr>
        <w:ind w:left="1980" w:right="1760" w:hanging="228"/>
        <w:spacing w:after="0" w:line="312" w:lineRule="auto"/>
        <w:tabs>
          <w:tab w:leader="none" w:pos="198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transfers to a nominee or custodian of a person or entity to whom a disposition or transfer would be permissible under clauses (i) through (iv) above;</w:t>
      </w:r>
    </w:p>
    <w:p>
      <w:pPr>
        <w:spacing w:after="0" w:line="62" w:lineRule="exact"/>
        <w:rPr>
          <w:rFonts w:ascii="Arial" w:cs="Arial" w:eastAsia="Arial" w:hAnsi="Arial"/>
          <w:sz w:val="12"/>
          <w:szCs w:val="12"/>
          <w:color w:val="auto"/>
        </w:rPr>
      </w:pPr>
    </w:p>
    <w:p>
      <w:pPr>
        <w:ind w:left="1980" w:right="1740" w:hanging="228"/>
        <w:spacing w:after="0" w:line="289" w:lineRule="auto"/>
        <w:tabs>
          <w:tab w:leader="none" w:pos="198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transfers by a business entity (A) to an affiliated or controlled entity or (B) as part of a distribution to the holder’s stockholders, partners, members, or other equityholders or to the estate of any such stockholders, partners, members, or other equityholders;</w:t>
      </w:r>
    </w:p>
    <w:p>
      <w:pPr>
        <w:spacing w:after="0" w:line="75" w:lineRule="exact"/>
        <w:rPr>
          <w:rFonts w:ascii="Arial" w:cs="Arial" w:eastAsia="Arial" w:hAnsi="Arial"/>
          <w:sz w:val="12"/>
          <w:szCs w:val="12"/>
          <w:color w:val="auto"/>
        </w:rPr>
      </w:pPr>
    </w:p>
    <w:p>
      <w:pPr>
        <w:ind w:left="1980" w:right="1760" w:hanging="228"/>
        <w:spacing w:after="0" w:line="312" w:lineRule="auto"/>
        <w:tabs>
          <w:tab w:leader="none" w:pos="198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transfers by operation of law, such as pursuant to a qualified domestic order, divorce settlement, divorce decree, or separation agreement;</w:t>
      </w:r>
    </w:p>
    <w:p>
      <w:pPr>
        <w:spacing w:after="0" w:line="62" w:lineRule="exact"/>
        <w:rPr>
          <w:rFonts w:ascii="Arial" w:cs="Arial" w:eastAsia="Arial" w:hAnsi="Arial"/>
          <w:sz w:val="12"/>
          <w:szCs w:val="12"/>
          <w:color w:val="auto"/>
        </w:rPr>
      </w:pPr>
    </w:p>
    <w:p>
      <w:pPr>
        <w:ind w:left="1980" w:right="2260" w:hanging="228"/>
        <w:spacing w:after="0" w:line="312" w:lineRule="auto"/>
        <w:tabs>
          <w:tab w:leader="none" w:pos="2015" w:val="left"/>
        </w:tabs>
        <w:numPr>
          <w:ilvl w:val="0"/>
          <w:numId w:val="172"/>
        </w:numPr>
        <w:rPr>
          <w:rFonts w:ascii="Arial" w:cs="Arial" w:eastAsia="Arial" w:hAnsi="Arial"/>
          <w:sz w:val="12"/>
          <w:szCs w:val="12"/>
          <w:color w:val="auto"/>
        </w:rPr>
      </w:pPr>
      <w:r>
        <w:rPr>
          <w:rFonts w:ascii="Arial" w:cs="Arial" w:eastAsia="Arial" w:hAnsi="Arial"/>
          <w:sz w:val="12"/>
          <w:szCs w:val="12"/>
          <w:color w:val="auto"/>
        </w:rPr>
        <w:t>transfers to us from one of our employees upon their death, disability, or termination of employment;</w:t>
      </w:r>
    </w:p>
    <w:p>
      <w:pPr>
        <w:spacing w:after="0" w:line="62" w:lineRule="exact"/>
        <w:rPr>
          <w:rFonts w:ascii="Arial" w:cs="Arial" w:eastAsia="Arial" w:hAnsi="Arial"/>
          <w:sz w:val="12"/>
          <w:szCs w:val="12"/>
          <w:color w:val="auto"/>
        </w:rPr>
      </w:pPr>
    </w:p>
    <w:p>
      <w:pPr>
        <w:ind w:left="1980" w:right="2060" w:hanging="228"/>
        <w:spacing w:after="0" w:line="289" w:lineRule="auto"/>
        <w:tabs>
          <w:tab w:leader="none" w:pos="198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if the holder is not an executive officer or director, transfers of shares acquired (A) from the underwriters in this offering or (B) in open market transactions after the completion of this offering;</w:t>
      </w:r>
    </w:p>
    <w:p>
      <w:pPr>
        <w:spacing w:after="0" w:line="75" w:lineRule="exact"/>
        <w:rPr>
          <w:rFonts w:ascii="Arial" w:cs="Arial" w:eastAsia="Arial" w:hAnsi="Arial"/>
          <w:sz w:val="12"/>
          <w:szCs w:val="12"/>
          <w:color w:val="auto"/>
        </w:rPr>
      </w:pPr>
    </w:p>
    <w:p>
      <w:pPr>
        <w:ind w:left="1980" w:right="1680" w:hanging="228"/>
        <w:spacing w:after="0" w:line="273" w:lineRule="auto"/>
        <w:tabs>
          <w:tab w:leader="none" w:pos="2015" w:val="left"/>
        </w:tabs>
        <w:numPr>
          <w:ilvl w:val="0"/>
          <w:numId w:val="172"/>
        </w:numPr>
        <w:rPr>
          <w:rFonts w:ascii="Arial" w:cs="Arial" w:eastAsia="Arial" w:hAnsi="Arial"/>
          <w:sz w:val="12"/>
          <w:szCs w:val="12"/>
          <w:color w:val="auto"/>
        </w:rPr>
      </w:pPr>
      <w:r>
        <w:rPr>
          <w:rFonts w:ascii="Arial" w:cs="Arial" w:eastAsia="Arial" w:hAnsi="Arial"/>
          <w:sz w:val="12"/>
          <w:szCs w:val="12"/>
          <w:color w:val="auto"/>
        </w:rPr>
        <w:t>transfers to us in connection with the vesting, settlement, or exercise of RSUs, options, warrants, or other rights to purchase shares of our common stock (including, in each case, by way of “net” or “cashless” exercise), including transfers to us for the payment of tax obligations, including estimated taxes, due as a result of the vesting, settlement, or exercise of options, RSUs, restricted stock, warrants, or other rights to acquire shares of our common stock, in each case granted under a stock incentive plan or other equity award plan or arrangement or pursuant to the terms of convertible or exchangeable securities, each described in this prospectus;</w:t>
      </w:r>
    </w:p>
    <w:p>
      <w:pPr>
        <w:spacing w:after="0" w:line="87" w:lineRule="exact"/>
        <w:rPr>
          <w:rFonts w:ascii="Arial" w:cs="Arial" w:eastAsia="Arial" w:hAnsi="Arial"/>
          <w:sz w:val="12"/>
          <w:szCs w:val="12"/>
          <w:color w:val="auto"/>
        </w:rPr>
      </w:pPr>
    </w:p>
    <w:p>
      <w:pPr>
        <w:ind w:left="1980" w:right="1680" w:hanging="228"/>
        <w:spacing w:after="0" w:line="275" w:lineRule="auto"/>
        <w:tabs>
          <w:tab w:leader="none" w:pos="198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sales or other transfers in “sell to cover” or similar open market transactions during the Lock-Up Period solely to satisfy tax obligations due as a result of (A) the exercise of stock options, if such options expire or the post-termination exercise period applicable to such options expire during the Lock-Up Period, or (B) the settlement of RSUs during the Lock-Up Period pursuant to awards granted under a stock incentive plan or other equity award plan or arrangement described in this prospectus;</w:t>
      </w:r>
    </w:p>
    <w:p>
      <w:pPr>
        <w:spacing w:after="0" w:line="84" w:lineRule="exact"/>
        <w:rPr>
          <w:rFonts w:ascii="Arial" w:cs="Arial" w:eastAsia="Arial" w:hAnsi="Arial"/>
          <w:sz w:val="12"/>
          <w:szCs w:val="12"/>
          <w:color w:val="auto"/>
        </w:rPr>
      </w:pPr>
    </w:p>
    <w:p>
      <w:pPr>
        <w:ind w:left="1980" w:right="1720" w:hanging="228"/>
        <w:spacing w:after="0" w:line="289" w:lineRule="auto"/>
        <w:tabs>
          <w:tab w:leader="none" w:pos="198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transfers to us in connection with the conversion, exchange, or reclassification of our outstanding equity securities into shares of our common stock, or any reclassification, exchange, or conversion of our common stock, in each case as described in this prospectus;</w:t>
      </w:r>
    </w:p>
    <w:p>
      <w:pPr>
        <w:spacing w:after="0" w:line="75" w:lineRule="exact"/>
        <w:rPr>
          <w:rFonts w:ascii="Arial" w:cs="Arial" w:eastAsia="Arial" w:hAnsi="Arial"/>
          <w:sz w:val="12"/>
          <w:szCs w:val="12"/>
          <w:color w:val="auto"/>
        </w:rPr>
      </w:pPr>
    </w:p>
    <w:p>
      <w:pPr>
        <w:ind w:left="1980" w:hanging="228"/>
        <w:spacing w:after="0"/>
        <w:tabs>
          <w:tab w:leader="none" w:pos="198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transfers to the underwriters pursuant to the underwriting agreement;</w:t>
      </w:r>
    </w:p>
    <w:p>
      <w:pPr>
        <w:spacing w:after="0" w:line="129" w:lineRule="exact"/>
        <w:rPr>
          <w:rFonts w:ascii="Arial" w:cs="Arial" w:eastAsia="Arial" w:hAnsi="Arial"/>
          <w:sz w:val="12"/>
          <w:szCs w:val="12"/>
          <w:color w:val="auto"/>
        </w:rPr>
      </w:pPr>
    </w:p>
    <w:p>
      <w:pPr>
        <w:ind w:left="1980" w:right="1760" w:hanging="228"/>
        <w:spacing w:after="0" w:line="289" w:lineRule="auto"/>
        <w:tabs>
          <w:tab w:leader="none" w:pos="198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transfers in connection with the termination of employment of an employee, including following voluntary resignation of such employee, if such transfers or dispositions are determined by us to be required under applicable law;</w:t>
      </w:r>
    </w:p>
    <w:p>
      <w:pPr>
        <w:spacing w:after="0" w:line="75" w:lineRule="exact"/>
        <w:rPr>
          <w:rFonts w:ascii="Arial" w:cs="Arial" w:eastAsia="Arial" w:hAnsi="Arial"/>
          <w:sz w:val="12"/>
          <w:szCs w:val="12"/>
          <w:color w:val="auto"/>
        </w:rPr>
      </w:pPr>
    </w:p>
    <w:p>
      <w:pPr>
        <w:ind w:left="1980" w:right="1720" w:hanging="228"/>
        <w:spacing w:after="0" w:line="289" w:lineRule="auto"/>
        <w:tabs>
          <w:tab w:leader="none" w:pos="198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enter into a written plan meeting the requirements of Rule 10b5-1 under the Exchange Act relating to the transfer of shares of common stock, provided that shares of common stock subject to such plan may not be sold during the Lock-Up Period; and</w:t>
      </w:r>
    </w:p>
    <w:p>
      <w:pPr>
        <w:spacing w:after="0" w:line="75" w:lineRule="exact"/>
        <w:rPr>
          <w:rFonts w:ascii="Arial" w:cs="Arial" w:eastAsia="Arial" w:hAnsi="Arial"/>
          <w:sz w:val="12"/>
          <w:szCs w:val="12"/>
          <w:color w:val="auto"/>
        </w:rPr>
      </w:pPr>
    </w:p>
    <w:p>
      <w:pPr>
        <w:ind w:left="1980" w:right="1840" w:hanging="228"/>
        <w:spacing w:after="0" w:line="289" w:lineRule="auto"/>
        <w:tabs>
          <w:tab w:leader="none" w:pos="198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transfers pursuant to a bona fide third-party tender offer, merger, consolidation, or other similar transaction that is approved by our board of directors and made to all holders of our common stock, and which involves a change in control;</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226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840" w:firstLine="230"/>
        <w:spacing w:after="0" w:line="312" w:lineRule="auto"/>
        <w:rPr>
          <w:sz w:val="20"/>
          <w:szCs w:val="20"/>
          <w:color w:val="auto"/>
        </w:rPr>
      </w:pPr>
      <w:r>
        <w:rPr>
          <w:rFonts w:ascii="Arial" w:cs="Arial" w:eastAsia="Arial" w:hAnsi="Arial"/>
          <w:sz w:val="12"/>
          <w:szCs w:val="12"/>
          <w:color w:val="auto"/>
        </w:rPr>
        <w:t>provided, in the case of any transfer, disposition, or distribution pursuant to clauses (i) through (vii), that each transferee, donee, or distributee shall sign and deliver a lock-up agreement.</w:t>
      </w:r>
    </w:p>
    <w:p>
      <w:pPr>
        <w:spacing w:after="0" w:line="62" w:lineRule="exact"/>
        <w:rPr>
          <w:sz w:val="20"/>
          <w:szCs w:val="20"/>
          <w:color w:val="auto"/>
        </w:rPr>
      </w:pPr>
    </w:p>
    <w:p>
      <w:pPr>
        <w:ind w:left="1520" w:right="1700" w:firstLine="230"/>
        <w:spacing w:after="0" w:line="268" w:lineRule="auto"/>
        <w:rPr>
          <w:sz w:val="20"/>
          <w:szCs w:val="20"/>
          <w:color w:val="auto"/>
        </w:rPr>
      </w:pPr>
      <w:r>
        <w:rPr>
          <w:rFonts w:ascii="Arial" w:cs="Arial" w:eastAsia="Arial" w:hAnsi="Arial"/>
          <w:sz w:val="12"/>
          <w:szCs w:val="12"/>
          <w:color w:val="auto"/>
        </w:rPr>
        <w:t>The foregoing restrictions on issuances by us during the Lock-Up Period are subject to certain exceptions, including with respect to: (A) shares to be sold pursuant to the underwriting agreement, (B) the issuance of shares upon the exercise of options or the settlement of RSUs (including net exercise or settlement) as described herein, (C) the issuance of shares upon the conversion or exchange of convertible or exchangeable securities as described herein, (D) the issuance of shares of Class A common stock upon conversion of shares of our Class B common stock, (E) the issuance of shares of Class A common stock or securities convertible into, exchangeable for or that represent the right to receive shares of Class A common stock, in each case pursuant to our equity plans described herein, (F) the issuance of shares of Class A common stock or securities convertible into, exchangeable for or that represent the right to receive shares of Class A common stock in connection with (x) the acquisition by us or any of our subsidiaries of the securities, business, technology, property or other assets of another person or entity or pursuant to an employee benefit plan assumed by us in connection with such acquisition, and the issuance of any such securities pursuant to any such agreement, or (y) our joint ventures, commercial relationships and other strategic relationships, or (G) the filing of any registration statement(s) on Form S-8 relating to the securities granted or to be granted pursuant to (A) our equity plans that are described herein or (B) any assumed employee benefit plan contemplated by clause (F); provided, that the aggregate number of shares of Class A common stock that we may sell or issue or agree to sell or issue pursuant to clause (F) shall not exceed 10% of the total number of shares of our common stock outstanding immediately following the completion of this offering; and provided further, that in the case of clauses (B), (C), (E) and (F), we shall cause each recipient of such securities to execute and deliver to Goldman Sachs &amp; Co. LLC and Citigroup Global Markets Inc., as representatives of the underwriters, on or prior to the issuance of such securities, a lock-up agreement for the remainder of the Lock-Up Period and shall enter stop transfer instructions with our transfer agent and registrar on such securities.</w:t>
      </w:r>
    </w:p>
    <w:p>
      <w:pPr>
        <w:spacing w:after="0" w:line="245" w:lineRule="exact"/>
        <w:rPr>
          <w:sz w:val="20"/>
          <w:szCs w:val="20"/>
          <w:color w:val="auto"/>
        </w:rPr>
      </w:pPr>
    </w:p>
    <w:p>
      <w:pPr>
        <w:jc w:val="both"/>
        <w:ind w:left="1520" w:right="1780" w:firstLine="230"/>
        <w:spacing w:after="0" w:line="312" w:lineRule="auto"/>
        <w:rPr>
          <w:sz w:val="20"/>
          <w:szCs w:val="20"/>
          <w:color w:val="auto"/>
        </w:rPr>
      </w:pPr>
      <w:r>
        <w:rPr>
          <w:rFonts w:ascii="Arial" w:cs="Arial" w:eastAsia="Arial" w:hAnsi="Arial"/>
          <w:sz w:val="12"/>
          <w:szCs w:val="12"/>
          <w:color w:val="auto"/>
        </w:rPr>
        <w:t>Goldman Sachs &amp; Co. LLC and Citigroup Global Markets Inc. may, in their discretion, release any of the securities subject to these lockup agreements at any time, subject to applicable notice requirements.</w:t>
      </w:r>
    </w:p>
    <w:p>
      <w:pPr>
        <w:spacing w:after="0" w:line="62" w:lineRule="exact"/>
        <w:rPr>
          <w:sz w:val="20"/>
          <w:szCs w:val="20"/>
          <w:color w:val="auto"/>
        </w:rPr>
      </w:pPr>
    </w:p>
    <w:p>
      <w:pPr>
        <w:ind w:left="1520" w:right="1720" w:firstLine="230"/>
        <w:spacing w:after="0" w:line="277" w:lineRule="auto"/>
        <w:rPr>
          <w:sz w:val="20"/>
          <w:szCs w:val="20"/>
          <w:color w:val="auto"/>
        </w:rPr>
      </w:pPr>
      <w:r>
        <w:rPr>
          <w:rFonts w:ascii="Arial" w:cs="Arial" w:eastAsia="Arial" w:hAnsi="Arial"/>
          <w:sz w:val="12"/>
          <w:szCs w:val="12"/>
          <w:color w:val="auto"/>
        </w:rPr>
        <w:t>Prior to the offering, there has been no public market for the shares of our Class A common stock. The initial public offering price will be negotiated between us, the selling stockholders and the Goldman Sachs &amp; Co. LLC and Citigroup Global Markets Inc. Among the factors to be considered in determining the initial public offering price of the shares of Class A common stock, in addition to prevailing market conditions, will be our historical performance, estimates of our business potential and earnings prospects,</w:t>
      </w:r>
    </w:p>
    <w:p>
      <w:pPr>
        <w:sectPr>
          <w:pgSz w:w="11900" w:h="16840" w:orient="portrait"/>
          <w:cols w:equalWidth="0" w:num="1">
            <w:col w:w="9020"/>
          </w:cols>
          <w:pgMar w:left="1440" w:top="646" w:right="1440" w:bottom="2" w:gutter="0" w:footer="0" w:header="0"/>
        </w:sectPr>
      </w:pPr>
    </w:p>
    <w:bookmarkStart w:id="155" w:name="page156"/>
    <w:bookmarkEnd w:id="155"/>
    <w:p>
      <w:pPr>
        <w:ind w:left="1520" w:right="2040"/>
        <w:spacing w:after="0" w:line="279" w:lineRule="auto"/>
        <w:rPr>
          <w:sz w:val="20"/>
          <w:szCs w:val="20"/>
          <w:color w:val="auto"/>
        </w:rPr>
      </w:pPr>
      <w:r>
        <w:rPr>
          <w:rFonts w:ascii="Arial" w:cs="Arial" w:eastAsia="Arial" w:hAnsi="Arial"/>
          <w:sz w:val="12"/>
          <w:szCs w:val="12"/>
          <w:color w:val="auto"/>
        </w:rPr>
        <w:t>an assessment of our management, and the consideration of the above factors in relation to market valuation of companies in related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-196850</wp:posOffset>
            </wp:positionV>
            <wp:extent cx="6732270" cy="99707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61"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We have applied to list our Class A common stock on Nasdaq under the symbol “NAVN.”</w:t>
      </w:r>
    </w:p>
    <w:p>
      <w:pPr>
        <w:spacing w:after="0" w:line="130" w:lineRule="exact"/>
        <w:rPr>
          <w:sz w:val="20"/>
          <w:szCs w:val="20"/>
          <w:color w:val="auto"/>
        </w:rPr>
      </w:pPr>
    </w:p>
    <w:p>
      <w:pPr>
        <w:ind w:left="1520" w:right="1740" w:firstLine="230"/>
        <w:spacing w:after="0" w:line="269" w:lineRule="auto"/>
        <w:rPr>
          <w:sz w:val="20"/>
          <w:szCs w:val="20"/>
          <w:color w:val="auto"/>
        </w:rPr>
      </w:pPr>
      <w:r>
        <w:rPr>
          <w:rFonts w:ascii="Arial" w:cs="Arial" w:eastAsia="Arial" w:hAnsi="Arial"/>
          <w:sz w:val="12"/>
          <w:szCs w:val="12"/>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number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number of additional shares for which the option described above may be exercised. The underwriters must cover any such naked short position by purchasing shares in the open market. A naked short position is more likely to be</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227</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40"/>
        <w:spacing w:after="0" w:line="281" w:lineRule="auto"/>
        <w:rPr>
          <w:sz w:val="20"/>
          <w:szCs w:val="20"/>
          <w:color w:val="auto"/>
        </w:rPr>
      </w:pPr>
      <w:r>
        <w:rPr>
          <w:rFonts w:ascii="Arial" w:cs="Arial" w:eastAsia="Arial" w:hAnsi="Arial"/>
          <w:sz w:val="12"/>
          <w:szCs w:val="12"/>
          <w:color w:val="auto"/>
        </w:rPr>
        <w:t>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81" w:lineRule="exact"/>
        <w:rPr>
          <w:sz w:val="20"/>
          <w:szCs w:val="20"/>
          <w:color w:val="auto"/>
        </w:rPr>
      </w:pPr>
    </w:p>
    <w:p>
      <w:pPr>
        <w:ind w:left="1520" w:right="1740" w:firstLine="230"/>
        <w:spacing w:after="0" w:line="281" w:lineRule="auto"/>
        <w:rPr>
          <w:sz w:val="20"/>
          <w:szCs w:val="20"/>
          <w:color w:val="auto"/>
        </w:rPr>
      </w:pPr>
      <w:r>
        <w:rPr>
          <w:rFonts w:ascii="Arial" w:cs="Arial" w:eastAsia="Arial" w:hAnsi="Arial"/>
          <w:sz w:val="12"/>
          <w:szCs w:val="12"/>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81"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88" w:lineRule="exact"/>
        <w:rPr>
          <w:sz w:val="20"/>
          <w:szCs w:val="20"/>
          <w:color w:val="auto"/>
        </w:rPr>
      </w:pPr>
    </w:p>
    <w:p>
      <w:pPr>
        <w:ind w:left="1520" w:right="1700" w:firstLine="230"/>
        <w:spacing w:after="0" w:line="289" w:lineRule="auto"/>
        <w:rPr>
          <w:sz w:val="20"/>
          <w:szCs w:val="20"/>
          <w:color w:val="auto"/>
        </w:rPr>
      </w:pPr>
      <w:r>
        <w:rPr>
          <w:rFonts w:ascii="Arial" w:cs="Arial" w:eastAsia="Arial" w:hAnsi="Arial"/>
          <w:sz w:val="12"/>
          <w:szCs w:val="12"/>
          <w:color w:val="auto"/>
        </w:rPr>
        <w:t>We will agree to reimburse the underwriters for expenses in an amount not to exceed $75,000. We and the selling stockholders will also agree to indemnify the several underwriters against certain liabilities, including liabilities under the Securities Act.</w:t>
      </w:r>
    </w:p>
    <w:p>
      <w:pPr>
        <w:spacing w:after="0" w:line="76"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Goldman Sachs Bank USA, an affiliate of Goldman Sachs &amp; Co. LLC, is the administrative agent and a lender under the Warehouse Credit Agreement. Citibank, an affiliate of Citigroup Global Markets Inc., is the administrative agent and a lender under the ABL Facility. In addition, affiliates of BNP Paribas Securities Corp. and Citizens JMP Securities, LLC are lenders under the ABL Facility. Certain of the underwriters and their respective affiliates are our customers or have been customers from time to time and may be customers in the future in arm’s length transactions on market competitive terms.</w:t>
      </w:r>
    </w:p>
    <w:p>
      <w:pPr>
        <w:spacing w:after="0" w:line="89" w:lineRule="exact"/>
        <w:rPr>
          <w:sz w:val="20"/>
          <w:szCs w:val="20"/>
          <w:color w:val="auto"/>
        </w:rPr>
      </w:pPr>
    </w:p>
    <w:p>
      <w:pPr>
        <w:ind w:left="1520" w:right="1700" w:firstLine="230"/>
        <w:spacing w:after="0" w:line="271" w:lineRule="auto"/>
        <w:rPr>
          <w:sz w:val="20"/>
          <w:szCs w:val="20"/>
          <w:color w:val="auto"/>
        </w:rPr>
      </w:pPr>
      <w:r>
        <w:rPr>
          <w:rFonts w:ascii="Arial" w:cs="Arial" w:eastAsia="Arial" w:hAnsi="Arial"/>
          <w:sz w:val="12"/>
          <w:szCs w:val="12"/>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Participation in Our Initial Public Offering</w:t>
      </w:r>
    </w:p>
    <w:p>
      <w:pPr>
        <w:spacing w:after="0" w:line="130"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color w:val="auto"/>
        </w:rPr>
        <w:t>In connection with our Series G and Series G-1 redeemable convertible preferred stock financing and our Series F redeemable convertible preferred stock financing, we entered into allocation agreements with an affiliated entity of Premji Invest and an affiliated entity of Greenoaks Capital Partners, respectively. Under these agreements, we agreed to use reasonable efforts to provide each of Premji Invest and Greenoaks Capital Partners with the right, but not the obligation, to purchase at the initial public offering price up to 5% of the shares sold in this offering. At our election, Premji Invest’s purchase may be made either through an allocation by the underwriters in this offering or in a concurrent private</w:t>
      </w: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228</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20"/>
        <w:spacing w:after="0" w:line="281" w:lineRule="auto"/>
        <w:rPr>
          <w:sz w:val="20"/>
          <w:szCs w:val="20"/>
          <w:color w:val="auto"/>
        </w:rPr>
      </w:pPr>
      <w:r>
        <w:rPr>
          <w:rFonts w:ascii="Arial" w:cs="Arial" w:eastAsia="Arial" w:hAnsi="Arial"/>
          <w:sz w:val="12"/>
          <w:szCs w:val="12"/>
          <w:color w:val="auto"/>
        </w:rPr>
        <w:t>placement, while Greenoaks Capital Partners’ purchase may be made only through an allocation by the underwriters. Shares purchased by Premji Invest or Greenoaks Capital Partners pursuant to these rights will not be subject to any lock-up. The number of shares available for sale to the public will be reduced by any shares purchased pursuant to these rights, and any unpurchased shares will be offered to the public</w:t>
      </w:r>
    </w:p>
    <w:p>
      <w:pPr>
        <w:sectPr>
          <w:pgSz w:w="11900" w:h="16840" w:orient="portrait"/>
          <w:cols w:equalWidth="0" w:num="1">
            <w:col w:w="9020"/>
          </w:cols>
          <w:pgMar w:left="1440" w:top="560" w:right="1440" w:bottom="85" w:gutter="0" w:footer="0" w:header="0"/>
        </w:sectPr>
      </w:pPr>
    </w:p>
    <w:bookmarkStart w:id="156" w:name="page157"/>
    <w:bookmarkEnd w:id="156"/>
    <w:p>
      <w:pPr>
        <w:ind w:left="1520"/>
        <w:spacing w:after="0"/>
        <w:rPr>
          <w:sz w:val="20"/>
          <w:szCs w:val="20"/>
          <w:color w:val="auto"/>
        </w:rPr>
      </w:pPr>
      <w:r>
        <w:rPr>
          <w:rFonts w:ascii="Arial" w:cs="Arial" w:eastAsia="Arial" w:hAnsi="Arial"/>
          <w:sz w:val="12"/>
          <w:szCs w:val="12"/>
          <w:color w:val="auto"/>
        </w:rPr>
        <w:t>on the same basis as the other shares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7"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European Economic Area</w:t>
      </w:r>
    </w:p>
    <w:p>
      <w:pPr>
        <w:spacing w:after="0" w:line="128" w:lineRule="exact"/>
        <w:rPr>
          <w:sz w:val="20"/>
          <w:szCs w:val="20"/>
          <w:color w:val="auto"/>
        </w:rPr>
      </w:pPr>
    </w:p>
    <w:p>
      <w:pPr>
        <w:ind w:left="1520" w:right="1820" w:firstLine="230"/>
        <w:spacing w:after="0" w:line="281" w:lineRule="auto"/>
        <w:rPr>
          <w:sz w:val="20"/>
          <w:szCs w:val="20"/>
          <w:color w:val="auto"/>
        </w:rPr>
      </w:pPr>
      <w:r>
        <w:rPr>
          <w:rFonts w:ascii="Arial" w:cs="Arial" w:eastAsia="Arial" w:hAnsi="Arial"/>
          <w:sz w:val="12"/>
          <w:szCs w:val="12"/>
          <w:color w:val="auto"/>
        </w:rPr>
        <w:t>In relation to each Member State of the European Economic Area, each, a Relevant Member State, an offer to the public of any Class A common stock may not be made in that Relevant Member State, except that an offer to the public in that Relevant Member State of any Class A common stock may be made at any time under the following exemptions under the EU Prospectus Regulation:</w:t>
      </w:r>
    </w:p>
    <w:p>
      <w:pPr>
        <w:spacing w:after="0" w:line="81" w:lineRule="exact"/>
        <w:rPr>
          <w:sz w:val="20"/>
          <w:szCs w:val="20"/>
          <w:color w:val="auto"/>
        </w:rPr>
      </w:pPr>
    </w:p>
    <w:p>
      <w:pPr>
        <w:ind w:left="1980" w:hanging="228"/>
        <w:spacing w:after="0"/>
        <w:tabs>
          <w:tab w:leader="none" w:pos="1980" w:val="left"/>
        </w:tabs>
        <w:numPr>
          <w:ilvl w:val="0"/>
          <w:numId w:val="173"/>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the EU Prospectus Regulation;</w:t>
      </w:r>
    </w:p>
    <w:p>
      <w:pPr>
        <w:spacing w:after="0" w:line="129" w:lineRule="exact"/>
        <w:rPr>
          <w:rFonts w:ascii="Arial" w:cs="Arial" w:eastAsia="Arial" w:hAnsi="Arial"/>
          <w:sz w:val="12"/>
          <w:szCs w:val="12"/>
          <w:color w:val="auto"/>
        </w:rPr>
      </w:pPr>
    </w:p>
    <w:p>
      <w:pPr>
        <w:ind w:left="1980" w:right="1820" w:hanging="228"/>
        <w:spacing w:after="0" w:line="289" w:lineRule="auto"/>
        <w:tabs>
          <w:tab w:leader="none" w:pos="1980" w:val="left"/>
        </w:tabs>
        <w:numPr>
          <w:ilvl w:val="0"/>
          <w:numId w:val="173"/>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the EU Prospectus Regulation), subject to obtaining the prior consent of the joint book-running managers for any such offer; or</w:t>
      </w:r>
    </w:p>
    <w:p>
      <w:pPr>
        <w:spacing w:after="0" w:line="75" w:lineRule="exact"/>
        <w:rPr>
          <w:rFonts w:ascii="Arial" w:cs="Arial" w:eastAsia="Arial" w:hAnsi="Arial"/>
          <w:sz w:val="12"/>
          <w:szCs w:val="12"/>
          <w:color w:val="auto"/>
        </w:rPr>
      </w:pPr>
    </w:p>
    <w:p>
      <w:pPr>
        <w:ind w:left="1980" w:hanging="228"/>
        <w:spacing w:after="0"/>
        <w:tabs>
          <w:tab w:leader="none" w:pos="1980" w:val="left"/>
        </w:tabs>
        <w:numPr>
          <w:ilvl w:val="0"/>
          <w:numId w:val="173"/>
        </w:numPr>
        <w:rPr>
          <w:rFonts w:ascii="Arial" w:cs="Arial" w:eastAsia="Arial" w:hAnsi="Arial"/>
          <w:sz w:val="12"/>
          <w:szCs w:val="12"/>
          <w:color w:val="auto"/>
        </w:rPr>
      </w:pPr>
      <w:r>
        <w:rPr>
          <w:rFonts w:ascii="Arial" w:cs="Arial" w:eastAsia="Arial" w:hAnsi="Arial"/>
          <w:sz w:val="12"/>
          <w:szCs w:val="12"/>
          <w:color w:val="auto"/>
        </w:rPr>
        <w:t>in any other circumstances falling within Article 1(4) of the EU Prospectus Regulation,</w:t>
      </w:r>
    </w:p>
    <w:p>
      <w:pPr>
        <w:spacing w:after="0" w:line="130" w:lineRule="exact"/>
        <w:rPr>
          <w:sz w:val="20"/>
          <w:szCs w:val="20"/>
          <w:color w:val="auto"/>
        </w:rPr>
      </w:pPr>
    </w:p>
    <w:p>
      <w:pPr>
        <w:ind w:left="1520" w:right="1700" w:firstLine="230"/>
        <w:spacing w:after="0" w:line="289" w:lineRule="auto"/>
        <w:rPr>
          <w:sz w:val="20"/>
          <w:szCs w:val="20"/>
          <w:color w:val="auto"/>
        </w:rPr>
      </w:pPr>
      <w:r>
        <w:rPr>
          <w:rFonts w:ascii="Arial" w:cs="Arial" w:eastAsia="Arial" w:hAnsi="Arial"/>
          <w:sz w:val="12"/>
          <w:szCs w:val="12"/>
          <w:color w:val="auto"/>
        </w:rPr>
        <w:t>provided that no such offer of the shares of Class A common stock shall require us or any underwriter to publish a prospectus pursuant to Article 3 of the Prospectus Regulation or a supplemental prospectus pursuant to Article 23 of the Prospectus Regulation.</w:t>
      </w:r>
    </w:p>
    <w:p>
      <w:pPr>
        <w:spacing w:after="0" w:line="76" w:lineRule="exact"/>
        <w:rPr>
          <w:sz w:val="20"/>
          <w:szCs w:val="20"/>
          <w:color w:val="auto"/>
        </w:rPr>
      </w:pPr>
    </w:p>
    <w:p>
      <w:pPr>
        <w:ind w:left="1520" w:right="1740" w:firstLine="230"/>
        <w:spacing w:after="0" w:line="289" w:lineRule="auto"/>
        <w:rPr>
          <w:sz w:val="20"/>
          <w:szCs w:val="20"/>
          <w:color w:val="auto"/>
        </w:rPr>
      </w:pPr>
      <w:r>
        <w:rPr>
          <w:rFonts w:ascii="Arial" w:cs="Arial" w:eastAsia="Arial" w:hAnsi="Arial"/>
          <w:sz w:val="12"/>
          <w:szCs w:val="12"/>
          <w:color w:val="auto"/>
        </w:rPr>
        <w:t>Each person in a Relevant Member State who initially acquires any shares of Class A common stock or to whom any offer is made will be deemed to have represented, warranted and agreed to and with each of the underwriters and their affiliates and us that:</w:t>
      </w:r>
    </w:p>
    <w:p>
      <w:pPr>
        <w:spacing w:after="0" w:line="76" w:lineRule="exact"/>
        <w:rPr>
          <w:sz w:val="20"/>
          <w:szCs w:val="20"/>
          <w:color w:val="auto"/>
        </w:rPr>
      </w:pPr>
    </w:p>
    <w:p>
      <w:pPr>
        <w:ind w:left="1980" w:hanging="228"/>
        <w:spacing w:after="0"/>
        <w:tabs>
          <w:tab w:leader="none" w:pos="198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it is a qualified investor within the meaning of Article 2 of the EU Prospectus Regulation.</w:t>
      </w:r>
    </w:p>
    <w:p>
      <w:pPr>
        <w:spacing w:after="0" w:line="129" w:lineRule="exact"/>
        <w:rPr>
          <w:rFonts w:ascii="Arial" w:cs="Arial" w:eastAsia="Arial" w:hAnsi="Arial"/>
          <w:sz w:val="12"/>
          <w:szCs w:val="12"/>
          <w:color w:val="auto"/>
        </w:rPr>
      </w:pPr>
    </w:p>
    <w:p>
      <w:pPr>
        <w:ind w:left="1980" w:right="1740" w:hanging="228"/>
        <w:spacing w:after="0" w:line="270" w:lineRule="auto"/>
        <w:tabs>
          <w:tab w:leader="none" w:pos="198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in the case of any shares of Class A common stock being offered to a financial intermediary, as that term is used in Article 5(1) of the EU Prospectus Regulation, (i) the shares of Class A common stock acquired by it in the offering have not been acquired on a non-discretionary basis on behalf of, nor have they been acquired with a view to their offer or resale to, persons in any Relevant Member State other than qualified investors, as that term is defined in the EU Prospectus Regulation, or have been acquired in other circumstances falling within the points (a) to (d) of Article 1(4) of the Prospectus Regulation and the prior consent of the underwriters has been given to the offer or resale; or (ii) where the shares of Class A common stock have been acquired by it on behalf of persons in any Relevant Member State other than qualified investors, the offer of those shares of Class A common stock to it is not treated under the Prospectus Regulation as having been made to such persons.</w:t>
      </w:r>
    </w:p>
    <w:p>
      <w:pPr>
        <w:spacing w:after="0" w:line="91" w:lineRule="exact"/>
        <w:rPr>
          <w:sz w:val="20"/>
          <w:szCs w:val="20"/>
          <w:color w:val="auto"/>
        </w:rPr>
      </w:pPr>
    </w:p>
    <w:p>
      <w:pPr>
        <w:ind w:left="1520" w:right="1740" w:firstLine="230"/>
        <w:spacing w:after="0" w:line="277" w:lineRule="auto"/>
        <w:rPr>
          <w:sz w:val="20"/>
          <w:szCs w:val="20"/>
          <w:color w:val="auto"/>
        </w:rPr>
      </w:pPr>
      <w:r>
        <w:rPr>
          <w:rFonts w:ascii="Arial" w:cs="Arial" w:eastAsia="Arial" w:hAnsi="Arial"/>
          <w:sz w:val="12"/>
          <w:szCs w:val="12"/>
          <w:color w:val="auto"/>
        </w:rPr>
        <w:t>We, the underwriters and their affiliates, and others will rely upon the truth and accuracy of the foregoing representation, acknowledgement and agreement. Notwithstanding the above, a person who is not a qualified investor and who has notified the joint book-running managers of such fact in writing may, with the prior consent of the joint book-running managers, be permitted to acquire shares of Class A common stock in this offering.</w:t>
      </w:r>
    </w:p>
    <w:p>
      <w:pPr>
        <w:spacing w:after="0" w:line="84" w:lineRule="exact"/>
        <w:rPr>
          <w:sz w:val="20"/>
          <w:szCs w:val="20"/>
          <w:color w:val="auto"/>
        </w:rPr>
      </w:pPr>
    </w:p>
    <w:p>
      <w:pPr>
        <w:ind w:left="1520" w:right="1720" w:firstLine="230"/>
        <w:spacing w:after="0" w:line="277" w:lineRule="auto"/>
        <w:rPr>
          <w:sz w:val="20"/>
          <w:szCs w:val="20"/>
          <w:color w:val="auto"/>
        </w:rPr>
      </w:pPr>
      <w:r>
        <w:rPr>
          <w:rFonts w:ascii="Arial" w:cs="Arial" w:eastAsia="Arial" w:hAnsi="Arial"/>
          <w:sz w:val="12"/>
          <w:szCs w:val="12"/>
          <w:color w:val="auto"/>
        </w:rPr>
        <w:t>For the purposes of this provision, the expression an "offer to the public" in relation to any shares of Class A common stock in any Relevant Member State means the communication in any form and by any means of sufficient information on the terms of the offer and any shared of Class A common stock to be offered so as to enable an investor to decide to purchase or subscribe for any shares of Class A common stock, and the expression "EU Prospectus Regulation" means Regulation (EU) 2017/1129.</w:t>
      </w:r>
    </w:p>
    <w:p>
      <w:pPr>
        <w:spacing w:after="0" w:line="84" w:lineRule="exact"/>
        <w:rPr>
          <w:sz w:val="20"/>
          <w:szCs w:val="20"/>
          <w:color w:val="auto"/>
        </w:rPr>
      </w:pPr>
    </w:p>
    <w:p>
      <w:pPr>
        <w:jc w:val="both"/>
        <w:ind w:left="1520" w:right="1780" w:firstLine="230"/>
        <w:spacing w:after="0" w:line="312" w:lineRule="auto"/>
        <w:rPr>
          <w:sz w:val="20"/>
          <w:szCs w:val="20"/>
          <w:color w:val="auto"/>
        </w:rPr>
      </w:pPr>
      <w:r>
        <w:rPr>
          <w:rFonts w:ascii="Arial" w:cs="Arial" w:eastAsia="Arial" w:hAnsi="Arial"/>
          <w:sz w:val="12"/>
          <w:szCs w:val="12"/>
          <w:color w:val="auto"/>
        </w:rPr>
        <w:t>This European Economic Area selling restriction is in addition to any other selling restrictions set out below.</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229</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United Kingdom</w:t>
      </w:r>
    </w:p>
    <w:p>
      <w:pPr>
        <w:spacing w:after="0" w:line="130" w:lineRule="exact"/>
        <w:rPr>
          <w:sz w:val="20"/>
          <w:szCs w:val="20"/>
          <w:color w:val="auto"/>
        </w:rPr>
      </w:pPr>
    </w:p>
    <w:p>
      <w:pPr>
        <w:jc w:val="both"/>
        <w:ind w:left="1520" w:right="1780" w:firstLine="230"/>
        <w:spacing w:after="0" w:line="289" w:lineRule="auto"/>
        <w:rPr>
          <w:sz w:val="20"/>
          <w:szCs w:val="20"/>
          <w:color w:val="auto"/>
        </w:rPr>
      </w:pPr>
      <w:r>
        <w:rPr>
          <w:rFonts w:ascii="Arial" w:cs="Arial" w:eastAsia="Arial" w:hAnsi="Arial"/>
          <w:sz w:val="12"/>
          <w:szCs w:val="12"/>
          <w:color w:val="auto"/>
        </w:rPr>
        <w:t>An offer to the public of any Class A common stock may not be made in the United Kingdom, except that an offer to the public in the United Kingdom of any Class A common stock may be made at any time under the following exemptions under the UK Prospectus Regulation:</w:t>
      </w:r>
    </w:p>
    <w:p>
      <w:pPr>
        <w:spacing w:after="0" w:line="76" w:lineRule="exact"/>
        <w:rPr>
          <w:sz w:val="20"/>
          <w:szCs w:val="20"/>
          <w:color w:val="auto"/>
        </w:rPr>
      </w:pPr>
    </w:p>
    <w:p>
      <w:pPr>
        <w:ind w:left="1980" w:hanging="228"/>
        <w:spacing w:after="0"/>
        <w:tabs>
          <w:tab w:leader="none" w:pos="1980" w:val="left"/>
        </w:tabs>
        <w:numPr>
          <w:ilvl w:val="0"/>
          <w:numId w:val="175"/>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the UK Prospectus Regulation;</w:t>
      </w:r>
    </w:p>
    <w:p>
      <w:pPr>
        <w:spacing w:after="0" w:line="129" w:lineRule="exact"/>
        <w:rPr>
          <w:rFonts w:ascii="Arial" w:cs="Arial" w:eastAsia="Arial" w:hAnsi="Arial"/>
          <w:sz w:val="12"/>
          <w:szCs w:val="12"/>
          <w:color w:val="auto"/>
        </w:rPr>
      </w:pPr>
    </w:p>
    <w:p>
      <w:pPr>
        <w:jc w:val="both"/>
        <w:ind w:left="1980" w:right="1800" w:hanging="228"/>
        <w:spacing w:after="0" w:line="289" w:lineRule="auto"/>
        <w:tabs>
          <w:tab w:leader="none" w:pos="1980" w:val="left"/>
        </w:tabs>
        <w:numPr>
          <w:ilvl w:val="0"/>
          <w:numId w:val="175"/>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the UK Prospectus Regulation), subject to obtaining the prior consent of the representatives for any such offer; or</w:t>
      </w:r>
    </w:p>
    <w:p>
      <w:pPr>
        <w:spacing w:after="0" w:line="75" w:lineRule="exact"/>
        <w:rPr>
          <w:rFonts w:ascii="Arial" w:cs="Arial" w:eastAsia="Arial" w:hAnsi="Arial"/>
          <w:sz w:val="12"/>
          <w:szCs w:val="12"/>
          <w:color w:val="auto"/>
        </w:rPr>
      </w:pPr>
    </w:p>
    <w:p>
      <w:pPr>
        <w:ind w:left="1980" w:right="1920" w:hanging="228"/>
        <w:spacing w:after="0" w:line="312" w:lineRule="auto"/>
        <w:tabs>
          <w:tab w:leader="none" w:pos="1980" w:val="left"/>
        </w:tabs>
        <w:numPr>
          <w:ilvl w:val="0"/>
          <w:numId w:val="175"/>
        </w:numPr>
        <w:rPr>
          <w:rFonts w:ascii="Arial" w:cs="Arial" w:eastAsia="Arial" w:hAnsi="Arial"/>
          <w:sz w:val="12"/>
          <w:szCs w:val="12"/>
          <w:color w:val="auto"/>
        </w:rPr>
      </w:pPr>
      <w:r>
        <w:rPr>
          <w:rFonts w:ascii="Arial" w:cs="Arial" w:eastAsia="Arial" w:hAnsi="Arial"/>
          <w:sz w:val="12"/>
          <w:szCs w:val="12"/>
          <w:color w:val="auto"/>
        </w:rPr>
        <w:t>in any other circumstances falling within section 86 of the Financial Services and Markets Act 2000, or, as amended, the FSMA,</w:t>
      </w:r>
    </w:p>
    <w:p>
      <w:pPr>
        <w:spacing w:after="0" w:line="62" w:lineRule="exact"/>
        <w:rPr>
          <w:sz w:val="20"/>
          <w:szCs w:val="20"/>
          <w:color w:val="auto"/>
        </w:rPr>
      </w:pPr>
    </w:p>
    <w:p>
      <w:pPr>
        <w:ind w:left="1520" w:right="1820" w:firstLine="230"/>
        <w:spacing w:after="0" w:line="275" w:lineRule="auto"/>
        <w:rPr>
          <w:sz w:val="20"/>
          <w:szCs w:val="20"/>
          <w:color w:val="auto"/>
        </w:rPr>
      </w:pPr>
      <w:r>
        <w:rPr>
          <w:rFonts w:ascii="Arial" w:cs="Arial" w:eastAsia="Arial" w:hAnsi="Arial"/>
          <w:sz w:val="12"/>
          <w:szCs w:val="12"/>
          <w:color w:val="auto"/>
        </w:rPr>
        <w:t>provided that no such offer of the shares of Class A common stock shall require us and/or any underwriter or any of their affiliates to publish a prospectus pursuant to section 85 of the FSMA or supplement a prospectus pursuant to Article 23 of the UK Prospectus Regulation and each person who initially acquires any shares of Class A common stock or to whom any offer is made will be deemed to have represented, warranted and agreed to and with us and each of the underwriters and their affiliates that it is a qualified investor within the meaning of Article 2 of the UK Prospectus Regulation.</w:t>
      </w:r>
    </w:p>
    <w:p>
      <w:pPr>
        <w:spacing w:after="0" w:line="85" w:lineRule="exact"/>
        <w:rPr>
          <w:sz w:val="20"/>
          <w:szCs w:val="20"/>
          <w:color w:val="auto"/>
        </w:rPr>
      </w:pPr>
    </w:p>
    <w:p>
      <w:pPr>
        <w:ind w:left="1520" w:right="1780" w:firstLine="230"/>
        <w:spacing w:after="0" w:line="273" w:lineRule="auto"/>
        <w:rPr>
          <w:sz w:val="20"/>
          <w:szCs w:val="20"/>
          <w:color w:val="auto"/>
        </w:rPr>
      </w:pPr>
      <w:r>
        <w:rPr>
          <w:rFonts w:ascii="Arial" w:cs="Arial" w:eastAsia="Arial" w:hAnsi="Arial"/>
          <w:sz w:val="12"/>
          <w:szCs w:val="12"/>
          <w:color w:val="auto"/>
        </w:rPr>
        <w:t>In the case of any shares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w:t>
      </w:r>
    </w:p>
    <w:p>
      <w:pPr>
        <w:spacing w:after="0" w:line="88" w:lineRule="exact"/>
        <w:rPr>
          <w:sz w:val="20"/>
          <w:szCs w:val="20"/>
          <w:color w:val="auto"/>
        </w:rPr>
      </w:pPr>
    </w:p>
    <w:p>
      <w:pPr>
        <w:ind w:left="1520" w:right="1760" w:firstLine="230"/>
        <w:spacing w:after="0" w:line="281" w:lineRule="auto"/>
        <w:rPr>
          <w:sz w:val="20"/>
          <w:szCs w:val="20"/>
          <w:color w:val="auto"/>
        </w:rPr>
      </w:pPr>
      <w:r>
        <w:rPr>
          <w:rFonts w:ascii="Arial" w:cs="Arial" w:eastAsia="Arial" w:hAnsi="Arial"/>
          <w:sz w:val="12"/>
          <w:szCs w:val="12"/>
          <w:color w:val="auto"/>
        </w:rPr>
        <w:t>We, the underwriters and their affiliates will rely upon the truth and accuracy of the foregoing representations, acknowledgements, and agreements. Notwithstanding the above, a person who is not a "qualified investor" and who has notified the underwriters of such fact in writing may, with the prior consent of the underwriters, be permitted to acquire shares in the offer.</w:t>
      </w:r>
    </w:p>
    <w:p>
      <w:pPr>
        <w:spacing w:after="0" w:line="81" w:lineRule="exact"/>
        <w:rPr>
          <w:sz w:val="20"/>
          <w:szCs w:val="20"/>
          <w:color w:val="auto"/>
        </w:rPr>
      </w:pPr>
    </w:p>
    <w:p>
      <w:pPr>
        <w:ind w:left="1520" w:right="1800" w:firstLine="230"/>
        <w:spacing w:after="0" w:line="275" w:lineRule="auto"/>
        <w:rPr>
          <w:sz w:val="20"/>
          <w:szCs w:val="20"/>
          <w:color w:val="auto"/>
        </w:rPr>
      </w:pPr>
      <w:r>
        <w:rPr>
          <w:rFonts w:ascii="Arial" w:cs="Arial" w:eastAsia="Arial" w:hAnsi="Arial"/>
          <w:sz w:val="12"/>
          <w:szCs w:val="12"/>
          <w:color w:val="auto"/>
        </w:rPr>
        <w:t>For the purposes of this provision, the expression an “offer to the public” in relation to any shares of Class A common stock in the United Kingdom means the communication in any form and by any means of sufficient information on the terms of the offering and any shares of Class A common stock to be offered so as to enable an investor to decide to purchase or subscribe for any such shares, and the expression “UK Prospectus Regulation” means Regulation (EU) 2017/1129 as it forms part of domestic law by virtue of the European Union (Withdrawal) Act 2018.</w:t>
      </w:r>
    </w:p>
    <w:p>
      <w:pPr>
        <w:sectPr>
          <w:pgSz w:w="11900" w:h="16840" w:orient="portrait"/>
          <w:cols w:equalWidth="0" w:num="1">
            <w:col w:w="9020"/>
          </w:cols>
          <w:pgMar w:left="1440" w:top="560" w:right="1440" w:bottom="232" w:gutter="0" w:footer="0" w:header="0"/>
        </w:sectPr>
      </w:pPr>
    </w:p>
    <w:bookmarkStart w:id="157" w:name="page158"/>
    <w:bookmarkEnd w:id="157"/>
    <w:p>
      <w:pPr>
        <w:ind w:left="1520" w:right="1800"/>
        <w:spacing w:after="0" w:line="502" w:lineRule="auto"/>
        <w:rPr>
          <w:sz w:val="20"/>
          <w:szCs w:val="20"/>
          <w:color w:val="auto"/>
        </w:rPr>
      </w:pPr>
      <w:r>
        <w:rPr>
          <w:rFonts w:ascii="Arial" w:cs="Arial" w:eastAsia="Arial" w:hAnsi="Arial"/>
          <w:sz w:val="7"/>
          <w:szCs w:val="7"/>
          <w:color w:val="auto"/>
        </w:rPr>
        <w:t>distributedThisprospectuto,andi</w:t>
      </w:r>
      <w:r>
        <w:rPr>
          <w:rFonts w:ascii="Arial" w:cs="Arial" w:eastAsia="Arial" w:hAnsi="Arial"/>
          <w:sz w:val="7"/>
          <w:szCs w:val="7"/>
          <w:b w:val="1"/>
          <w:bCs w:val="1"/>
          <w:color w:val="auto"/>
        </w:rPr>
        <w:t>s</w:t>
      </w:r>
      <w:r>
        <w:rPr>
          <w:rFonts w:ascii="Arial" w:cs="Arial" w:eastAsia="Arial" w:hAnsi="Arial"/>
          <w:sz w:val="7"/>
          <w:szCs w:val="7"/>
          <w:color w:val="auto"/>
        </w:rPr>
        <w:t xml:space="preserve"> ao</w:t>
      </w:r>
      <w:r>
        <w:rPr>
          <w:rFonts w:ascii="Arial" w:cs="Arial" w:eastAsia="Arial" w:hAnsi="Arial"/>
          <w:sz w:val="7"/>
          <w:szCs w:val="7"/>
          <w:b w:val="1"/>
          <w:bCs w:val="1"/>
          <w:color w:val="auto"/>
        </w:rPr>
        <w:t>n</w:t>
      </w:r>
      <w:r>
        <w:rPr>
          <w:rFonts w:ascii="Arial" w:cs="Arial" w:eastAsia="Arial" w:hAnsi="Arial"/>
          <w:sz w:val="7"/>
          <w:szCs w:val="7"/>
          <w:color w:val="auto"/>
        </w:rPr>
        <w:t>dly anydirectedotherat,materialandanyin investmentrelationtotheor investmentsharesdescribedactivityhereintowhichisonlythis beingprospectus relates is available only to, and will be engaged in only with (A) qualified investors who are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-207010</wp:posOffset>
            </wp:positionV>
            <wp:extent cx="6732270" cy="99707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720" w:firstLine="2"/>
        <w:spacing w:after="0" w:line="269" w:lineRule="auto"/>
        <w:tabs>
          <w:tab w:leader="none" w:pos="1665" w:val="left"/>
        </w:tabs>
        <w:numPr>
          <w:ilvl w:val="0"/>
          <w:numId w:val="176"/>
        </w:numPr>
        <w:rPr>
          <w:rFonts w:ascii="Arial" w:cs="Arial" w:eastAsia="Arial" w:hAnsi="Arial"/>
          <w:sz w:val="12"/>
          <w:szCs w:val="12"/>
          <w:color w:val="auto"/>
        </w:rPr>
      </w:pPr>
      <w:r>
        <w:rPr>
          <w:rFonts w:ascii="Arial" w:cs="Arial" w:eastAsia="Arial" w:hAnsi="Arial"/>
          <w:sz w:val="12"/>
          <w:szCs w:val="12"/>
          <w:color w:val="auto"/>
        </w:rPr>
        <w:t>persons having professional experience in matters relating to investments who fall within the definition of investment professionals in Article 19(5) of the Financial Services and Markets Act 2000 (Financial Promotion) Order 2005, or the FPO; or (ii) high net worth entities falling within Article 49(2)(a) to (d) of the FPO; (B) persons who are outside the United Kingdom; or (C) persons to whom an invitation or inducement to engage in investment activity (within the meaning of Section 21 of the FSMA) in connection with the issue or sale of any shares may otherwise lawfully be communicated or caused to be communicated, (all such persons together being referred to as Relevant Persons). The shares are only available in the UK to, and any invitation, offer or agreement to purchase or otherwise acquire the shares will be engaged in only with the Relevant Persons. This prospectus and its contents are confidential and should not be distributed, published or reproduced (in whole or in part) or disclosed by recipients to any</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230</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800"/>
        <w:spacing w:after="0" w:line="312" w:lineRule="auto"/>
        <w:rPr>
          <w:sz w:val="20"/>
          <w:szCs w:val="20"/>
          <w:color w:val="auto"/>
        </w:rPr>
      </w:pPr>
      <w:r>
        <w:rPr>
          <w:rFonts w:ascii="Arial" w:cs="Arial" w:eastAsia="Arial" w:hAnsi="Arial"/>
          <w:sz w:val="12"/>
          <w:szCs w:val="12"/>
          <w:color w:val="auto"/>
        </w:rPr>
        <w:t>other person in the UK. Any person in the UK that is not a Relevant Person should not act or rely on this Prospectus or any of its contents.</w:t>
      </w:r>
    </w:p>
    <w:p>
      <w:pPr>
        <w:spacing w:after="0" w:line="62"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Canada</w:t>
      </w:r>
    </w:p>
    <w:p>
      <w:pPr>
        <w:spacing w:after="0" w:line="130"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The shares of Class A common stock may be sold in Canada only to purchasers purchasing, or</w:t>
      </w:r>
    </w:p>
    <w:p>
      <w:pPr>
        <w:spacing w:after="0" w:line="27"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deemed to be purchasing, as principal that are accredited investors, as defined in National</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Instrument 45-106 Prospectus Exemptions or subsection 73.3(1) of the Securities Act (Ontario), and are</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permitted clients, as defined in National Instrument 31-103 Registration Requirements, Exemptions, and</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Ongoing Registrant Obligations. Any resale of the shares of Class A common stock must be made in</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accordance with an exemption from, or in a transaction not subject to, the prospectus requirements of</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applicable securities laws.</w:t>
      </w:r>
    </w:p>
    <w:p>
      <w:pPr>
        <w:spacing w:after="0" w:line="118" w:lineRule="exact"/>
        <w:rPr>
          <w:sz w:val="20"/>
          <w:szCs w:val="20"/>
          <w:color w:val="auto"/>
        </w:rPr>
      </w:pPr>
    </w:p>
    <w:p>
      <w:pPr>
        <w:ind w:left="1520" w:right="1780" w:firstLine="230"/>
        <w:spacing w:after="0" w:line="275" w:lineRule="auto"/>
        <w:rPr>
          <w:sz w:val="20"/>
          <w:szCs w:val="20"/>
          <w:color w:val="auto"/>
        </w:rPr>
      </w:pPr>
      <w:r>
        <w:rPr>
          <w:rFonts w:ascii="Arial" w:cs="Arial" w:eastAsia="Arial" w:hAnsi="Arial"/>
          <w:sz w:val="12"/>
          <w:szCs w:val="12"/>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85" w:lineRule="exact"/>
        <w:rPr>
          <w:sz w:val="20"/>
          <w:szCs w:val="20"/>
          <w:color w:val="auto"/>
        </w:rPr>
      </w:pPr>
    </w:p>
    <w:p>
      <w:pPr>
        <w:ind w:left="1520" w:right="1980" w:firstLine="230"/>
        <w:spacing w:after="0" w:line="289" w:lineRule="auto"/>
        <w:rPr>
          <w:sz w:val="20"/>
          <w:szCs w:val="20"/>
          <w:color w:val="auto"/>
        </w:rPr>
      </w:pPr>
      <w:r>
        <w:rPr>
          <w:rFonts w:ascii="Arial" w:cs="Arial" w:eastAsia="Arial" w:hAnsi="Arial"/>
          <w:sz w:val="12"/>
          <w:szCs w:val="12"/>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76"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Hong Kong</w:t>
      </w:r>
    </w:p>
    <w:p>
      <w:pPr>
        <w:spacing w:after="0" w:line="130" w:lineRule="exact"/>
        <w:rPr>
          <w:sz w:val="20"/>
          <w:szCs w:val="20"/>
          <w:color w:val="auto"/>
        </w:rPr>
      </w:pPr>
    </w:p>
    <w:p>
      <w:pPr>
        <w:ind w:left="1520" w:right="1720" w:firstLine="230"/>
        <w:spacing w:after="0" w:line="270" w:lineRule="auto"/>
        <w:rPr>
          <w:sz w:val="20"/>
          <w:szCs w:val="20"/>
          <w:color w:val="auto"/>
        </w:rPr>
      </w:pPr>
      <w:r>
        <w:rPr>
          <w:rFonts w:ascii="Arial" w:cs="Arial" w:eastAsia="Arial" w:hAnsi="Arial"/>
          <w:sz w:val="12"/>
          <w:szCs w:val="12"/>
          <w:color w:val="auto"/>
        </w:rPr>
        <w:t>The shares of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w:t>
      </w:r>
    </w:p>
    <w:p>
      <w:pPr>
        <w:spacing w:after="0" w:line="1" w:lineRule="exact"/>
        <w:rPr>
          <w:sz w:val="20"/>
          <w:szCs w:val="20"/>
          <w:color w:val="auto"/>
        </w:rPr>
      </w:pPr>
    </w:p>
    <w:p>
      <w:pPr>
        <w:ind w:left="1520" w:right="1740"/>
        <w:spacing w:after="0" w:line="269" w:lineRule="auto"/>
        <w:rPr>
          <w:sz w:val="20"/>
          <w:szCs w:val="20"/>
          <w:color w:val="auto"/>
        </w:rPr>
      </w:pPr>
      <w:r>
        <w:rPr>
          <w:rFonts w:ascii="Arial" w:cs="Arial" w:eastAsia="Arial" w:hAnsi="Arial"/>
          <w:sz w:val="12"/>
          <w:szCs w:val="12"/>
          <w:color w:val="auto"/>
        </w:rPr>
        <w:t>(Cap.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of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Class A common stock which are or are intended to be disposed of only to persons outside Hong Kong or only to “professional investors” in Hong Kong as defined in the Securities and Futures Ordinance and any rules made thereunder.</w:t>
      </w:r>
    </w:p>
    <w:p>
      <w:pPr>
        <w:spacing w:after="0" w:line="24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Singapore</w:t>
      </w:r>
    </w:p>
    <w:p>
      <w:pPr>
        <w:spacing w:after="0" w:line="130" w:lineRule="exact"/>
        <w:rPr>
          <w:sz w:val="20"/>
          <w:szCs w:val="20"/>
          <w:color w:val="auto"/>
        </w:rPr>
      </w:pPr>
    </w:p>
    <w:p>
      <w:pPr>
        <w:ind w:left="1520" w:right="1720" w:firstLine="230"/>
        <w:spacing w:after="0" w:line="270" w:lineRule="auto"/>
        <w:rPr>
          <w:sz w:val="20"/>
          <w:szCs w:val="20"/>
          <w:color w:val="auto"/>
        </w:rPr>
      </w:pPr>
      <w:r>
        <w:rPr>
          <w:rFonts w:ascii="Arial" w:cs="Arial" w:eastAsia="Arial" w:hAnsi="Arial"/>
          <w:sz w:val="12"/>
          <w:szCs w:val="12"/>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w:t>
      </w:r>
    </w:p>
    <w:p>
      <w:pPr>
        <w:spacing w:after="0" w:line="1" w:lineRule="exact"/>
        <w:rPr>
          <w:sz w:val="20"/>
          <w:szCs w:val="20"/>
          <w:color w:val="auto"/>
        </w:rPr>
      </w:pPr>
    </w:p>
    <w:p>
      <w:pPr>
        <w:ind w:left="1520" w:right="1720" w:firstLine="2"/>
        <w:spacing w:after="0" w:line="266" w:lineRule="auto"/>
        <w:tabs>
          <w:tab w:leader="none" w:pos="1665" w:val="left"/>
        </w:tabs>
        <w:numPr>
          <w:ilvl w:val="0"/>
          <w:numId w:val="177"/>
        </w:numPr>
        <w:rPr>
          <w:rFonts w:ascii="Arial" w:cs="Arial" w:eastAsia="Arial" w:hAnsi="Arial"/>
          <w:sz w:val="12"/>
          <w:szCs w:val="12"/>
          <w:color w:val="auto"/>
        </w:rPr>
      </w:pPr>
      <w:r>
        <w:rPr>
          <w:rFonts w:ascii="Arial" w:cs="Arial" w:eastAsia="Arial" w:hAnsi="Arial"/>
          <w:sz w:val="12"/>
          <w:szCs w:val="12"/>
          <w:color w:val="auto"/>
        </w:rPr>
        <w:t>to an institutional investor (as defined under Section 4A of the Securities and Futures Act, Chapter 289 of Singapore, or the SFA) under Section 274 of the SFA, (ii) to a relevant person (as defined in Section 275(2) of the SFA) pursuant to Section 275(1) of the SFA, or any person pursuant to</w:t>
      </w:r>
    </w:p>
    <w:p>
      <w:pPr>
        <w:ind w:left="1520"/>
        <w:spacing w:after="0"/>
        <w:rPr>
          <w:rFonts w:ascii="Arial" w:cs="Arial" w:eastAsia="Arial" w:hAnsi="Arial"/>
          <w:sz w:val="12"/>
          <w:szCs w:val="12"/>
          <w:color w:val="auto"/>
        </w:rPr>
      </w:pPr>
      <w:r>
        <w:rPr>
          <w:rFonts w:ascii="Arial" w:cs="Arial" w:eastAsia="Arial" w:hAnsi="Arial"/>
          <w:sz w:val="12"/>
          <w:szCs w:val="12"/>
          <w:color w:val="auto"/>
        </w:rPr>
        <w:t>Section 275(1A) of the SFA, and in accordance with the conditions specified in Section 275 of the SFA or</w:t>
      </w:r>
    </w:p>
    <w:p>
      <w:pPr>
        <w:spacing w:after="0" w:line="15" w:lineRule="exact"/>
        <w:rPr>
          <w:rFonts w:ascii="Arial" w:cs="Arial" w:eastAsia="Arial" w:hAnsi="Arial"/>
          <w:sz w:val="12"/>
          <w:szCs w:val="12"/>
          <w:color w:val="auto"/>
        </w:rPr>
      </w:pPr>
    </w:p>
    <w:p>
      <w:pPr>
        <w:ind w:left="1520" w:right="1780" w:firstLine="2"/>
        <w:spacing w:after="0" w:line="292" w:lineRule="auto"/>
        <w:tabs>
          <w:tab w:leader="none" w:pos="1720" w:val="left"/>
        </w:tabs>
        <w:numPr>
          <w:ilvl w:val="0"/>
          <w:numId w:val="178"/>
        </w:numPr>
        <w:rPr>
          <w:rFonts w:ascii="Arial" w:cs="Arial" w:eastAsia="Arial" w:hAnsi="Arial"/>
          <w:sz w:val="12"/>
          <w:szCs w:val="12"/>
          <w:color w:val="auto"/>
        </w:rPr>
      </w:pPr>
      <w:r>
        <w:rPr>
          <w:rFonts w:ascii="Arial" w:cs="Arial" w:eastAsia="Arial" w:hAnsi="Arial"/>
          <w:sz w:val="12"/>
          <w:szCs w:val="12"/>
          <w:color w:val="auto"/>
        </w:rPr>
        <w:t>otherwise pursuant to, and in accordance with the conditions of, any other applicable provision of the SFA, in each case subject to conditions set forth in the SFA.</w:t>
      </w: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231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20" w:firstLine="230"/>
        <w:spacing w:after="0" w:line="269" w:lineRule="auto"/>
        <w:rPr>
          <w:sz w:val="20"/>
          <w:szCs w:val="20"/>
          <w:color w:val="auto"/>
        </w:rPr>
      </w:pPr>
      <w:r>
        <w:rPr>
          <w:rFonts w:ascii="Arial" w:cs="Arial" w:eastAsia="Arial" w:hAnsi="Arial"/>
          <w:sz w:val="12"/>
          <w:szCs w:val="12"/>
          <w:color w:val="auto"/>
        </w:rPr>
        <w:t>Where the shares of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of Class A common stock under Section 275 of the SFA except:</w:t>
      </w:r>
    </w:p>
    <w:p>
      <w:pPr>
        <w:spacing w:after="0" w:line="2" w:lineRule="exact"/>
        <w:rPr>
          <w:sz w:val="20"/>
          <w:szCs w:val="20"/>
          <w:color w:val="auto"/>
        </w:rPr>
      </w:pPr>
    </w:p>
    <w:p>
      <w:pPr>
        <w:ind w:left="1520" w:right="1900" w:firstLine="2"/>
        <w:spacing w:after="0" w:line="266" w:lineRule="auto"/>
        <w:tabs>
          <w:tab w:leader="none" w:pos="1706" w:val="left"/>
        </w:tabs>
        <w:numPr>
          <w:ilvl w:val="0"/>
          <w:numId w:val="179"/>
        </w:numPr>
        <w:rPr>
          <w:rFonts w:ascii="Arial" w:cs="Arial" w:eastAsia="Arial" w:hAnsi="Arial"/>
          <w:sz w:val="12"/>
          <w:szCs w:val="12"/>
          <w:color w:val="auto"/>
        </w:rPr>
      </w:pPr>
      <w:r>
        <w:rPr>
          <w:rFonts w:ascii="Arial" w:cs="Arial" w:eastAsia="Arial" w:hAnsi="Arial"/>
          <w:sz w:val="12"/>
          <w:szCs w:val="12"/>
          <w:color w:val="auto"/>
        </w:rPr>
        <w:t>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w:t>
      </w:r>
    </w:p>
    <w:p>
      <w:pPr>
        <w:ind w:left="1700" w:hanging="178"/>
        <w:spacing w:after="0"/>
        <w:tabs>
          <w:tab w:leader="none" w:pos="1700" w:val="left"/>
        </w:tabs>
        <w:numPr>
          <w:ilvl w:val="0"/>
          <w:numId w:val="180"/>
        </w:numPr>
        <w:rPr>
          <w:rFonts w:ascii="Arial" w:cs="Arial" w:eastAsia="Arial" w:hAnsi="Arial"/>
          <w:sz w:val="12"/>
          <w:szCs w:val="12"/>
          <w:color w:val="auto"/>
        </w:rPr>
      </w:pPr>
      <w:r>
        <w:rPr>
          <w:rFonts w:ascii="Arial" w:cs="Arial" w:eastAsia="Arial" w:hAnsi="Arial"/>
          <w:sz w:val="12"/>
          <w:szCs w:val="12"/>
          <w:color w:val="auto"/>
        </w:rPr>
        <w:t>where the transfer is by operation of law, (5) as specified in Section 276(7) of the SFA, or (6) as</w:t>
      </w:r>
    </w:p>
    <w:p>
      <w:pPr>
        <w:sectPr>
          <w:pgSz w:w="11900" w:h="16840" w:orient="portrait"/>
          <w:cols w:equalWidth="0" w:num="1">
            <w:col w:w="9020"/>
          </w:cols>
          <w:pgMar w:left="1440" w:top="560" w:right="1440" w:bottom="7" w:gutter="0" w:footer="0" w:header="0"/>
        </w:sectPr>
      </w:pPr>
    </w:p>
    <w:bookmarkStart w:id="158" w:name="page159"/>
    <w:bookmarkEnd w:id="158"/>
    <w:p>
      <w:pPr>
        <w:ind w:left="1520"/>
        <w:spacing w:after="0"/>
        <w:rPr>
          <w:sz w:val="20"/>
          <w:szCs w:val="20"/>
          <w:color w:val="auto"/>
        </w:rPr>
      </w:pPr>
      <w:r>
        <w:rPr>
          <w:rFonts w:ascii="Arial" w:cs="Arial" w:eastAsia="Arial" w:hAnsi="Arial"/>
          <w:sz w:val="12"/>
          <w:szCs w:val="12"/>
          <w:color w:val="auto"/>
        </w:rPr>
        <w:t>specified in Regulation 32 of the Securities and Futures (Offers of Investments) (Shares and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-86995</wp:posOffset>
            </wp:positionV>
            <wp:extent cx="6732270" cy="99707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7"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Regulations 2005 of Singapore, or Regulation 32.</w:t>
      </w:r>
    </w:p>
    <w:p>
      <w:pPr>
        <w:spacing w:after="0" w:line="11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Where the shares of Class A common stock are subscribed or purchased under Section 275 of the</w:t>
      </w:r>
    </w:p>
    <w:p>
      <w:pPr>
        <w:spacing w:after="0" w:line="27"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SFA by a relevant person which is a trust (where the trustee is not an accredited investor (as defined in</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Section 4A of the SFA)) whose sole purpose is to hold investments and each beneficiary of the trust is an</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accredited investor, the beneficiaries’ rights and interest (howsoever described) in that trust shall not be</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transferable for six months after that trust has acquired the shares of Class A common stock under</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Section 275 of the SFA except: (1) to an institutional investor under Section 274 of the SFA or to a</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relevant person (as defined in Section 275(2) of the SFA), (2) where such transfer arises from an offer</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that is made on terms that such rights or interest are acquired at a consideration of not less than</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$200,000 (or its equivalent in a foreign currency) for each transaction (whether such amount is to be paid</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for in cash or by exchange of securities or other assets), (3) where no consideration is or will be given for</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the transfer, (4) where the transfer is by operation of law, (5) as specified in Section 276(7) of the SFA, or</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(6) as specified in Regulation 32.</w:t>
      </w:r>
    </w:p>
    <w:p>
      <w:pPr>
        <w:spacing w:after="0" w:line="11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Japan</w:t>
      </w:r>
    </w:p>
    <w:p>
      <w:pPr>
        <w:spacing w:after="0" w:line="130"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color w:val="auto"/>
        </w:rPr>
        <w:t>The shares of Class A common stock have not been and will not be registered under the Financial Instruments and Exchange Act of Japan (Act No. 25 of 1948, as amended), or the FIEA. The shares of Class A common stock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Switzerland</w:t>
      </w:r>
    </w:p>
    <w:p>
      <w:pPr>
        <w:spacing w:after="0" w:line="130" w:lineRule="exact"/>
        <w:rPr>
          <w:sz w:val="20"/>
          <w:szCs w:val="20"/>
          <w:color w:val="auto"/>
        </w:rPr>
      </w:pPr>
    </w:p>
    <w:p>
      <w:pPr>
        <w:ind w:left="1520" w:right="1740" w:firstLine="230"/>
        <w:spacing w:after="0" w:line="271" w:lineRule="auto"/>
        <w:rPr>
          <w:sz w:val="20"/>
          <w:szCs w:val="20"/>
          <w:color w:val="auto"/>
        </w:rPr>
      </w:pPr>
      <w:r>
        <w:rPr>
          <w:rFonts w:ascii="Arial" w:cs="Arial" w:eastAsia="Arial" w:hAnsi="Arial"/>
          <w:sz w:val="12"/>
          <w:szCs w:val="12"/>
          <w:color w:val="auto"/>
        </w:rPr>
        <w:t>The shares of Class A common stock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w:t>
      </w:r>
    </w:p>
    <w:p>
      <w:pPr>
        <w:spacing w:after="0" w:line="1" w:lineRule="exact"/>
        <w:rPr>
          <w:sz w:val="20"/>
          <w:szCs w:val="20"/>
          <w:color w:val="auto"/>
        </w:rPr>
      </w:pPr>
    </w:p>
    <w:p>
      <w:pPr>
        <w:ind w:left="1520" w:right="1860"/>
        <w:spacing w:after="0" w:line="272" w:lineRule="auto"/>
        <w:rPr>
          <w:sz w:val="20"/>
          <w:szCs w:val="20"/>
          <w:color w:val="auto"/>
        </w:rPr>
      </w:pPr>
      <w:r>
        <w:rPr>
          <w:rFonts w:ascii="Arial" w:cs="Arial" w:eastAsia="Arial" w:hAnsi="Arial"/>
          <w:sz w:val="12"/>
          <w:szCs w:val="12"/>
          <w:color w:val="auto"/>
        </w:rPr>
        <w:t>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Class A common stock or the offering may be publicly distributed or otherwise made publicly available in Switzerland.</w:t>
      </w:r>
    </w:p>
    <w:p>
      <w:pPr>
        <w:spacing w:after="0" w:line="87" w:lineRule="exact"/>
        <w:rPr>
          <w:sz w:val="20"/>
          <w:szCs w:val="20"/>
          <w:color w:val="auto"/>
        </w:rPr>
      </w:pPr>
    </w:p>
    <w:p>
      <w:pPr>
        <w:ind w:left="1520" w:right="1740" w:firstLine="230"/>
        <w:spacing w:after="0" w:line="275" w:lineRule="auto"/>
        <w:rPr>
          <w:sz w:val="20"/>
          <w:szCs w:val="20"/>
          <w:color w:val="auto"/>
        </w:rPr>
      </w:pPr>
      <w:r>
        <w:rPr>
          <w:rFonts w:ascii="Arial" w:cs="Arial" w:eastAsia="Arial" w:hAnsi="Arial"/>
          <w:sz w:val="12"/>
          <w:szCs w:val="12"/>
          <w:color w:val="auto"/>
        </w:rPr>
        <w:t>Neither this document nor any other offering or marketing material relating to the offering, us, or the shares of Class A common stock have been or will be filed with or approved by any Swiss regulatory authority. In particular, this document will not be filed with, and the offer of shares of Class A common stock will not be supervised by, the Swiss Financial Market Supervisory Authority, and the offer of shares of Class A common stock has not been and will not be authorized under the Swiss Federal Act on Collective Investment Schemes, or the CISA. The investor protection afforded to acquirers of interests in</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232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2180"/>
        <w:spacing w:after="0" w:line="312" w:lineRule="auto"/>
        <w:rPr>
          <w:sz w:val="20"/>
          <w:szCs w:val="20"/>
          <w:color w:val="auto"/>
        </w:rPr>
      </w:pPr>
      <w:r>
        <w:rPr>
          <w:rFonts w:ascii="Arial" w:cs="Arial" w:eastAsia="Arial" w:hAnsi="Arial"/>
          <w:sz w:val="12"/>
          <w:szCs w:val="12"/>
          <w:color w:val="auto"/>
        </w:rPr>
        <w:t>collective investment schemes under the CISA does not extend to acquirers of shares of Class A common stock.</w:t>
      </w:r>
    </w:p>
    <w:p>
      <w:pPr>
        <w:spacing w:after="0" w:line="62"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Australia</w:t>
      </w:r>
    </w:p>
    <w:p>
      <w:pPr>
        <w:spacing w:after="0" w:line="130" w:lineRule="exact"/>
        <w:rPr>
          <w:sz w:val="20"/>
          <w:szCs w:val="20"/>
          <w:color w:val="auto"/>
        </w:rPr>
      </w:pPr>
    </w:p>
    <w:p>
      <w:pPr>
        <w:ind w:left="1520" w:right="1720" w:firstLine="230"/>
        <w:spacing w:after="0" w:line="275" w:lineRule="auto"/>
        <w:rPr>
          <w:sz w:val="20"/>
          <w:szCs w:val="20"/>
          <w:color w:val="auto"/>
        </w:rPr>
      </w:pPr>
      <w:r>
        <w:rPr>
          <w:rFonts w:ascii="Arial" w:cs="Arial" w:eastAsia="Arial" w:hAnsi="Arial"/>
          <w:sz w:val="12"/>
          <w:szCs w:val="12"/>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85" w:lineRule="exact"/>
        <w:rPr>
          <w:sz w:val="20"/>
          <w:szCs w:val="20"/>
          <w:color w:val="auto"/>
        </w:rPr>
      </w:pPr>
    </w:p>
    <w:p>
      <w:pPr>
        <w:ind w:left="1520" w:right="1840" w:firstLine="230"/>
        <w:spacing w:after="0" w:line="275" w:lineRule="auto"/>
        <w:rPr>
          <w:sz w:val="20"/>
          <w:szCs w:val="20"/>
          <w:color w:val="auto"/>
        </w:rPr>
      </w:pPr>
      <w:r>
        <w:rPr>
          <w:rFonts w:ascii="Arial" w:cs="Arial" w:eastAsia="Arial" w:hAnsi="Arial"/>
          <w:sz w:val="12"/>
          <w:szCs w:val="12"/>
          <w:color w:val="auto"/>
        </w:rPr>
        <w:t>Any offer in Australia of the shares of Class A common stock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Class A common stock without disclosure to investors under Chapter 6D of the Corporations Act.</w:t>
      </w:r>
    </w:p>
    <w:p>
      <w:pPr>
        <w:spacing w:after="0" w:line="85" w:lineRule="exact"/>
        <w:rPr>
          <w:sz w:val="20"/>
          <w:szCs w:val="20"/>
          <w:color w:val="auto"/>
        </w:rPr>
      </w:pPr>
    </w:p>
    <w:p>
      <w:pPr>
        <w:ind w:left="1520" w:right="1680" w:firstLine="230"/>
        <w:spacing w:after="0" w:line="275" w:lineRule="auto"/>
        <w:rPr>
          <w:sz w:val="20"/>
          <w:szCs w:val="20"/>
          <w:color w:val="auto"/>
        </w:rPr>
      </w:pPr>
      <w:r>
        <w:rPr>
          <w:rFonts w:ascii="Arial" w:cs="Arial" w:eastAsia="Arial" w:hAnsi="Arial"/>
          <w:sz w:val="12"/>
          <w:szCs w:val="12"/>
          <w:color w:val="auto"/>
        </w:rPr>
        <w:t>The shares of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Class A common stock must observe such Australian on-sale restrictions.</w:t>
      </w:r>
    </w:p>
    <w:p>
      <w:pPr>
        <w:spacing w:after="0" w:line="85" w:lineRule="exact"/>
        <w:rPr>
          <w:sz w:val="20"/>
          <w:szCs w:val="20"/>
          <w:color w:val="auto"/>
        </w:rPr>
      </w:pPr>
    </w:p>
    <w:p>
      <w:pPr>
        <w:ind w:left="1520" w:right="1740" w:firstLine="230"/>
        <w:spacing w:after="0" w:line="277" w:lineRule="auto"/>
        <w:rPr>
          <w:sz w:val="20"/>
          <w:szCs w:val="20"/>
          <w:color w:val="auto"/>
        </w:rPr>
      </w:pPr>
      <w:r>
        <w:rPr>
          <w:rFonts w:ascii="Arial" w:cs="Arial" w:eastAsia="Arial" w:hAnsi="Arial"/>
          <w:sz w:val="12"/>
          <w:szCs w:val="12"/>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84"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Dubai International Financial Centre</w:t>
      </w:r>
    </w:p>
    <w:p>
      <w:pPr>
        <w:spacing w:after="0" w:line="130" w:lineRule="exact"/>
        <w:rPr>
          <w:sz w:val="20"/>
          <w:szCs w:val="20"/>
          <w:color w:val="auto"/>
        </w:rPr>
      </w:pPr>
    </w:p>
    <w:p>
      <w:pPr>
        <w:ind w:left="1520" w:right="1740" w:firstLine="230"/>
        <w:spacing w:after="0" w:line="271" w:lineRule="auto"/>
        <w:rPr>
          <w:sz w:val="20"/>
          <w:szCs w:val="20"/>
          <w:color w:val="auto"/>
        </w:rPr>
      </w:pPr>
      <w:r>
        <w:rPr>
          <w:rFonts w:ascii="Arial" w:cs="Arial" w:eastAsia="Arial" w:hAnsi="Arial"/>
          <w:sz w:val="12"/>
          <w:szCs w:val="12"/>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Class A common stock to which this prospectus relates may be illiquid and/or subject to restrictions on their resale. Prospective purchasers of the shares of Class A common stock should conduct their own due diligence on such shares. If you do not understand the contents of this prospectus, you should consult an authorized financial advisor.</w:t>
      </w:r>
    </w:p>
    <w:p>
      <w:pPr>
        <w:spacing w:after="0" w:line="243"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Israel</w:t>
      </w:r>
    </w:p>
    <w:p>
      <w:pPr>
        <w:spacing w:after="0" w:line="130"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In the State of Israel this prospectus shall not be regarded as an offer to the public to purchase</w:t>
      </w:r>
    </w:p>
    <w:p>
      <w:pPr>
        <w:sectPr>
          <w:pgSz w:w="11900" w:h="16840" w:orient="portrait"/>
          <w:cols w:equalWidth="0" w:num="1">
            <w:col w:w="9020"/>
          </w:cols>
          <w:pgMar w:left="1440" w:top="569" w:right="1440" w:bottom="48" w:gutter="0" w:footer="0" w:header="0"/>
        </w:sectPr>
      </w:pPr>
    </w:p>
    <w:bookmarkStart w:id="159" w:name="page160"/>
    <w:bookmarkEnd w:id="159"/>
    <w:p>
      <w:pPr>
        <w:ind w:left="1520" w:right="2040"/>
        <w:spacing w:after="0" w:line="259" w:lineRule="auto"/>
        <w:rPr>
          <w:sz w:val="20"/>
          <w:szCs w:val="20"/>
          <w:color w:val="auto"/>
        </w:rPr>
      </w:pPr>
      <w:r>
        <w:rPr>
          <w:rFonts w:ascii="Arial" w:cs="Arial" w:eastAsia="Arial" w:hAnsi="Arial"/>
          <w:sz w:val="12"/>
          <w:szCs w:val="12"/>
          <w:color w:val="auto"/>
        </w:rPr>
        <w:t>shares of our Class A common stock under the Israeli Securities Law, 5728 – 1968, or the Israeli Securities Law, which requires a prospectus to be published and authorized by the Israel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-182245</wp:posOffset>
            </wp:positionV>
            <wp:extent cx="6732270" cy="99707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760"/>
        <w:spacing w:after="0" w:line="271" w:lineRule="auto"/>
        <w:rPr>
          <w:sz w:val="20"/>
          <w:szCs w:val="20"/>
          <w:color w:val="auto"/>
        </w:rPr>
      </w:pPr>
      <w:r>
        <w:rPr>
          <w:rFonts w:ascii="Arial" w:cs="Arial" w:eastAsia="Arial" w:hAnsi="Arial"/>
          <w:sz w:val="12"/>
          <w:szCs w:val="12"/>
          <w:color w:val="auto"/>
        </w:rPr>
        <w:t>Authority if it complies with certain provisions of Section 15 of the Israeli Securities Law,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subject to certain conditions, or the Qualified Investors. The Qualified Investors shall not be taken into account in the count of the Addressed Investors and may be offered to purchase securities in addition to the 35 Addressed Investors. We have</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233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760"/>
        <w:spacing w:after="0" w:line="281" w:lineRule="auto"/>
        <w:rPr>
          <w:sz w:val="20"/>
          <w:szCs w:val="20"/>
          <w:color w:val="auto"/>
        </w:rPr>
      </w:pPr>
      <w:r>
        <w:rPr>
          <w:rFonts w:ascii="Arial" w:cs="Arial" w:eastAsia="Arial" w:hAnsi="Arial"/>
          <w:sz w:val="12"/>
          <w:szCs w:val="12"/>
          <w:color w:val="auto"/>
        </w:rPr>
        <w:t>not and will not take any action that would require us to publish a prospectus in accordance with and subject to the Israeli Securities Law. We have not and will not distribute this prospectus or make, distribute or direct an offer to subscribe for our shares of Class A common stock to any person within the State of Israel, other than to Qualified Investors and up to 35 Addressed Investors.</w:t>
      </w:r>
    </w:p>
    <w:p>
      <w:pPr>
        <w:spacing w:after="0" w:line="81" w:lineRule="exact"/>
        <w:rPr>
          <w:sz w:val="20"/>
          <w:szCs w:val="20"/>
          <w:color w:val="auto"/>
        </w:rPr>
      </w:pPr>
    </w:p>
    <w:p>
      <w:pPr>
        <w:ind w:left="1520" w:right="1720" w:firstLine="230"/>
        <w:spacing w:after="0" w:line="269" w:lineRule="auto"/>
        <w:rPr>
          <w:sz w:val="20"/>
          <w:szCs w:val="20"/>
          <w:color w:val="auto"/>
        </w:rPr>
      </w:pPr>
      <w:r>
        <w:rPr>
          <w:rFonts w:ascii="Arial" w:cs="Arial" w:eastAsia="Arial" w:hAnsi="Arial"/>
          <w:sz w:val="12"/>
          <w:szCs w:val="12"/>
          <w:color w:val="auto"/>
        </w:rPr>
        <w:t>Qualified Investors may have to submit written evidence that they meet the definitions set out in the First Addendum to the Israeli Securities Law. In particular, we may request, as a condition to be offered shares of our Class A common stock, that Qualified Investors will each represent, warrant and certify to us and/or to anyone acting on our behalf: (i) that it is an investor falling within one of the categories listed in the First Addendum to the Israeli Securities Law; (ii) which of the categories listed in the First Addendum to the Israeli Securities Law regarding Qualified Investors is applicable to it; (iii) that it will abide by all provisions set forth in the Israeli Securities Law and the regulations promulgated thereunder in connection with the offer to be issued shares of our Class A common stock; (iv) that the shares of our Class A common stock that it will be issued are subject to exemptions available under the Israeli Securities Law (a) for its own account, (b) for investment purposes only and (c) not issued with a view to resale within the State of Israel, other than in accordance with the provisions of the Israeli Securities Law;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46"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Brazil</w:t>
      </w:r>
    </w:p>
    <w:p>
      <w:pPr>
        <w:spacing w:after="0" w:line="130" w:lineRule="exact"/>
        <w:rPr>
          <w:sz w:val="20"/>
          <w:szCs w:val="20"/>
          <w:color w:val="auto"/>
        </w:rPr>
      </w:pPr>
    </w:p>
    <w:p>
      <w:pPr>
        <w:ind w:left="1520" w:right="1720" w:firstLine="230"/>
        <w:spacing w:after="0" w:line="271" w:lineRule="auto"/>
        <w:rPr>
          <w:sz w:val="20"/>
          <w:szCs w:val="20"/>
          <w:color w:val="auto"/>
        </w:rPr>
      </w:pPr>
      <w:r>
        <w:rPr>
          <w:rFonts w:ascii="Arial" w:cs="Arial" w:eastAsia="Arial" w:hAnsi="Arial"/>
          <w:sz w:val="12"/>
          <w:szCs w:val="12"/>
          <w:color w:val="auto"/>
        </w:rPr>
        <w:t>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OR CVM RESOLUTION 160,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234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LEGAL MATTERS</w:t>
      </w:r>
    </w:p>
    <w:p>
      <w:pPr>
        <w:spacing w:after="0" w:line="130" w:lineRule="exact"/>
        <w:rPr>
          <w:sz w:val="20"/>
          <w:szCs w:val="20"/>
          <w:color w:val="auto"/>
        </w:rPr>
      </w:pPr>
    </w:p>
    <w:p>
      <w:pPr>
        <w:ind w:left="1520" w:right="1720" w:firstLine="230"/>
        <w:spacing w:after="0" w:line="277" w:lineRule="auto"/>
        <w:rPr>
          <w:sz w:val="20"/>
          <w:szCs w:val="20"/>
          <w:color w:val="auto"/>
        </w:rPr>
      </w:pPr>
      <w:r>
        <w:rPr>
          <w:rFonts w:ascii="Arial" w:cs="Arial" w:eastAsia="Arial" w:hAnsi="Arial"/>
          <w:sz w:val="12"/>
          <w:szCs w:val="12"/>
          <w:color w:val="auto"/>
        </w:rPr>
        <w:t>Cooley LLP, Palo Alto, California, which has acted as our counsel in connection with this offering, will pass upon the validity of the issuance of the shares of our Class A common stock offered by this prospectus. Fenwick &amp; West LLP, Mountain View, California is acting as counsel to the underwriters. As of the date of this prospectus, individuals and entities associated with Fenwick &amp; West LLP beneficially own an aggregate of 288,015 shares of our Class A common stock.</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EXPERTS</w:t>
      </w:r>
    </w:p>
    <w:p>
      <w:pPr>
        <w:spacing w:after="0" w:line="130" w:lineRule="exact"/>
        <w:rPr>
          <w:sz w:val="20"/>
          <w:szCs w:val="20"/>
          <w:color w:val="auto"/>
        </w:rPr>
      </w:pPr>
    </w:p>
    <w:p>
      <w:pPr>
        <w:ind w:left="1520" w:right="1820" w:firstLine="230"/>
        <w:spacing w:after="0" w:line="281" w:lineRule="auto"/>
        <w:rPr>
          <w:sz w:val="20"/>
          <w:szCs w:val="20"/>
          <w:color w:val="auto"/>
        </w:rPr>
      </w:pPr>
      <w:r>
        <w:rPr>
          <w:rFonts w:ascii="Arial" w:cs="Arial" w:eastAsia="Arial" w:hAnsi="Arial"/>
          <w:sz w:val="12"/>
          <w:szCs w:val="12"/>
          <w:color w:val="auto"/>
        </w:rPr>
        <w:t>The financial statements as of January 31, 2025 and 2024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81" w:lineRule="exact"/>
        <w:rPr>
          <w:sz w:val="20"/>
          <w:szCs w:val="20"/>
          <w:color w:val="auto"/>
        </w:rPr>
      </w:pPr>
    </w:p>
    <w:p>
      <w:pPr>
        <w:jc w:val="center"/>
        <w:ind w:right="140"/>
        <w:spacing w:after="0"/>
        <w:rPr>
          <w:sz w:val="20"/>
          <w:szCs w:val="20"/>
          <w:color w:val="auto"/>
        </w:rPr>
      </w:pPr>
      <w:r>
        <w:rPr>
          <w:rFonts w:ascii="Arial" w:cs="Arial" w:eastAsia="Arial" w:hAnsi="Arial"/>
          <w:sz w:val="12"/>
          <w:szCs w:val="12"/>
          <w:b w:val="1"/>
          <w:bCs w:val="1"/>
          <w:color w:val="auto"/>
        </w:rPr>
        <w:t>CHANGES IN INDEPENDENT REGISTERED PUBLIC ACCOUNTING FIRM</w:t>
      </w:r>
    </w:p>
    <w:p>
      <w:pPr>
        <w:sectPr>
          <w:pgSz w:w="11900" w:h="16840" w:orient="portrait"/>
          <w:cols w:equalWidth="0" w:num="1">
            <w:col w:w="9020"/>
          </w:cols>
          <w:pgMar w:left="1440" w:top="560" w:right="1440" w:bottom="57" w:gutter="0" w:footer="0" w:header="0"/>
        </w:sectPr>
      </w:pPr>
    </w:p>
    <w:bookmarkStart w:id="160" w:name="page161"/>
    <w:bookmarkEnd w:id="160"/>
    <w:p>
      <w:pPr>
        <w:ind w:left="1520" w:right="1840" w:firstLine="230"/>
        <w:spacing w:after="0" w:line="28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On August 5, 2024, we dismissed Deloitte &amp; Touche LLP, or Deloitte, as our independent auditors. On September 18, 2024, we appointed PricewaterhouseCoopers LLP, or PwC, as our independent registered public accounting firm. The decision to change our independent registered public accounting firm was approved by our audit committee of our board of directors.</w:t>
      </w:r>
    </w:p>
    <w:p>
      <w:pPr>
        <w:spacing w:after="0" w:line="81" w:lineRule="exact"/>
        <w:rPr>
          <w:sz w:val="20"/>
          <w:szCs w:val="20"/>
          <w:color w:val="auto"/>
        </w:rPr>
      </w:pPr>
    </w:p>
    <w:p>
      <w:pPr>
        <w:ind w:left="1520" w:right="1660" w:firstLine="230"/>
        <w:spacing w:after="0" w:line="281" w:lineRule="auto"/>
        <w:rPr>
          <w:sz w:val="20"/>
          <w:szCs w:val="20"/>
          <w:color w:val="auto"/>
        </w:rPr>
      </w:pPr>
      <w:r>
        <w:rPr>
          <w:rFonts w:ascii="Arial" w:cs="Arial" w:eastAsia="Arial" w:hAnsi="Arial"/>
          <w:sz w:val="12"/>
          <w:szCs w:val="12"/>
          <w:color w:val="auto"/>
        </w:rPr>
        <w:t>Deloitte’s report on our consolidated financial statements as of and for the fiscal year ended January 31, 2023 did not contain any adverse opinion or disclaimer of opinion, nor was it qualified or modified as to uncertainty, audit scope, or accounting principles. Deloitte did not issue a report on our audited financial statements for the fiscal year ended January 31, 2024 .</w:t>
      </w:r>
    </w:p>
    <w:p>
      <w:pPr>
        <w:spacing w:after="0" w:line="81" w:lineRule="exact"/>
        <w:rPr>
          <w:sz w:val="20"/>
          <w:szCs w:val="20"/>
          <w:color w:val="auto"/>
        </w:rPr>
      </w:pPr>
    </w:p>
    <w:p>
      <w:pPr>
        <w:ind w:left="1520" w:right="1660" w:firstLine="230"/>
        <w:spacing w:after="0" w:line="270" w:lineRule="auto"/>
        <w:rPr>
          <w:sz w:val="20"/>
          <w:szCs w:val="20"/>
          <w:color w:val="auto"/>
        </w:rPr>
      </w:pPr>
      <w:r>
        <w:rPr>
          <w:rFonts w:ascii="Arial" w:cs="Arial" w:eastAsia="Arial" w:hAnsi="Arial"/>
          <w:sz w:val="12"/>
          <w:szCs w:val="12"/>
          <w:color w:val="auto"/>
        </w:rPr>
        <w:t>During the fiscal years ended January 31, 2023 and January 31, 2024 and the subsequent interim period through August 5, 2024, we had no disagreements with Deloitte on any matter of accounting principles or practices, financial statement disclosure, or auditing scope or procedure, which disagreements, if not resolved to its satisfaction, would have caused Deloitte to make reference in connection with its opinion to the subject matter of the disagreement . During the fiscal years ended January 31, 2023 and January 31, 2024 and the subsequent interim period through August 5, 2024, there were no “reportable events” as such term is defined in Item 304(a)(1)(v) of Regulation S-K, except that Deloitte advised us of the following material weakness: the lack of established internal controls and procedures and an insufficient number of accounting and finance personnel possessing the necessary GAAP technical expertise at our R&amp;M subsidiary, including controls and procedures to ensure (1) journal entries are properly reviewed and approved, and (2) compliance with GAAP, specifically as it relates to accounting for revenue.</w:t>
      </w:r>
    </w:p>
    <w:p>
      <w:pPr>
        <w:spacing w:after="0" w:line="244" w:lineRule="exact"/>
        <w:rPr>
          <w:sz w:val="20"/>
          <w:szCs w:val="20"/>
          <w:color w:val="auto"/>
        </w:rPr>
      </w:pPr>
    </w:p>
    <w:p>
      <w:pPr>
        <w:ind w:left="1520" w:right="1740" w:firstLine="230"/>
        <w:spacing w:after="0" w:line="272" w:lineRule="auto"/>
        <w:rPr>
          <w:sz w:val="20"/>
          <w:szCs w:val="20"/>
          <w:color w:val="auto"/>
        </w:rPr>
      </w:pPr>
      <w:r>
        <w:rPr>
          <w:rFonts w:ascii="Arial" w:cs="Arial" w:eastAsia="Arial" w:hAnsi="Arial"/>
          <w:sz w:val="12"/>
          <w:szCs w:val="12"/>
          <w:color w:val="auto"/>
        </w:rPr>
        <w:t>This reportable event was discussed between our audit committee and Deloitte. Deloitte has been authorized by us to respond fully to the inquiries of PwC concerning these reportable events. For additional details regarding this material weakness, including its remediation, and risks relating to our internal control over financial reporting, refer to the section titled “Risk Factors—Risks Related to Financial and Accounting Matters—The material weakness in our internal control over financial reporting, which we first identified in the fiscal year ended January 31, 2023, has been remediated as of the end of fiscal 2025. In the future, we may identify additional material weaknesses or otherwise fail to maintain an effective system of internal controls, which could result in material misstatements of our annual or interim consolidated financial statements or cause us to fail to meet our periodic reporting obligations.”</w:t>
      </w:r>
    </w:p>
    <w:p>
      <w:pPr>
        <w:spacing w:after="0" w:line="85" w:lineRule="exact"/>
        <w:rPr>
          <w:sz w:val="20"/>
          <w:szCs w:val="20"/>
          <w:color w:val="auto"/>
        </w:rPr>
      </w:pPr>
    </w:p>
    <w:p>
      <w:pPr>
        <w:ind w:left="1520" w:right="1740" w:firstLine="230"/>
        <w:spacing w:after="0" w:line="281" w:lineRule="auto"/>
        <w:rPr>
          <w:sz w:val="20"/>
          <w:szCs w:val="20"/>
          <w:color w:val="auto"/>
        </w:rPr>
      </w:pPr>
      <w:r>
        <w:rPr>
          <w:rFonts w:ascii="Arial" w:cs="Arial" w:eastAsia="Arial" w:hAnsi="Arial"/>
          <w:sz w:val="12"/>
          <w:szCs w:val="12"/>
          <w:color w:val="auto"/>
        </w:rPr>
        <w:t>We provided Deloitte with a copy of the foregoing disclosures and requested that Deloitte furnish a letter addressed to the SEC stating whether or not Deloitte agrees with the statements made herein, as specified by Item 304(a)(3) of Regulation S-K. See Exhibit 16.1 to the registration statement of which this prospectus forms a part.</w:t>
      </w: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235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right="1620" w:firstLine="230"/>
        <w:spacing w:after="0" w:line="273" w:lineRule="auto"/>
        <w:rPr>
          <w:sz w:val="20"/>
          <w:szCs w:val="20"/>
          <w:color w:val="auto"/>
        </w:rPr>
      </w:pPr>
      <w:r>
        <w:rPr>
          <w:rFonts w:ascii="Arial" w:cs="Arial" w:eastAsia="Arial" w:hAnsi="Arial"/>
          <w:sz w:val="12"/>
          <w:szCs w:val="12"/>
          <w:color w:val="auto"/>
        </w:rPr>
        <w:t>During the fiscal years ended January 31, 2023 and January 31, 2024 and subsequent interim period through September 18, 2024, neither we, nor anyone acting on our behalf, consulted with PwC on matters that involved the application of accounting principles to a specified transaction, either completed or proposed, the type of audit opinion that might be rendered on our financial statements, or any other matter that was the subject of a disagreement as that term is used in Item 304 (a)(1)(iv) of Regulation S-K and the related instructions to Item 304 of Regulation S-K or a reportable event as that term is used in Item 304(a)(1)(v) and the related instructions to Item 304 of Regulation S-K.</w:t>
      </w:r>
    </w:p>
    <w:p>
      <w:pPr>
        <w:spacing w:after="0" w:line="88"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WHERE YOU CAN FIND ADDITIONAL INFORMATION</w:t>
      </w:r>
    </w:p>
    <w:p>
      <w:pPr>
        <w:spacing w:after="0" w:line="130" w:lineRule="exact"/>
        <w:rPr>
          <w:sz w:val="20"/>
          <w:szCs w:val="20"/>
          <w:color w:val="auto"/>
        </w:rPr>
      </w:pPr>
    </w:p>
    <w:p>
      <w:pPr>
        <w:ind w:left="1520" w:right="1720" w:firstLine="230"/>
        <w:spacing w:after="0" w:line="272" w:lineRule="auto"/>
        <w:rPr>
          <w:sz w:val="20"/>
          <w:szCs w:val="20"/>
          <w:color w:val="auto"/>
        </w:rPr>
      </w:pPr>
      <w:r>
        <w:rPr>
          <w:rFonts w:ascii="Arial" w:cs="Arial" w:eastAsia="Arial" w:hAnsi="Arial"/>
          <w:sz w:val="12"/>
          <w:szCs w:val="12"/>
          <w:color w:val="auto"/>
        </w:rPr>
        <w:t>We have filed with the SEC a registration statement on Form S-1 under the Securities Act with respect to the shares of Class A common stock offered hereby. This prospectus, which constitutes a part of the registration statement, does not contain all of the information set forth in the registration statement or the exhibits filed therewith. For further information about us and our Class A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w:t>
      </w:r>
    </w:p>
    <w:p>
      <w:pPr>
        <w:spacing w:after="0" w:line="85" w:lineRule="exact"/>
        <w:rPr>
          <w:sz w:val="20"/>
          <w:szCs w:val="20"/>
          <w:color w:val="auto"/>
        </w:rPr>
      </w:pPr>
    </w:p>
    <w:p>
      <w:pPr>
        <w:ind w:left="1520" w:right="1720" w:firstLine="230"/>
        <w:spacing w:after="0" w:line="281" w:lineRule="auto"/>
        <w:rPr>
          <w:sz w:val="20"/>
          <w:szCs w:val="20"/>
          <w:color w:val="auto"/>
        </w:rPr>
      </w:pPr>
      <w:r>
        <w:rPr>
          <w:rFonts w:ascii="Arial" w:cs="Arial" w:eastAsia="Arial" w:hAnsi="Arial"/>
          <w:sz w:val="12"/>
          <w:szCs w:val="12"/>
          <w:color w:val="auto"/>
        </w:rPr>
        <w:t>Upon completion of this offering, we will be required to file periodic reports, proxy statements and other information with the SEC pursuant to the Exchange Act. The SEC maintains a website that contains reports, proxy and information statements, and other information regarding registrants that file electronically with the SEC. The address of the website is www.sec.gov.</w:t>
      </w:r>
    </w:p>
    <w:p>
      <w:pPr>
        <w:spacing w:after="0" w:line="81" w:lineRule="exact"/>
        <w:rPr>
          <w:sz w:val="20"/>
          <w:szCs w:val="20"/>
          <w:color w:val="auto"/>
        </w:rPr>
      </w:pPr>
    </w:p>
    <w:p>
      <w:pPr>
        <w:ind w:left="1520" w:right="1680" w:firstLine="230"/>
        <w:spacing w:after="0" w:line="281" w:lineRule="auto"/>
        <w:rPr>
          <w:sz w:val="20"/>
          <w:szCs w:val="20"/>
          <w:color w:val="auto"/>
        </w:rPr>
      </w:pPr>
      <w:r>
        <w:rPr>
          <w:rFonts w:ascii="Arial" w:cs="Arial" w:eastAsia="Arial" w:hAnsi="Arial"/>
          <w:sz w:val="12"/>
          <w:szCs w:val="12"/>
          <w:color w:val="auto"/>
        </w:rPr>
        <w:t>We also maintain a website at www.navan.com. Upon the completion of this offering, you may access these materials at our website free of charge as soon as reasonably practicable after they are electronically filed with, or furnished to, the SEC. Information contained in, or that can be accessed through, our website is not a part of, and is not incorporated into, this prospectus.</w:t>
      </w:r>
    </w:p>
    <w:p>
      <w:pPr>
        <w:sectPr>
          <w:pgSz w:w="11900" w:h="16840" w:orient="portrait"/>
          <w:cols w:equalWidth="0" w:num="1">
            <w:col w:w="9020"/>
          </w:cols>
          <w:pgMar w:left="1440" w:top="646" w:right="1440" w:bottom="1440" w:gutter="0" w:footer="0" w:header="0"/>
        </w:sectPr>
      </w:pPr>
    </w:p>
    <w:bookmarkStart w:id="161" w:name="page162"/>
    <w:bookmarkEnd w:id="161"/>
    <w:p>
      <w:pPr>
        <w:jc w:val="center"/>
        <w:ind w:right="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236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30"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INDEX TO CONSOLIDATED FINANCIAL STATEMENTS</w:t>
      </w:r>
    </w:p>
    <w:p>
      <w:pPr>
        <w:spacing w:after="0" w:line="168" w:lineRule="exact"/>
        <w:rPr>
          <w:sz w:val="20"/>
          <w:szCs w:val="20"/>
          <w:color w:val="auto"/>
        </w:rPr>
      </w:pPr>
    </w:p>
    <w:tbl>
      <w:tblPr>
        <w:tblLayout w:type="fixed"/>
        <w:tblInd w:w="1560" w:type="dxa"/>
        <w:tblCellMar>
          <w:top w:w="0" w:type="dxa"/>
          <w:left w:w="0" w:type="dxa"/>
          <w:bottom w:w="0" w:type="dxa"/>
          <w:right w:w="0" w:type="dxa"/>
        </w:tblCellMar>
      </w:tblPr>
      <w:tr>
        <w:trPr>
          <w:trHeight w:val="152"/>
        </w:trPr>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15"/>
        </w:trPr>
        <w:tc>
          <w:tcPr>
            <w:tcW w:w="5480" w:type="dxa"/>
            <w:vAlign w:val="bottom"/>
            <w:gridSpan w:val="18"/>
          </w:tcPr>
          <w:p>
            <w:pPr>
              <w:spacing w:after="0" w:line="115" w:lineRule="exact"/>
              <w:rPr>
                <w:sz w:val="20"/>
                <w:szCs w:val="20"/>
                <w:color w:val="auto"/>
              </w:rPr>
            </w:pPr>
            <w:r>
              <w:rPr>
                <w:rFonts w:ascii="Arial" w:cs="Arial" w:eastAsia="Arial" w:hAnsi="Arial"/>
                <w:sz w:val="11"/>
                <w:szCs w:val="11"/>
                <w:b w:val="1"/>
                <w:bCs w:val="1"/>
                <w:color w:val="auto"/>
              </w:rPr>
              <w:t>Consolidated Financial Statements as of and for the Years Ended January 31, 2025 and 202</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40" w:type="dxa"/>
            <w:vAlign w:val="bottom"/>
          </w:tcPr>
          <w:p>
            <w:pPr>
              <w:spacing w:after="0"/>
              <w:rPr>
                <w:sz w:val="20"/>
                <w:szCs w:val="20"/>
                <w:color w:val="auto"/>
              </w:rPr>
            </w:pPr>
            <w:r>
              <w:rPr>
                <w:rFonts w:ascii="Arial" w:cs="Arial" w:eastAsia="Arial" w:hAnsi="Arial"/>
                <w:sz w:val="11"/>
                <w:szCs w:val="11"/>
                <w:b w:val="1"/>
                <w:bCs w:val="1"/>
                <w:color w:val="auto"/>
              </w:rPr>
              <w:t>4</w:t>
            </w:r>
          </w:p>
        </w:tc>
        <w:tc>
          <w:tcPr>
            <w:tcW w:w="5560" w:type="dxa"/>
            <w:vAlign w:val="bottom"/>
            <w:gridSpan w:val="18"/>
          </w:tcPr>
          <w:p>
            <w:pPr>
              <w:spacing w:after="0"/>
              <w:rPr>
                <w:rFonts w:ascii="Arial" w:cs="Arial" w:eastAsia="Arial" w:hAnsi="Arial"/>
                <w:sz w:val="12"/>
                <w:szCs w:val="12"/>
                <w:color w:val="0000FF"/>
              </w:rPr>
            </w:pPr>
            <w:hyperlink w:anchor="page162">
              <w:r>
                <w:rPr>
                  <w:rFonts w:ascii="Arial" w:cs="Arial" w:eastAsia="Arial" w:hAnsi="Arial"/>
                  <w:sz w:val="12"/>
                  <w:szCs w:val="12"/>
                  <w:color w:val="0000FF"/>
                </w:rPr>
                <w:t xml:space="preserve">Report of Independent Registered Public Accounting Firm  </w:t>
              </w:r>
            </w:hyperlink>
            <w:r>
              <w:rPr>
                <w:rFonts w:ascii="Times New Roman" w:cs="Times New Roman" w:eastAsia="Times New Roman" w:hAnsi="Times New Roman"/>
                <w:sz w:val="12"/>
                <w:szCs w:val="12"/>
                <w:color w:val="B4B4B4"/>
              </w:rPr>
              <w:t>...............................................................</w:t>
            </w:r>
          </w:p>
        </w:tc>
        <w:tc>
          <w:tcPr>
            <w:tcW w:w="240" w:type="dxa"/>
            <w:vAlign w:val="bottom"/>
            <w:gridSpan w:val="2"/>
          </w:tcPr>
          <w:p>
            <w:pPr>
              <w:jc w:val="right"/>
              <w:ind w:right="60"/>
              <w:spacing w:after="0"/>
              <w:rPr>
                <w:rFonts w:ascii="Arial" w:cs="Arial" w:eastAsia="Arial" w:hAnsi="Arial"/>
                <w:sz w:val="12"/>
                <w:szCs w:val="12"/>
                <w:color w:val="0000FF"/>
                <w:w w:val="88"/>
              </w:rPr>
            </w:pPr>
            <w:hyperlink w:anchor="page162">
              <w:r>
                <w:rPr>
                  <w:rFonts w:ascii="Arial" w:cs="Arial" w:eastAsia="Arial" w:hAnsi="Arial"/>
                  <w:sz w:val="12"/>
                  <w:szCs w:val="12"/>
                  <w:color w:val="0000FF"/>
                  <w:w w:val="88"/>
                </w:rPr>
                <w:t>F-2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40" w:type="dxa"/>
            <w:vAlign w:val="bottom"/>
          </w:tcPr>
          <w:p>
            <w:pPr>
              <w:spacing w:after="0"/>
              <w:rPr>
                <w:sz w:val="14"/>
                <w:szCs w:val="14"/>
                <w:color w:val="auto"/>
              </w:rPr>
            </w:pPr>
          </w:p>
        </w:tc>
        <w:tc>
          <w:tcPr>
            <w:tcW w:w="5560" w:type="dxa"/>
            <w:vAlign w:val="bottom"/>
            <w:gridSpan w:val="18"/>
          </w:tcPr>
          <w:p>
            <w:pPr>
              <w:spacing w:after="0"/>
              <w:rPr>
                <w:rFonts w:ascii="Arial" w:cs="Arial" w:eastAsia="Arial" w:hAnsi="Arial"/>
                <w:sz w:val="12"/>
                <w:szCs w:val="12"/>
                <w:color w:val="0000FF"/>
              </w:rPr>
            </w:pPr>
            <w:hyperlink w:anchor="page163">
              <w:r>
                <w:rPr>
                  <w:rFonts w:ascii="Arial" w:cs="Arial" w:eastAsia="Arial" w:hAnsi="Arial"/>
                  <w:sz w:val="12"/>
                  <w:szCs w:val="12"/>
                  <w:color w:val="0000FF"/>
                </w:rPr>
                <w:t xml:space="preserve">Consolidated Balance Sheets </w:t>
              </w:r>
            </w:hyperlink>
            <w:r>
              <w:rPr>
                <w:rFonts w:ascii="Times New Roman" w:cs="Times New Roman" w:eastAsia="Times New Roman" w:hAnsi="Times New Roman"/>
                <w:sz w:val="12"/>
                <w:szCs w:val="12"/>
                <w:color w:val="B4B4B4"/>
              </w:rPr>
              <w:t>.................................................................................................................</w:t>
            </w:r>
          </w:p>
        </w:tc>
        <w:tc>
          <w:tcPr>
            <w:tcW w:w="240" w:type="dxa"/>
            <w:vAlign w:val="bottom"/>
            <w:gridSpan w:val="2"/>
          </w:tcPr>
          <w:p>
            <w:pPr>
              <w:jc w:val="right"/>
              <w:ind w:right="60"/>
              <w:spacing w:after="0"/>
              <w:rPr>
                <w:rFonts w:ascii="Arial" w:cs="Arial" w:eastAsia="Arial" w:hAnsi="Arial"/>
                <w:sz w:val="12"/>
                <w:szCs w:val="12"/>
                <w:color w:val="0000FF"/>
                <w:w w:val="88"/>
              </w:rPr>
            </w:pPr>
            <w:hyperlink w:anchor="page163">
              <w:r>
                <w:rPr>
                  <w:rFonts w:ascii="Arial" w:cs="Arial" w:eastAsia="Arial" w:hAnsi="Arial"/>
                  <w:sz w:val="12"/>
                  <w:szCs w:val="12"/>
                  <w:color w:val="0000FF"/>
                  <w:w w:val="88"/>
                </w:rPr>
                <w:t>F-3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40" w:type="dxa"/>
            <w:vAlign w:val="bottom"/>
          </w:tcPr>
          <w:p>
            <w:pPr>
              <w:spacing w:after="0"/>
              <w:rPr>
                <w:sz w:val="14"/>
                <w:szCs w:val="14"/>
                <w:color w:val="auto"/>
              </w:rPr>
            </w:pPr>
          </w:p>
        </w:tc>
        <w:tc>
          <w:tcPr>
            <w:tcW w:w="5560" w:type="dxa"/>
            <w:vAlign w:val="bottom"/>
            <w:gridSpan w:val="18"/>
          </w:tcPr>
          <w:p>
            <w:pPr>
              <w:spacing w:after="0"/>
              <w:rPr>
                <w:rFonts w:ascii="Arial" w:cs="Arial" w:eastAsia="Arial" w:hAnsi="Arial"/>
                <w:sz w:val="12"/>
                <w:szCs w:val="12"/>
                <w:color w:val="0000FF"/>
              </w:rPr>
            </w:pPr>
            <w:hyperlink w:anchor="page164">
              <w:r>
                <w:rPr>
                  <w:rFonts w:ascii="Arial" w:cs="Arial" w:eastAsia="Arial" w:hAnsi="Arial"/>
                  <w:sz w:val="12"/>
                  <w:szCs w:val="12"/>
                  <w:color w:val="0000FF"/>
                </w:rPr>
                <w:t xml:space="preserve">Consolidated Statements of Operations </w:t>
              </w:r>
            </w:hyperlink>
            <w:r>
              <w:rPr>
                <w:rFonts w:ascii="Times New Roman" w:cs="Times New Roman" w:eastAsia="Times New Roman" w:hAnsi="Times New Roman"/>
                <w:sz w:val="12"/>
                <w:szCs w:val="12"/>
                <w:color w:val="B4B4B4"/>
              </w:rPr>
              <w:t>................................................................................................</w:t>
            </w:r>
          </w:p>
        </w:tc>
        <w:tc>
          <w:tcPr>
            <w:tcW w:w="240" w:type="dxa"/>
            <w:vAlign w:val="bottom"/>
            <w:gridSpan w:val="2"/>
          </w:tcPr>
          <w:p>
            <w:pPr>
              <w:jc w:val="right"/>
              <w:ind w:right="60"/>
              <w:spacing w:after="0"/>
              <w:rPr>
                <w:rFonts w:ascii="Arial" w:cs="Arial" w:eastAsia="Arial" w:hAnsi="Arial"/>
                <w:sz w:val="12"/>
                <w:szCs w:val="12"/>
                <w:color w:val="0000FF"/>
                <w:w w:val="88"/>
              </w:rPr>
            </w:pPr>
            <w:hyperlink w:anchor="page164">
              <w:r>
                <w:rPr>
                  <w:rFonts w:ascii="Arial" w:cs="Arial" w:eastAsia="Arial" w:hAnsi="Arial"/>
                  <w:sz w:val="12"/>
                  <w:szCs w:val="12"/>
                  <w:color w:val="0000FF"/>
                  <w:w w:val="88"/>
                </w:rPr>
                <w:t>F-4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40" w:type="dxa"/>
            <w:vAlign w:val="bottom"/>
          </w:tcPr>
          <w:p>
            <w:pPr>
              <w:spacing w:after="0"/>
              <w:rPr>
                <w:sz w:val="14"/>
                <w:szCs w:val="14"/>
                <w:color w:val="auto"/>
              </w:rPr>
            </w:pPr>
          </w:p>
        </w:tc>
        <w:tc>
          <w:tcPr>
            <w:tcW w:w="5560" w:type="dxa"/>
            <w:vAlign w:val="bottom"/>
            <w:gridSpan w:val="18"/>
          </w:tcPr>
          <w:p>
            <w:pPr>
              <w:spacing w:after="0"/>
              <w:rPr>
                <w:rFonts w:ascii="Arial" w:cs="Arial" w:eastAsia="Arial" w:hAnsi="Arial"/>
                <w:sz w:val="12"/>
                <w:szCs w:val="12"/>
                <w:color w:val="0000FF"/>
              </w:rPr>
            </w:pPr>
            <w:hyperlink w:anchor="page164">
              <w:r>
                <w:rPr>
                  <w:rFonts w:ascii="Arial" w:cs="Arial" w:eastAsia="Arial" w:hAnsi="Arial"/>
                  <w:sz w:val="12"/>
                  <w:szCs w:val="12"/>
                  <w:color w:val="0000FF"/>
                </w:rPr>
                <w:t xml:space="preserve">Consolidated Statements of Comprehensive Loss  </w:t>
              </w:r>
            </w:hyperlink>
            <w:r>
              <w:rPr>
                <w:rFonts w:ascii="Times New Roman" w:cs="Times New Roman" w:eastAsia="Times New Roman" w:hAnsi="Times New Roman"/>
                <w:sz w:val="12"/>
                <w:szCs w:val="12"/>
                <w:color w:val="B4B4B4"/>
              </w:rPr>
              <w:t>..............................................................................</w:t>
            </w:r>
          </w:p>
        </w:tc>
        <w:tc>
          <w:tcPr>
            <w:tcW w:w="240" w:type="dxa"/>
            <w:vAlign w:val="bottom"/>
            <w:gridSpan w:val="2"/>
          </w:tcPr>
          <w:p>
            <w:pPr>
              <w:jc w:val="right"/>
              <w:ind w:right="60"/>
              <w:spacing w:after="0"/>
              <w:rPr>
                <w:rFonts w:ascii="Arial" w:cs="Arial" w:eastAsia="Arial" w:hAnsi="Arial"/>
                <w:sz w:val="12"/>
                <w:szCs w:val="12"/>
                <w:color w:val="0000FF"/>
                <w:w w:val="88"/>
              </w:rPr>
            </w:pPr>
            <w:hyperlink w:anchor="page164">
              <w:r>
                <w:rPr>
                  <w:rFonts w:ascii="Arial" w:cs="Arial" w:eastAsia="Arial" w:hAnsi="Arial"/>
                  <w:sz w:val="12"/>
                  <w:szCs w:val="12"/>
                  <w:color w:val="0000FF"/>
                  <w:w w:val="88"/>
                </w:rPr>
                <w:t>F-5</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0" w:type="dxa"/>
            <w:vAlign w:val="bottom"/>
          </w:tcPr>
          <w:p>
            <w:pPr>
              <w:spacing w:after="0"/>
              <w:rPr>
                <w:sz w:val="14"/>
                <w:szCs w:val="14"/>
                <w:color w:val="auto"/>
              </w:rPr>
            </w:pPr>
          </w:p>
        </w:tc>
        <w:tc>
          <w:tcPr>
            <w:tcW w:w="4880" w:type="dxa"/>
            <w:vAlign w:val="bottom"/>
            <w:tcBorders>
              <w:bottom w:val="single" w:sz="8" w:color="0000FF"/>
            </w:tcBorders>
            <w:gridSpan w:val="16"/>
          </w:tcPr>
          <w:p>
            <w:pPr>
              <w:spacing w:after="0"/>
              <w:rPr>
                <w:rFonts w:ascii="Arial" w:cs="Arial" w:eastAsia="Arial" w:hAnsi="Arial"/>
                <w:sz w:val="12"/>
                <w:szCs w:val="12"/>
                <w:color w:val="0000FF"/>
              </w:rPr>
            </w:pPr>
            <w:hyperlink w:anchor="page165">
              <w:r>
                <w:rPr>
                  <w:rFonts w:ascii="Arial" w:cs="Arial" w:eastAsia="Arial" w:hAnsi="Arial"/>
                  <w:sz w:val="12"/>
                  <w:szCs w:val="12"/>
                  <w:color w:val="0000FF"/>
                </w:rPr>
                <w:t>Consolidated Statements of Redeemable Convertible Preferred Stock and Stockholders’</w:t>
              </w:r>
            </w:hyperlink>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gridSpan w:val="2"/>
            <w:vMerge w:val="restart"/>
          </w:tcPr>
          <w:p>
            <w:pPr>
              <w:jc w:val="right"/>
              <w:ind w:right="60"/>
              <w:spacing w:after="0"/>
              <w:rPr>
                <w:rFonts w:ascii="Arial" w:cs="Arial" w:eastAsia="Arial" w:hAnsi="Arial"/>
                <w:sz w:val="12"/>
                <w:szCs w:val="12"/>
                <w:color w:val="0000FF"/>
                <w:w w:val="88"/>
              </w:rPr>
            </w:pPr>
            <w:hyperlink w:anchor="page165">
              <w:r>
                <w:rPr>
                  <w:rFonts w:ascii="Arial" w:cs="Arial" w:eastAsia="Arial" w:hAnsi="Arial"/>
                  <w:sz w:val="12"/>
                  <w:szCs w:val="12"/>
                  <w:color w:val="0000FF"/>
                  <w:w w:val="88"/>
                </w:rPr>
                <w:t>F-6</w:t>
              </w:r>
            </w:hyperlink>
          </w:p>
        </w:tc>
        <w:tc>
          <w:tcPr>
            <w:tcW w:w="0" w:type="dxa"/>
            <w:vAlign w:val="bottom"/>
          </w:tcPr>
          <w:p>
            <w:pPr>
              <w:spacing w:after="0"/>
              <w:rPr>
                <w:sz w:val="1"/>
                <w:szCs w:val="1"/>
                <w:color w:val="auto"/>
              </w:rPr>
            </w:pPr>
          </w:p>
        </w:tc>
      </w:tr>
      <w:tr>
        <w:trPr>
          <w:trHeight w:val="104"/>
        </w:trPr>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20" w:type="dxa"/>
            <w:vAlign w:val="bottom"/>
            <w:gridSpan w:val="16"/>
          </w:tcPr>
          <w:p>
            <w:pPr>
              <w:spacing w:after="0" w:line="104" w:lineRule="exact"/>
              <w:rPr>
                <w:rFonts w:ascii="Arial" w:cs="Arial" w:eastAsia="Arial" w:hAnsi="Arial"/>
                <w:sz w:val="12"/>
                <w:szCs w:val="12"/>
                <w:color w:val="0000FF"/>
              </w:rPr>
            </w:pPr>
            <w:hyperlink w:anchor="page165">
              <w:r>
                <w:rPr>
                  <w:rFonts w:ascii="Arial" w:cs="Arial" w:eastAsia="Arial" w:hAnsi="Arial"/>
                  <w:sz w:val="12"/>
                  <w:szCs w:val="12"/>
                  <w:color w:val="0000FF"/>
                </w:rPr>
                <w:t xml:space="preserve">Deficit </w:t>
              </w:r>
            </w:hyperlink>
            <w:r>
              <w:rPr>
                <w:rFonts w:ascii="Times New Roman" w:cs="Times New Roman" w:eastAsia="Times New Roman" w:hAnsi="Times New Roman"/>
                <w:sz w:val="12"/>
                <w:szCs w:val="12"/>
                <w:color w:val="B4B4B4"/>
              </w:rPr>
              <w:t>.......................................................................................................................................................</w:t>
            </w:r>
          </w:p>
        </w:tc>
        <w:tc>
          <w:tcPr>
            <w:tcW w:w="220" w:type="dxa"/>
            <w:vAlign w:val="bottom"/>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40" w:type="dxa"/>
            <w:vAlign w:val="bottom"/>
          </w:tcPr>
          <w:p>
            <w:pPr>
              <w:spacing w:after="0"/>
              <w:rPr>
                <w:sz w:val="14"/>
                <w:szCs w:val="14"/>
                <w:color w:val="auto"/>
              </w:rPr>
            </w:pPr>
          </w:p>
        </w:tc>
        <w:tc>
          <w:tcPr>
            <w:tcW w:w="5560" w:type="dxa"/>
            <w:vAlign w:val="bottom"/>
            <w:gridSpan w:val="18"/>
          </w:tcPr>
          <w:p>
            <w:pPr>
              <w:spacing w:after="0"/>
              <w:rPr>
                <w:rFonts w:ascii="Arial" w:cs="Arial" w:eastAsia="Arial" w:hAnsi="Arial"/>
                <w:sz w:val="12"/>
                <w:szCs w:val="12"/>
                <w:color w:val="0000FF"/>
              </w:rPr>
            </w:pPr>
            <w:hyperlink w:anchor="page165">
              <w:r>
                <w:rPr>
                  <w:rFonts w:ascii="Arial" w:cs="Arial" w:eastAsia="Arial" w:hAnsi="Arial"/>
                  <w:sz w:val="12"/>
                  <w:szCs w:val="12"/>
                  <w:color w:val="0000FF"/>
                </w:rPr>
                <w:t xml:space="preserve">Consolidated Statements of Cash Flows </w:t>
              </w:r>
            </w:hyperlink>
            <w:r>
              <w:rPr>
                <w:rFonts w:ascii="Times New Roman" w:cs="Times New Roman" w:eastAsia="Times New Roman" w:hAnsi="Times New Roman"/>
                <w:sz w:val="12"/>
                <w:szCs w:val="12"/>
                <w:color w:val="B4B4B4"/>
              </w:rPr>
              <w:t>...............................................................................................</w:t>
            </w:r>
          </w:p>
        </w:tc>
        <w:tc>
          <w:tcPr>
            <w:tcW w:w="240" w:type="dxa"/>
            <w:vAlign w:val="bottom"/>
            <w:gridSpan w:val="2"/>
          </w:tcPr>
          <w:p>
            <w:pPr>
              <w:jc w:val="right"/>
              <w:ind w:right="60"/>
              <w:spacing w:after="0"/>
              <w:rPr>
                <w:rFonts w:ascii="Arial" w:cs="Arial" w:eastAsia="Arial" w:hAnsi="Arial"/>
                <w:sz w:val="12"/>
                <w:szCs w:val="12"/>
                <w:color w:val="0000FF"/>
                <w:w w:val="88"/>
              </w:rPr>
            </w:pPr>
            <w:hyperlink w:anchor="page165">
              <w:r>
                <w:rPr>
                  <w:rFonts w:ascii="Arial" w:cs="Arial" w:eastAsia="Arial" w:hAnsi="Arial"/>
                  <w:sz w:val="12"/>
                  <w:szCs w:val="12"/>
                  <w:color w:val="0000FF"/>
                  <w:w w:val="88"/>
                </w:rPr>
                <w:t>F-7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40" w:type="dxa"/>
            <w:vAlign w:val="bottom"/>
          </w:tcPr>
          <w:p>
            <w:pPr>
              <w:spacing w:after="0"/>
              <w:rPr>
                <w:sz w:val="14"/>
                <w:szCs w:val="14"/>
                <w:color w:val="auto"/>
              </w:rPr>
            </w:pPr>
          </w:p>
        </w:tc>
        <w:tc>
          <w:tcPr>
            <w:tcW w:w="5560" w:type="dxa"/>
            <w:vAlign w:val="bottom"/>
            <w:gridSpan w:val="18"/>
          </w:tcPr>
          <w:p>
            <w:pPr>
              <w:spacing w:after="0"/>
              <w:rPr>
                <w:rFonts w:ascii="Arial" w:cs="Arial" w:eastAsia="Arial" w:hAnsi="Arial"/>
                <w:sz w:val="12"/>
                <w:szCs w:val="12"/>
                <w:color w:val="0000FF"/>
              </w:rPr>
            </w:pPr>
            <w:hyperlink w:anchor="page167">
              <w:r>
                <w:rPr>
                  <w:rFonts w:ascii="Arial" w:cs="Arial" w:eastAsia="Arial" w:hAnsi="Arial"/>
                  <w:sz w:val="12"/>
                  <w:szCs w:val="12"/>
                  <w:color w:val="0000FF"/>
                </w:rPr>
                <w:t xml:space="preserve">Notes to Consolidated Financial Statements </w:t>
              </w:r>
            </w:hyperlink>
            <w:r>
              <w:rPr>
                <w:rFonts w:ascii="Times New Roman" w:cs="Times New Roman" w:eastAsia="Times New Roman" w:hAnsi="Times New Roman"/>
                <w:sz w:val="12"/>
                <w:szCs w:val="12"/>
                <w:color w:val="B4B4B4"/>
              </w:rPr>
              <w:t>........................................................................................</w:t>
            </w:r>
          </w:p>
        </w:tc>
        <w:tc>
          <w:tcPr>
            <w:tcW w:w="240" w:type="dxa"/>
            <w:vAlign w:val="bottom"/>
            <w:gridSpan w:val="2"/>
          </w:tcPr>
          <w:p>
            <w:pPr>
              <w:jc w:val="right"/>
              <w:ind w:right="60"/>
              <w:spacing w:after="0"/>
              <w:rPr>
                <w:rFonts w:ascii="Arial" w:cs="Arial" w:eastAsia="Arial" w:hAnsi="Arial"/>
                <w:sz w:val="12"/>
                <w:szCs w:val="12"/>
                <w:color w:val="0000FF"/>
                <w:w w:val="88"/>
              </w:rPr>
            </w:pPr>
            <w:hyperlink w:anchor="page167">
              <w:r>
                <w:rPr>
                  <w:rFonts w:ascii="Arial" w:cs="Arial" w:eastAsia="Arial" w:hAnsi="Arial"/>
                  <w:sz w:val="12"/>
                  <w:szCs w:val="12"/>
                  <w:color w:val="0000FF"/>
                  <w:w w:val="88"/>
                </w:rPr>
                <w:t>F-9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480" w:type="dxa"/>
            <w:vAlign w:val="bottom"/>
            <w:gridSpan w:val="18"/>
          </w:tcPr>
          <w:p>
            <w:pPr>
              <w:spacing w:after="0"/>
              <w:rPr>
                <w:sz w:val="20"/>
                <w:szCs w:val="20"/>
                <w:color w:val="auto"/>
              </w:rPr>
            </w:pPr>
            <w:r>
              <w:rPr>
                <w:rFonts w:ascii="Arial" w:cs="Arial" w:eastAsia="Arial" w:hAnsi="Arial"/>
                <w:sz w:val="11"/>
                <w:szCs w:val="11"/>
                <w:b w:val="1"/>
                <w:bCs w:val="1"/>
                <w:color w:val="auto"/>
              </w:rPr>
              <w:t>Unaudited Condensed Consolidated Financial Statements as of January 31, 2025 and July 31, 2025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480" w:type="dxa"/>
            <w:vAlign w:val="bottom"/>
            <w:gridSpan w:val="18"/>
          </w:tcPr>
          <w:p>
            <w:pPr>
              <w:spacing w:after="0"/>
              <w:rPr>
                <w:sz w:val="20"/>
                <w:szCs w:val="20"/>
                <w:color w:val="auto"/>
              </w:rPr>
            </w:pPr>
            <w:r>
              <w:rPr>
                <w:rFonts w:ascii="Arial" w:cs="Arial" w:eastAsia="Arial" w:hAnsi="Arial"/>
                <w:sz w:val="11"/>
                <w:szCs w:val="11"/>
                <w:b w:val="1"/>
                <w:bCs w:val="1"/>
                <w:color w:val="auto"/>
              </w:rPr>
              <w:t>and for the Six Months Ended July 31, 2025 and 2024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40" w:type="dxa"/>
            <w:vAlign w:val="bottom"/>
          </w:tcPr>
          <w:p>
            <w:pPr>
              <w:spacing w:after="0"/>
              <w:rPr>
                <w:sz w:val="12"/>
                <w:szCs w:val="12"/>
                <w:color w:val="auto"/>
              </w:rPr>
            </w:pPr>
          </w:p>
        </w:tc>
        <w:tc>
          <w:tcPr>
            <w:tcW w:w="5340" w:type="dxa"/>
            <w:vAlign w:val="bottom"/>
            <w:gridSpan w:val="17"/>
          </w:tcPr>
          <w:p>
            <w:pPr>
              <w:spacing w:after="0"/>
              <w:rPr>
                <w:rFonts w:ascii="Arial" w:cs="Arial" w:eastAsia="Arial" w:hAnsi="Arial"/>
                <w:sz w:val="12"/>
                <w:szCs w:val="12"/>
                <w:color w:val="0000FF"/>
              </w:rPr>
            </w:pPr>
            <w:hyperlink w:anchor="page190">
              <w:r>
                <w:rPr>
                  <w:rFonts w:ascii="Arial" w:cs="Arial" w:eastAsia="Arial" w:hAnsi="Arial"/>
                  <w:sz w:val="12"/>
                  <w:szCs w:val="12"/>
                  <w:color w:val="0000FF"/>
                </w:rPr>
                <w:t xml:space="preserve">Condensed Consolidated Balance Sheets </w:t>
              </w:r>
            </w:hyperlink>
            <w:r>
              <w:rPr>
                <w:rFonts w:ascii="Times New Roman" w:cs="Times New Roman" w:eastAsia="Times New Roman" w:hAnsi="Times New Roman"/>
                <w:sz w:val="12"/>
                <w:szCs w:val="12"/>
                <w:color w:val="B4B4B4"/>
              </w:rPr>
              <w:t>............................................................................................</w:t>
            </w:r>
          </w:p>
        </w:tc>
        <w:tc>
          <w:tcPr>
            <w:tcW w:w="460" w:type="dxa"/>
            <w:vAlign w:val="bottom"/>
            <w:gridSpan w:val="3"/>
          </w:tcPr>
          <w:p>
            <w:pPr>
              <w:jc w:val="right"/>
              <w:ind w:right="40"/>
              <w:spacing w:after="0"/>
              <w:rPr>
                <w:rFonts w:ascii="Arial" w:cs="Arial" w:eastAsia="Arial" w:hAnsi="Arial"/>
                <w:sz w:val="12"/>
                <w:szCs w:val="12"/>
                <w:color w:val="0000FF"/>
              </w:rPr>
            </w:pPr>
            <w:hyperlink w:anchor="page190">
              <w:r>
                <w:rPr>
                  <w:rFonts w:ascii="Arial" w:cs="Arial" w:eastAsia="Arial" w:hAnsi="Arial"/>
                  <w:sz w:val="12"/>
                  <w:szCs w:val="12"/>
                  <w:color w:val="0000FF"/>
                </w:rPr>
                <w:t>F-45</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40" w:type="dxa"/>
            <w:vAlign w:val="bottom"/>
          </w:tcPr>
          <w:p>
            <w:pPr>
              <w:spacing w:after="0"/>
              <w:rPr>
                <w:sz w:val="14"/>
                <w:szCs w:val="14"/>
                <w:color w:val="auto"/>
              </w:rPr>
            </w:pPr>
          </w:p>
        </w:tc>
        <w:tc>
          <w:tcPr>
            <w:tcW w:w="5340" w:type="dxa"/>
            <w:vAlign w:val="bottom"/>
            <w:gridSpan w:val="17"/>
          </w:tcPr>
          <w:p>
            <w:pPr>
              <w:spacing w:after="0"/>
              <w:rPr>
                <w:rFonts w:ascii="Arial" w:cs="Arial" w:eastAsia="Arial" w:hAnsi="Arial"/>
                <w:sz w:val="12"/>
                <w:szCs w:val="12"/>
                <w:color w:val="0000FF"/>
              </w:rPr>
            </w:pPr>
            <w:hyperlink w:anchor="page191">
              <w:r>
                <w:rPr>
                  <w:rFonts w:ascii="Arial" w:cs="Arial" w:eastAsia="Arial" w:hAnsi="Arial"/>
                  <w:sz w:val="12"/>
                  <w:szCs w:val="12"/>
                  <w:color w:val="0000FF"/>
                </w:rPr>
                <w:t xml:space="preserve">Condensed Consolidated Statements of Operations  </w:t>
              </w:r>
            </w:hyperlink>
            <w:r>
              <w:rPr>
                <w:rFonts w:ascii="Times New Roman" w:cs="Times New Roman" w:eastAsia="Times New Roman" w:hAnsi="Times New Roman"/>
                <w:sz w:val="12"/>
                <w:szCs w:val="12"/>
                <w:color w:val="B4B4B4"/>
              </w:rPr>
              <w:t>..........................................................................</w:t>
            </w:r>
          </w:p>
        </w:tc>
        <w:tc>
          <w:tcPr>
            <w:tcW w:w="460" w:type="dxa"/>
            <w:vAlign w:val="bottom"/>
            <w:gridSpan w:val="3"/>
          </w:tcPr>
          <w:p>
            <w:pPr>
              <w:jc w:val="right"/>
              <w:ind w:right="40"/>
              <w:spacing w:after="0"/>
              <w:rPr>
                <w:rFonts w:ascii="Arial" w:cs="Arial" w:eastAsia="Arial" w:hAnsi="Arial"/>
                <w:sz w:val="12"/>
                <w:szCs w:val="12"/>
                <w:color w:val="0000FF"/>
              </w:rPr>
            </w:pPr>
            <w:hyperlink w:anchor="page191">
              <w:r>
                <w:rPr>
                  <w:rFonts w:ascii="Arial" w:cs="Arial" w:eastAsia="Arial" w:hAnsi="Arial"/>
                  <w:sz w:val="12"/>
                  <w:szCs w:val="12"/>
                  <w:color w:val="0000FF"/>
                </w:rPr>
                <w:t>F-47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60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40" w:type="dxa"/>
            <w:vAlign w:val="bottom"/>
          </w:tcPr>
          <w:p>
            <w:pPr>
              <w:spacing w:after="0"/>
              <w:rPr>
                <w:sz w:val="14"/>
                <w:szCs w:val="14"/>
                <w:color w:val="auto"/>
              </w:rPr>
            </w:pPr>
          </w:p>
        </w:tc>
        <w:tc>
          <w:tcPr>
            <w:tcW w:w="5340" w:type="dxa"/>
            <w:vAlign w:val="bottom"/>
            <w:gridSpan w:val="17"/>
          </w:tcPr>
          <w:p>
            <w:pPr>
              <w:spacing w:after="0"/>
              <w:rPr>
                <w:rFonts w:ascii="Arial" w:cs="Arial" w:eastAsia="Arial" w:hAnsi="Arial"/>
                <w:sz w:val="12"/>
                <w:szCs w:val="12"/>
                <w:color w:val="0000FF"/>
              </w:rPr>
            </w:pPr>
            <w:hyperlink w:anchor="page192">
              <w:r>
                <w:rPr>
                  <w:rFonts w:ascii="Arial" w:cs="Arial" w:eastAsia="Arial" w:hAnsi="Arial"/>
                  <w:sz w:val="12"/>
                  <w:szCs w:val="12"/>
                  <w:color w:val="0000FF"/>
                </w:rPr>
                <w:t xml:space="preserve">Condensed Consolidated Statements of Comprehensive Loss  </w:t>
              </w:r>
            </w:hyperlink>
            <w:r>
              <w:rPr>
                <w:rFonts w:ascii="Times New Roman" w:cs="Times New Roman" w:eastAsia="Times New Roman" w:hAnsi="Times New Roman"/>
                <w:sz w:val="12"/>
                <w:szCs w:val="12"/>
                <w:color w:val="B4B4B4"/>
              </w:rPr>
              <w:t>........................................................</w:t>
            </w:r>
          </w:p>
        </w:tc>
        <w:tc>
          <w:tcPr>
            <w:tcW w:w="460" w:type="dxa"/>
            <w:vAlign w:val="bottom"/>
            <w:gridSpan w:val="3"/>
          </w:tcPr>
          <w:p>
            <w:pPr>
              <w:jc w:val="right"/>
              <w:ind w:right="40"/>
              <w:spacing w:after="0"/>
              <w:rPr>
                <w:rFonts w:ascii="Arial" w:cs="Arial" w:eastAsia="Arial" w:hAnsi="Arial"/>
                <w:sz w:val="12"/>
                <w:szCs w:val="12"/>
                <w:color w:val="0000FF"/>
              </w:rPr>
            </w:pPr>
            <w:hyperlink w:anchor="page192">
              <w:r>
                <w:rPr>
                  <w:rFonts w:ascii="Arial" w:cs="Arial" w:eastAsia="Arial" w:hAnsi="Arial"/>
                  <w:sz w:val="12"/>
                  <w:szCs w:val="12"/>
                  <w:color w:val="0000FF"/>
                </w:rPr>
                <w:t>F-48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640" w:type="dxa"/>
            <w:vAlign w:val="bottom"/>
            <w:gridSpan w:val="8"/>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0" w:type="dxa"/>
            <w:vAlign w:val="bottom"/>
          </w:tcPr>
          <w:p>
            <w:pPr>
              <w:spacing w:after="0"/>
              <w:rPr>
                <w:sz w:val="14"/>
                <w:szCs w:val="14"/>
                <w:color w:val="auto"/>
              </w:rPr>
            </w:pPr>
          </w:p>
        </w:tc>
        <w:tc>
          <w:tcPr>
            <w:tcW w:w="5340" w:type="dxa"/>
            <w:vAlign w:val="bottom"/>
            <w:gridSpan w:val="17"/>
          </w:tcPr>
          <w:p>
            <w:pPr>
              <w:spacing w:after="0"/>
              <w:rPr>
                <w:rFonts w:ascii="Arial" w:cs="Arial" w:eastAsia="Arial" w:hAnsi="Arial"/>
                <w:sz w:val="12"/>
                <w:szCs w:val="12"/>
                <w:color w:val="0000FF"/>
              </w:rPr>
            </w:pPr>
            <w:hyperlink w:anchor="page193">
              <w:r>
                <w:rPr>
                  <w:rFonts w:ascii="Arial" w:cs="Arial" w:eastAsia="Arial" w:hAnsi="Arial"/>
                  <w:sz w:val="12"/>
                  <w:szCs w:val="12"/>
                  <w:color w:val="0000FF"/>
                </w:rPr>
                <w:t>Condensed Consolidated Statements of Redeemable Convertible Preferred Stock and</w:t>
              </w:r>
            </w:hyperlink>
          </w:p>
        </w:tc>
        <w:tc>
          <w:tcPr>
            <w:tcW w:w="460" w:type="dxa"/>
            <w:vAlign w:val="bottom"/>
            <w:gridSpan w:val="3"/>
            <w:vMerge w:val="restart"/>
          </w:tcPr>
          <w:p>
            <w:pPr>
              <w:jc w:val="right"/>
              <w:ind w:right="40"/>
              <w:spacing w:after="0"/>
              <w:rPr>
                <w:rFonts w:ascii="Arial" w:cs="Arial" w:eastAsia="Arial" w:hAnsi="Arial"/>
                <w:sz w:val="12"/>
                <w:szCs w:val="12"/>
                <w:color w:val="0000FF"/>
              </w:rPr>
            </w:pPr>
            <w:hyperlink w:anchor="page193">
              <w:r>
                <w:rPr>
                  <w:rFonts w:ascii="Arial" w:cs="Arial" w:eastAsia="Arial" w:hAnsi="Arial"/>
                  <w:sz w:val="12"/>
                  <w:szCs w:val="12"/>
                  <w:color w:val="0000FF"/>
                </w:rPr>
                <w:t>F-49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640" w:type="dxa"/>
            <w:vAlign w:val="bottom"/>
            <w:gridSpan w:val="8"/>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600" w:type="dxa"/>
            <w:vAlign w:val="bottom"/>
            <w:gridSpan w:val="2"/>
            <w:vMerge w:val="restart"/>
          </w:tcPr>
          <w:p>
            <w:pPr>
              <w:spacing w:after="0" w:line="20" w:lineRule="exact"/>
              <w:rPr>
                <w:sz w:val="1"/>
                <w:szCs w:val="1"/>
                <w:color w:val="auto"/>
              </w:rPr>
            </w:pPr>
          </w:p>
        </w:tc>
        <w:tc>
          <w:tcPr>
            <w:tcW w:w="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20" w:type="dxa"/>
            <w:vAlign w:val="bottom"/>
            <w:gridSpan w:val="16"/>
          </w:tcPr>
          <w:p>
            <w:pPr>
              <w:spacing w:after="0" w:line="104" w:lineRule="exact"/>
              <w:rPr>
                <w:rFonts w:ascii="Arial" w:cs="Arial" w:eastAsia="Arial" w:hAnsi="Arial"/>
                <w:sz w:val="12"/>
                <w:szCs w:val="12"/>
                <w:color w:val="0000FF"/>
              </w:rPr>
            </w:pPr>
            <w:hyperlink w:anchor="page193">
              <w:r>
                <w:rPr>
                  <w:rFonts w:ascii="Arial" w:cs="Arial" w:eastAsia="Arial" w:hAnsi="Arial"/>
                  <w:sz w:val="12"/>
                  <w:szCs w:val="12"/>
                  <w:color w:val="0000FF"/>
                </w:rPr>
                <w:t xml:space="preserve">Stockholders’ Deficit </w:t>
              </w:r>
            </w:hyperlink>
            <w:r>
              <w:rPr>
                <w:rFonts w:ascii="Times New Roman" w:cs="Times New Roman" w:eastAsia="Times New Roman" w:hAnsi="Times New Roman"/>
                <w:sz w:val="12"/>
                <w:szCs w:val="12"/>
                <w:color w:val="B4B4B4"/>
              </w:rPr>
              <w:t>..............................................................................................................................</w:t>
            </w:r>
          </w:p>
        </w:tc>
        <w:tc>
          <w:tcPr>
            <w:tcW w:w="4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40" w:type="dxa"/>
            <w:vAlign w:val="bottom"/>
          </w:tcPr>
          <w:p>
            <w:pPr>
              <w:spacing w:after="0"/>
              <w:rPr>
                <w:sz w:val="14"/>
                <w:szCs w:val="14"/>
                <w:color w:val="auto"/>
              </w:rPr>
            </w:pPr>
          </w:p>
        </w:tc>
        <w:tc>
          <w:tcPr>
            <w:tcW w:w="5340" w:type="dxa"/>
            <w:vAlign w:val="bottom"/>
            <w:gridSpan w:val="17"/>
          </w:tcPr>
          <w:p>
            <w:pPr>
              <w:spacing w:after="0"/>
              <w:rPr>
                <w:rFonts w:ascii="Arial" w:cs="Arial" w:eastAsia="Arial" w:hAnsi="Arial"/>
                <w:sz w:val="12"/>
                <w:szCs w:val="12"/>
                <w:color w:val="0000FF"/>
              </w:rPr>
            </w:pPr>
            <w:hyperlink w:anchor="page193">
              <w:r>
                <w:rPr>
                  <w:rFonts w:ascii="Arial" w:cs="Arial" w:eastAsia="Arial" w:hAnsi="Arial"/>
                  <w:sz w:val="12"/>
                  <w:szCs w:val="12"/>
                  <w:color w:val="0000FF"/>
                </w:rPr>
                <w:t xml:space="preserve">Condensed Consolidated Statements of Cash Flows  </w:t>
              </w:r>
            </w:hyperlink>
            <w:r>
              <w:rPr>
                <w:rFonts w:ascii="Times New Roman" w:cs="Times New Roman" w:eastAsia="Times New Roman" w:hAnsi="Times New Roman"/>
                <w:sz w:val="12"/>
                <w:szCs w:val="12"/>
                <w:color w:val="B4B4B4"/>
              </w:rPr>
              <w:t>.........................................................................</w:t>
            </w:r>
          </w:p>
        </w:tc>
        <w:tc>
          <w:tcPr>
            <w:tcW w:w="460" w:type="dxa"/>
            <w:vAlign w:val="bottom"/>
            <w:gridSpan w:val="3"/>
          </w:tcPr>
          <w:p>
            <w:pPr>
              <w:jc w:val="right"/>
              <w:ind w:right="40"/>
              <w:spacing w:after="0"/>
              <w:rPr>
                <w:rFonts w:ascii="Arial" w:cs="Arial" w:eastAsia="Arial" w:hAnsi="Arial"/>
                <w:sz w:val="12"/>
                <w:szCs w:val="12"/>
                <w:color w:val="0000FF"/>
              </w:rPr>
            </w:pPr>
            <w:hyperlink w:anchor="page193">
              <w:r>
                <w:rPr>
                  <w:rFonts w:ascii="Arial" w:cs="Arial" w:eastAsia="Arial" w:hAnsi="Arial"/>
                  <w:sz w:val="12"/>
                  <w:szCs w:val="12"/>
                  <w:color w:val="0000FF"/>
                </w:rPr>
                <w:t>F-50</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880" w:type="dxa"/>
            <w:vAlign w:val="bottom"/>
            <w:gridSpan w:val="11"/>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40" w:type="dxa"/>
            <w:vAlign w:val="bottom"/>
          </w:tcPr>
          <w:p>
            <w:pPr>
              <w:spacing w:after="0"/>
              <w:rPr>
                <w:sz w:val="14"/>
                <w:szCs w:val="14"/>
                <w:color w:val="auto"/>
              </w:rPr>
            </w:pPr>
          </w:p>
        </w:tc>
        <w:tc>
          <w:tcPr>
            <w:tcW w:w="5340" w:type="dxa"/>
            <w:vAlign w:val="bottom"/>
            <w:gridSpan w:val="17"/>
          </w:tcPr>
          <w:p>
            <w:pPr>
              <w:spacing w:after="0"/>
              <w:rPr>
                <w:rFonts w:ascii="Arial" w:cs="Arial" w:eastAsia="Arial" w:hAnsi="Arial"/>
                <w:sz w:val="12"/>
                <w:szCs w:val="12"/>
                <w:color w:val="0000FF"/>
              </w:rPr>
            </w:pPr>
            <w:hyperlink w:anchor="page194">
              <w:r>
                <w:rPr>
                  <w:rFonts w:ascii="Arial" w:cs="Arial" w:eastAsia="Arial" w:hAnsi="Arial"/>
                  <w:sz w:val="12"/>
                  <w:szCs w:val="12"/>
                  <w:color w:val="0000FF"/>
                </w:rPr>
                <w:t xml:space="preserve">Notes to Condensed Consolidated Financial Statements  </w:t>
              </w:r>
            </w:hyperlink>
            <w:r>
              <w:rPr>
                <w:rFonts w:ascii="Times New Roman" w:cs="Times New Roman" w:eastAsia="Times New Roman" w:hAnsi="Times New Roman"/>
                <w:sz w:val="12"/>
                <w:szCs w:val="12"/>
                <w:color w:val="B4B4B4"/>
              </w:rPr>
              <w:t>..................................................................</w:t>
            </w:r>
          </w:p>
        </w:tc>
        <w:tc>
          <w:tcPr>
            <w:tcW w:w="460" w:type="dxa"/>
            <w:vAlign w:val="bottom"/>
            <w:gridSpan w:val="3"/>
          </w:tcPr>
          <w:p>
            <w:pPr>
              <w:jc w:val="right"/>
              <w:ind w:right="40"/>
              <w:spacing w:after="0"/>
              <w:rPr>
                <w:rFonts w:ascii="Arial" w:cs="Arial" w:eastAsia="Arial" w:hAnsi="Arial"/>
                <w:sz w:val="12"/>
                <w:szCs w:val="12"/>
                <w:color w:val="0000FF"/>
              </w:rPr>
            </w:pPr>
            <w:hyperlink w:anchor="page194">
              <w:r>
                <w:rPr>
                  <w:rFonts w:ascii="Arial" w:cs="Arial" w:eastAsia="Arial" w:hAnsi="Arial"/>
                  <w:sz w:val="12"/>
                  <w:szCs w:val="12"/>
                  <w:color w:val="0000FF"/>
                </w:rPr>
                <w:t>F-52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520" w:right="2840" w:firstLine="1215"/>
        <w:spacing w:after="0" w:line="465" w:lineRule="auto"/>
        <w:rPr>
          <w:sz w:val="20"/>
          <w:szCs w:val="20"/>
          <w:color w:val="auto"/>
        </w:rPr>
      </w:pPr>
      <w:r>
        <w:rPr>
          <w:rFonts w:ascii="Arial" w:cs="Arial" w:eastAsia="Arial" w:hAnsi="Arial"/>
          <w:sz w:val="12"/>
          <w:szCs w:val="12"/>
          <w:b w:val="1"/>
          <w:bCs w:val="1"/>
          <w:color w:val="auto"/>
        </w:rPr>
        <w:t xml:space="preserve">Report of Independent Registered Public Accounting Firm </w:t>
      </w:r>
      <w:r>
        <w:rPr>
          <w:rFonts w:ascii="Arial" w:cs="Arial" w:eastAsia="Arial" w:hAnsi="Arial"/>
          <w:sz w:val="12"/>
          <w:szCs w:val="12"/>
          <w:color w:val="auto"/>
        </w:rPr>
        <w:t xml:space="preserve">To the Board of Directors and Stockholders of Navan, Inc. </w:t>
      </w:r>
      <w:r>
        <w:rPr>
          <w:rFonts w:ascii="Arial" w:cs="Arial" w:eastAsia="Arial" w:hAnsi="Arial"/>
          <w:sz w:val="12"/>
          <w:szCs w:val="12"/>
          <w:b w:val="1"/>
          <w:bCs w:val="1"/>
          <w:i w:val="1"/>
          <w:iCs w:val="1"/>
          <w:color w:val="auto"/>
        </w:rPr>
        <w:t>Opinion on the Financial Statements</w:t>
      </w:r>
    </w:p>
    <w:p>
      <w:pPr>
        <w:spacing w:after="0" w:line="2" w:lineRule="exact"/>
        <w:rPr>
          <w:sz w:val="20"/>
          <w:szCs w:val="20"/>
          <w:color w:val="auto"/>
        </w:rPr>
      </w:pPr>
    </w:p>
    <w:p>
      <w:pPr>
        <w:ind w:left="1520" w:right="1680"/>
        <w:spacing w:after="0" w:line="272" w:lineRule="auto"/>
        <w:rPr>
          <w:sz w:val="20"/>
          <w:szCs w:val="20"/>
          <w:color w:val="auto"/>
        </w:rPr>
      </w:pPr>
      <w:r>
        <w:rPr>
          <w:rFonts w:ascii="Arial" w:cs="Arial" w:eastAsia="Arial" w:hAnsi="Arial"/>
          <w:sz w:val="12"/>
          <w:szCs w:val="12"/>
          <w:color w:val="auto"/>
        </w:rPr>
        <w:t>We have audited the accompanying consolidated balance sheets of Navan, Inc. and its subsidiaries (the “Company”) as of January 31, 2025 and 2024, and the related consolidated statements of operations, of comprehensive loss, of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January 31, 2025 and 2024, and the results of its operations and its cash flows for the years then ended in conformity with accounting principles generally accepted in the United States of America.</w:t>
      </w:r>
    </w:p>
    <w:p>
      <w:pPr>
        <w:spacing w:after="0" w:line="90" w:lineRule="exact"/>
        <w:rPr>
          <w:sz w:val="20"/>
          <w:szCs w:val="20"/>
          <w:color w:val="auto"/>
        </w:rPr>
      </w:pPr>
    </w:p>
    <w:p>
      <w:pPr>
        <w:ind w:left="1520"/>
        <w:spacing w:after="0"/>
        <w:rPr>
          <w:sz w:val="20"/>
          <w:szCs w:val="20"/>
          <w:color w:val="auto"/>
        </w:rPr>
      </w:pPr>
      <w:r>
        <w:rPr>
          <w:rFonts w:ascii="Arial" w:cs="Arial" w:eastAsia="Arial" w:hAnsi="Arial"/>
          <w:sz w:val="12"/>
          <w:szCs w:val="12"/>
          <w:b w:val="1"/>
          <w:bCs w:val="1"/>
          <w:i w:val="1"/>
          <w:iCs w:val="1"/>
          <w:color w:val="auto"/>
        </w:rPr>
        <w:t>Basis for Opinion</w:t>
      </w:r>
    </w:p>
    <w:p>
      <w:pPr>
        <w:spacing w:after="0" w:line="128"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These consolidated financial statements are the responsibility of the Company’s management. Our</w:t>
      </w:r>
    </w:p>
    <w:p>
      <w:pPr>
        <w:sectPr>
          <w:pgSz w:w="11900" w:h="16840" w:orient="portrait"/>
          <w:cols w:equalWidth="0" w:num="1">
            <w:col w:w="9020"/>
          </w:cols>
          <w:pgMar w:left="1440" w:top="1268" w:right="1440" w:bottom="124" w:gutter="0" w:footer="0" w:header="0"/>
        </w:sectPr>
      </w:pPr>
    </w:p>
    <w:bookmarkStart w:id="162" w:name="page163"/>
    <w:bookmarkEnd w:id="162"/>
    <w:p>
      <w:pPr>
        <w:ind w:left="1520" w:right="1780"/>
        <w:spacing w:after="0" w:line="193" w:lineRule="auto"/>
        <w:rPr>
          <w:sz w:val="20"/>
          <w:szCs w:val="20"/>
          <w:color w:val="auto"/>
        </w:rPr>
      </w:pPr>
      <w:r>
        <w:rPr>
          <w:rFonts w:ascii="Arial" w:cs="Arial" w:eastAsia="Arial" w:hAnsi="Arial"/>
          <w:sz w:val="12"/>
          <w:szCs w:val="12"/>
          <w:color w:val="auto"/>
        </w:rPr>
        <w:t>responsibility is to express an opinion on the Company’s consolidated financial statements based on our audits. We are a public accounting firm registered with the Public Company Accounting Oversight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-133985</wp:posOffset>
            </wp:positionV>
            <wp:extent cx="6732270" cy="99707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720"/>
        <w:spacing w:after="0" w:line="279" w:lineRule="auto"/>
        <w:rPr>
          <w:sz w:val="20"/>
          <w:szCs w:val="20"/>
          <w:color w:val="auto"/>
        </w:rPr>
      </w:pPr>
      <w:r>
        <w:rPr>
          <w:rFonts w:ascii="Arial" w:cs="Arial" w:eastAsia="Arial" w:hAnsi="Arial"/>
          <w:sz w:val="12"/>
          <w:szCs w:val="12"/>
          <w:color w:val="auto"/>
        </w:rPr>
        <w:t>(United States) (PCAOB) and are required to be independent with respect to the Company in accordance with the U.S. federal securities laws and the applicable rules and regulations of the Securities and Exchange Commission and the PCAOB.</w:t>
      </w:r>
    </w:p>
    <w:p>
      <w:pPr>
        <w:spacing w:after="0" w:line="81" w:lineRule="exact"/>
        <w:rPr>
          <w:sz w:val="20"/>
          <w:szCs w:val="20"/>
          <w:color w:val="auto"/>
        </w:rPr>
      </w:pPr>
    </w:p>
    <w:p>
      <w:pPr>
        <w:ind w:left="1520" w:right="1700"/>
        <w:spacing w:after="0" w:line="281" w:lineRule="auto"/>
        <w:rPr>
          <w:sz w:val="20"/>
          <w:szCs w:val="20"/>
          <w:color w:val="auto"/>
        </w:rPr>
      </w:pPr>
      <w:r>
        <w:rPr>
          <w:rFonts w:ascii="Arial" w:cs="Arial" w:eastAsia="Arial" w:hAnsi="Arial"/>
          <w:sz w:val="12"/>
          <w:szCs w:val="12"/>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81" w:lineRule="exact"/>
        <w:rPr>
          <w:sz w:val="20"/>
          <w:szCs w:val="20"/>
          <w:color w:val="auto"/>
        </w:rPr>
      </w:pPr>
    </w:p>
    <w:p>
      <w:pPr>
        <w:ind w:left="1520" w:right="1700"/>
        <w:spacing w:after="0" w:line="274" w:lineRule="auto"/>
        <w:rPr>
          <w:sz w:val="20"/>
          <w:szCs w:val="20"/>
          <w:color w:val="auto"/>
        </w:rPr>
      </w:pPr>
      <w:r>
        <w:rPr>
          <w:rFonts w:ascii="Arial" w:cs="Arial" w:eastAsia="Arial" w:hAnsi="Arial"/>
          <w:sz w:val="12"/>
          <w:szCs w:val="12"/>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09"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/s/ PricewaterhouseCoopers LLP</w:t>
      </w:r>
    </w:p>
    <w:p>
      <w:pPr>
        <w:spacing w:after="0" w:line="27"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San Jose, California</w:t>
      </w:r>
    </w:p>
    <w:p>
      <w:pPr>
        <w:spacing w:after="0" w:line="15" w:lineRule="exact"/>
        <w:rPr>
          <w:sz w:val="20"/>
          <w:szCs w:val="20"/>
          <w:color w:val="auto"/>
        </w:rPr>
      </w:pPr>
    </w:p>
    <w:p>
      <w:pPr>
        <w:ind w:left="1520" w:right="1760"/>
        <w:spacing w:after="0" w:line="275" w:lineRule="auto"/>
        <w:rPr>
          <w:sz w:val="20"/>
          <w:szCs w:val="20"/>
          <w:color w:val="auto"/>
        </w:rPr>
      </w:pPr>
      <w:r>
        <w:rPr>
          <w:rFonts w:ascii="Arial" w:cs="Arial" w:eastAsia="Arial" w:hAnsi="Arial"/>
          <w:sz w:val="12"/>
          <w:szCs w:val="12"/>
          <w:color w:val="auto"/>
        </w:rPr>
        <w:t>April 30, 2025, except for the disaggregated usage-based and subscription revenue information included in Note 2 to the consolidated financial statements, as to which the date is July 25, 2025, and except for the effects of the reverse stock split discussed in Note 1 to the consolidated financial statements, as to which the date is September 19, 2025</w:t>
      </w:r>
    </w:p>
    <w:p>
      <w:pPr>
        <w:spacing w:after="0" w:line="83"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We have served as the Company's auditor since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CONSOLIDATED BALANCE SHEETS</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(in thousands, except par value and share amounts)</w:t>
      </w:r>
    </w:p>
    <w:p>
      <w:pPr>
        <w:spacing w:after="0" w:line="80"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90"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4"/>
          </w:tcPr>
          <w:p>
            <w:pPr>
              <w:ind w:left="260"/>
              <w:spacing w:after="0"/>
              <w:rPr>
                <w:sz w:val="20"/>
                <w:szCs w:val="20"/>
                <w:color w:val="auto"/>
              </w:rPr>
            </w:pPr>
            <w:r>
              <w:rPr>
                <w:rFonts w:ascii="Arial" w:cs="Arial" w:eastAsia="Arial" w:hAnsi="Arial"/>
                <w:sz w:val="11"/>
                <w:szCs w:val="11"/>
                <w:b w:val="1"/>
                <w:bCs w:val="1"/>
                <w:color w:val="auto"/>
              </w:rPr>
              <w:t>As of January 31</w:t>
            </w: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ind w:left="260"/>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restart"/>
          </w:tcPr>
          <w:p>
            <w:pPr>
              <w:jc w:val="right"/>
              <w:ind w:right="244"/>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Assets</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60" w:type="dxa"/>
            <w:vAlign w:val="bottom"/>
          </w:tcPr>
          <w:p>
            <w:pPr>
              <w:ind w:left="40"/>
              <w:spacing w:after="0"/>
              <w:rPr>
                <w:sz w:val="20"/>
                <w:szCs w:val="20"/>
                <w:color w:val="auto"/>
              </w:rPr>
            </w:pPr>
            <w:r>
              <w:rPr>
                <w:rFonts w:ascii="Arial" w:cs="Arial" w:eastAsia="Arial" w:hAnsi="Arial"/>
                <w:sz w:val="11"/>
                <w:szCs w:val="11"/>
                <w:color w:val="auto"/>
              </w:rPr>
              <w:t>Current assets: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4260" w:type="dxa"/>
            <w:vAlign w:val="bottom"/>
          </w:tcPr>
          <w:p>
            <w:pPr>
              <w:ind w:left="180"/>
              <w:spacing w:after="0" w:line="105" w:lineRule="exact"/>
              <w:rPr>
                <w:sz w:val="20"/>
                <w:szCs w:val="20"/>
                <w:color w:val="auto"/>
              </w:rPr>
            </w:pPr>
            <w:r>
              <w:rPr>
                <w:rFonts w:ascii="Arial" w:cs="Arial" w:eastAsia="Arial" w:hAnsi="Arial"/>
                <w:sz w:val="11"/>
                <w:szCs w:val="11"/>
                <w:color w:val="auto"/>
              </w:rPr>
              <w:t xml:space="preserve">Cash and cash equivalent </w:t>
            </w:r>
            <w:r>
              <w:rPr>
                <w:rFonts w:ascii="Times New Roman" w:cs="Times New Roman" w:eastAsia="Times New Roman" w:hAnsi="Times New Roman"/>
                <w:sz w:val="11"/>
                <w:szCs w:val="11"/>
                <w:color w:val="B4B4B4"/>
              </w:rPr>
              <w:t>.............................................................................................</w:t>
            </w:r>
          </w:p>
        </w:tc>
        <w:tc>
          <w:tcPr>
            <w:tcW w:w="180" w:type="dxa"/>
            <w:vAlign w:val="bottom"/>
          </w:tcPr>
          <w:p>
            <w:pPr>
              <w:jc w:val="right"/>
              <w:ind w:right="25"/>
              <w:spacing w:after="0" w:line="105" w:lineRule="exact"/>
              <w:rPr>
                <w:sz w:val="20"/>
                <w:szCs w:val="20"/>
                <w:color w:val="auto"/>
              </w:rPr>
            </w:pPr>
            <w:r>
              <w:rPr>
                <w:rFonts w:ascii="Arial" w:cs="Arial" w:eastAsia="Arial" w:hAnsi="Arial"/>
                <w:sz w:val="11"/>
                <w:szCs w:val="11"/>
                <w:color w:val="auto"/>
              </w:rPr>
              <w:t>$</w:t>
            </w:r>
          </w:p>
        </w:tc>
        <w:tc>
          <w:tcPr>
            <w:tcW w:w="660" w:type="dxa"/>
            <w:vAlign w:val="bottom"/>
          </w:tcPr>
          <w:p>
            <w:pPr>
              <w:jc w:val="right"/>
              <w:ind w:right="4"/>
              <w:spacing w:after="0" w:line="105" w:lineRule="exact"/>
              <w:rPr>
                <w:sz w:val="20"/>
                <w:szCs w:val="20"/>
                <w:color w:val="auto"/>
              </w:rPr>
            </w:pPr>
            <w:r>
              <w:rPr>
                <w:rFonts w:ascii="Arial" w:cs="Arial" w:eastAsia="Arial" w:hAnsi="Arial"/>
                <w:sz w:val="11"/>
                <w:szCs w:val="11"/>
                <w:color w:val="auto"/>
              </w:rPr>
              <w:t>157,672</w:t>
            </w:r>
          </w:p>
        </w:tc>
        <w:tc>
          <w:tcPr>
            <w:tcW w:w="200" w:type="dxa"/>
            <w:vAlign w:val="bottom"/>
            <w:gridSpan w:val="2"/>
          </w:tcPr>
          <w:p>
            <w:pPr>
              <w:jc w:val="right"/>
              <w:ind w:right="60"/>
              <w:spacing w:after="0" w:line="105"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4"/>
              <w:spacing w:after="0" w:line="105" w:lineRule="exact"/>
              <w:rPr>
                <w:sz w:val="20"/>
                <w:szCs w:val="20"/>
                <w:color w:val="auto"/>
              </w:rPr>
            </w:pPr>
            <w:r>
              <w:rPr>
                <w:rFonts w:ascii="Arial" w:cs="Arial" w:eastAsia="Arial" w:hAnsi="Arial"/>
                <w:sz w:val="11"/>
                <w:szCs w:val="11"/>
                <w:color w:val="auto"/>
              </w:rPr>
              <w:t>166,421</w:t>
            </w:r>
          </w:p>
        </w:tc>
        <w:tc>
          <w:tcPr>
            <w:tcW w:w="0" w:type="dxa"/>
            <w:vAlign w:val="bottom"/>
          </w:tcPr>
          <w:p>
            <w:pPr>
              <w:spacing w:after="0"/>
              <w:rPr>
                <w:sz w:val="1"/>
                <w:szCs w:val="1"/>
                <w:color w:val="auto"/>
              </w:rPr>
            </w:pPr>
          </w:p>
        </w:tc>
      </w:tr>
      <w:tr>
        <w:trPr>
          <w:trHeight w:val="77"/>
        </w:trPr>
        <w:tc>
          <w:tcPr>
            <w:tcW w:w="4260" w:type="dxa"/>
            <w:vAlign w:val="bottom"/>
          </w:tcPr>
          <w:p>
            <w:pPr>
              <w:ind w:left="180"/>
              <w:spacing w:after="0" w:line="77" w:lineRule="exact"/>
              <w:rPr>
                <w:sz w:val="20"/>
                <w:szCs w:val="20"/>
                <w:color w:val="auto"/>
              </w:rPr>
            </w:pPr>
            <w:r>
              <w:rPr>
                <w:rFonts w:ascii="Arial" w:cs="Arial" w:eastAsia="Arial" w:hAnsi="Arial"/>
                <w:sz w:val="8"/>
                <w:szCs w:val="8"/>
                <w:color w:val="auto"/>
              </w:rPr>
              <w:t>s</w:t>
            </w:r>
          </w:p>
        </w:tc>
        <w:tc>
          <w:tcPr>
            <w:tcW w:w="180" w:type="dxa"/>
            <w:vAlign w:val="bottom"/>
          </w:tcPr>
          <w:p>
            <w:pPr>
              <w:spacing w:after="0"/>
              <w:rPr>
                <w:sz w:val="6"/>
                <w:szCs w:val="6"/>
                <w:color w:val="auto"/>
              </w:rPr>
            </w:pP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148,157</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1"/>
                <w:szCs w:val="11"/>
                <w:color w:val="auto"/>
              </w:rPr>
              <w:t>95,961</w:t>
            </w:r>
          </w:p>
        </w:tc>
        <w:tc>
          <w:tcPr>
            <w:tcW w:w="0" w:type="dxa"/>
            <w:vAlign w:val="bottom"/>
          </w:tcPr>
          <w:p>
            <w:pPr>
              <w:spacing w:after="0"/>
              <w:rPr>
                <w:sz w:val="1"/>
                <w:szCs w:val="1"/>
                <w:color w:val="auto"/>
              </w:rPr>
            </w:pPr>
          </w:p>
        </w:tc>
      </w:tr>
      <w:tr>
        <w:trPr>
          <w:trHeight w:val="86"/>
        </w:trPr>
        <w:tc>
          <w:tcPr>
            <w:tcW w:w="4260" w:type="dxa"/>
            <w:vAlign w:val="bottom"/>
          </w:tcPr>
          <w:p>
            <w:pPr>
              <w:ind w:left="180"/>
              <w:spacing w:after="0" w:line="86" w:lineRule="exact"/>
              <w:rPr>
                <w:sz w:val="20"/>
                <w:szCs w:val="20"/>
                <w:color w:val="auto"/>
              </w:rPr>
            </w:pPr>
            <w:r>
              <w:rPr>
                <w:rFonts w:ascii="Arial" w:cs="Arial" w:eastAsia="Arial" w:hAnsi="Arial"/>
                <w:sz w:val="9"/>
                <w:szCs w:val="9"/>
                <w:color w:val="auto"/>
              </w:rPr>
              <w:t xml:space="preserve">Restricted cash, curren </w:t>
            </w:r>
            <w:r>
              <w:rPr>
                <w:rFonts w:ascii="Times New Roman" w:cs="Times New Roman" w:eastAsia="Times New Roman" w:hAnsi="Times New Roman"/>
                <w:sz w:val="9"/>
                <w:szCs w:val="9"/>
                <w:color w:val="B4B4B4"/>
              </w:rPr>
              <w:t>..................................................................................................</w:t>
            </w:r>
          </w:p>
        </w:tc>
        <w:tc>
          <w:tcPr>
            <w:tcW w:w="1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4260" w:type="dxa"/>
            <w:vAlign w:val="bottom"/>
          </w:tcPr>
          <w:p>
            <w:pPr>
              <w:ind w:left="180"/>
              <w:spacing w:after="0" w:line="77" w:lineRule="exact"/>
              <w:rPr>
                <w:sz w:val="20"/>
                <w:szCs w:val="20"/>
                <w:color w:val="auto"/>
              </w:rPr>
            </w:pPr>
            <w:r>
              <w:rPr>
                <w:rFonts w:ascii="Arial" w:cs="Arial" w:eastAsia="Arial" w:hAnsi="Arial"/>
                <w:sz w:val="8"/>
                <w:szCs w:val="8"/>
                <w:color w:val="auto"/>
              </w:rPr>
              <w:t>t</w:t>
            </w:r>
          </w:p>
        </w:tc>
        <w:tc>
          <w:tcPr>
            <w:tcW w:w="180" w:type="dxa"/>
            <w:vAlign w:val="bottom"/>
          </w:tcPr>
          <w:p>
            <w:pPr>
              <w:spacing w:after="0"/>
              <w:rPr>
                <w:sz w:val="6"/>
                <w:szCs w:val="6"/>
                <w:color w:val="auto"/>
              </w:rPr>
            </w:pP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184,856</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1"/>
                <w:szCs w:val="11"/>
                <w:color w:val="auto"/>
              </w:rPr>
              <w:t>158,355</w:t>
            </w:r>
          </w:p>
        </w:tc>
        <w:tc>
          <w:tcPr>
            <w:tcW w:w="0" w:type="dxa"/>
            <w:vAlign w:val="bottom"/>
          </w:tcPr>
          <w:p>
            <w:pPr>
              <w:spacing w:after="0"/>
              <w:rPr>
                <w:sz w:val="1"/>
                <w:szCs w:val="1"/>
                <w:color w:val="auto"/>
              </w:rPr>
            </w:pPr>
          </w:p>
        </w:tc>
      </w:tr>
      <w:tr>
        <w:trPr>
          <w:trHeight w:val="86"/>
        </w:trPr>
        <w:tc>
          <w:tcPr>
            <w:tcW w:w="4260" w:type="dxa"/>
            <w:vAlign w:val="bottom"/>
          </w:tcPr>
          <w:p>
            <w:pPr>
              <w:ind w:left="180"/>
              <w:spacing w:after="0" w:line="86" w:lineRule="exact"/>
              <w:rPr>
                <w:sz w:val="20"/>
                <w:szCs w:val="20"/>
                <w:color w:val="auto"/>
              </w:rPr>
            </w:pPr>
            <w:r>
              <w:rPr>
                <w:rFonts w:ascii="Arial" w:cs="Arial" w:eastAsia="Arial" w:hAnsi="Arial"/>
                <w:sz w:val="9"/>
                <w:szCs w:val="9"/>
                <w:color w:val="auto"/>
              </w:rPr>
              <w:t xml:space="preserve">Accounts receivable, ne </w:t>
            </w:r>
            <w:r>
              <w:rPr>
                <w:rFonts w:ascii="Times New Roman" w:cs="Times New Roman" w:eastAsia="Times New Roman" w:hAnsi="Times New Roman"/>
                <w:sz w:val="9"/>
                <w:szCs w:val="9"/>
                <w:color w:val="B4B4B4"/>
              </w:rPr>
              <w:t>.................................................................................................</w:t>
            </w:r>
          </w:p>
        </w:tc>
        <w:tc>
          <w:tcPr>
            <w:tcW w:w="1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4260" w:type="dxa"/>
            <w:vAlign w:val="bottom"/>
          </w:tcPr>
          <w:p>
            <w:pPr>
              <w:ind w:left="180"/>
              <w:spacing w:after="0" w:line="77" w:lineRule="exact"/>
              <w:rPr>
                <w:sz w:val="20"/>
                <w:szCs w:val="20"/>
                <w:color w:val="auto"/>
              </w:rPr>
            </w:pPr>
            <w:r>
              <w:rPr>
                <w:rFonts w:ascii="Arial" w:cs="Arial" w:eastAsia="Arial" w:hAnsi="Arial"/>
                <w:sz w:val="8"/>
                <w:szCs w:val="8"/>
                <w:color w:val="auto"/>
              </w:rPr>
              <w:t>t</w:t>
            </w:r>
          </w:p>
        </w:tc>
        <w:tc>
          <w:tcPr>
            <w:tcW w:w="180" w:type="dxa"/>
            <w:vAlign w:val="bottom"/>
          </w:tcPr>
          <w:p>
            <w:pPr>
              <w:spacing w:after="0"/>
              <w:rPr>
                <w:sz w:val="6"/>
                <w:szCs w:val="6"/>
                <w:color w:val="auto"/>
              </w:rPr>
            </w:pP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157,755</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1"/>
                <w:szCs w:val="11"/>
                <w:color w:val="auto"/>
              </w:rPr>
              <w:t>224,278</w:t>
            </w:r>
          </w:p>
        </w:tc>
        <w:tc>
          <w:tcPr>
            <w:tcW w:w="0" w:type="dxa"/>
            <w:vAlign w:val="bottom"/>
          </w:tcPr>
          <w:p>
            <w:pPr>
              <w:spacing w:after="0"/>
              <w:rPr>
                <w:sz w:val="1"/>
                <w:szCs w:val="1"/>
                <w:color w:val="auto"/>
              </w:rPr>
            </w:pPr>
          </w:p>
        </w:tc>
      </w:tr>
      <w:tr>
        <w:trPr>
          <w:trHeight w:val="86"/>
        </w:trPr>
        <w:tc>
          <w:tcPr>
            <w:tcW w:w="4260" w:type="dxa"/>
            <w:vAlign w:val="bottom"/>
          </w:tcPr>
          <w:p>
            <w:pPr>
              <w:ind w:left="180"/>
              <w:spacing w:after="0" w:line="86" w:lineRule="exact"/>
              <w:rPr>
                <w:sz w:val="20"/>
                <w:szCs w:val="20"/>
                <w:color w:val="auto"/>
              </w:rPr>
            </w:pPr>
            <w:r>
              <w:rPr>
                <w:rFonts w:ascii="Arial" w:cs="Arial" w:eastAsia="Arial" w:hAnsi="Arial"/>
                <w:sz w:val="9"/>
                <w:szCs w:val="9"/>
                <w:color w:val="auto"/>
              </w:rPr>
              <w:t xml:space="preserve">Corporate card receivables, ne </w:t>
            </w:r>
            <w:r>
              <w:rPr>
                <w:rFonts w:ascii="Times New Roman" w:cs="Times New Roman" w:eastAsia="Times New Roman" w:hAnsi="Times New Roman"/>
                <w:sz w:val="9"/>
                <w:szCs w:val="9"/>
                <w:color w:val="B4B4B4"/>
              </w:rPr>
              <w:t>.....................................................................................</w:t>
            </w:r>
          </w:p>
        </w:tc>
        <w:tc>
          <w:tcPr>
            <w:tcW w:w="1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4260" w:type="dxa"/>
            <w:vAlign w:val="bottom"/>
          </w:tcPr>
          <w:p>
            <w:pPr>
              <w:ind w:left="180"/>
              <w:spacing w:after="0" w:line="77" w:lineRule="exact"/>
              <w:rPr>
                <w:sz w:val="20"/>
                <w:szCs w:val="20"/>
                <w:color w:val="auto"/>
              </w:rPr>
            </w:pPr>
            <w:r>
              <w:rPr>
                <w:rFonts w:ascii="Arial" w:cs="Arial" w:eastAsia="Arial" w:hAnsi="Arial"/>
                <w:sz w:val="8"/>
                <w:szCs w:val="8"/>
                <w:color w:val="auto"/>
              </w:rPr>
              <w:t>t</w:t>
            </w:r>
          </w:p>
        </w:tc>
        <w:tc>
          <w:tcPr>
            <w:tcW w:w="18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4,784</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1"/>
                <w:szCs w:val="11"/>
                <w:color w:val="auto"/>
              </w:rPr>
              <w:t>2,884</w:t>
            </w:r>
          </w:p>
        </w:tc>
        <w:tc>
          <w:tcPr>
            <w:tcW w:w="0" w:type="dxa"/>
            <w:vAlign w:val="bottom"/>
          </w:tcPr>
          <w:p>
            <w:pPr>
              <w:spacing w:after="0"/>
              <w:rPr>
                <w:sz w:val="1"/>
                <w:szCs w:val="1"/>
                <w:color w:val="auto"/>
              </w:rPr>
            </w:pPr>
          </w:p>
        </w:tc>
      </w:tr>
      <w:tr>
        <w:trPr>
          <w:trHeight w:val="86"/>
        </w:trPr>
        <w:tc>
          <w:tcPr>
            <w:tcW w:w="4260" w:type="dxa"/>
            <w:vAlign w:val="bottom"/>
          </w:tcPr>
          <w:p>
            <w:pPr>
              <w:ind w:left="180"/>
              <w:spacing w:after="0" w:line="86" w:lineRule="exact"/>
              <w:rPr>
                <w:sz w:val="20"/>
                <w:szCs w:val="20"/>
                <w:color w:val="auto"/>
              </w:rPr>
            </w:pPr>
            <w:r>
              <w:rPr>
                <w:rFonts w:ascii="Arial" w:cs="Arial" w:eastAsia="Arial" w:hAnsi="Arial"/>
                <w:sz w:val="9"/>
                <w:szCs w:val="9"/>
                <w:color w:val="auto"/>
              </w:rPr>
              <w:t xml:space="preserve">Contract acquisition costs, curren </w:t>
            </w:r>
            <w:r>
              <w:rPr>
                <w:rFonts w:ascii="Times New Roman" w:cs="Times New Roman" w:eastAsia="Times New Roman" w:hAnsi="Times New Roman"/>
                <w:sz w:val="9"/>
                <w:szCs w:val="9"/>
                <w:color w:val="B4B4B4"/>
              </w:rPr>
              <w:t>................................................................................</w:t>
            </w:r>
          </w:p>
        </w:tc>
        <w:tc>
          <w:tcPr>
            <w:tcW w:w="1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4260" w:type="dxa"/>
            <w:vAlign w:val="bottom"/>
          </w:tcPr>
          <w:p>
            <w:pPr>
              <w:ind w:left="180"/>
              <w:spacing w:after="0" w:line="77" w:lineRule="exact"/>
              <w:rPr>
                <w:sz w:val="20"/>
                <w:szCs w:val="20"/>
                <w:color w:val="auto"/>
              </w:rPr>
            </w:pPr>
            <w:r>
              <w:rPr>
                <w:rFonts w:ascii="Arial" w:cs="Arial" w:eastAsia="Arial" w:hAnsi="Arial"/>
                <w:sz w:val="8"/>
                <w:szCs w:val="8"/>
                <w:color w:val="auto"/>
              </w:rPr>
              <w:t>t</w:t>
            </w:r>
          </w:p>
        </w:tc>
        <w:tc>
          <w:tcPr>
            <w:tcW w:w="18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35,628</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1"/>
                <w:szCs w:val="11"/>
                <w:color w:val="auto"/>
              </w:rPr>
              <w:t>34,664</w:t>
            </w:r>
          </w:p>
        </w:tc>
        <w:tc>
          <w:tcPr>
            <w:tcW w:w="0" w:type="dxa"/>
            <w:vAlign w:val="bottom"/>
          </w:tcPr>
          <w:p>
            <w:pPr>
              <w:spacing w:after="0"/>
              <w:rPr>
                <w:sz w:val="1"/>
                <w:szCs w:val="1"/>
                <w:color w:val="auto"/>
              </w:rPr>
            </w:pPr>
          </w:p>
        </w:tc>
      </w:tr>
      <w:tr>
        <w:trPr>
          <w:trHeight w:val="86"/>
        </w:trPr>
        <w:tc>
          <w:tcPr>
            <w:tcW w:w="4260" w:type="dxa"/>
            <w:vAlign w:val="bottom"/>
          </w:tcPr>
          <w:p>
            <w:pPr>
              <w:ind w:left="180"/>
              <w:spacing w:after="0" w:line="86" w:lineRule="exact"/>
              <w:rPr>
                <w:sz w:val="20"/>
                <w:szCs w:val="20"/>
                <w:color w:val="auto"/>
              </w:rPr>
            </w:pPr>
            <w:r>
              <w:rPr>
                <w:rFonts w:ascii="Arial" w:cs="Arial" w:eastAsia="Arial" w:hAnsi="Arial"/>
                <w:sz w:val="9"/>
                <w:szCs w:val="9"/>
                <w:color w:val="auto"/>
              </w:rPr>
              <w:t xml:space="preserve">Prepaid expenses and other current asset  </w:t>
            </w:r>
            <w:r>
              <w:rPr>
                <w:rFonts w:ascii="Times New Roman" w:cs="Times New Roman" w:eastAsia="Times New Roman" w:hAnsi="Times New Roman"/>
                <w:sz w:val="9"/>
                <w:szCs w:val="9"/>
                <w:color w:val="B4B4B4"/>
              </w:rPr>
              <w:t>................................................................</w:t>
            </w:r>
          </w:p>
        </w:tc>
        <w:tc>
          <w:tcPr>
            <w:tcW w:w="1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4260" w:type="dxa"/>
            <w:vAlign w:val="bottom"/>
          </w:tcPr>
          <w:p>
            <w:pPr>
              <w:ind w:left="180"/>
              <w:spacing w:after="0" w:line="58" w:lineRule="exact"/>
              <w:rPr>
                <w:sz w:val="20"/>
                <w:szCs w:val="20"/>
                <w:color w:val="auto"/>
              </w:rPr>
            </w:pPr>
            <w:r>
              <w:rPr>
                <w:rFonts w:ascii="Arial" w:cs="Arial" w:eastAsia="Arial" w:hAnsi="Arial"/>
                <w:sz w:val="6"/>
                <w:szCs w:val="6"/>
                <w:color w:val="auto"/>
              </w:rPr>
              <w:t>s</w:t>
            </w: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4260" w:type="dxa"/>
            <w:vAlign w:val="bottom"/>
          </w:tcPr>
          <w:p>
            <w:pPr>
              <w:ind w:left="40"/>
              <w:spacing w:after="0"/>
              <w:rPr>
                <w:sz w:val="20"/>
                <w:szCs w:val="20"/>
                <w:color w:val="auto"/>
              </w:rPr>
            </w:pPr>
            <w:r>
              <w:rPr>
                <w:rFonts w:ascii="Arial" w:cs="Arial" w:eastAsia="Arial" w:hAnsi="Arial"/>
                <w:sz w:val="11"/>
                <w:szCs w:val="11"/>
                <w:color w:val="auto"/>
              </w:rPr>
              <w:t>Total current assets</w:t>
            </w:r>
            <w:r>
              <w:rPr>
                <w:rFonts w:ascii="Times New Roman" w:cs="Times New Roman" w:eastAsia="Times New Roman" w:hAnsi="Times New Roman"/>
                <w:sz w:val="11"/>
                <w:szCs w:val="11"/>
                <w:color w:val="B4B4B4"/>
              </w:rPr>
              <w:t>...............................................................................................................</w:t>
            </w:r>
          </w:p>
        </w:tc>
        <w:tc>
          <w:tcPr>
            <w:tcW w:w="180" w:type="dxa"/>
            <w:vAlign w:val="bottom"/>
          </w:tcPr>
          <w:p>
            <w:pPr>
              <w:spacing w:after="0"/>
              <w:rPr>
                <w:sz w:val="12"/>
                <w:szCs w:val="12"/>
                <w:color w:val="auto"/>
              </w:rPr>
            </w:pPr>
          </w:p>
        </w:tc>
        <w:tc>
          <w:tcPr>
            <w:tcW w:w="660" w:type="dxa"/>
            <w:vAlign w:val="bottom"/>
          </w:tcPr>
          <w:p>
            <w:pPr>
              <w:jc w:val="right"/>
              <w:ind w:right="4"/>
              <w:spacing w:after="0"/>
              <w:rPr>
                <w:sz w:val="20"/>
                <w:szCs w:val="20"/>
                <w:color w:val="auto"/>
              </w:rPr>
            </w:pPr>
            <w:r>
              <w:rPr>
                <w:rFonts w:ascii="Arial" w:cs="Arial" w:eastAsia="Arial" w:hAnsi="Arial"/>
                <w:sz w:val="11"/>
                <w:szCs w:val="11"/>
                <w:color w:val="auto"/>
              </w:rPr>
              <w:t>688,852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682,563</w:t>
            </w:r>
          </w:p>
        </w:tc>
        <w:tc>
          <w:tcPr>
            <w:tcW w:w="0" w:type="dxa"/>
            <w:vAlign w:val="bottom"/>
          </w:tcPr>
          <w:p>
            <w:pPr>
              <w:spacing w:after="0"/>
              <w:rPr>
                <w:sz w:val="1"/>
                <w:szCs w:val="1"/>
                <w:color w:val="auto"/>
              </w:rPr>
            </w:pPr>
          </w:p>
        </w:tc>
      </w:tr>
      <w:tr>
        <w:trPr>
          <w:trHeight w:val="105"/>
        </w:trPr>
        <w:tc>
          <w:tcPr>
            <w:tcW w:w="4260" w:type="dxa"/>
            <w:vAlign w:val="bottom"/>
          </w:tcPr>
          <w:p>
            <w:pPr>
              <w:ind w:left="40"/>
              <w:spacing w:after="0" w:line="105" w:lineRule="exact"/>
              <w:rPr>
                <w:sz w:val="20"/>
                <w:szCs w:val="20"/>
                <w:color w:val="auto"/>
              </w:rPr>
            </w:pPr>
            <w:r>
              <w:rPr>
                <w:rFonts w:ascii="Arial" w:cs="Arial" w:eastAsia="Arial" w:hAnsi="Arial"/>
                <w:sz w:val="11"/>
                <w:szCs w:val="11"/>
                <w:color w:val="auto"/>
              </w:rPr>
              <w:t xml:space="preserve">Restricted cash, non-curren </w:t>
            </w:r>
            <w:r>
              <w:rPr>
                <w:rFonts w:ascii="Times New Roman" w:cs="Times New Roman" w:eastAsia="Times New Roman" w:hAnsi="Times New Roman"/>
                <w:sz w:val="11"/>
                <w:szCs w:val="11"/>
                <w:color w:val="B4B4B4"/>
              </w:rPr>
              <w:t>................................................................................................</w:t>
            </w:r>
          </w:p>
        </w:tc>
        <w:tc>
          <w:tcPr>
            <w:tcW w:w="180" w:type="dxa"/>
            <w:vAlign w:val="bottom"/>
          </w:tcPr>
          <w:p>
            <w:pPr>
              <w:spacing w:after="0"/>
              <w:rPr>
                <w:sz w:val="9"/>
                <w:szCs w:val="9"/>
                <w:color w:val="auto"/>
              </w:rPr>
            </w:pP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4,766</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ind w:right="4"/>
              <w:spacing w:after="0" w:line="105" w:lineRule="exact"/>
              <w:rPr>
                <w:sz w:val="20"/>
                <w:szCs w:val="20"/>
                <w:color w:val="auto"/>
              </w:rPr>
            </w:pPr>
            <w:r>
              <w:rPr>
                <w:rFonts w:ascii="Arial" w:cs="Arial" w:eastAsia="Arial" w:hAnsi="Arial"/>
                <w:sz w:val="11"/>
                <w:szCs w:val="11"/>
                <w:color w:val="auto"/>
              </w:rPr>
              <w:t>5,000</w:t>
            </w:r>
          </w:p>
        </w:tc>
        <w:tc>
          <w:tcPr>
            <w:tcW w:w="0" w:type="dxa"/>
            <w:vAlign w:val="bottom"/>
          </w:tcPr>
          <w:p>
            <w:pPr>
              <w:spacing w:after="0"/>
              <w:rPr>
                <w:sz w:val="1"/>
                <w:szCs w:val="1"/>
                <w:color w:val="auto"/>
              </w:rPr>
            </w:pPr>
          </w:p>
        </w:tc>
      </w:tr>
      <w:tr>
        <w:trPr>
          <w:trHeight w:val="77"/>
        </w:trPr>
        <w:tc>
          <w:tcPr>
            <w:tcW w:w="4260" w:type="dxa"/>
            <w:vAlign w:val="bottom"/>
          </w:tcPr>
          <w:p>
            <w:pPr>
              <w:ind w:left="40"/>
              <w:spacing w:after="0" w:line="77" w:lineRule="exact"/>
              <w:rPr>
                <w:sz w:val="20"/>
                <w:szCs w:val="20"/>
                <w:color w:val="auto"/>
              </w:rPr>
            </w:pPr>
            <w:r>
              <w:rPr>
                <w:rFonts w:ascii="Arial" w:cs="Arial" w:eastAsia="Arial" w:hAnsi="Arial"/>
                <w:sz w:val="8"/>
                <w:szCs w:val="8"/>
                <w:color w:val="auto"/>
              </w:rPr>
              <w:t>t</w:t>
            </w:r>
          </w:p>
        </w:tc>
        <w:tc>
          <w:tcPr>
            <w:tcW w:w="18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16,185</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86"/>
        </w:trPr>
        <w:tc>
          <w:tcPr>
            <w:tcW w:w="4260" w:type="dxa"/>
            <w:vAlign w:val="bottom"/>
          </w:tcPr>
          <w:p>
            <w:pPr>
              <w:ind w:left="40"/>
              <w:spacing w:after="0" w:line="86" w:lineRule="exact"/>
              <w:rPr>
                <w:sz w:val="20"/>
                <w:szCs w:val="20"/>
                <w:color w:val="auto"/>
              </w:rPr>
            </w:pPr>
            <w:r>
              <w:rPr>
                <w:rFonts w:ascii="Arial" w:cs="Arial" w:eastAsia="Arial" w:hAnsi="Arial"/>
                <w:sz w:val="9"/>
                <w:szCs w:val="9"/>
                <w:color w:val="auto"/>
              </w:rPr>
              <w:t xml:space="preserve">Contract acquisition costs, non-curren </w:t>
            </w:r>
            <w:r>
              <w:rPr>
                <w:rFonts w:ascii="Times New Roman" w:cs="Times New Roman" w:eastAsia="Times New Roman" w:hAnsi="Times New Roman"/>
                <w:sz w:val="9"/>
                <w:szCs w:val="9"/>
                <w:color w:val="B4B4B4"/>
              </w:rPr>
              <w:t>..............................................................................</w:t>
            </w:r>
          </w:p>
        </w:tc>
        <w:tc>
          <w:tcPr>
            <w:tcW w:w="1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4260" w:type="dxa"/>
            <w:vAlign w:val="bottom"/>
          </w:tcPr>
          <w:p>
            <w:pPr>
              <w:ind w:left="40"/>
              <w:spacing w:after="0" w:line="77" w:lineRule="exact"/>
              <w:rPr>
                <w:sz w:val="20"/>
                <w:szCs w:val="20"/>
                <w:color w:val="auto"/>
              </w:rPr>
            </w:pPr>
            <w:r>
              <w:rPr>
                <w:rFonts w:ascii="Arial" w:cs="Arial" w:eastAsia="Arial" w:hAnsi="Arial"/>
                <w:sz w:val="8"/>
                <w:szCs w:val="8"/>
                <w:color w:val="auto"/>
              </w:rPr>
              <w:t>t</w:t>
            </w:r>
          </w:p>
        </w:tc>
        <w:tc>
          <w:tcPr>
            <w:tcW w:w="18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48,006</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1"/>
                <w:szCs w:val="11"/>
                <w:color w:val="auto"/>
              </w:rPr>
              <w:t>45,877</w:t>
            </w:r>
          </w:p>
        </w:tc>
        <w:tc>
          <w:tcPr>
            <w:tcW w:w="0" w:type="dxa"/>
            <w:vAlign w:val="bottom"/>
          </w:tcPr>
          <w:p>
            <w:pPr>
              <w:spacing w:after="0"/>
              <w:rPr>
                <w:sz w:val="1"/>
                <w:szCs w:val="1"/>
                <w:color w:val="auto"/>
              </w:rPr>
            </w:pPr>
          </w:p>
        </w:tc>
      </w:tr>
      <w:tr>
        <w:trPr>
          <w:trHeight w:val="86"/>
        </w:trPr>
        <w:tc>
          <w:tcPr>
            <w:tcW w:w="4260" w:type="dxa"/>
            <w:vAlign w:val="bottom"/>
          </w:tcPr>
          <w:p>
            <w:pPr>
              <w:ind w:left="40"/>
              <w:spacing w:after="0" w:line="86" w:lineRule="exact"/>
              <w:rPr>
                <w:sz w:val="20"/>
                <w:szCs w:val="20"/>
                <w:color w:val="auto"/>
              </w:rPr>
            </w:pPr>
            <w:r>
              <w:rPr>
                <w:rFonts w:ascii="Arial" w:cs="Arial" w:eastAsia="Arial" w:hAnsi="Arial"/>
                <w:sz w:val="9"/>
                <w:szCs w:val="9"/>
                <w:color w:val="auto"/>
              </w:rPr>
              <w:t xml:space="preserve">Operating lease right-of-use asset </w:t>
            </w:r>
            <w:r>
              <w:rPr>
                <w:rFonts w:ascii="Times New Roman" w:cs="Times New Roman" w:eastAsia="Times New Roman" w:hAnsi="Times New Roman"/>
                <w:sz w:val="9"/>
                <w:szCs w:val="9"/>
                <w:color w:val="B4B4B4"/>
              </w:rPr>
              <w:t>....................................................................................</w:t>
            </w:r>
          </w:p>
        </w:tc>
        <w:tc>
          <w:tcPr>
            <w:tcW w:w="1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4260" w:type="dxa"/>
            <w:vAlign w:val="bottom"/>
          </w:tcPr>
          <w:p>
            <w:pPr>
              <w:ind w:left="40"/>
              <w:spacing w:after="0" w:line="77" w:lineRule="exact"/>
              <w:rPr>
                <w:sz w:val="20"/>
                <w:szCs w:val="20"/>
                <w:color w:val="auto"/>
              </w:rPr>
            </w:pPr>
            <w:r>
              <w:rPr>
                <w:rFonts w:ascii="Arial" w:cs="Arial" w:eastAsia="Arial" w:hAnsi="Arial"/>
                <w:sz w:val="8"/>
                <w:szCs w:val="8"/>
                <w:color w:val="auto"/>
              </w:rPr>
              <w:t>s</w:t>
            </w:r>
          </w:p>
        </w:tc>
        <w:tc>
          <w:tcPr>
            <w:tcW w:w="18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29,538</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1"/>
                <w:szCs w:val="11"/>
                <w:color w:val="auto"/>
              </w:rPr>
              <w:t>31,183</w:t>
            </w:r>
          </w:p>
        </w:tc>
        <w:tc>
          <w:tcPr>
            <w:tcW w:w="0" w:type="dxa"/>
            <w:vAlign w:val="bottom"/>
          </w:tcPr>
          <w:p>
            <w:pPr>
              <w:spacing w:after="0"/>
              <w:rPr>
                <w:sz w:val="1"/>
                <w:szCs w:val="1"/>
                <w:color w:val="auto"/>
              </w:rPr>
            </w:pPr>
          </w:p>
        </w:tc>
      </w:tr>
      <w:tr>
        <w:trPr>
          <w:trHeight w:val="144"/>
        </w:trPr>
        <w:tc>
          <w:tcPr>
            <w:tcW w:w="4260" w:type="dxa"/>
            <w:vAlign w:val="bottom"/>
          </w:tcPr>
          <w:p>
            <w:pPr>
              <w:ind w:left="40"/>
              <w:spacing w:after="0"/>
              <w:rPr>
                <w:sz w:val="20"/>
                <w:szCs w:val="20"/>
                <w:color w:val="auto"/>
              </w:rPr>
            </w:pPr>
            <w:r>
              <w:rPr>
                <w:rFonts w:ascii="Arial" w:cs="Arial" w:eastAsia="Arial" w:hAnsi="Arial"/>
                <w:sz w:val="11"/>
                <w:szCs w:val="11"/>
                <w:color w:val="auto"/>
              </w:rPr>
              <w:t xml:space="preserve">Property, equipment and software, net </w:t>
            </w:r>
            <w:r>
              <w:rPr>
                <w:rFonts w:ascii="Times New Roman" w:cs="Times New Roman" w:eastAsia="Times New Roman" w:hAnsi="Times New Roman"/>
                <w:sz w:val="11"/>
                <w:szCs w:val="11"/>
                <w:color w:val="B4B4B4"/>
              </w:rPr>
              <w:t>..............................................................................</w:t>
            </w: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60" w:type="dxa"/>
            <w:vAlign w:val="bottom"/>
          </w:tcPr>
          <w:p>
            <w:pPr>
              <w:ind w:left="40"/>
              <w:spacing w:after="0"/>
              <w:rPr>
                <w:sz w:val="20"/>
                <w:szCs w:val="20"/>
                <w:color w:val="auto"/>
              </w:rPr>
            </w:pPr>
            <w:r>
              <w:rPr>
                <w:rFonts w:ascii="Arial" w:cs="Arial" w:eastAsia="Arial" w:hAnsi="Arial"/>
                <w:sz w:val="11"/>
                <w:szCs w:val="11"/>
                <w:color w:val="auto"/>
              </w:rPr>
              <w:t xml:space="preserve">Intangible assets, net </w:t>
            </w:r>
            <w:r>
              <w:rPr>
                <w:rFonts w:ascii="Times New Roman" w:cs="Times New Roman" w:eastAsia="Times New Roman" w:hAnsi="Times New Roman"/>
                <w:sz w:val="11"/>
                <w:szCs w:val="11"/>
                <w:color w:val="B4B4B4"/>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55,633</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61,012</w:t>
            </w:r>
          </w:p>
        </w:tc>
        <w:tc>
          <w:tcPr>
            <w:tcW w:w="0" w:type="dxa"/>
            <w:vAlign w:val="bottom"/>
          </w:tcPr>
          <w:p>
            <w:pPr>
              <w:spacing w:after="0"/>
              <w:rPr>
                <w:sz w:val="1"/>
                <w:szCs w:val="1"/>
                <w:color w:val="auto"/>
              </w:rPr>
            </w:pPr>
          </w:p>
        </w:tc>
      </w:tr>
      <w:tr>
        <w:trPr>
          <w:trHeight w:val="169"/>
        </w:trPr>
        <w:tc>
          <w:tcPr>
            <w:tcW w:w="4260" w:type="dxa"/>
            <w:vAlign w:val="bottom"/>
            <w:shd w:val="clear" w:color="auto" w:fill="CCEEFF"/>
          </w:tcPr>
          <w:p>
            <w:pPr>
              <w:ind w:left="40"/>
              <w:spacing w:after="0"/>
              <w:rPr>
                <w:sz w:val="20"/>
                <w:szCs w:val="20"/>
                <w:color w:val="auto"/>
              </w:rPr>
            </w:pPr>
            <w:r>
              <w:rPr>
                <w:rFonts w:ascii="Arial" w:cs="Arial" w:eastAsia="Arial" w:hAnsi="Arial"/>
                <w:sz w:val="11"/>
                <w:szCs w:val="11"/>
                <w:color w:val="auto"/>
              </w:rPr>
              <w:t>Goodwill</w:t>
            </w:r>
            <w:r>
              <w:rPr>
                <w:rFonts w:ascii="Times New Roman" w:cs="Times New Roman" w:eastAsia="Times New Roman" w:hAnsi="Times New Roman"/>
                <w:sz w:val="11"/>
                <w:szCs w:val="11"/>
                <w:color w:val="B4B4B4"/>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219,728</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220,541</w:t>
            </w:r>
          </w:p>
        </w:tc>
        <w:tc>
          <w:tcPr>
            <w:tcW w:w="0" w:type="dxa"/>
            <w:vAlign w:val="bottom"/>
          </w:tcPr>
          <w:p>
            <w:pPr>
              <w:spacing w:after="0"/>
              <w:rPr>
                <w:sz w:val="1"/>
                <w:szCs w:val="1"/>
                <w:color w:val="auto"/>
              </w:rPr>
            </w:pPr>
          </w:p>
        </w:tc>
      </w:tr>
      <w:tr>
        <w:trPr>
          <w:trHeight w:val="105"/>
        </w:trPr>
        <w:tc>
          <w:tcPr>
            <w:tcW w:w="4260" w:type="dxa"/>
            <w:vAlign w:val="bottom"/>
          </w:tcPr>
          <w:p>
            <w:pPr>
              <w:ind w:left="40"/>
              <w:spacing w:after="0" w:line="105" w:lineRule="exact"/>
              <w:rPr>
                <w:sz w:val="20"/>
                <w:szCs w:val="20"/>
                <w:color w:val="auto"/>
              </w:rPr>
            </w:pPr>
            <w:r>
              <w:rPr>
                <w:rFonts w:ascii="Arial" w:cs="Arial" w:eastAsia="Arial" w:hAnsi="Arial"/>
                <w:sz w:val="11"/>
                <w:szCs w:val="11"/>
                <w:color w:val="auto"/>
              </w:rPr>
              <w:t xml:space="preserve">Other non-current asset </w:t>
            </w:r>
            <w:r>
              <w:rPr>
                <w:rFonts w:ascii="Times New Roman" w:cs="Times New Roman" w:eastAsia="Times New Roman" w:hAnsi="Times New Roman"/>
                <w:sz w:val="11"/>
                <w:szCs w:val="11"/>
                <w:color w:val="B4B4B4"/>
              </w:rPr>
              <w:t>......................................................................................................</w:t>
            </w:r>
          </w:p>
        </w:tc>
        <w:tc>
          <w:tcPr>
            <w:tcW w:w="180" w:type="dxa"/>
            <w:vAlign w:val="bottom"/>
          </w:tcPr>
          <w:p>
            <w:pPr>
              <w:spacing w:after="0"/>
              <w:rPr>
                <w:sz w:val="9"/>
                <w:szCs w:val="9"/>
                <w:color w:val="auto"/>
              </w:rPr>
            </w:pP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21,246</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ind w:right="4"/>
              <w:spacing w:after="0" w:line="105" w:lineRule="exact"/>
              <w:rPr>
                <w:sz w:val="20"/>
                <w:szCs w:val="20"/>
                <w:color w:val="auto"/>
              </w:rPr>
            </w:pPr>
            <w:r>
              <w:rPr>
                <w:rFonts w:ascii="Arial" w:cs="Arial" w:eastAsia="Arial" w:hAnsi="Arial"/>
                <w:sz w:val="11"/>
                <w:szCs w:val="11"/>
                <w:color w:val="auto"/>
              </w:rPr>
              <w:t>19,794</w:t>
            </w:r>
          </w:p>
        </w:tc>
        <w:tc>
          <w:tcPr>
            <w:tcW w:w="0" w:type="dxa"/>
            <w:vAlign w:val="bottom"/>
          </w:tcPr>
          <w:p>
            <w:pPr>
              <w:spacing w:after="0"/>
              <w:rPr>
                <w:sz w:val="1"/>
                <w:szCs w:val="1"/>
                <w:color w:val="auto"/>
              </w:rPr>
            </w:pPr>
          </w:p>
        </w:tc>
      </w:tr>
      <w:tr>
        <w:trPr>
          <w:trHeight w:val="57"/>
        </w:trPr>
        <w:tc>
          <w:tcPr>
            <w:tcW w:w="4260" w:type="dxa"/>
            <w:vAlign w:val="bottom"/>
          </w:tcPr>
          <w:p>
            <w:pPr>
              <w:ind w:left="40"/>
              <w:spacing w:after="0" w:line="58" w:lineRule="exact"/>
              <w:rPr>
                <w:sz w:val="20"/>
                <w:szCs w:val="20"/>
                <w:color w:val="auto"/>
              </w:rPr>
            </w:pPr>
            <w:r>
              <w:rPr>
                <w:rFonts w:ascii="Arial" w:cs="Arial" w:eastAsia="Arial" w:hAnsi="Arial"/>
                <w:sz w:val="6"/>
                <w:szCs w:val="6"/>
                <w:color w:val="auto"/>
              </w:rPr>
              <w:t>s</w:t>
            </w: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4260" w:type="dxa"/>
            <w:vAlign w:val="bottom"/>
          </w:tcPr>
          <w:p>
            <w:pPr>
              <w:ind w:left="40"/>
              <w:spacing w:after="0" w:line="124" w:lineRule="exact"/>
              <w:rPr>
                <w:sz w:val="20"/>
                <w:szCs w:val="20"/>
                <w:color w:val="auto"/>
              </w:rPr>
            </w:pPr>
            <w:r>
              <w:rPr>
                <w:rFonts w:ascii="Arial" w:cs="Arial" w:eastAsia="Arial" w:hAnsi="Arial"/>
                <w:sz w:val="11"/>
                <w:szCs w:val="11"/>
                <w:color w:val="auto"/>
              </w:rPr>
              <w:t xml:space="preserve">Total assets </w:t>
            </w:r>
            <w:r>
              <w:rPr>
                <w:rFonts w:ascii="Times New Roman" w:cs="Times New Roman" w:eastAsia="Times New Roman" w:hAnsi="Times New Roman"/>
                <w:sz w:val="11"/>
                <w:szCs w:val="11"/>
                <w:color w:val="B4B4B4"/>
              </w:rPr>
              <w:t>............................................................................................................................</w:t>
            </w:r>
          </w:p>
        </w:tc>
        <w:tc>
          <w:tcPr>
            <w:tcW w:w="180" w:type="dxa"/>
            <w:vAlign w:val="bottom"/>
          </w:tcPr>
          <w:p>
            <w:pPr>
              <w:jc w:val="right"/>
              <w:ind w:right="25"/>
              <w:spacing w:after="0" w:line="124" w:lineRule="exact"/>
              <w:rPr>
                <w:sz w:val="20"/>
                <w:szCs w:val="20"/>
                <w:color w:val="auto"/>
              </w:rPr>
            </w:pPr>
            <w:r>
              <w:rPr>
                <w:rFonts w:ascii="Arial" w:cs="Arial" w:eastAsia="Arial" w:hAnsi="Arial"/>
                <w:sz w:val="11"/>
                <w:szCs w:val="11"/>
                <w:color w:val="auto"/>
              </w:rPr>
              <w:t>$</w:t>
            </w:r>
          </w:p>
        </w:tc>
        <w:tc>
          <w:tcPr>
            <w:tcW w:w="660" w:type="dxa"/>
            <w:vAlign w:val="bottom"/>
          </w:tcPr>
          <w:p>
            <w:pPr>
              <w:jc w:val="right"/>
              <w:ind w:right="4"/>
              <w:spacing w:after="0" w:line="124" w:lineRule="exact"/>
              <w:rPr>
                <w:sz w:val="20"/>
                <w:szCs w:val="20"/>
                <w:color w:val="auto"/>
              </w:rPr>
            </w:pPr>
            <w:r>
              <w:rPr>
                <w:rFonts w:ascii="Arial" w:cs="Arial" w:eastAsia="Arial" w:hAnsi="Arial"/>
                <w:sz w:val="11"/>
                <w:szCs w:val="11"/>
                <w:color w:val="auto"/>
              </w:rPr>
              <w:t>1,083,954</w:t>
            </w:r>
          </w:p>
        </w:tc>
        <w:tc>
          <w:tcPr>
            <w:tcW w:w="20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4"/>
              <w:spacing w:after="0" w:line="124" w:lineRule="exact"/>
              <w:rPr>
                <w:sz w:val="20"/>
                <w:szCs w:val="20"/>
                <w:color w:val="auto"/>
              </w:rPr>
            </w:pPr>
            <w:r>
              <w:rPr>
                <w:rFonts w:ascii="Arial" w:cs="Arial" w:eastAsia="Arial" w:hAnsi="Arial"/>
                <w:sz w:val="11"/>
                <w:szCs w:val="11"/>
                <w:color w:val="auto"/>
              </w:rPr>
              <w:t>1,066,017</w:t>
            </w:r>
          </w:p>
        </w:tc>
        <w:tc>
          <w:tcPr>
            <w:tcW w:w="0" w:type="dxa"/>
            <w:vAlign w:val="bottom"/>
          </w:tcPr>
          <w:p>
            <w:pPr>
              <w:spacing w:after="0"/>
              <w:rPr>
                <w:sz w:val="1"/>
                <w:szCs w:val="1"/>
                <w:color w:val="auto"/>
              </w:rPr>
            </w:pPr>
          </w:p>
        </w:tc>
      </w:tr>
      <w:tr>
        <w:trPr>
          <w:trHeight w:val="86"/>
        </w:trPr>
        <w:tc>
          <w:tcPr>
            <w:tcW w:w="4260" w:type="dxa"/>
            <w:vAlign w:val="bottom"/>
          </w:tcPr>
          <w:p>
            <w:pPr>
              <w:ind w:left="40"/>
              <w:spacing w:after="0" w:line="86" w:lineRule="exact"/>
              <w:rPr>
                <w:sz w:val="20"/>
                <w:szCs w:val="20"/>
                <w:color w:val="auto"/>
              </w:rPr>
            </w:pPr>
            <w:r>
              <w:rPr>
                <w:rFonts w:ascii="Arial" w:cs="Arial" w:eastAsia="Arial" w:hAnsi="Arial"/>
                <w:sz w:val="9"/>
                <w:szCs w:val="9"/>
                <w:b w:val="1"/>
                <w:bCs w:val="1"/>
                <w:color w:val="auto"/>
              </w:rPr>
              <w:t>Liabilities, redeemable convertible preferred stock and stockholders’ defici</w:t>
            </w:r>
          </w:p>
        </w:tc>
        <w:tc>
          <w:tcPr>
            <w:tcW w:w="1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4260" w:type="dxa"/>
            <w:vAlign w:val="bottom"/>
          </w:tcPr>
          <w:p>
            <w:pPr>
              <w:ind w:left="40"/>
              <w:spacing w:after="0" w:line="77" w:lineRule="exact"/>
              <w:rPr>
                <w:sz w:val="20"/>
                <w:szCs w:val="20"/>
                <w:color w:val="auto"/>
              </w:rPr>
            </w:pPr>
            <w:r>
              <w:rPr>
                <w:rFonts w:ascii="Arial" w:cs="Arial" w:eastAsia="Arial" w:hAnsi="Arial"/>
                <w:sz w:val="8"/>
                <w:szCs w:val="8"/>
                <w:b w:val="1"/>
                <w:bCs w:val="1"/>
                <w:color w:val="auto"/>
              </w:rPr>
              <w:t>t</w:t>
            </w: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4260" w:type="dxa"/>
            <w:vAlign w:val="bottom"/>
          </w:tcPr>
          <w:p>
            <w:pPr>
              <w:ind w:left="40"/>
              <w:spacing w:after="0"/>
              <w:rPr>
                <w:sz w:val="20"/>
                <w:szCs w:val="20"/>
                <w:color w:val="auto"/>
              </w:rPr>
            </w:pPr>
            <w:r>
              <w:rPr>
                <w:rFonts w:ascii="Arial" w:cs="Arial" w:eastAsia="Arial" w:hAnsi="Arial"/>
                <w:sz w:val="11"/>
                <w:szCs w:val="11"/>
                <w:color w:val="auto"/>
              </w:rPr>
              <w:t>Current liabilities: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260" w:type="dxa"/>
            <w:vAlign w:val="bottom"/>
          </w:tcPr>
          <w:p>
            <w:pPr>
              <w:ind w:left="180"/>
              <w:spacing w:after="0" w:line="105" w:lineRule="exact"/>
              <w:rPr>
                <w:sz w:val="20"/>
                <w:szCs w:val="20"/>
                <w:color w:val="auto"/>
              </w:rPr>
            </w:pPr>
            <w:r>
              <w:rPr>
                <w:rFonts w:ascii="Arial" w:cs="Arial" w:eastAsia="Arial" w:hAnsi="Arial"/>
                <w:sz w:val="11"/>
                <w:szCs w:val="11"/>
                <w:color w:val="auto"/>
              </w:rPr>
              <w:t xml:space="preserve">Accounts payabl </w:t>
            </w:r>
            <w:r>
              <w:rPr>
                <w:rFonts w:ascii="Times New Roman" w:cs="Times New Roman" w:eastAsia="Times New Roman" w:hAnsi="Times New Roman"/>
                <w:sz w:val="11"/>
                <w:szCs w:val="11"/>
                <w:color w:val="B4B4B4"/>
              </w:rPr>
              <w:t>.............................................................................................................</w:t>
            </w:r>
          </w:p>
        </w:tc>
        <w:tc>
          <w:tcPr>
            <w:tcW w:w="180" w:type="dxa"/>
            <w:vAlign w:val="bottom"/>
          </w:tcPr>
          <w:p>
            <w:pPr>
              <w:jc w:val="right"/>
              <w:ind w:right="25"/>
              <w:spacing w:after="0" w:line="105"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42,829</w:t>
            </w:r>
          </w:p>
        </w:tc>
        <w:tc>
          <w:tcPr>
            <w:tcW w:w="200" w:type="dxa"/>
            <w:vAlign w:val="bottom"/>
            <w:gridSpan w:val="2"/>
          </w:tcPr>
          <w:p>
            <w:pPr>
              <w:jc w:val="right"/>
              <w:ind w:right="60"/>
              <w:spacing w:after="0" w:line="105"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4"/>
              <w:spacing w:after="0" w:line="105" w:lineRule="exact"/>
              <w:rPr>
                <w:sz w:val="20"/>
                <w:szCs w:val="20"/>
                <w:color w:val="auto"/>
              </w:rPr>
            </w:pPr>
            <w:r>
              <w:rPr>
                <w:rFonts w:ascii="Arial" w:cs="Arial" w:eastAsia="Arial" w:hAnsi="Arial"/>
                <w:sz w:val="11"/>
                <w:szCs w:val="11"/>
                <w:color w:val="auto"/>
              </w:rPr>
              <w:t>24,320</w:t>
            </w:r>
          </w:p>
        </w:tc>
        <w:tc>
          <w:tcPr>
            <w:tcW w:w="0" w:type="dxa"/>
            <w:vAlign w:val="bottom"/>
          </w:tcPr>
          <w:p>
            <w:pPr>
              <w:spacing w:after="0"/>
              <w:rPr>
                <w:sz w:val="1"/>
                <w:szCs w:val="1"/>
                <w:color w:val="auto"/>
              </w:rPr>
            </w:pPr>
          </w:p>
        </w:tc>
      </w:tr>
      <w:tr>
        <w:trPr>
          <w:trHeight w:val="77"/>
        </w:trPr>
        <w:tc>
          <w:tcPr>
            <w:tcW w:w="4260" w:type="dxa"/>
            <w:vAlign w:val="bottom"/>
          </w:tcPr>
          <w:p>
            <w:pPr>
              <w:ind w:left="180"/>
              <w:spacing w:after="0" w:line="77" w:lineRule="exact"/>
              <w:rPr>
                <w:sz w:val="20"/>
                <w:szCs w:val="20"/>
                <w:color w:val="auto"/>
              </w:rPr>
            </w:pPr>
            <w:r>
              <w:rPr>
                <w:rFonts w:ascii="Arial" w:cs="Arial" w:eastAsia="Arial" w:hAnsi="Arial"/>
                <w:sz w:val="8"/>
                <w:szCs w:val="8"/>
                <w:color w:val="auto"/>
              </w:rPr>
              <w:t>e</w:t>
            </w:r>
          </w:p>
        </w:tc>
        <w:tc>
          <w:tcPr>
            <w:tcW w:w="180" w:type="dxa"/>
            <w:vAlign w:val="bottom"/>
          </w:tcPr>
          <w:p>
            <w:pPr>
              <w:spacing w:after="0"/>
              <w:rPr>
                <w:sz w:val="6"/>
                <w:szCs w:val="6"/>
                <w:color w:val="auto"/>
              </w:rPr>
            </w:pP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136,798</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1"/>
                <w:szCs w:val="11"/>
                <w:color w:val="auto"/>
              </w:rPr>
              <w:t>127,242</w:t>
            </w:r>
          </w:p>
        </w:tc>
        <w:tc>
          <w:tcPr>
            <w:tcW w:w="0" w:type="dxa"/>
            <w:vAlign w:val="bottom"/>
          </w:tcPr>
          <w:p>
            <w:pPr>
              <w:spacing w:after="0"/>
              <w:rPr>
                <w:sz w:val="1"/>
                <w:szCs w:val="1"/>
                <w:color w:val="auto"/>
              </w:rPr>
            </w:pPr>
          </w:p>
        </w:tc>
      </w:tr>
      <w:tr>
        <w:trPr>
          <w:trHeight w:val="86"/>
        </w:trPr>
        <w:tc>
          <w:tcPr>
            <w:tcW w:w="4260" w:type="dxa"/>
            <w:vAlign w:val="bottom"/>
          </w:tcPr>
          <w:p>
            <w:pPr>
              <w:ind w:left="180"/>
              <w:spacing w:after="0" w:line="86" w:lineRule="exact"/>
              <w:rPr>
                <w:sz w:val="20"/>
                <w:szCs w:val="20"/>
                <w:color w:val="auto"/>
              </w:rPr>
            </w:pPr>
            <w:r>
              <w:rPr>
                <w:rFonts w:ascii="Arial" w:cs="Arial" w:eastAsia="Arial" w:hAnsi="Arial"/>
                <w:sz w:val="9"/>
                <w:szCs w:val="9"/>
                <w:color w:val="auto"/>
              </w:rPr>
              <w:t xml:space="preserve">Accrued expenses and other current liabilitie </w:t>
            </w:r>
            <w:r>
              <w:rPr>
                <w:rFonts w:ascii="Times New Roman" w:cs="Times New Roman" w:eastAsia="Times New Roman" w:hAnsi="Times New Roman"/>
                <w:sz w:val="9"/>
                <w:szCs w:val="9"/>
                <w:color w:val="B4B4B4"/>
              </w:rPr>
              <w:t>............................................................</w:t>
            </w:r>
          </w:p>
        </w:tc>
        <w:tc>
          <w:tcPr>
            <w:tcW w:w="1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4260" w:type="dxa"/>
            <w:vAlign w:val="bottom"/>
          </w:tcPr>
          <w:p>
            <w:pPr>
              <w:ind w:left="180"/>
              <w:spacing w:after="0" w:line="77" w:lineRule="exact"/>
              <w:rPr>
                <w:sz w:val="20"/>
                <w:szCs w:val="20"/>
                <w:color w:val="auto"/>
              </w:rPr>
            </w:pPr>
            <w:r>
              <w:rPr>
                <w:rFonts w:ascii="Arial" w:cs="Arial" w:eastAsia="Arial" w:hAnsi="Arial"/>
                <w:sz w:val="8"/>
                <w:szCs w:val="8"/>
                <w:color w:val="auto"/>
              </w:rPr>
              <w:t>s</w:t>
            </w:r>
          </w:p>
        </w:tc>
        <w:tc>
          <w:tcPr>
            <w:tcW w:w="180" w:type="dxa"/>
            <w:vAlign w:val="bottom"/>
          </w:tcPr>
          <w:p>
            <w:pPr>
              <w:spacing w:after="0"/>
              <w:rPr>
                <w:sz w:val="6"/>
                <w:szCs w:val="6"/>
                <w:color w:val="auto"/>
              </w:rPr>
            </w:pP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175,913</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1"/>
                <w:szCs w:val="11"/>
                <w:color w:val="auto"/>
              </w:rPr>
              <w:t>2,594</w:t>
            </w:r>
          </w:p>
        </w:tc>
        <w:tc>
          <w:tcPr>
            <w:tcW w:w="0" w:type="dxa"/>
            <w:vAlign w:val="bottom"/>
          </w:tcPr>
          <w:p>
            <w:pPr>
              <w:spacing w:after="0"/>
              <w:rPr>
                <w:sz w:val="1"/>
                <w:szCs w:val="1"/>
                <w:color w:val="auto"/>
              </w:rPr>
            </w:pPr>
          </w:p>
        </w:tc>
      </w:tr>
      <w:tr>
        <w:trPr>
          <w:trHeight w:val="86"/>
        </w:trPr>
        <w:tc>
          <w:tcPr>
            <w:tcW w:w="4260" w:type="dxa"/>
            <w:vAlign w:val="bottom"/>
          </w:tcPr>
          <w:p>
            <w:pPr>
              <w:ind w:left="180"/>
              <w:spacing w:after="0" w:line="86" w:lineRule="exact"/>
              <w:rPr>
                <w:sz w:val="20"/>
                <w:szCs w:val="20"/>
                <w:color w:val="auto"/>
              </w:rPr>
            </w:pPr>
            <w:r>
              <w:rPr>
                <w:rFonts w:ascii="Arial" w:cs="Arial" w:eastAsia="Arial" w:hAnsi="Arial"/>
                <w:sz w:val="9"/>
                <w:szCs w:val="9"/>
                <w:color w:val="auto"/>
              </w:rPr>
              <w:t xml:space="preserve">Notes payable, curren </w:t>
            </w:r>
            <w:r>
              <w:rPr>
                <w:rFonts w:ascii="Times New Roman" w:cs="Times New Roman" w:eastAsia="Times New Roman" w:hAnsi="Times New Roman"/>
                <w:sz w:val="9"/>
                <w:szCs w:val="9"/>
                <w:color w:val="B4B4B4"/>
              </w:rPr>
              <w:t>....................................................................................................</w:t>
            </w:r>
          </w:p>
        </w:tc>
        <w:tc>
          <w:tcPr>
            <w:tcW w:w="1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4260" w:type="dxa"/>
            <w:vAlign w:val="bottom"/>
          </w:tcPr>
          <w:p>
            <w:pPr>
              <w:ind w:left="180"/>
              <w:spacing w:after="0" w:line="77" w:lineRule="exact"/>
              <w:rPr>
                <w:sz w:val="20"/>
                <w:szCs w:val="20"/>
                <w:color w:val="auto"/>
              </w:rPr>
            </w:pPr>
            <w:r>
              <w:rPr>
                <w:rFonts w:ascii="Arial" w:cs="Arial" w:eastAsia="Arial" w:hAnsi="Arial"/>
                <w:sz w:val="8"/>
                <w:szCs w:val="8"/>
                <w:color w:val="auto"/>
              </w:rPr>
              <w:t>t</w:t>
            </w:r>
          </w:p>
        </w:tc>
        <w:tc>
          <w:tcPr>
            <w:tcW w:w="18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45,000</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6"/>
        </w:trPr>
        <w:tc>
          <w:tcPr>
            <w:tcW w:w="4260" w:type="dxa"/>
            <w:vAlign w:val="bottom"/>
          </w:tcPr>
          <w:p>
            <w:pPr>
              <w:ind w:left="180"/>
              <w:spacing w:after="0" w:line="86" w:lineRule="exact"/>
              <w:rPr>
                <w:sz w:val="20"/>
                <w:szCs w:val="20"/>
                <w:color w:val="auto"/>
              </w:rPr>
            </w:pPr>
            <w:r>
              <w:rPr>
                <w:rFonts w:ascii="Arial" w:cs="Arial" w:eastAsia="Arial" w:hAnsi="Arial"/>
                <w:sz w:val="9"/>
                <w:szCs w:val="9"/>
                <w:color w:val="auto"/>
              </w:rPr>
              <w:t xml:space="preserve">Trade loan facilit </w:t>
            </w:r>
            <w:r>
              <w:rPr>
                <w:rFonts w:ascii="Times New Roman" w:cs="Times New Roman" w:eastAsia="Times New Roman" w:hAnsi="Times New Roman"/>
                <w:sz w:val="9"/>
                <w:szCs w:val="9"/>
                <w:color w:val="B4B4B4"/>
              </w:rPr>
              <w:t>.............................................................................................................</w:t>
            </w:r>
          </w:p>
        </w:tc>
        <w:tc>
          <w:tcPr>
            <w:tcW w:w="1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4260" w:type="dxa"/>
            <w:vAlign w:val="bottom"/>
          </w:tcPr>
          <w:p>
            <w:pPr>
              <w:ind w:left="180"/>
              <w:spacing w:after="0" w:line="77" w:lineRule="exact"/>
              <w:rPr>
                <w:sz w:val="20"/>
                <w:szCs w:val="20"/>
                <w:color w:val="auto"/>
              </w:rPr>
            </w:pPr>
            <w:r>
              <w:rPr>
                <w:rFonts w:ascii="Arial" w:cs="Arial" w:eastAsia="Arial" w:hAnsi="Arial"/>
                <w:sz w:val="8"/>
                <w:szCs w:val="8"/>
                <w:color w:val="auto"/>
              </w:rPr>
              <w:t>y</w:t>
            </w:r>
          </w:p>
        </w:tc>
        <w:tc>
          <w:tcPr>
            <w:tcW w:w="18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11,389</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1"/>
                <w:szCs w:val="11"/>
                <w:color w:val="auto"/>
              </w:rPr>
              <w:t>5,734</w:t>
            </w:r>
          </w:p>
        </w:tc>
        <w:tc>
          <w:tcPr>
            <w:tcW w:w="0" w:type="dxa"/>
            <w:vAlign w:val="bottom"/>
          </w:tcPr>
          <w:p>
            <w:pPr>
              <w:spacing w:after="0"/>
              <w:rPr>
                <w:sz w:val="1"/>
                <w:szCs w:val="1"/>
                <w:color w:val="auto"/>
              </w:rPr>
            </w:pPr>
          </w:p>
        </w:tc>
      </w:tr>
      <w:tr>
        <w:trPr>
          <w:trHeight w:val="144"/>
        </w:trPr>
        <w:tc>
          <w:tcPr>
            <w:tcW w:w="4260" w:type="dxa"/>
            <w:vAlign w:val="bottom"/>
          </w:tcPr>
          <w:p>
            <w:pPr>
              <w:ind w:left="180"/>
              <w:spacing w:after="0"/>
              <w:rPr>
                <w:sz w:val="20"/>
                <w:szCs w:val="20"/>
                <w:color w:val="auto"/>
              </w:rPr>
            </w:pPr>
            <w:r>
              <w:rPr>
                <w:rFonts w:ascii="Arial" w:cs="Arial" w:eastAsia="Arial" w:hAnsi="Arial"/>
                <w:sz w:val="11"/>
                <w:szCs w:val="11"/>
                <w:color w:val="auto"/>
              </w:rPr>
              <w:t xml:space="preserve">Operating lease liabilities, current </w:t>
            </w:r>
            <w:r>
              <w:rPr>
                <w:rFonts w:ascii="Times New Roman" w:cs="Times New Roman" w:eastAsia="Times New Roman" w:hAnsi="Times New Roman"/>
                <w:sz w:val="11"/>
                <w:szCs w:val="11"/>
                <w:color w:val="B4B4B4"/>
              </w:rPr>
              <w:t>.................................................................................</w:t>
            </w: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Deferred revenue, current</w:t>
            </w:r>
            <w:r>
              <w:rPr>
                <w:rFonts w:ascii="Times New Roman" w:cs="Times New Roman" w:eastAsia="Times New Roman" w:hAnsi="Times New Roman"/>
                <w:sz w:val="11"/>
                <w:szCs w:val="11"/>
                <w:color w:val="B4B4B4"/>
              </w:rPr>
              <w:t>...............................................................................................</w:t>
            </w: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34,097</w:t>
            </w:r>
          </w:p>
        </w:tc>
        <w:tc>
          <w:tcPr>
            <w:tcW w:w="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27,794</w:t>
            </w:r>
          </w:p>
        </w:tc>
        <w:tc>
          <w:tcPr>
            <w:tcW w:w="0" w:type="dxa"/>
            <w:vAlign w:val="bottom"/>
          </w:tcPr>
          <w:p>
            <w:pPr>
              <w:spacing w:after="0"/>
              <w:rPr>
                <w:sz w:val="1"/>
                <w:szCs w:val="1"/>
                <w:color w:val="auto"/>
              </w:rPr>
            </w:pPr>
          </w:p>
        </w:tc>
      </w:tr>
      <w:tr>
        <w:trPr>
          <w:trHeight w:val="85"/>
        </w:trPr>
        <w:tc>
          <w:tcPr>
            <w:tcW w:w="4260" w:type="dxa"/>
            <w:vAlign w:val="bottom"/>
          </w:tcPr>
          <w:p>
            <w:pPr>
              <w:ind w:left="40"/>
              <w:spacing w:after="0" w:line="85" w:lineRule="exact"/>
              <w:rPr>
                <w:sz w:val="20"/>
                <w:szCs w:val="20"/>
                <w:color w:val="auto"/>
              </w:rPr>
            </w:pPr>
            <w:r>
              <w:rPr>
                <w:rFonts w:ascii="Times New Roman" w:cs="Times New Roman" w:eastAsia="Times New Roman" w:hAnsi="Times New Roman"/>
                <w:sz w:val="9"/>
                <w:szCs w:val="9"/>
                <w:color w:val="B4B4B4"/>
              </w:rPr>
              <w:t>...........................................................................................................</w:t>
            </w:r>
            <w:r>
              <w:rPr>
                <w:rFonts w:ascii="Arial" w:cs="Arial" w:eastAsia="Arial" w:hAnsi="Arial"/>
                <w:sz w:val="9"/>
                <w:szCs w:val="9"/>
                <w:color w:val="000000"/>
              </w:rPr>
              <w:t>Totalcurrentliabilitie</w:t>
            </w:r>
          </w:p>
        </w:tc>
        <w:tc>
          <w:tcPr>
            <w:tcW w:w="180" w:type="dxa"/>
            <w:vAlign w:val="bottom"/>
          </w:tcPr>
          <w:p>
            <w:pPr>
              <w:spacing w:after="0"/>
              <w:rPr>
                <w:sz w:val="7"/>
                <w:szCs w:val="7"/>
                <w:color w:val="auto"/>
              </w:rPr>
            </w:pPr>
          </w:p>
        </w:tc>
        <w:tc>
          <w:tcPr>
            <w:tcW w:w="660" w:type="dxa"/>
            <w:vAlign w:val="bottom"/>
          </w:tcPr>
          <w:p>
            <w:pPr>
              <w:jc w:val="right"/>
              <w:ind w:right="4"/>
              <w:spacing w:after="0" w:line="85" w:lineRule="exact"/>
              <w:rPr>
                <w:sz w:val="20"/>
                <w:szCs w:val="20"/>
                <w:color w:val="auto"/>
              </w:rPr>
            </w:pPr>
            <w:r>
              <w:rPr>
                <w:rFonts w:ascii="Arial" w:cs="Arial" w:eastAsia="Arial" w:hAnsi="Arial"/>
                <w:sz w:val="9"/>
                <w:szCs w:val="9"/>
                <w:color w:val="auto"/>
              </w:rPr>
              <w:t>446,026</w:t>
            </w: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jc w:val="right"/>
              <w:ind w:right="4"/>
              <w:spacing w:after="0" w:line="85" w:lineRule="exact"/>
              <w:rPr>
                <w:sz w:val="20"/>
                <w:szCs w:val="20"/>
                <w:color w:val="auto"/>
              </w:rPr>
            </w:pPr>
            <w:r>
              <w:rPr>
                <w:rFonts w:ascii="Arial" w:cs="Arial" w:eastAsia="Arial" w:hAnsi="Arial"/>
                <w:sz w:val="9"/>
                <w:szCs w:val="9"/>
                <w:color w:val="auto"/>
              </w:rPr>
              <w:t>187,684</w:t>
            </w:r>
          </w:p>
        </w:tc>
        <w:tc>
          <w:tcPr>
            <w:tcW w:w="0" w:type="dxa"/>
            <w:vAlign w:val="bottom"/>
          </w:tcPr>
          <w:p>
            <w:pPr>
              <w:spacing w:after="0"/>
              <w:rPr>
                <w:sz w:val="1"/>
                <w:szCs w:val="1"/>
                <w:color w:val="auto"/>
              </w:rPr>
            </w:pPr>
          </w:p>
        </w:tc>
      </w:tr>
      <w:tr>
        <w:trPr>
          <w:trHeight w:val="77"/>
        </w:trPr>
        <w:tc>
          <w:tcPr>
            <w:tcW w:w="4260" w:type="dxa"/>
            <w:vAlign w:val="bottom"/>
          </w:tcPr>
          <w:p>
            <w:pPr>
              <w:ind w:left="40"/>
              <w:spacing w:after="0" w:line="77" w:lineRule="exact"/>
              <w:rPr>
                <w:sz w:val="20"/>
                <w:szCs w:val="20"/>
                <w:color w:val="auto"/>
              </w:rPr>
            </w:pPr>
            <w:r>
              <w:rPr>
                <w:rFonts w:ascii="Arial" w:cs="Arial" w:eastAsia="Arial" w:hAnsi="Arial"/>
                <w:sz w:val="8"/>
                <w:szCs w:val="8"/>
                <w:color w:val="auto"/>
              </w:rPr>
              <w:t>s</w:t>
            </w:r>
          </w:p>
        </w:tc>
        <w:tc>
          <w:tcPr>
            <w:tcW w:w="18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43,098</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1"/>
                <w:szCs w:val="11"/>
                <w:color w:val="auto"/>
              </w:rPr>
              <w:t>45,258</w:t>
            </w:r>
          </w:p>
        </w:tc>
        <w:tc>
          <w:tcPr>
            <w:tcW w:w="0" w:type="dxa"/>
            <w:vAlign w:val="bottom"/>
          </w:tcPr>
          <w:p>
            <w:pPr>
              <w:spacing w:after="0"/>
              <w:rPr>
                <w:sz w:val="1"/>
                <w:szCs w:val="1"/>
                <w:color w:val="auto"/>
              </w:rPr>
            </w:pPr>
          </w:p>
        </w:tc>
      </w:tr>
      <w:tr>
        <w:trPr>
          <w:trHeight w:val="144"/>
        </w:trPr>
        <w:tc>
          <w:tcPr>
            <w:tcW w:w="4260" w:type="dxa"/>
            <w:vAlign w:val="bottom"/>
          </w:tcPr>
          <w:p>
            <w:pPr>
              <w:ind w:left="40"/>
              <w:spacing w:after="0"/>
              <w:rPr>
                <w:sz w:val="20"/>
                <w:szCs w:val="20"/>
                <w:color w:val="auto"/>
              </w:rPr>
            </w:pPr>
            <w:r>
              <w:rPr>
                <w:rFonts w:ascii="Arial" w:cs="Arial" w:eastAsia="Arial" w:hAnsi="Arial"/>
                <w:sz w:val="11"/>
                <w:szCs w:val="11"/>
                <w:color w:val="auto"/>
              </w:rPr>
              <w:t>Operating lease liabilities, non-current</w:t>
            </w:r>
            <w:r>
              <w:rPr>
                <w:rFonts w:ascii="Times New Roman" w:cs="Times New Roman" w:eastAsia="Times New Roman" w:hAnsi="Times New Roman"/>
                <w:sz w:val="11"/>
                <w:szCs w:val="11"/>
                <w:color w:val="B4B4B4"/>
              </w:rPr>
              <w:t>...............................................................................</w:t>
            </w: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60" w:type="dxa"/>
            <w:vAlign w:val="bottom"/>
          </w:tcPr>
          <w:p>
            <w:pPr>
              <w:ind w:left="40"/>
              <w:spacing w:after="0"/>
              <w:rPr>
                <w:sz w:val="20"/>
                <w:szCs w:val="20"/>
                <w:color w:val="auto"/>
              </w:rPr>
            </w:pPr>
            <w:r>
              <w:rPr>
                <w:rFonts w:ascii="Arial" w:cs="Arial" w:eastAsia="Arial" w:hAnsi="Arial"/>
                <w:sz w:val="11"/>
                <w:szCs w:val="11"/>
                <w:color w:val="auto"/>
              </w:rPr>
              <w:t xml:space="preserve">Convertible notes, net </w:t>
            </w:r>
            <w:r>
              <w:rPr>
                <w:rFonts w:ascii="Times New Roman" w:cs="Times New Roman" w:eastAsia="Times New Roman" w:hAnsi="Times New Roman"/>
                <w:sz w:val="11"/>
                <w:szCs w:val="11"/>
                <w:color w:val="B4B4B4"/>
              </w:rPr>
              <w:t>...........................................................................................................</w:t>
            </w:r>
          </w:p>
        </w:tc>
        <w:tc>
          <w:tcPr>
            <w:tcW w:w="180" w:type="dxa"/>
            <w:vAlign w:val="bottom"/>
          </w:tcPr>
          <w:p>
            <w:pPr>
              <w:spacing w:after="0"/>
              <w:rPr>
                <w:sz w:val="14"/>
                <w:szCs w:val="14"/>
                <w:color w:val="auto"/>
              </w:rPr>
            </w:pPr>
          </w:p>
        </w:tc>
        <w:tc>
          <w:tcPr>
            <w:tcW w:w="660" w:type="dxa"/>
            <w:vAlign w:val="bottom"/>
          </w:tcPr>
          <w:p>
            <w:pPr>
              <w:jc w:val="right"/>
              <w:ind w:right="4"/>
              <w:spacing w:after="0"/>
              <w:rPr>
                <w:sz w:val="20"/>
                <w:szCs w:val="20"/>
                <w:color w:val="auto"/>
              </w:rPr>
            </w:pPr>
            <w:r>
              <w:rPr>
                <w:rFonts w:ascii="Arial" w:cs="Arial" w:eastAsia="Arial" w:hAnsi="Arial"/>
                <w:sz w:val="11"/>
                <w:szCs w:val="11"/>
                <w:color w:val="auto"/>
              </w:rPr>
              <w:t>182,394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154,687</w:t>
            </w:r>
          </w:p>
        </w:tc>
        <w:tc>
          <w:tcPr>
            <w:tcW w:w="0" w:type="dxa"/>
            <w:vAlign w:val="bottom"/>
          </w:tcPr>
          <w:p>
            <w:pPr>
              <w:spacing w:after="0"/>
              <w:rPr>
                <w:sz w:val="1"/>
                <w:szCs w:val="1"/>
                <w:color w:val="auto"/>
              </w:rPr>
            </w:pPr>
          </w:p>
        </w:tc>
      </w:tr>
      <w:tr>
        <w:trPr>
          <w:trHeight w:val="105"/>
        </w:trPr>
        <w:tc>
          <w:tcPr>
            <w:tcW w:w="4260" w:type="dxa"/>
            <w:vAlign w:val="bottom"/>
          </w:tcPr>
          <w:p>
            <w:pPr>
              <w:ind w:left="40"/>
              <w:spacing w:after="0" w:line="105" w:lineRule="exact"/>
              <w:rPr>
                <w:sz w:val="20"/>
                <w:szCs w:val="20"/>
                <w:color w:val="auto"/>
              </w:rPr>
            </w:pPr>
            <w:r>
              <w:rPr>
                <w:rFonts w:ascii="Arial" w:cs="Arial" w:eastAsia="Arial" w:hAnsi="Arial"/>
                <w:sz w:val="11"/>
                <w:szCs w:val="11"/>
                <w:color w:val="auto"/>
              </w:rPr>
              <w:t xml:space="preserve">Embedded derivative liabilit  </w:t>
            </w:r>
            <w:r>
              <w:rPr>
                <w:rFonts w:ascii="Times New Roman" w:cs="Times New Roman" w:eastAsia="Times New Roman" w:hAnsi="Times New Roman"/>
                <w:sz w:val="11"/>
                <w:szCs w:val="11"/>
                <w:color w:val="B4B4B4"/>
              </w:rPr>
              <w:t>...............................................................................................</w:t>
            </w:r>
          </w:p>
        </w:tc>
        <w:tc>
          <w:tcPr>
            <w:tcW w:w="180" w:type="dxa"/>
            <w:vAlign w:val="bottom"/>
          </w:tcPr>
          <w:p>
            <w:pPr>
              <w:spacing w:after="0"/>
              <w:rPr>
                <w:sz w:val="9"/>
                <w:szCs w:val="9"/>
                <w:color w:val="auto"/>
              </w:rPr>
            </w:pP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59,820</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ind w:right="4"/>
              <w:spacing w:after="0" w:line="105" w:lineRule="exact"/>
              <w:rPr>
                <w:sz w:val="20"/>
                <w:szCs w:val="20"/>
                <w:color w:val="auto"/>
              </w:rPr>
            </w:pPr>
            <w:r>
              <w:rPr>
                <w:rFonts w:ascii="Arial" w:cs="Arial" w:eastAsia="Arial" w:hAnsi="Arial"/>
                <w:sz w:val="11"/>
                <w:szCs w:val="11"/>
                <w:color w:val="auto"/>
              </w:rPr>
              <w:t>72,150</w:t>
            </w:r>
          </w:p>
        </w:tc>
        <w:tc>
          <w:tcPr>
            <w:tcW w:w="0" w:type="dxa"/>
            <w:vAlign w:val="bottom"/>
          </w:tcPr>
          <w:p>
            <w:pPr>
              <w:spacing w:after="0"/>
              <w:rPr>
                <w:sz w:val="1"/>
                <w:szCs w:val="1"/>
                <w:color w:val="auto"/>
              </w:rPr>
            </w:pPr>
          </w:p>
        </w:tc>
      </w:tr>
      <w:tr>
        <w:trPr>
          <w:trHeight w:val="77"/>
        </w:trPr>
        <w:tc>
          <w:tcPr>
            <w:tcW w:w="4260" w:type="dxa"/>
            <w:vAlign w:val="bottom"/>
          </w:tcPr>
          <w:p>
            <w:pPr>
              <w:ind w:left="40"/>
              <w:spacing w:after="0" w:line="77" w:lineRule="exact"/>
              <w:rPr>
                <w:sz w:val="20"/>
                <w:szCs w:val="20"/>
                <w:color w:val="auto"/>
              </w:rPr>
            </w:pPr>
            <w:r>
              <w:rPr>
                <w:rFonts w:ascii="Arial" w:cs="Arial" w:eastAsia="Arial" w:hAnsi="Arial"/>
                <w:sz w:val="8"/>
                <w:szCs w:val="8"/>
                <w:color w:val="auto"/>
              </w:rPr>
              <w:t>y</w:t>
            </w:r>
          </w:p>
        </w:tc>
        <w:tc>
          <w:tcPr>
            <w:tcW w:w="180" w:type="dxa"/>
            <w:vAlign w:val="bottom"/>
          </w:tcPr>
          <w:p>
            <w:pPr>
              <w:spacing w:after="0"/>
              <w:rPr>
                <w:sz w:val="6"/>
                <w:szCs w:val="6"/>
                <w:color w:val="auto"/>
              </w:rPr>
            </w:pP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214,238</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1"/>
                <w:szCs w:val="11"/>
                <w:color w:val="auto"/>
              </w:rPr>
              <w:t>206,404</w:t>
            </w:r>
          </w:p>
        </w:tc>
        <w:tc>
          <w:tcPr>
            <w:tcW w:w="0" w:type="dxa"/>
            <w:vAlign w:val="bottom"/>
          </w:tcPr>
          <w:p>
            <w:pPr>
              <w:spacing w:after="0"/>
              <w:rPr>
                <w:sz w:val="1"/>
                <w:szCs w:val="1"/>
                <w:color w:val="auto"/>
              </w:rPr>
            </w:pPr>
          </w:p>
        </w:tc>
      </w:tr>
      <w:tr>
        <w:trPr>
          <w:trHeight w:val="86"/>
        </w:trPr>
        <w:tc>
          <w:tcPr>
            <w:tcW w:w="4260" w:type="dxa"/>
            <w:vAlign w:val="bottom"/>
          </w:tcPr>
          <w:p>
            <w:pPr>
              <w:ind w:left="40"/>
              <w:spacing w:after="0" w:line="86" w:lineRule="exact"/>
              <w:rPr>
                <w:sz w:val="20"/>
                <w:szCs w:val="20"/>
                <w:color w:val="auto"/>
              </w:rPr>
            </w:pPr>
            <w:r>
              <w:rPr>
                <w:rFonts w:ascii="Arial" w:cs="Arial" w:eastAsia="Arial" w:hAnsi="Arial"/>
                <w:sz w:val="9"/>
                <w:szCs w:val="9"/>
                <w:color w:val="auto"/>
              </w:rPr>
              <w:t xml:space="preserve">Warehouse credit facilit  </w:t>
            </w:r>
            <w:r>
              <w:rPr>
                <w:rFonts w:ascii="Times New Roman" w:cs="Times New Roman" w:eastAsia="Times New Roman" w:hAnsi="Times New Roman"/>
                <w:sz w:val="9"/>
                <w:szCs w:val="9"/>
                <w:color w:val="B4B4B4"/>
              </w:rPr>
              <w:t>......................................................................................................</w:t>
            </w:r>
          </w:p>
        </w:tc>
        <w:tc>
          <w:tcPr>
            <w:tcW w:w="1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4260" w:type="dxa"/>
            <w:vAlign w:val="bottom"/>
          </w:tcPr>
          <w:p>
            <w:pPr>
              <w:ind w:left="40"/>
              <w:spacing w:after="0" w:line="77" w:lineRule="exact"/>
              <w:rPr>
                <w:sz w:val="20"/>
                <w:szCs w:val="20"/>
                <w:color w:val="auto"/>
              </w:rPr>
            </w:pPr>
            <w:r>
              <w:rPr>
                <w:rFonts w:ascii="Arial" w:cs="Arial" w:eastAsia="Arial" w:hAnsi="Arial"/>
                <w:sz w:val="8"/>
                <w:szCs w:val="8"/>
                <w:color w:val="auto"/>
              </w:rPr>
              <w:t>y</w:t>
            </w:r>
          </w:p>
        </w:tc>
        <w:tc>
          <w:tcPr>
            <w:tcW w:w="18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394</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1"/>
                <w:szCs w:val="11"/>
                <w:color w:val="auto"/>
              </w:rPr>
              <w:t>159,170</w:t>
            </w:r>
          </w:p>
        </w:tc>
        <w:tc>
          <w:tcPr>
            <w:tcW w:w="0" w:type="dxa"/>
            <w:vAlign w:val="bottom"/>
          </w:tcPr>
          <w:p>
            <w:pPr>
              <w:spacing w:after="0"/>
              <w:rPr>
                <w:sz w:val="1"/>
                <w:szCs w:val="1"/>
                <w:color w:val="auto"/>
              </w:rPr>
            </w:pPr>
          </w:p>
        </w:tc>
      </w:tr>
      <w:tr>
        <w:trPr>
          <w:trHeight w:val="86"/>
        </w:trPr>
        <w:tc>
          <w:tcPr>
            <w:tcW w:w="4260" w:type="dxa"/>
            <w:vAlign w:val="bottom"/>
          </w:tcPr>
          <w:p>
            <w:pPr>
              <w:ind w:left="40"/>
              <w:spacing w:after="0" w:line="86" w:lineRule="exact"/>
              <w:rPr>
                <w:sz w:val="20"/>
                <w:szCs w:val="20"/>
                <w:color w:val="auto"/>
              </w:rPr>
            </w:pPr>
            <w:r>
              <w:rPr>
                <w:rFonts w:ascii="Arial" w:cs="Arial" w:eastAsia="Arial" w:hAnsi="Arial"/>
                <w:sz w:val="9"/>
                <w:szCs w:val="9"/>
                <w:color w:val="auto"/>
              </w:rPr>
              <w:t xml:space="preserve">Notes payable, non-curren </w:t>
            </w:r>
            <w:r>
              <w:rPr>
                <w:rFonts w:ascii="Times New Roman" w:cs="Times New Roman" w:eastAsia="Times New Roman" w:hAnsi="Times New Roman"/>
                <w:sz w:val="9"/>
                <w:szCs w:val="9"/>
                <w:color w:val="B4B4B4"/>
              </w:rPr>
              <w:t>..................................................................................................</w:t>
            </w:r>
          </w:p>
        </w:tc>
        <w:tc>
          <w:tcPr>
            <w:tcW w:w="1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4260" w:type="dxa"/>
            <w:vAlign w:val="bottom"/>
          </w:tcPr>
          <w:p>
            <w:pPr>
              <w:ind w:left="40"/>
              <w:spacing w:after="0" w:line="77" w:lineRule="exact"/>
              <w:rPr>
                <w:sz w:val="20"/>
                <w:szCs w:val="20"/>
                <w:color w:val="auto"/>
              </w:rPr>
            </w:pPr>
            <w:r>
              <w:rPr>
                <w:rFonts w:ascii="Arial" w:cs="Arial" w:eastAsia="Arial" w:hAnsi="Arial"/>
                <w:sz w:val="8"/>
                <w:szCs w:val="8"/>
                <w:color w:val="auto"/>
              </w:rPr>
              <w:t>t</w:t>
            </w:r>
          </w:p>
        </w:tc>
        <w:tc>
          <w:tcPr>
            <w:tcW w:w="18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813</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1"/>
                <w:szCs w:val="11"/>
                <w:color w:val="auto"/>
              </w:rPr>
              <w:t>330</w:t>
            </w:r>
          </w:p>
        </w:tc>
        <w:tc>
          <w:tcPr>
            <w:tcW w:w="0" w:type="dxa"/>
            <w:vAlign w:val="bottom"/>
          </w:tcPr>
          <w:p>
            <w:pPr>
              <w:spacing w:after="0"/>
              <w:rPr>
                <w:sz w:val="1"/>
                <w:szCs w:val="1"/>
                <w:color w:val="auto"/>
              </w:rPr>
            </w:pPr>
          </w:p>
        </w:tc>
      </w:tr>
      <w:tr>
        <w:trPr>
          <w:trHeight w:val="144"/>
        </w:trPr>
        <w:tc>
          <w:tcPr>
            <w:tcW w:w="4260" w:type="dxa"/>
            <w:vAlign w:val="bottom"/>
          </w:tcPr>
          <w:p>
            <w:pPr>
              <w:ind w:left="40"/>
              <w:spacing w:after="0"/>
              <w:rPr>
                <w:sz w:val="20"/>
                <w:szCs w:val="20"/>
                <w:color w:val="auto"/>
              </w:rPr>
            </w:pPr>
            <w:r>
              <w:rPr>
                <w:rFonts w:ascii="Arial" w:cs="Arial" w:eastAsia="Arial" w:hAnsi="Arial"/>
                <w:sz w:val="11"/>
                <w:szCs w:val="11"/>
                <w:color w:val="auto"/>
              </w:rPr>
              <w:t xml:space="preserve">Deferred revenue, non-current </w:t>
            </w:r>
            <w:r>
              <w:rPr>
                <w:rFonts w:ascii="Times New Roman" w:cs="Times New Roman" w:eastAsia="Times New Roman" w:hAnsi="Times New Roman"/>
                <w:sz w:val="11"/>
                <w:szCs w:val="11"/>
                <w:color w:val="B4B4B4"/>
              </w:rPr>
              <w:t>............................................................................................</w:t>
            </w: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260" w:type="dxa"/>
            <w:vAlign w:val="bottom"/>
          </w:tcPr>
          <w:p>
            <w:pPr>
              <w:ind w:left="40"/>
              <w:spacing w:after="0" w:line="105" w:lineRule="exact"/>
              <w:rPr>
                <w:sz w:val="20"/>
                <w:szCs w:val="20"/>
                <w:color w:val="auto"/>
              </w:rPr>
            </w:pPr>
            <w:r>
              <w:rPr>
                <w:rFonts w:ascii="Arial" w:cs="Arial" w:eastAsia="Arial" w:hAnsi="Arial"/>
                <w:sz w:val="11"/>
                <w:szCs w:val="11"/>
                <w:color w:val="auto"/>
              </w:rPr>
              <w:t xml:space="preserve">Other non-current liabilitie </w:t>
            </w:r>
            <w:r>
              <w:rPr>
                <w:rFonts w:ascii="Times New Roman" w:cs="Times New Roman" w:eastAsia="Times New Roman" w:hAnsi="Times New Roman"/>
                <w:sz w:val="11"/>
                <w:szCs w:val="11"/>
                <w:color w:val="B4B4B4"/>
              </w:rPr>
              <w:t>..................................................................................................</w:t>
            </w:r>
          </w:p>
        </w:tc>
        <w:tc>
          <w:tcPr>
            <w:tcW w:w="180" w:type="dxa"/>
            <w:vAlign w:val="bottom"/>
          </w:tcPr>
          <w:p>
            <w:pPr>
              <w:spacing w:after="0"/>
              <w:rPr>
                <w:sz w:val="9"/>
                <w:szCs w:val="9"/>
                <w:color w:val="auto"/>
              </w:rPr>
            </w:pP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22,949</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ind w:right="4"/>
              <w:spacing w:after="0" w:line="105" w:lineRule="exact"/>
              <w:rPr>
                <w:sz w:val="20"/>
                <w:szCs w:val="20"/>
                <w:color w:val="auto"/>
              </w:rPr>
            </w:pPr>
            <w:r>
              <w:rPr>
                <w:rFonts w:ascii="Arial" w:cs="Arial" w:eastAsia="Arial" w:hAnsi="Arial"/>
                <w:sz w:val="11"/>
                <w:szCs w:val="11"/>
                <w:color w:val="auto"/>
              </w:rPr>
              <w:t>21,184</w:t>
            </w:r>
          </w:p>
        </w:tc>
        <w:tc>
          <w:tcPr>
            <w:tcW w:w="0" w:type="dxa"/>
            <w:vAlign w:val="bottom"/>
          </w:tcPr>
          <w:p>
            <w:pPr>
              <w:spacing w:after="0"/>
              <w:rPr>
                <w:sz w:val="1"/>
                <w:szCs w:val="1"/>
                <w:color w:val="auto"/>
              </w:rPr>
            </w:pPr>
          </w:p>
        </w:tc>
      </w:tr>
      <w:tr>
        <w:trPr>
          <w:trHeight w:val="57"/>
        </w:trPr>
        <w:tc>
          <w:tcPr>
            <w:tcW w:w="4260" w:type="dxa"/>
            <w:vAlign w:val="bottom"/>
          </w:tcPr>
          <w:p>
            <w:pPr>
              <w:ind w:left="40"/>
              <w:spacing w:after="0" w:line="58" w:lineRule="exact"/>
              <w:rPr>
                <w:sz w:val="20"/>
                <w:szCs w:val="20"/>
                <w:color w:val="auto"/>
              </w:rPr>
            </w:pPr>
            <w:r>
              <w:rPr>
                <w:rFonts w:ascii="Arial" w:cs="Arial" w:eastAsia="Arial" w:hAnsi="Arial"/>
                <w:sz w:val="6"/>
                <w:szCs w:val="6"/>
                <w:color w:val="auto"/>
              </w:rPr>
              <w:t>s</w:t>
            </w: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4260" w:type="dxa"/>
            <w:vAlign w:val="bottom"/>
          </w:tcPr>
          <w:p>
            <w:pPr>
              <w:ind w:left="40"/>
              <w:spacing w:after="0"/>
              <w:rPr>
                <w:sz w:val="20"/>
                <w:szCs w:val="20"/>
                <w:color w:val="auto"/>
              </w:rPr>
            </w:pPr>
            <w:r>
              <w:rPr>
                <w:rFonts w:ascii="Arial" w:cs="Arial" w:eastAsia="Arial" w:hAnsi="Arial"/>
                <w:sz w:val="11"/>
                <w:szCs w:val="11"/>
                <w:color w:val="auto"/>
              </w:rPr>
              <w:t>Total liabilities</w:t>
            </w:r>
            <w:r>
              <w:rPr>
                <w:rFonts w:ascii="Times New Roman" w:cs="Times New Roman" w:eastAsia="Times New Roman" w:hAnsi="Times New Roman"/>
                <w:sz w:val="11"/>
                <w:szCs w:val="11"/>
                <w:color w:val="B4B4B4"/>
              </w:rPr>
              <w:t>.........................................................................................................................</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969,732</w:t>
            </w: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846,867</w:t>
            </w:r>
          </w:p>
        </w:tc>
        <w:tc>
          <w:tcPr>
            <w:tcW w:w="0" w:type="dxa"/>
            <w:vAlign w:val="bottom"/>
          </w:tcPr>
          <w:p>
            <w:pPr>
              <w:spacing w:after="0"/>
              <w:rPr>
                <w:sz w:val="1"/>
                <w:szCs w:val="1"/>
                <w:color w:val="auto"/>
              </w:rPr>
            </w:pPr>
          </w:p>
        </w:tc>
      </w:tr>
      <w:tr>
        <w:trPr>
          <w:trHeight w:val="85"/>
        </w:trPr>
        <w:tc>
          <w:tcPr>
            <w:tcW w:w="4260" w:type="dxa"/>
            <w:vAlign w:val="bottom"/>
          </w:tcPr>
          <w:p>
            <w:pPr>
              <w:ind w:left="40"/>
              <w:spacing w:after="0" w:line="85" w:lineRule="exact"/>
              <w:rPr>
                <w:sz w:val="20"/>
                <w:szCs w:val="20"/>
                <w:color w:val="auto"/>
              </w:rPr>
            </w:pPr>
            <w:r>
              <w:rPr>
                <w:rFonts w:ascii="Arial" w:cs="Arial" w:eastAsia="Arial" w:hAnsi="Arial"/>
                <w:sz w:val="9"/>
                <w:szCs w:val="9"/>
                <w:color w:val="auto"/>
              </w:rPr>
              <w:t>Commitments and contingencies (Note 13</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426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4260" w:type="dxa"/>
            <w:vAlign w:val="bottom"/>
          </w:tcPr>
          <w:p>
            <w:pPr>
              <w:ind w:left="40"/>
              <w:spacing w:after="0" w:line="106" w:lineRule="exact"/>
              <w:rPr>
                <w:sz w:val="20"/>
                <w:szCs w:val="20"/>
                <w:color w:val="auto"/>
              </w:rPr>
            </w:pPr>
            <w:r>
              <w:rPr>
                <w:rFonts w:ascii="Arial" w:cs="Arial" w:eastAsia="Arial" w:hAnsi="Arial"/>
                <w:sz w:val="11"/>
                <w:szCs w:val="11"/>
                <w:color w:val="auto"/>
              </w:rPr>
              <w:t>Redeemable convertible preferred stock, par value $0.00000625; 157,027,585</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260" w:type="dxa"/>
            <w:vAlign w:val="bottom"/>
          </w:tcPr>
          <w:p>
            <w:pPr>
              <w:ind w:left="140"/>
              <w:spacing w:after="0" w:line="115" w:lineRule="exact"/>
              <w:rPr>
                <w:sz w:val="20"/>
                <w:szCs w:val="20"/>
                <w:color w:val="auto"/>
              </w:rPr>
            </w:pPr>
            <w:r>
              <w:rPr>
                <w:rFonts w:ascii="Arial" w:cs="Arial" w:eastAsia="Arial" w:hAnsi="Arial"/>
                <w:sz w:val="11"/>
                <w:szCs w:val="11"/>
                <w:color w:val="auto"/>
              </w:rPr>
              <w:t>shares authorized; 146,360,207 issued and outstanding (aggregate liquidation</w:t>
            </w:r>
          </w:p>
        </w:tc>
        <w:tc>
          <w:tcPr>
            <w:tcW w:w="180" w:type="dxa"/>
            <w:vAlign w:val="bottom"/>
          </w:tcPr>
          <w:p>
            <w:pPr>
              <w:spacing w:after="0"/>
              <w:rPr>
                <w:sz w:val="9"/>
                <w:szCs w:val="9"/>
                <w:color w:val="auto"/>
              </w:rPr>
            </w:pP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1,301,121</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1"/>
                <w:szCs w:val="11"/>
                <w:color w:val="auto"/>
              </w:rPr>
              <w:t>1,301,121</w:t>
            </w:r>
          </w:p>
        </w:tc>
        <w:tc>
          <w:tcPr>
            <w:tcW w:w="0" w:type="dxa"/>
            <w:vAlign w:val="bottom"/>
          </w:tcPr>
          <w:p>
            <w:pPr>
              <w:spacing w:after="0"/>
              <w:rPr>
                <w:sz w:val="1"/>
                <w:szCs w:val="1"/>
                <w:color w:val="auto"/>
              </w:rPr>
            </w:pPr>
          </w:p>
        </w:tc>
      </w:tr>
      <w:tr>
        <w:trPr>
          <w:trHeight w:val="114"/>
        </w:trPr>
        <w:tc>
          <w:tcPr>
            <w:tcW w:w="4260" w:type="dxa"/>
            <w:vAlign w:val="bottom"/>
          </w:tcPr>
          <w:p>
            <w:pPr>
              <w:ind w:left="140"/>
              <w:spacing w:after="0" w:line="115" w:lineRule="exact"/>
              <w:rPr>
                <w:sz w:val="20"/>
                <w:szCs w:val="20"/>
                <w:color w:val="auto"/>
              </w:rPr>
            </w:pPr>
            <w:r>
              <w:rPr>
                <w:rFonts w:ascii="Arial" w:cs="Arial" w:eastAsia="Arial" w:hAnsi="Arial"/>
                <w:sz w:val="11"/>
                <w:szCs w:val="11"/>
                <w:color w:val="auto"/>
              </w:rPr>
              <w:t xml:space="preserve">preference of $1,301,402 </w:t>
            </w:r>
            <w:r>
              <w:rPr>
                <w:rFonts w:ascii="Times New Roman" w:cs="Times New Roman" w:eastAsia="Times New Roman" w:hAnsi="Times New Roman"/>
                <w:sz w:val="11"/>
                <w:szCs w:val="11"/>
                <w:color w:val="B4B4B4"/>
              </w:rPr>
              <w:t>................................................................................................</w:t>
            </w: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4260" w:type="dxa"/>
            <w:vAlign w:val="bottom"/>
          </w:tcPr>
          <w:p>
            <w:pPr>
              <w:ind w:left="140"/>
              <w:spacing w:after="0" w:line="7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4260" w:type="dxa"/>
            <w:vAlign w:val="bottom"/>
          </w:tcPr>
          <w:p>
            <w:pPr>
              <w:ind w:left="40"/>
              <w:spacing w:after="0"/>
              <w:rPr>
                <w:sz w:val="20"/>
                <w:szCs w:val="20"/>
                <w:color w:val="auto"/>
              </w:rPr>
            </w:pPr>
            <w:r>
              <w:rPr>
                <w:rFonts w:ascii="Arial" w:cs="Arial" w:eastAsia="Arial" w:hAnsi="Arial"/>
                <w:sz w:val="11"/>
                <w:szCs w:val="11"/>
                <w:b w:val="1"/>
                <w:bCs w:val="1"/>
                <w:color w:val="auto"/>
              </w:rPr>
              <w:t>Stockholders’ deficit</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260" w:type="dxa"/>
            <w:vAlign w:val="bottom"/>
          </w:tcPr>
          <w:p>
            <w:pPr>
              <w:ind w:left="180"/>
              <w:spacing w:after="0" w:line="125" w:lineRule="exact"/>
              <w:rPr>
                <w:sz w:val="20"/>
                <w:szCs w:val="20"/>
                <w:color w:val="auto"/>
              </w:rPr>
            </w:pPr>
            <w:r>
              <w:rPr>
                <w:rFonts w:ascii="Arial" w:cs="Arial" w:eastAsia="Arial" w:hAnsi="Arial"/>
                <w:sz w:val="11"/>
                <w:szCs w:val="11"/>
                <w:color w:val="auto"/>
              </w:rPr>
              <w:t>Common stock, par value $0.00000625 per share; 253,919,000 shares</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260" w:type="dxa"/>
            <w:vAlign w:val="bottom"/>
          </w:tcPr>
          <w:p>
            <w:pPr>
              <w:ind w:left="300"/>
              <w:spacing w:after="0" w:line="115" w:lineRule="exact"/>
              <w:rPr>
                <w:sz w:val="20"/>
                <w:szCs w:val="20"/>
                <w:color w:val="auto"/>
              </w:rPr>
            </w:pPr>
            <w:r>
              <w:rPr>
                <w:rFonts w:ascii="Arial" w:cs="Arial" w:eastAsia="Arial" w:hAnsi="Arial"/>
                <w:sz w:val="11"/>
                <w:szCs w:val="11"/>
                <w:color w:val="auto"/>
              </w:rPr>
              <w:t>authorized, 45,782,871 and 45,117,008 shares issued and outstanding as of</w:t>
            </w:r>
          </w:p>
        </w:tc>
        <w:tc>
          <w:tcPr>
            <w:tcW w:w="1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14"/>
        </w:trPr>
        <w:tc>
          <w:tcPr>
            <w:tcW w:w="4260" w:type="dxa"/>
            <w:vAlign w:val="bottom"/>
          </w:tcPr>
          <w:p>
            <w:pPr>
              <w:ind w:left="300"/>
              <w:spacing w:after="0" w:line="115" w:lineRule="exact"/>
              <w:rPr>
                <w:sz w:val="20"/>
                <w:szCs w:val="20"/>
                <w:color w:val="auto"/>
              </w:rPr>
            </w:pPr>
            <w:r>
              <w:rPr>
                <w:rFonts w:ascii="Arial" w:cs="Arial" w:eastAsia="Arial" w:hAnsi="Arial"/>
                <w:sz w:val="11"/>
                <w:szCs w:val="11"/>
                <w:color w:val="auto"/>
              </w:rPr>
              <w:t xml:space="preserve">January 31, 2025 and 2024, respectivel </w:t>
            </w:r>
            <w:r>
              <w:rPr>
                <w:rFonts w:ascii="Times New Roman" w:cs="Times New Roman" w:eastAsia="Times New Roman" w:hAnsi="Times New Roman"/>
                <w:sz w:val="11"/>
                <w:szCs w:val="11"/>
                <w:color w:val="B4B4B4"/>
              </w:rPr>
              <w:t>.................................................................</w:t>
            </w: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4260" w:type="dxa"/>
            <w:vAlign w:val="bottom"/>
          </w:tcPr>
          <w:p>
            <w:pPr>
              <w:ind w:left="300"/>
              <w:spacing w:after="0" w:line="77" w:lineRule="exact"/>
              <w:rPr>
                <w:sz w:val="20"/>
                <w:szCs w:val="20"/>
                <w:color w:val="auto"/>
              </w:rPr>
            </w:pPr>
            <w:r>
              <w:rPr>
                <w:rFonts w:ascii="Arial" w:cs="Arial" w:eastAsia="Arial" w:hAnsi="Arial"/>
                <w:sz w:val="8"/>
                <w:szCs w:val="8"/>
                <w:color w:val="auto"/>
              </w:rPr>
              <w:t>y</w:t>
            </w:r>
          </w:p>
        </w:tc>
        <w:tc>
          <w:tcPr>
            <w:tcW w:w="180" w:type="dxa"/>
            <w:vAlign w:val="bottom"/>
          </w:tcPr>
          <w:p>
            <w:pPr>
              <w:spacing w:after="0"/>
              <w:rPr>
                <w:sz w:val="6"/>
                <w:szCs w:val="6"/>
                <w:color w:val="auto"/>
              </w:rPr>
            </w:pP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467,835</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1"/>
                <w:szCs w:val="11"/>
                <w:color w:val="auto"/>
              </w:rPr>
              <w:t>382,356</w:t>
            </w:r>
          </w:p>
        </w:tc>
        <w:tc>
          <w:tcPr>
            <w:tcW w:w="0" w:type="dxa"/>
            <w:vAlign w:val="bottom"/>
          </w:tcPr>
          <w:p>
            <w:pPr>
              <w:spacing w:after="0"/>
              <w:rPr>
                <w:sz w:val="1"/>
                <w:szCs w:val="1"/>
                <w:color w:val="auto"/>
              </w:rPr>
            </w:pPr>
          </w:p>
        </w:tc>
      </w:tr>
      <w:tr>
        <w:trPr>
          <w:trHeight w:val="144"/>
        </w:trPr>
        <w:tc>
          <w:tcPr>
            <w:tcW w:w="4260" w:type="dxa"/>
            <w:vAlign w:val="bottom"/>
          </w:tcPr>
          <w:p>
            <w:pPr>
              <w:ind w:left="180"/>
              <w:spacing w:after="0"/>
              <w:rPr>
                <w:sz w:val="20"/>
                <w:szCs w:val="20"/>
                <w:color w:val="auto"/>
              </w:rPr>
            </w:pPr>
            <w:r>
              <w:rPr>
                <w:rFonts w:ascii="Arial" w:cs="Arial" w:eastAsia="Arial" w:hAnsi="Arial"/>
                <w:sz w:val="11"/>
                <w:szCs w:val="11"/>
                <w:color w:val="auto"/>
              </w:rPr>
              <w:t xml:space="preserve">Additional paid-in capital </w:t>
            </w:r>
            <w:r>
              <w:rPr>
                <w:rFonts w:ascii="Times New Roman" w:cs="Times New Roman" w:eastAsia="Times New Roman" w:hAnsi="Times New Roman"/>
                <w:sz w:val="11"/>
                <w:szCs w:val="11"/>
                <w:color w:val="B4B4B4"/>
              </w:rPr>
              <w:t>.................................................................................................</w:t>
            </w: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260" w:type="dxa"/>
            <w:vAlign w:val="bottom"/>
          </w:tcPr>
          <w:p>
            <w:pPr>
              <w:ind w:left="180"/>
              <w:spacing w:after="0" w:line="105" w:lineRule="exact"/>
              <w:rPr>
                <w:sz w:val="20"/>
                <w:szCs w:val="20"/>
                <w:color w:val="auto"/>
              </w:rPr>
            </w:pPr>
            <w:r>
              <w:rPr>
                <w:rFonts w:ascii="Arial" w:cs="Arial" w:eastAsia="Arial" w:hAnsi="Arial"/>
                <w:sz w:val="11"/>
                <w:szCs w:val="11"/>
                <w:color w:val="auto"/>
              </w:rPr>
              <w:t xml:space="preserve">Accumulated defici </w:t>
            </w:r>
            <w:r>
              <w:rPr>
                <w:rFonts w:ascii="Times New Roman" w:cs="Times New Roman" w:eastAsia="Times New Roman" w:hAnsi="Times New Roman"/>
                <w:sz w:val="11"/>
                <w:szCs w:val="11"/>
                <w:color w:val="B4B4B4"/>
              </w:rPr>
              <w:t>..........................................................................................................</w:t>
            </w:r>
          </w:p>
        </w:tc>
        <w:tc>
          <w:tcPr>
            <w:tcW w:w="180" w:type="dxa"/>
            <w:vAlign w:val="bottom"/>
          </w:tcPr>
          <w:p>
            <w:pPr>
              <w:spacing w:after="0"/>
              <w:rPr>
                <w:sz w:val="9"/>
                <w:szCs w:val="9"/>
                <w:color w:val="auto"/>
              </w:rPr>
            </w:pP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(1,617,113)</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(1,436,035)</w:t>
            </w:r>
          </w:p>
        </w:tc>
        <w:tc>
          <w:tcPr>
            <w:tcW w:w="0" w:type="dxa"/>
            <w:vAlign w:val="bottom"/>
          </w:tcPr>
          <w:p>
            <w:pPr>
              <w:spacing w:after="0"/>
              <w:rPr>
                <w:sz w:val="1"/>
                <w:szCs w:val="1"/>
                <w:color w:val="auto"/>
              </w:rPr>
            </w:pPr>
          </w:p>
        </w:tc>
      </w:tr>
      <w:tr>
        <w:trPr>
          <w:trHeight w:val="77"/>
        </w:trPr>
        <w:tc>
          <w:tcPr>
            <w:tcW w:w="4260" w:type="dxa"/>
            <w:vAlign w:val="bottom"/>
          </w:tcPr>
          <w:p>
            <w:pPr>
              <w:ind w:left="180"/>
              <w:spacing w:after="0" w:line="77" w:lineRule="exact"/>
              <w:rPr>
                <w:sz w:val="20"/>
                <w:szCs w:val="20"/>
                <w:color w:val="auto"/>
              </w:rPr>
            </w:pPr>
            <w:r>
              <w:rPr>
                <w:rFonts w:ascii="Arial" w:cs="Arial" w:eastAsia="Arial" w:hAnsi="Arial"/>
                <w:sz w:val="8"/>
                <w:szCs w:val="8"/>
                <w:color w:val="auto"/>
              </w:rPr>
              <w:t>t</w:t>
            </w:r>
          </w:p>
        </w:tc>
        <w:tc>
          <w:tcPr>
            <w:tcW w:w="18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(37,622)</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(28,293)</w:t>
            </w:r>
          </w:p>
        </w:tc>
        <w:tc>
          <w:tcPr>
            <w:tcW w:w="0" w:type="dxa"/>
            <w:vAlign w:val="bottom"/>
          </w:tcPr>
          <w:p>
            <w:pPr>
              <w:spacing w:after="0"/>
              <w:rPr>
                <w:sz w:val="1"/>
                <w:szCs w:val="1"/>
                <w:color w:val="auto"/>
              </w:rPr>
            </w:pPr>
          </w:p>
        </w:tc>
      </w:tr>
      <w:tr>
        <w:trPr>
          <w:trHeight w:val="86"/>
        </w:trPr>
        <w:tc>
          <w:tcPr>
            <w:tcW w:w="4260" w:type="dxa"/>
            <w:vAlign w:val="bottom"/>
          </w:tcPr>
          <w:p>
            <w:pPr>
              <w:ind w:left="180"/>
              <w:spacing w:after="0" w:line="86" w:lineRule="exact"/>
              <w:rPr>
                <w:sz w:val="20"/>
                <w:szCs w:val="20"/>
                <w:color w:val="auto"/>
              </w:rPr>
            </w:pPr>
            <w:r>
              <w:rPr>
                <w:rFonts w:ascii="Arial" w:cs="Arial" w:eastAsia="Arial" w:hAnsi="Arial"/>
                <w:sz w:val="9"/>
                <w:szCs w:val="9"/>
                <w:color w:val="auto"/>
              </w:rPr>
              <w:t xml:space="preserve">Accumulated other comprehensive los </w:t>
            </w:r>
            <w:r>
              <w:rPr>
                <w:rFonts w:ascii="Times New Roman" w:cs="Times New Roman" w:eastAsia="Times New Roman" w:hAnsi="Times New Roman"/>
                <w:sz w:val="9"/>
                <w:szCs w:val="9"/>
                <w:color w:val="B4B4B4"/>
              </w:rPr>
              <w:t>.......................................................................</w:t>
            </w:r>
          </w:p>
        </w:tc>
        <w:tc>
          <w:tcPr>
            <w:tcW w:w="1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4260" w:type="dxa"/>
            <w:vAlign w:val="bottom"/>
          </w:tcPr>
          <w:p>
            <w:pPr>
              <w:ind w:left="180"/>
              <w:spacing w:after="0" w:line="58" w:lineRule="exact"/>
              <w:rPr>
                <w:sz w:val="20"/>
                <w:szCs w:val="20"/>
                <w:color w:val="auto"/>
              </w:rPr>
            </w:pPr>
            <w:r>
              <w:rPr>
                <w:rFonts w:ascii="Arial" w:cs="Arial" w:eastAsia="Arial" w:hAnsi="Arial"/>
                <w:sz w:val="6"/>
                <w:szCs w:val="6"/>
                <w:color w:val="auto"/>
              </w:rPr>
              <w:t>s</w:t>
            </w: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4260" w:type="dxa"/>
            <w:vAlign w:val="bottom"/>
          </w:tcPr>
          <w:p>
            <w:pPr>
              <w:ind w:left="40"/>
              <w:spacing w:after="0" w:line="85" w:lineRule="exact"/>
              <w:rPr>
                <w:sz w:val="20"/>
                <w:szCs w:val="20"/>
                <w:color w:val="auto"/>
              </w:rPr>
            </w:pPr>
            <w:r>
              <w:rPr>
                <w:rFonts w:ascii="Arial" w:cs="Arial" w:eastAsia="Arial" w:hAnsi="Arial"/>
                <w:sz w:val="9"/>
                <w:szCs w:val="9"/>
                <w:color w:val="auto"/>
              </w:rPr>
              <w:t xml:space="preserve">Total stockholders’ defici </w:t>
            </w:r>
            <w:r>
              <w:rPr>
                <w:rFonts w:ascii="Times New Roman" w:cs="Times New Roman" w:eastAsia="Times New Roman" w:hAnsi="Times New Roman"/>
                <w:sz w:val="9"/>
                <w:szCs w:val="9"/>
                <w:color w:val="B4B4B4"/>
              </w:rPr>
              <w:t>.....................................................................................................</w:t>
            </w:r>
          </w:p>
        </w:tc>
        <w:tc>
          <w:tcPr>
            <w:tcW w:w="180" w:type="dxa"/>
            <w:vAlign w:val="bottom"/>
          </w:tcPr>
          <w:p>
            <w:pPr>
              <w:spacing w:after="0"/>
              <w:rPr>
                <w:sz w:val="7"/>
                <w:szCs w:val="7"/>
                <w:color w:val="auto"/>
              </w:rPr>
            </w:pPr>
          </w:p>
        </w:tc>
        <w:tc>
          <w:tcPr>
            <w:tcW w:w="660" w:type="dxa"/>
            <w:vAlign w:val="bottom"/>
          </w:tcPr>
          <w:p>
            <w:pPr>
              <w:jc w:val="right"/>
              <w:spacing w:after="0" w:line="85" w:lineRule="exact"/>
              <w:rPr>
                <w:sz w:val="20"/>
                <w:szCs w:val="20"/>
                <w:color w:val="auto"/>
              </w:rPr>
            </w:pPr>
            <w:r>
              <w:rPr>
                <w:rFonts w:ascii="Arial" w:cs="Arial" w:eastAsia="Arial" w:hAnsi="Arial"/>
                <w:sz w:val="9"/>
                <w:szCs w:val="9"/>
                <w:color w:val="auto"/>
              </w:rPr>
              <w:t>(1,186,899)</w:t>
            </w: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jc w:val="right"/>
              <w:spacing w:after="0" w:line="85" w:lineRule="exact"/>
              <w:rPr>
                <w:sz w:val="20"/>
                <w:szCs w:val="20"/>
                <w:color w:val="auto"/>
              </w:rPr>
            </w:pPr>
            <w:r>
              <w:rPr>
                <w:rFonts w:ascii="Arial" w:cs="Arial" w:eastAsia="Arial" w:hAnsi="Arial"/>
                <w:sz w:val="9"/>
                <w:szCs w:val="9"/>
                <w:color w:val="auto"/>
              </w:rPr>
              <w:t>(1,081,971)</w:t>
            </w:r>
          </w:p>
        </w:tc>
        <w:tc>
          <w:tcPr>
            <w:tcW w:w="0" w:type="dxa"/>
            <w:vAlign w:val="bottom"/>
          </w:tcPr>
          <w:p>
            <w:pPr>
              <w:spacing w:after="0"/>
              <w:rPr>
                <w:sz w:val="1"/>
                <w:szCs w:val="1"/>
                <w:color w:val="auto"/>
              </w:rPr>
            </w:pPr>
          </w:p>
        </w:tc>
      </w:tr>
      <w:tr>
        <w:trPr>
          <w:trHeight w:val="57"/>
        </w:trPr>
        <w:tc>
          <w:tcPr>
            <w:tcW w:w="4260" w:type="dxa"/>
            <w:vAlign w:val="bottom"/>
          </w:tcPr>
          <w:p>
            <w:pPr>
              <w:ind w:left="40"/>
              <w:spacing w:after="0" w:line="58" w:lineRule="exact"/>
              <w:rPr>
                <w:sz w:val="20"/>
                <w:szCs w:val="20"/>
                <w:color w:val="auto"/>
              </w:rPr>
            </w:pPr>
            <w:r>
              <w:rPr>
                <w:rFonts w:ascii="Arial" w:cs="Arial" w:eastAsia="Arial" w:hAnsi="Arial"/>
                <w:sz w:val="6"/>
                <w:szCs w:val="6"/>
                <w:color w:val="auto"/>
              </w:rPr>
              <w:t>t</w:t>
            </w: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4260" w:type="dxa"/>
            <w:vAlign w:val="bottom"/>
          </w:tcPr>
          <w:p>
            <w:pPr>
              <w:ind w:left="40"/>
              <w:spacing w:after="0" w:line="85" w:lineRule="exact"/>
              <w:rPr>
                <w:sz w:val="20"/>
                <w:szCs w:val="20"/>
                <w:color w:val="auto"/>
              </w:rPr>
            </w:pPr>
            <w:r>
              <w:rPr>
                <w:rFonts w:ascii="Arial" w:cs="Arial" w:eastAsia="Arial" w:hAnsi="Arial"/>
                <w:sz w:val="9"/>
                <w:szCs w:val="9"/>
                <w:color w:val="auto"/>
              </w:rPr>
              <w:t xml:space="preserve">Total liabilities, redeemable convertible preferred stock and stockholders’ defici </w:t>
            </w:r>
            <w:r>
              <w:rPr>
                <w:rFonts w:ascii="Times New Roman" w:cs="Times New Roman" w:eastAsia="Times New Roman" w:hAnsi="Times New Roman"/>
                <w:sz w:val="9"/>
                <w:szCs w:val="9"/>
                <w:color w:val="B4B4B4"/>
              </w:rPr>
              <w:t>.....</w:t>
            </w:r>
          </w:p>
        </w:tc>
        <w:tc>
          <w:tcPr>
            <w:tcW w:w="180" w:type="dxa"/>
            <w:vAlign w:val="bottom"/>
          </w:tcPr>
          <w:p>
            <w:pPr>
              <w:jc w:val="right"/>
              <w:ind w:right="25"/>
              <w:spacing w:after="0" w:line="85" w:lineRule="exact"/>
              <w:rPr>
                <w:sz w:val="20"/>
                <w:szCs w:val="20"/>
                <w:color w:val="auto"/>
              </w:rPr>
            </w:pPr>
            <w:r>
              <w:rPr>
                <w:rFonts w:ascii="Arial" w:cs="Arial" w:eastAsia="Arial" w:hAnsi="Arial"/>
                <w:sz w:val="9"/>
                <w:szCs w:val="9"/>
                <w:color w:val="auto"/>
              </w:rPr>
              <w:t>$</w:t>
            </w:r>
          </w:p>
        </w:tc>
        <w:tc>
          <w:tcPr>
            <w:tcW w:w="660" w:type="dxa"/>
            <w:vAlign w:val="bottom"/>
          </w:tcPr>
          <w:p>
            <w:pPr>
              <w:jc w:val="right"/>
              <w:ind w:right="4"/>
              <w:spacing w:after="0" w:line="85" w:lineRule="exact"/>
              <w:rPr>
                <w:sz w:val="20"/>
                <w:szCs w:val="20"/>
                <w:color w:val="auto"/>
              </w:rPr>
            </w:pPr>
            <w:r>
              <w:rPr>
                <w:rFonts w:ascii="Arial" w:cs="Arial" w:eastAsia="Arial" w:hAnsi="Arial"/>
                <w:sz w:val="9"/>
                <w:szCs w:val="9"/>
                <w:color w:val="auto"/>
              </w:rPr>
              <w:t>1,083,954</w:t>
            </w:r>
          </w:p>
        </w:tc>
        <w:tc>
          <w:tcPr>
            <w:tcW w:w="200" w:type="dxa"/>
            <w:vAlign w:val="bottom"/>
            <w:gridSpan w:val="2"/>
          </w:tcPr>
          <w:p>
            <w:pPr>
              <w:jc w:val="right"/>
              <w:ind w:right="60"/>
              <w:spacing w:after="0" w:line="85" w:lineRule="exact"/>
              <w:rPr>
                <w:sz w:val="20"/>
                <w:szCs w:val="20"/>
                <w:color w:val="auto"/>
              </w:rPr>
            </w:pPr>
            <w:r>
              <w:rPr>
                <w:rFonts w:ascii="Arial" w:cs="Arial" w:eastAsia="Arial" w:hAnsi="Arial"/>
                <w:sz w:val="9"/>
                <w:szCs w:val="9"/>
                <w:color w:val="auto"/>
              </w:rPr>
              <w:t>$</w:t>
            </w:r>
          </w:p>
        </w:tc>
        <w:tc>
          <w:tcPr>
            <w:tcW w:w="680" w:type="dxa"/>
            <w:vAlign w:val="bottom"/>
          </w:tcPr>
          <w:p>
            <w:pPr>
              <w:jc w:val="right"/>
              <w:ind w:right="4"/>
              <w:spacing w:after="0" w:line="85" w:lineRule="exact"/>
              <w:rPr>
                <w:sz w:val="20"/>
                <w:szCs w:val="20"/>
                <w:color w:val="auto"/>
              </w:rPr>
            </w:pPr>
            <w:r>
              <w:rPr>
                <w:rFonts w:ascii="Arial" w:cs="Arial" w:eastAsia="Arial" w:hAnsi="Arial"/>
                <w:sz w:val="9"/>
                <w:szCs w:val="9"/>
                <w:color w:val="auto"/>
              </w:rPr>
              <w:t>1,066,017</w:t>
            </w:r>
          </w:p>
        </w:tc>
        <w:tc>
          <w:tcPr>
            <w:tcW w:w="0" w:type="dxa"/>
            <w:vAlign w:val="bottom"/>
          </w:tcPr>
          <w:p>
            <w:pPr>
              <w:spacing w:after="0"/>
              <w:rPr>
                <w:sz w:val="1"/>
                <w:szCs w:val="1"/>
                <w:color w:val="auto"/>
              </w:rPr>
            </w:pPr>
          </w:p>
        </w:tc>
      </w:tr>
      <w:tr>
        <w:trPr>
          <w:trHeight w:val="57"/>
        </w:trPr>
        <w:tc>
          <w:tcPr>
            <w:tcW w:w="4260" w:type="dxa"/>
            <w:vAlign w:val="bottom"/>
          </w:tcPr>
          <w:p>
            <w:pPr>
              <w:ind w:left="40"/>
              <w:spacing w:after="0" w:line="57" w:lineRule="exact"/>
              <w:rPr>
                <w:sz w:val="20"/>
                <w:szCs w:val="20"/>
                <w:color w:val="auto"/>
              </w:rPr>
            </w:pPr>
            <w:r>
              <w:rPr>
                <w:rFonts w:ascii="Arial" w:cs="Arial" w:eastAsia="Arial" w:hAnsi="Arial"/>
                <w:sz w:val="6"/>
                <w:szCs w:val="6"/>
                <w:color w:val="auto"/>
              </w:rPr>
              <w:t>t</w:t>
            </w: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sectPr>
          <w:pgSz w:w="11900" w:h="16840" w:orient="portrait"/>
          <w:cols w:equalWidth="0" w:num="1">
            <w:col w:w="9020"/>
          </w:cols>
          <w:pgMar w:left="1440" w:top="560" w:right="1440" w:bottom="516" w:gutter="0" w:footer="0" w:header="0"/>
        </w:sectPr>
      </w:pPr>
    </w:p>
    <w:p>
      <w:pPr>
        <w:jc w:val="center"/>
        <w:ind w:right="14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ectPr>
          <w:pgSz w:w="11900" w:h="16840" w:orient="portrait"/>
          <w:cols w:equalWidth="0" w:num="1">
            <w:col w:w="9020"/>
          </w:cols>
          <w:pgMar w:left="1440" w:top="560" w:right="1440" w:bottom="516" w:gutter="0" w:footer="0" w:header="0"/>
          <w:type w:val="continuous"/>
        </w:sectPr>
      </w:pPr>
    </w:p>
    <w:bookmarkStart w:id="163" w:name="page164"/>
    <w:bookmarkEnd w:id="163"/>
    <w:p>
      <w:pPr>
        <w:jc w:val="center"/>
        <w:ind w:right="20"/>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ind w:left="300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12"/>
          <w:szCs w:val="12"/>
          <w:color w:val="auto"/>
        </w:rPr>
        <w:t>(in thousands, except share and per share amounts)</w:t>
      </w:r>
    </w:p>
    <w:p>
      <w:pPr>
        <w:spacing w:after="0" w:line="11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73"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198"/>
              <w:spacing w:after="0"/>
              <w:rPr>
                <w:sz w:val="20"/>
                <w:szCs w:val="20"/>
                <w:color w:val="auto"/>
              </w:rPr>
            </w:pPr>
            <w:r>
              <w:rPr>
                <w:rFonts w:ascii="Arial" w:cs="Arial" w:eastAsia="Arial" w:hAnsi="Arial"/>
                <w:sz w:val="11"/>
                <w:szCs w:val="11"/>
                <w:b w:val="1"/>
                <w:bCs w:val="1"/>
                <w:color w:val="auto"/>
              </w:rPr>
              <w:t>Year Ended January 31,</w:t>
            </w:r>
          </w:p>
        </w:tc>
        <w:tc>
          <w:tcPr>
            <w:tcW w:w="0" w:type="dxa"/>
            <w:vAlign w:val="bottom"/>
          </w:tcPr>
          <w:p>
            <w:pPr>
              <w:spacing w:after="0"/>
              <w:rPr>
                <w:sz w:val="1"/>
                <w:szCs w:val="1"/>
                <w:color w:val="auto"/>
              </w:rPr>
            </w:pPr>
          </w:p>
        </w:tc>
      </w:tr>
      <w:tr>
        <w:trPr>
          <w:trHeight w:val="147"/>
        </w:trPr>
        <w:tc>
          <w:tcPr>
            <w:tcW w:w="4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8"/>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536,837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402,256</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Cost of revenue </w:t>
            </w:r>
            <w:r>
              <w:rPr>
                <w:rFonts w:ascii="Times New Roman" w:cs="Times New Roman" w:eastAsia="Times New Roman" w:hAnsi="Times New Roman"/>
                <w:sz w:val="12"/>
                <w:szCs w:val="12"/>
                <w:color w:val="B4B4B4"/>
              </w:rPr>
              <w:t>.......................................................................................................</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169,815</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162,622</w:t>
            </w:r>
          </w:p>
        </w:tc>
        <w:tc>
          <w:tcPr>
            <w:tcW w:w="0" w:type="dxa"/>
            <w:vAlign w:val="bottom"/>
          </w:tcPr>
          <w:p>
            <w:pPr>
              <w:spacing w:after="0"/>
              <w:rPr>
                <w:sz w:val="1"/>
                <w:szCs w:val="1"/>
                <w:color w:val="auto"/>
              </w:rPr>
            </w:pPr>
          </w:p>
        </w:tc>
      </w:tr>
      <w:tr>
        <w:trPr>
          <w:trHeight w:val="170"/>
        </w:trPr>
        <w:tc>
          <w:tcPr>
            <w:tcW w:w="42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Grossprofit</w:t>
            </w: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367,022</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239,634</w:t>
            </w:r>
          </w:p>
        </w:tc>
        <w:tc>
          <w:tcPr>
            <w:tcW w:w="0" w:type="dxa"/>
            <w:vAlign w:val="bottom"/>
          </w:tcPr>
          <w:p>
            <w:pPr>
              <w:spacing w:after="0"/>
              <w:rPr>
                <w:sz w:val="1"/>
                <w:szCs w:val="1"/>
                <w:color w:val="auto"/>
              </w:rPr>
            </w:pPr>
          </w:p>
        </w:tc>
      </w:tr>
      <w:tr>
        <w:trPr>
          <w:trHeight w:val="153"/>
        </w:trPr>
        <w:tc>
          <w:tcPr>
            <w:tcW w:w="4260" w:type="dxa"/>
            <w:vAlign w:val="bottom"/>
          </w:tcPr>
          <w:p>
            <w:pPr>
              <w:ind w:left="40"/>
              <w:spacing w:after="0"/>
              <w:rPr>
                <w:sz w:val="20"/>
                <w:szCs w:val="20"/>
                <w:color w:val="auto"/>
              </w:rPr>
            </w:pPr>
            <w:r>
              <w:rPr>
                <w:rFonts w:ascii="Arial" w:cs="Arial" w:eastAsia="Arial" w:hAnsi="Arial"/>
                <w:sz w:val="12"/>
                <w:szCs w:val="12"/>
                <w:color w:val="auto"/>
              </w:rPr>
              <w:t>Operating expenses</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jc w:val="center"/>
              <w:ind w:left="18"/>
              <w:spacing w:after="0"/>
              <w:rPr>
                <w:sz w:val="20"/>
                <w:szCs w:val="20"/>
                <w:color w:val="auto"/>
              </w:rPr>
            </w:pPr>
            <w:r>
              <w:rPr>
                <w:rFonts w:ascii="Arial" w:cs="Arial" w:eastAsia="Arial" w:hAnsi="Arial"/>
                <w:sz w:val="12"/>
                <w:szCs w:val="12"/>
                <w:color w:val="auto"/>
              </w:rPr>
              <w:t xml:space="preserve">Research and development </w:t>
            </w:r>
            <w:r>
              <w:rPr>
                <w:rFonts w:ascii="Times New Roman" w:cs="Times New Roman" w:eastAsia="Times New Roman" w:hAnsi="Times New Roman"/>
                <w:sz w:val="12"/>
                <w:szCs w:val="12"/>
                <w:color w:val="B4B4B4"/>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122,386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132,442</w:t>
            </w:r>
          </w:p>
        </w:tc>
        <w:tc>
          <w:tcPr>
            <w:tcW w:w="0" w:type="dxa"/>
            <w:vAlign w:val="bottom"/>
          </w:tcPr>
          <w:p>
            <w:pPr>
              <w:spacing w:after="0"/>
              <w:rPr>
                <w:sz w:val="1"/>
                <w:szCs w:val="1"/>
                <w:color w:val="auto"/>
              </w:rPr>
            </w:pPr>
          </w:p>
        </w:tc>
      </w:tr>
      <w:tr>
        <w:trPr>
          <w:trHeight w:val="173"/>
        </w:trPr>
        <w:tc>
          <w:tcPr>
            <w:tcW w:w="4260" w:type="dxa"/>
            <w:vAlign w:val="bottom"/>
          </w:tcPr>
          <w:p>
            <w:pPr>
              <w:jc w:val="center"/>
              <w:ind w:left="18"/>
              <w:spacing w:after="0"/>
              <w:rPr>
                <w:sz w:val="20"/>
                <w:szCs w:val="20"/>
                <w:color w:val="auto"/>
              </w:rPr>
            </w:pPr>
            <w:r>
              <w:rPr>
                <w:rFonts w:ascii="Arial" w:cs="Arial" w:eastAsia="Arial" w:hAnsi="Arial"/>
                <w:sz w:val="12"/>
                <w:szCs w:val="12"/>
                <w:color w:val="auto"/>
              </w:rPr>
              <w:t xml:space="preserve">Sales and marketing </w:t>
            </w:r>
            <w:r>
              <w:rPr>
                <w:rFonts w:ascii="Times New Roman" w:cs="Times New Roman" w:eastAsia="Times New Roman" w:hAnsi="Times New Roman"/>
                <w:sz w:val="12"/>
                <w:szCs w:val="12"/>
                <w:color w:val="B4B4B4"/>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218,722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220,511</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jc w:val="center"/>
              <w:ind w:left="38"/>
              <w:spacing w:after="0"/>
              <w:rPr>
                <w:sz w:val="20"/>
                <w:szCs w:val="20"/>
                <w:color w:val="auto"/>
              </w:rPr>
            </w:pPr>
            <w:r>
              <w:rPr>
                <w:rFonts w:ascii="Arial" w:cs="Arial" w:eastAsia="Arial" w:hAnsi="Arial"/>
                <w:sz w:val="12"/>
                <w:szCs w:val="12"/>
                <w:color w:val="auto"/>
              </w:rPr>
              <w:t xml:space="preserve">General and administrative </w:t>
            </w:r>
            <w:r>
              <w:rPr>
                <w:rFonts w:ascii="Times New Roman" w:cs="Times New Roman" w:eastAsia="Times New Roman" w:hAnsi="Times New Roman"/>
                <w:sz w:val="12"/>
                <w:szCs w:val="12"/>
                <w:color w:val="B4B4B4"/>
              </w:rPr>
              <w:t>...............................................................................</w:t>
            </w: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133,552</w:t>
            </w: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133,023</w:t>
            </w:r>
          </w:p>
        </w:tc>
        <w:tc>
          <w:tcPr>
            <w:tcW w:w="0" w:type="dxa"/>
            <w:vAlign w:val="bottom"/>
          </w:tcPr>
          <w:p>
            <w:pPr>
              <w:spacing w:after="0"/>
              <w:rPr>
                <w:sz w:val="1"/>
                <w:szCs w:val="1"/>
                <w:color w:val="auto"/>
              </w:rPr>
            </w:pPr>
          </w:p>
        </w:tc>
      </w:tr>
      <w:tr>
        <w:trPr>
          <w:trHeight w:val="158"/>
        </w:trPr>
        <w:tc>
          <w:tcPr>
            <w:tcW w:w="4260" w:type="dxa"/>
            <w:vAlign w:val="bottom"/>
            <w:tcBorders>
              <w:bottom w:val="single" w:sz="8" w:color="CCEEFF"/>
            </w:tcBorders>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Totaloperatingexpenses</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474,660</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485,976</w:t>
            </w:r>
          </w:p>
        </w:tc>
        <w:tc>
          <w:tcPr>
            <w:tcW w:w="0" w:type="dxa"/>
            <w:vAlign w:val="bottom"/>
          </w:tcPr>
          <w:p>
            <w:pPr>
              <w:spacing w:after="0"/>
              <w:rPr>
                <w:sz w:val="1"/>
                <w:szCs w:val="1"/>
                <w:color w:val="auto"/>
              </w:rPr>
            </w:pPr>
          </w:p>
        </w:tc>
      </w:tr>
      <w:tr>
        <w:trPr>
          <w:trHeight w:val="166"/>
        </w:trPr>
        <w:tc>
          <w:tcPr>
            <w:tcW w:w="4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Lossfromoperations</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(107,638)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(246,342)</w:t>
            </w:r>
          </w:p>
        </w:tc>
        <w:tc>
          <w:tcPr>
            <w:tcW w:w="0" w:type="dxa"/>
            <w:vAlign w:val="bottom"/>
          </w:tcPr>
          <w:p>
            <w:pPr>
              <w:spacing w:after="0"/>
              <w:rPr>
                <w:sz w:val="1"/>
                <w:szCs w:val="1"/>
                <w:color w:val="auto"/>
              </w:rPr>
            </w:pPr>
          </w:p>
        </w:tc>
      </w:tr>
      <w:tr>
        <w:trPr>
          <w:trHeight w:val="173"/>
        </w:trPr>
        <w:tc>
          <w:tcPr>
            <w:tcW w:w="4260" w:type="dxa"/>
            <w:vAlign w:val="bottom"/>
          </w:tcPr>
          <w:p>
            <w:pPr>
              <w:jc w:val="center"/>
              <w:ind w:left="18"/>
              <w:spacing w:after="0"/>
              <w:rPr>
                <w:sz w:val="20"/>
                <w:szCs w:val="20"/>
                <w:color w:val="auto"/>
              </w:rPr>
            </w:pPr>
            <w:r>
              <w:rPr>
                <w:rFonts w:ascii="Arial" w:cs="Arial" w:eastAsia="Arial" w:hAnsi="Arial"/>
                <w:sz w:val="12"/>
                <w:szCs w:val="12"/>
                <w:color w:val="auto"/>
              </w:rPr>
              <w:t xml:space="preserve">Interest expense </w:t>
            </w:r>
            <w:r>
              <w:rPr>
                <w:rFonts w:ascii="Times New Roman" w:cs="Times New Roman" w:eastAsia="Times New Roman" w:hAnsi="Times New Roman"/>
                <w:sz w:val="12"/>
                <w:szCs w:val="12"/>
                <w:color w:val="B4B4B4"/>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(75,997)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(63,281)</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jc w:val="center"/>
              <w:ind w:left="38"/>
              <w:spacing w:after="0"/>
              <w:rPr>
                <w:sz w:val="20"/>
                <w:szCs w:val="20"/>
                <w:color w:val="auto"/>
              </w:rPr>
            </w:pPr>
            <w:r>
              <w:rPr>
                <w:rFonts w:ascii="Arial" w:cs="Arial" w:eastAsia="Arial" w:hAnsi="Arial"/>
                <w:sz w:val="12"/>
                <w:szCs w:val="12"/>
                <w:color w:val="auto"/>
              </w:rPr>
              <w:t xml:space="preserve">Other income (expense), net </w:t>
            </w:r>
            <w:r>
              <w:rPr>
                <w:rFonts w:ascii="Times New Roman" w:cs="Times New Roman" w:eastAsia="Times New Roman" w:hAnsi="Times New Roman"/>
                <w:sz w:val="12"/>
                <w:szCs w:val="12"/>
                <w:color w:val="B4B4B4"/>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10,093</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jc w:val="center"/>
              <w:ind w:left="38"/>
              <w:spacing w:after="0"/>
              <w:rPr>
                <w:sz w:val="20"/>
                <w:szCs w:val="20"/>
                <w:color w:val="auto"/>
              </w:rPr>
            </w:pPr>
            <w:r>
              <w:rPr>
                <w:rFonts w:ascii="Arial" w:cs="Arial" w:eastAsia="Arial" w:hAnsi="Arial"/>
                <w:sz w:val="12"/>
                <w:szCs w:val="12"/>
                <w:color w:val="auto"/>
              </w:rPr>
              <w:t xml:space="preserve">Gain (loss) on fair value adjustments </w:t>
            </w:r>
            <w:r>
              <w:rPr>
                <w:rFonts w:ascii="Times New Roman" w:cs="Times New Roman" w:eastAsia="Times New Roman" w:hAnsi="Times New Roman"/>
                <w:sz w:val="12"/>
                <w:szCs w:val="12"/>
                <w:color w:val="B4B4B4"/>
              </w:rPr>
              <w:t>.............................................................</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12,200</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(26,594)</w:t>
            </w:r>
          </w:p>
        </w:tc>
        <w:tc>
          <w:tcPr>
            <w:tcW w:w="0" w:type="dxa"/>
            <w:vAlign w:val="bottom"/>
          </w:tcPr>
          <w:p>
            <w:pPr>
              <w:spacing w:after="0"/>
              <w:rPr>
                <w:sz w:val="1"/>
                <w:szCs w:val="1"/>
                <w:color w:val="auto"/>
              </w:rPr>
            </w:pPr>
          </w:p>
        </w:tc>
      </w:tr>
      <w:tr>
        <w:trPr>
          <w:trHeight w:val="170"/>
        </w:trPr>
        <w:tc>
          <w:tcPr>
            <w:tcW w:w="4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Lossbeforeincometaxexpense</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(171,508)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(326,124)</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Income tax expense </w:t>
            </w:r>
            <w:r>
              <w:rPr>
                <w:rFonts w:ascii="Times New Roman" w:cs="Times New Roman" w:eastAsia="Times New Roman" w:hAnsi="Times New Roman"/>
                <w:sz w:val="12"/>
                <w:szCs w:val="12"/>
                <w:color w:val="B4B4B4"/>
              </w:rPr>
              <w:t>...............................................................................................</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9,570</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5,428</w:t>
            </w:r>
          </w:p>
        </w:tc>
        <w:tc>
          <w:tcPr>
            <w:tcW w:w="0" w:type="dxa"/>
            <w:vAlign w:val="bottom"/>
          </w:tcPr>
          <w:p>
            <w:pPr>
              <w:spacing w:after="0"/>
              <w:rPr>
                <w:sz w:val="1"/>
                <w:szCs w:val="1"/>
                <w:color w:val="auto"/>
              </w:rPr>
            </w:pPr>
          </w:p>
        </w:tc>
      </w:tr>
      <w:tr>
        <w:trPr>
          <w:trHeight w:val="171"/>
        </w:trPr>
        <w:tc>
          <w:tcPr>
            <w:tcW w:w="426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B4B4B4"/>
                <w:shd w:val="clear" w:color="auto" w:fill="CCEEFF"/>
              </w:rPr>
              <w:t>.....................................................................................................................</w:t>
            </w:r>
            <w:r>
              <w:rPr>
                <w:rFonts w:ascii="Arial" w:cs="Arial" w:eastAsia="Arial" w:hAnsi="Arial"/>
                <w:sz w:val="12"/>
                <w:szCs w:val="12"/>
                <w:color w:val="000000"/>
                <w:shd w:val="clear" w:color="auto" w:fill="CCEEFF"/>
              </w:rPr>
              <w:t>Netloss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(181,078)</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(331,552)</w:t>
            </w:r>
          </w:p>
        </w:tc>
        <w:tc>
          <w:tcPr>
            <w:tcW w:w="0" w:type="dxa"/>
            <w:vAlign w:val="bottom"/>
          </w:tcPr>
          <w:p>
            <w:pPr>
              <w:spacing w:after="0"/>
              <w:rPr>
                <w:sz w:val="1"/>
                <w:szCs w:val="1"/>
                <w:color w:val="auto"/>
              </w:rPr>
            </w:pPr>
          </w:p>
        </w:tc>
      </w:tr>
      <w:tr>
        <w:trPr>
          <w:trHeight w:val="152"/>
        </w:trPr>
        <w:tc>
          <w:tcPr>
            <w:tcW w:w="4260" w:type="dxa"/>
            <w:vAlign w:val="bottom"/>
          </w:tcPr>
          <w:p>
            <w:pPr>
              <w:ind w:left="40"/>
              <w:spacing w:after="0"/>
              <w:rPr>
                <w:sz w:val="20"/>
                <w:szCs w:val="20"/>
                <w:color w:val="auto"/>
              </w:rPr>
            </w:pPr>
            <w:r>
              <w:rPr>
                <w:rFonts w:ascii="Arial" w:cs="Arial" w:eastAsia="Arial" w:hAnsi="Arial"/>
                <w:sz w:val="12"/>
                <w:szCs w:val="12"/>
                <w:color w:val="auto"/>
              </w:rPr>
              <w:t>Net loss per share attributable to common stockholders:</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Basic and diluted net loss per share </w:t>
            </w:r>
            <w:r>
              <w:rPr>
                <w:rFonts w:ascii="Times New Roman" w:cs="Times New Roman" w:eastAsia="Times New Roman" w:hAnsi="Times New Roman"/>
                <w:sz w:val="12"/>
                <w:szCs w:val="12"/>
                <w:color w:val="B4B4B4"/>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(7.44)</w:t>
            </w:r>
          </w:p>
        </w:tc>
        <w:tc>
          <w:tcPr>
            <w:tcW w:w="0" w:type="dxa"/>
            <w:vAlign w:val="bottom"/>
          </w:tcPr>
          <w:p>
            <w:pPr>
              <w:spacing w:after="0"/>
              <w:rPr>
                <w:sz w:val="1"/>
                <w:szCs w:val="1"/>
                <w:color w:val="auto"/>
              </w:rPr>
            </w:pPr>
          </w:p>
        </w:tc>
      </w:tr>
      <w:tr>
        <w:trPr>
          <w:trHeight w:val="182"/>
        </w:trPr>
        <w:tc>
          <w:tcPr>
            <w:tcW w:w="42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260" w:type="dxa"/>
            <w:vAlign w:val="bottom"/>
            <w:shd w:val="clear" w:color="auto" w:fill="CCEEFF"/>
          </w:tcPr>
          <w:p>
            <w:pPr>
              <w:ind w:left="40"/>
              <w:spacing w:after="0" w:line="125" w:lineRule="exact"/>
              <w:rPr>
                <w:sz w:val="20"/>
                <w:szCs w:val="20"/>
                <w:color w:val="auto"/>
              </w:rPr>
            </w:pPr>
            <w:r>
              <w:rPr>
                <w:rFonts w:ascii="Arial" w:cs="Arial" w:eastAsia="Arial" w:hAnsi="Arial"/>
                <w:sz w:val="12"/>
                <w:szCs w:val="12"/>
                <w:color w:val="auto"/>
              </w:rPr>
              <w:t>Weighted-average shares outstanding used to compute net loss per share</w:t>
            </w: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9"/>
              <w:spacing w:after="0"/>
              <w:rPr>
                <w:sz w:val="20"/>
                <w:szCs w:val="20"/>
                <w:color w:val="auto"/>
              </w:rPr>
            </w:pPr>
            <w:r>
              <w:rPr>
                <w:rFonts w:ascii="Arial" w:cs="Arial" w:eastAsia="Arial" w:hAnsi="Arial"/>
                <w:sz w:val="12"/>
                <w:szCs w:val="12"/>
                <w:color w:val="auto"/>
              </w:rPr>
              <w:t>45,271,666</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8"/>
              <w:spacing w:after="0"/>
              <w:rPr>
                <w:sz w:val="20"/>
                <w:szCs w:val="20"/>
                <w:color w:val="auto"/>
              </w:rPr>
            </w:pPr>
            <w:r>
              <w:rPr>
                <w:rFonts w:ascii="Arial" w:cs="Arial" w:eastAsia="Arial" w:hAnsi="Arial"/>
                <w:sz w:val="12"/>
                <w:szCs w:val="12"/>
                <w:color w:val="auto"/>
              </w:rPr>
              <w:t>44,583,919</w:t>
            </w:r>
          </w:p>
        </w:tc>
        <w:tc>
          <w:tcPr>
            <w:tcW w:w="0" w:type="dxa"/>
            <w:vAlign w:val="bottom"/>
          </w:tcPr>
          <w:p>
            <w:pPr>
              <w:spacing w:after="0"/>
              <w:rPr>
                <w:sz w:val="1"/>
                <w:szCs w:val="1"/>
                <w:color w:val="auto"/>
              </w:rPr>
            </w:pPr>
          </w:p>
        </w:tc>
      </w:tr>
      <w:tr>
        <w:trPr>
          <w:trHeight w:val="191"/>
        </w:trPr>
        <w:tc>
          <w:tcPr>
            <w:tcW w:w="4260" w:type="dxa"/>
            <w:vAlign w:val="bottom"/>
            <w:tcBorders>
              <w:bottom w:val="single" w:sz="8" w:color="CCEEFF"/>
            </w:tcBorders>
            <w:shd w:val="clear" w:color="auto" w:fill="CCEEFF"/>
          </w:tcPr>
          <w:p>
            <w:pPr>
              <w:jc w:val="center"/>
              <w:ind w:left="18"/>
              <w:spacing w:after="0"/>
              <w:rPr>
                <w:sz w:val="20"/>
                <w:szCs w:val="20"/>
                <w:color w:val="auto"/>
              </w:rPr>
            </w:pPr>
            <w:r>
              <w:rPr>
                <w:rFonts w:ascii="Arial" w:cs="Arial" w:eastAsia="Arial" w:hAnsi="Arial"/>
                <w:sz w:val="12"/>
                <w:szCs w:val="12"/>
                <w:color w:val="auto"/>
              </w:rPr>
              <w:t xml:space="preserve">attributable to common stockholders, basic and diluted  </w:t>
            </w:r>
            <w:r>
              <w:rPr>
                <w:rFonts w:ascii="Times New Roman" w:cs="Times New Roman" w:eastAsia="Times New Roman" w:hAnsi="Times New Roman"/>
                <w:sz w:val="12"/>
                <w:szCs w:val="12"/>
                <w:color w:val="B4B4B4"/>
              </w:rPr>
              <w:t>...............................</w:t>
            </w: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CONSOLIDATED STATEMENTS OF COMPREHENSIVE LOSS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(in thousands)</w:t>
      </w:r>
    </w:p>
    <w:p>
      <w:pPr>
        <w:spacing w:after="0" w:line="80"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11"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1"/>
                <w:szCs w:val="11"/>
                <w:b w:val="1"/>
                <w:bCs w:val="1"/>
                <w:color w:val="auto"/>
                <w:w w:val="99"/>
              </w:rPr>
              <w:t>Year Ended January 31,</w:t>
            </w:r>
          </w:p>
        </w:tc>
      </w:tr>
      <w:tr>
        <w:trPr>
          <w:trHeight w:val="147"/>
        </w:trPr>
        <w:tc>
          <w:tcPr>
            <w:tcW w:w="4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2024</w:t>
            </w:r>
          </w:p>
        </w:tc>
      </w:tr>
      <w:tr>
        <w:trPr>
          <w:trHeight w:val="167"/>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shd w:val="clear" w:color="auto" w:fill="CCEEFF"/>
              </w:rPr>
              <w:t>.....................................................................................................................</w:t>
            </w:r>
            <w:r>
              <w:rPr>
                <w:rFonts w:ascii="Arial" w:cs="Arial" w:eastAsia="Arial" w:hAnsi="Arial"/>
                <w:sz w:val="12"/>
                <w:szCs w:val="12"/>
                <w:color w:val="000000"/>
                <w:shd w:val="clear" w:color="auto" w:fill="CCEEFF"/>
              </w:rPr>
              <w:t>Netloss</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shd w:val="clear" w:color="auto" w:fill="CCEEFF"/>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(181,078)</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(331,552)</w:t>
            </w: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Other comprehensive income (loss), net of tax:</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Foreign currency translation adjustments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(9,329)</w:t>
            </w: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6,611</w:t>
            </w:r>
          </w:p>
        </w:tc>
      </w:tr>
      <w:tr>
        <w:trPr>
          <w:trHeight w:val="158"/>
        </w:trPr>
        <w:tc>
          <w:tcPr>
            <w:tcW w:w="4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Totalothercomprehensiveincome(loss),netoftax</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(9,329)</w:t>
            </w: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6,611</w:t>
            </w:r>
          </w:p>
        </w:tc>
      </w:tr>
      <w:tr>
        <w:trPr>
          <w:trHeight w:val="165"/>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shd w:val="clear" w:color="auto" w:fill="CCEEFF"/>
              </w:rPr>
              <w:t>......................................................................................</w:t>
            </w:r>
            <w:r>
              <w:rPr>
                <w:rFonts w:ascii="Arial" w:cs="Arial" w:eastAsia="Arial" w:hAnsi="Arial"/>
                <w:sz w:val="12"/>
                <w:szCs w:val="12"/>
                <w:color w:val="000000"/>
                <w:shd w:val="clear" w:color="auto" w:fill="CCEEFF"/>
              </w:rPr>
              <w:t>Totalcomprehensiveloss</w:t>
            </w: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shd w:val="clear" w:color="auto" w:fill="CCEEFF"/>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(190,407)</w:t>
            </w:r>
          </w:p>
        </w:tc>
        <w:tc>
          <w:tcPr>
            <w:tcW w:w="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shd w:val="clear" w:color="auto" w:fill="CCEEFF"/>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(324,941)</w:t>
            </w:r>
          </w:p>
        </w:tc>
      </w:tr>
    </w:tbl>
    <w:p>
      <w:pPr>
        <w:spacing w:after="0" w:line="115" w:lineRule="exact"/>
        <w:rPr>
          <w:sz w:val="20"/>
          <w:szCs w:val="20"/>
          <w:color w:val="auto"/>
        </w:rPr>
      </w:pPr>
    </w:p>
    <w:p>
      <w:pPr>
        <w:sectPr>
          <w:pgSz w:w="11900" w:h="16840" w:orient="portrait"/>
          <w:cols w:equalWidth="0" w:num="1">
            <w:col w:w="9020"/>
          </w:cols>
          <w:pgMar w:left="1440" w:top="560" w:right="1440" w:bottom="1440" w:gutter="0" w:footer="0" w:header="0"/>
        </w:sectPr>
      </w:pPr>
    </w:p>
    <w:p>
      <w:pPr>
        <w:jc w:val="center"/>
        <w:ind w:right="14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ectPr>
          <w:pgSz w:w="11900" w:h="16840" w:orient="portrait"/>
          <w:cols w:equalWidth="0" w:num="1">
            <w:col w:w="9020"/>
          </w:cols>
          <w:pgMar w:left="1440" w:top="560" w:right="1440" w:bottom="1440" w:gutter="0" w:footer="0" w:header="0"/>
          <w:type w:val="continuous"/>
        </w:sectPr>
      </w:pPr>
    </w:p>
    <w:bookmarkStart w:id="164" w:name="page165"/>
    <w:bookmarkEnd w:id="1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200"/>
        <w:spacing w:after="0"/>
        <w:rPr>
          <w:sz w:val="20"/>
          <w:szCs w:val="20"/>
          <w:color w:val="auto"/>
        </w:rPr>
      </w:pPr>
      <w:r>
        <w:rPr>
          <w:rFonts w:ascii="Arial" w:cs="Arial" w:eastAsia="Arial" w:hAnsi="Arial"/>
          <w:sz w:val="12"/>
          <w:szCs w:val="12"/>
          <w:b w:val="1"/>
          <w:bCs w:val="1"/>
          <w:color w:val="auto"/>
        </w:rPr>
        <w:t>CONSOLIDATED STATEMENTS OF REDEEMABLE CONVERTIBLE PREFERRED STOCK AND STOCKHOLDERS’ DEFICIT</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(in thousands, except share amounts)</w:t>
      </w:r>
    </w:p>
    <w:p>
      <w:pPr>
        <w:spacing w:after="0" w:line="118" w:lineRule="exact"/>
        <w:rPr>
          <w:sz w:val="20"/>
          <w:szCs w:val="20"/>
          <w:color w:val="auto"/>
        </w:rPr>
      </w:pPr>
    </w:p>
    <w:p>
      <w:pPr>
        <w:ind w:left="38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73" w:lineRule="exact"/>
        <w:rPr>
          <w:sz w:val="20"/>
          <w:szCs w:val="20"/>
          <w:color w:val="auto"/>
        </w:rPr>
      </w:pPr>
    </w:p>
    <w:tbl>
      <w:tblPr>
        <w:tblLayout w:type="fixed"/>
        <w:tblInd w:w="380" w:type="dxa"/>
        <w:tblCellMar>
          <w:top w:w="0" w:type="dxa"/>
          <w:left w:w="0" w:type="dxa"/>
          <w:bottom w:w="0" w:type="dxa"/>
          <w:right w:w="0" w:type="dxa"/>
        </w:tblCellMar>
      </w:tblPr>
      <w:tr>
        <w:trPr>
          <w:trHeight w:val="133"/>
        </w:trPr>
        <w:tc>
          <w:tcPr>
            <w:tcW w:w="2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center"/>
              <w:spacing w:after="0"/>
              <w:rPr>
                <w:sz w:val="20"/>
                <w:szCs w:val="20"/>
                <w:color w:val="auto"/>
              </w:rPr>
            </w:pPr>
            <w:r>
              <w:rPr>
                <w:rFonts w:ascii="Arial" w:cs="Arial" w:eastAsia="Arial" w:hAnsi="Arial"/>
                <w:sz w:val="8"/>
                <w:szCs w:val="8"/>
                <w:b w:val="1"/>
                <w:bCs w:val="1"/>
                <w:color w:val="auto"/>
                <w:w w:val="95"/>
              </w:rPr>
              <w:t>Accumulated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74"/>
              <w:spacing w:after="0"/>
              <w:rPr>
                <w:sz w:val="20"/>
                <w:szCs w:val="20"/>
                <w:color w:val="auto"/>
              </w:rPr>
            </w:pPr>
            <w:r>
              <w:rPr>
                <w:rFonts w:ascii="Arial" w:cs="Arial" w:eastAsia="Arial" w:hAnsi="Arial"/>
                <w:sz w:val="8"/>
                <w:szCs w:val="8"/>
                <w:b w:val="1"/>
                <w:bCs w:val="1"/>
                <w:color w:val="auto"/>
                <w:w w:val="97"/>
              </w:rPr>
              <w:t>Additional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center"/>
              <w:ind w:right="113"/>
              <w:spacing w:after="0"/>
              <w:rPr>
                <w:sz w:val="20"/>
                <w:szCs w:val="20"/>
                <w:color w:val="auto"/>
              </w:rPr>
            </w:pPr>
            <w:r>
              <w:rPr>
                <w:rFonts w:ascii="Arial" w:cs="Arial" w:eastAsia="Arial" w:hAnsi="Arial"/>
                <w:sz w:val="8"/>
                <w:szCs w:val="8"/>
                <w:b w:val="1"/>
                <w:bCs w:val="1"/>
                <w:color w:val="auto"/>
                <w:w w:val="99"/>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73"/>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116"/>
        </w:trPr>
        <w:tc>
          <w:tcPr>
            <w:tcW w:w="2820" w:type="dxa"/>
            <w:vAlign w:val="bottom"/>
          </w:tcPr>
          <w:p>
            <w:pPr>
              <w:spacing w:after="0"/>
              <w:rPr>
                <w:sz w:val="10"/>
                <w:szCs w:val="10"/>
                <w:color w:val="auto"/>
              </w:rPr>
            </w:pPr>
          </w:p>
        </w:tc>
        <w:tc>
          <w:tcPr>
            <w:tcW w:w="1380" w:type="dxa"/>
            <w:vAlign w:val="bottom"/>
            <w:tcBorders>
              <w:right w:val="single" w:sz="8" w:color="auto"/>
            </w:tcBorders>
            <w:gridSpan w:val="4"/>
          </w:tcPr>
          <w:p>
            <w:pPr>
              <w:jc w:val="right"/>
              <w:ind w:right="53"/>
              <w:spacing w:after="0"/>
              <w:rPr>
                <w:sz w:val="20"/>
                <w:szCs w:val="20"/>
                <w:color w:val="auto"/>
              </w:rPr>
            </w:pPr>
            <w:r>
              <w:rPr>
                <w:rFonts w:ascii="Arial" w:cs="Arial" w:eastAsia="Arial" w:hAnsi="Arial"/>
                <w:sz w:val="8"/>
                <w:szCs w:val="8"/>
                <w:b w:val="1"/>
                <w:bCs w:val="1"/>
                <w:color w:val="auto"/>
                <w:w w:val="96"/>
              </w:rPr>
              <w:t>Redeemable Convertible Preferred</w:t>
            </w:r>
          </w:p>
        </w:tc>
        <w:tc>
          <w:tcPr>
            <w:tcW w:w="20" w:type="dxa"/>
            <w:vAlign w:val="bottom"/>
          </w:tcPr>
          <w:p>
            <w:pPr>
              <w:spacing w:after="0"/>
              <w:rPr>
                <w:sz w:val="10"/>
                <w:szCs w:val="10"/>
                <w:color w:val="auto"/>
              </w:rPr>
            </w:pPr>
          </w:p>
        </w:tc>
        <w:tc>
          <w:tcPr>
            <w:tcW w:w="1160" w:type="dxa"/>
            <w:vAlign w:val="bottom"/>
            <w:gridSpan w:val="3"/>
            <w:vMerge w:val="restart"/>
          </w:tcPr>
          <w:p>
            <w:pPr>
              <w:jc w:val="right"/>
              <w:ind w:right="177"/>
              <w:spacing w:after="0"/>
              <w:rPr>
                <w:sz w:val="20"/>
                <w:szCs w:val="20"/>
                <w:color w:val="auto"/>
              </w:rPr>
            </w:pPr>
            <w:r>
              <w:rPr>
                <w:rFonts w:ascii="Arial" w:cs="Arial" w:eastAsia="Arial" w:hAnsi="Arial"/>
                <w:sz w:val="8"/>
                <w:szCs w:val="8"/>
                <w:b w:val="1"/>
                <w:bCs w:val="1"/>
                <w:color w:val="auto"/>
              </w:rPr>
              <w:t>Common Stock</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center"/>
              <w:ind w:right="54"/>
              <w:spacing w:after="0"/>
              <w:rPr>
                <w:sz w:val="20"/>
                <w:szCs w:val="20"/>
                <w:color w:val="auto"/>
              </w:rPr>
            </w:pPr>
            <w:r>
              <w:rPr>
                <w:rFonts w:ascii="Arial" w:cs="Arial" w:eastAsia="Arial" w:hAnsi="Arial"/>
                <w:sz w:val="8"/>
                <w:szCs w:val="8"/>
                <w:b w:val="1"/>
                <w:bCs w:val="1"/>
                <w:color w:val="auto"/>
                <w:w w:val="91"/>
              </w:rPr>
              <w:t>paid-in</w:t>
            </w:r>
          </w:p>
        </w:tc>
        <w:tc>
          <w:tcPr>
            <w:tcW w:w="40" w:type="dxa"/>
            <w:vAlign w:val="bottom"/>
          </w:tcPr>
          <w:p>
            <w:pPr>
              <w:spacing w:after="0"/>
              <w:rPr>
                <w:sz w:val="10"/>
                <w:szCs w:val="10"/>
                <w:color w:val="auto"/>
              </w:rPr>
            </w:pPr>
          </w:p>
        </w:tc>
        <w:tc>
          <w:tcPr>
            <w:tcW w:w="640" w:type="dxa"/>
            <w:vAlign w:val="bottom"/>
            <w:gridSpan w:val="2"/>
            <w:vMerge w:val="restart"/>
          </w:tcPr>
          <w:p>
            <w:pPr>
              <w:jc w:val="right"/>
              <w:ind w:right="33"/>
              <w:spacing w:after="0"/>
              <w:rPr>
                <w:sz w:val="20"/>
                <w:szCs w:val="20"/>
                <w:color w:val="auto"/>
              </w:rPr>
            </w:pPr>
            <w:r>
              <w:rPr>
                <w:rFonts w:ascii="Arial" w:cs="Arial" w:eastAsia="Arial" w:hAnsi="Arial"/>
                <w:sz w:val="8"/>
                <w:szCs w:val="8"/>
                <w:b w:val="1"/>
                <w:bCs w:val="1"/>
                <w:color w:val="auto"/>
              </w:rPr>
              <w:t>Accumulated</w:t>
            </w:r>
          </w:p>
        </w:tc>
        <w:tc>
          <w:tcPr>
            <w:tcW w:w="40" w:type="dxa"/>
            <w:vAlign w:val="bottom"/>
          </w:tcPr>
          <w:p>
            <w:pPr>
              <w:spacing w:after="0"/>
              <w:rPr>
                <w:sz w:val="10"/>
                <w:szCs w:val="10"/>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w w:val="98"/>
              </w:rPr>
              <w:t>comprehensive</w:t>
            </w:r>
          </w:p>
        </w:tc>
        <w:tc>
          <w:tcPr>
            <w:tcW w:w="40" w:type="dxa"/>
            <w:vAlign w:val="bottom"/>
          </w:tcPr>
          <w:p>
            <w:pPr>
              <w:spacing w:after="0"/>
              <w:rPr>
                <w:sz w:val="10"/>
                <w:szCs w:val="10"/>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8"/>
                <w:szCs w:val="8"/>
                <w:b w:val="1"/>
                <w:bCs w:val="1"/>
                <w:color w:val="auto"/>
                <w:w w:val="96"/>
              </w:rPr>
              <w:t>stockholders'</w:t>
            </w:r>
          </w:p>
        </w:tc>
        <w:tc>
          <w:tcPr>
            <w:tcW w:w="0" w:type="dxa"/>
            <w:vAlign w:val="bottom"/>
          </w:tcPr>
          <w:p>
            <w:pPr>
              <w:spacing w:after="0"/>
              <w:rPr>
                <w:sz w:val="1"/>
                <w:szCs w:val="1"/>
                <w:color w:val="auto"/>
              </w:rPr>
            </w:pPr>
          </w:p>
        </w:tc>
      </w:tr>
      <w:tr>
        <w:trPr>
          <w:trHeight w:val="110"/>
        </w:trPr>
        <w:tc>
          <w:tcPr>
            <w:tcW w:w="2820" w:type="dxa"/>
            <w:vAlign w:val="bottom"/>
          </w:tcPr>
          <w:p>
            <w:pPr>
              <w:spacing w:after="0"/>
              <w:rPr>
                <w:sz w:val="9"/>
                <w:szCs w:val="9"/>
                <w:color w:val="auto"/>
              </w:rPr>
            </w:pPr>
          </w:p>
        </w:tc>
        <w:tc>
          <w:tcPr>
            <w:tcW w:w="8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8"/>
                <w:szCs w:val="8"/>
                <w:b w:val="1"/>
                <w:bCs w:val="1"/>
                <w:color w:val="auto"/>
              </w:rPr>
              <w:t>Stock</w:t>
            </w:r>
          </w:p>
        </w:tc>
        <w:tc>
          <w:tcPr>
            <w:tcW w:w="56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auto"/>
            </w:tcBorders>
            <w:gridSpan w:val="3"/>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2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8"/>
                <w:szCs w:val="8"/>
                <w:b w:val="1"/>
                <w:bCs w:val="1"/>
                <w:color w:val="auto"/>
              </w:rPr>
              <w:t>Shares</w:t>
            </w: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8"/>
                <w:szCs w:val="8"/>
                <w:b w:val="1"/>
                <w:bCs w:val="1"/>
                <w:color w:val="auto"/>
                <w:w w:val="99"/>
              </w:rPr>
              <w:t>Amount</w:t>
            </w:r>
          </w:p>
        </w:tc>
        <w:tc>
          <w:tcPr>
            <w:tcW w:w="2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8"/>
                <w:szCs w:val="8"/>
                <w:b w:val="1"/>
                <w:bCs w:val="1"/>
                <w:color w:val="auto"/>
              </w:rPr>
              <w:t>Shares</w:t>
            </w:r>
          </w:p>
        </w:tc>
        <w:tc>
          <w:tcPr>
            <w:tcW w:w="4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Amount</w:t>
            </w: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54"/>
              <w:spacing w:after="0"/>
              <w:rPr>
                <w:sz w:val="20"/>
                <w:szCs w:val="20"/>
                <w:color w:val="auto"/>
              </w:rPr>
            </w:pPr>
            <w:r>
              <w:rPr>
                <w:rFonts w:ascii="Arial" w:cs="Arial" w:eastAsia="Arial" w:hAnsi="Arial"/>
                <w:sz w:val="8"/>
                <w:szCs w:val="8"/>
                <w:b w:val="1"/>
                <w:bCs w:val="1"/>
                <w:color w:val="auto"/>
                <w:w w:val="94"/>
              </w:rPr>
              <w:t>capital</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3"/>
              <w:spacing w:after="0"/>
              <w:rPr>
                <w:sz w:val="20"/>
                <w:szCs w:val="20"/>
                <w:color w:val="auto"/>
              </w:rPr>
            </w:pPr>
            <w:r>
              <w:rPr>
                <w:rFonts w:ascii="Arial" w:cs="Arial" w:eastAsia="Arial" w:hAnsi="Arial"/>
                <w:sz w:val="8"/>
                <w:szCs w:val="8"/>
                <w:b w:val="1"/>
                <w:bCs w:val="1"/>
                <w:color w:val="auto"/>
              </w:rPr>
              <w:t>deficit</w:t>
            </w:r>
          </w:p>
        </w:tc>
        <w:tc>
          <w:tcPr>
            <w:tcW w:w="4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b w:val="1"/>
                <w:bCs w:val="1"/>
                <w:color w:val="auto"/>
                <w:w w:val="96"/>
              </w:rPr>
              <w:t>income (loss)</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73"/>
              <w:spacing w:after="0"/>
              <w:rPr>
                <w:sz w:val="20"/>
                <w:szCs w:val="20"/>
                <w:color w:val="auto"/>
              </w:rPr>
            </w:pPr>
            <w:r>
              <w:rPr>
                <w:rFonts w:ascii="Arial" w:cs="Arial" w:eastAsia="Arial" w:hAnsi="Arial"/>
                <w:sz w:val="8"/>
                <w:szCs w:val="8"/>
                <w:b w:val="1"/>
                <w:bCs w:val="1"/>
                <w:color w:val="auto"/>
                <w:w w:val="93"/>
              </w:rPr>
              <w:t>deficit</w:t>
            </w:r>
          </w:p>
        </w:tc>
        <w:tc>
          <w:tcPr>
            <w:tcW w:w="0" w:type="dxa"/>
            <w:vAlign w:val="bottom"/>
          </w:tcPr>
          <w:p>
            <w:pPr>
              <w:spacing w:after="0"/>
              <w:rPr>
                <w:sz w:val="1"/>
                <w:szCs w:val="1"/>
                <w:color w:val="auto"/>
              </w:rPr>
            </w:pPr>
          </w:p>
        </w:tc>
      </w:tr>
      <w:tr>
        <w:trPr>
          <w:trHeight w:val="138"/>
        </w:trPr>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B4B4B4"/>
              </w:rPr>
              <w:t>........................................................</w:t>
            </w:r>
            <w:r>
              <w:rPr>
                <w:rFonts w:ascii="Arial" w:cs="Arial" w:eastAsia="Arial" w:hAnsi="Arial"/>
                <w:sz w:val="10"/>
                <w:szCs w:val="10"/>
                <w:b w:val="1"/>
                <w:bCs w:val="1"/>
                <w:color w:val="000000"/>
              </w:rPr>
              <w:t>BalanceasofJanuary31,2023</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146,360,207</w:t>
            </w: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56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0"/>
                <w:szCs w:val="10"/>
                <w:color w:val="auto"/>
                <w:w w:val="98"/>
              </w:rPr>
              <w:t>1,301,121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44,295,279</w:t>
            </w:r>
          </w:p>
        </w:tc>
        <w:tc>
          <w:tcPr>
            <w:tcW w:w="520" w:type="dxa"/>
            <w:vAlign w:val="bottom"/>
            <w:gridSpan w:val="2"/>
            <w:shd w:val="clear" w:color="auto" w:fill="CCEEFF"/>
          </w:tcPr>
          <w:p>
            <w:pPr>
              <w:jc w:val="right"/>
              <w:ind w:right="357"/>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298,663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7"/>
              </w:rPr>
              <w:t>(1,104,483)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(34,904)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(840,723)</w:t>
            </w:r>
          </w:p>
        </w:tc>
        <w:tc>
          <w:tcPr>
            <w:tcW w:w="0" w:type="dxa"/>
            <w:vAlign w:val="bottom"/>
          </w:tcPr>
          <w:p>
            <w:pPr>
              <w:spacing w:after="0"/>
              <w:rPr>
                <w:sz w:val="1"/>
                <w:szCs w:val="1"/>
                <w:color w:val="auto"/>
              </w:rPr>
            </w:pPr>
          </w:p>
        </w:tc>
      </w:tr>
      <w:tr>
        <w:trPr>
          <w:trHeight w:val="144"/>
        </w:trPr>
        <w:tc>
          <w:tcPr>
            <w:tcW w:w="2820" w:type="dxa"/>
            <w:vAlign w:val="bottom"/>
          </w:tcPr>
          <w:p>
            <w:pPr>
              <w:jc w:val="right"/>
              <w:spacing w:after="0"/>
              <w:rPr>
                <w:sz w:val="20"/>
                <w:szCs w:val="20"/>
                <w:color w:val="auto"/>
              </w:rPr>
            </w:pPr>
            <w:r>
              <w:rPr>
                <w:rFonts w:ascii="Arial" w:cs="Arial" w:eastAsia="Arial" w:hAnsi="Arial"/>
                <w:sz w:val="10"/>
                <w:szCs w:val="10"/>
                <w:color w:val="auto"/>
              </w:rPr>
              <w:t>Net loss</w:t>
            </w:r>
            <w:r>
              <w:rPr>
                <w:rFonts w:ascii="Times New Roman" w:cs="Times New Roman" w:eastAsia="Times New Roman" w:hAnsi="Times New Roman"/>
                <w:sz w:val="10"/>
                <w:szCs w:val="10"/>
                <w:color w:val="B4B4B4"/>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right w:val="single" w:sz="8" w:color="auto"/>
            </w:tcBorders>
          </w:tcPr>
          <w:p>
            <w:pPr>
              <w:jc w:val="right"/>
              <w:ind w:right="53"/>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(331,552)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(331,552)</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 xml:space="preserve">Other comprehensive income, net of tax </w:t>
            </w:r>
            <w:r>
              <w:rPr>
                <w:rFonts w:ascii="Times New Roman" w:cs="Times New Roman" w:eastAsia="Times New Roman" w:hAnsi="Times New Roman"/>
                <w:sz w:val="10"/>
                <w:szCs w:val="10"/>
                <w:color w:val="B4B4B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6,611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6,611</w:t>
            </w:r>
          </w:p>
        </w:tc>
        <w:tc>
          <w:tcPr>
            <w:tcW w:w="0" w:type="dxa"/>
            <w:vAlign w:val="bottom"/>
          </w:tcPr>
          <w:p>
            <w:pPr>
              <w:spacing w:after="0"/>
              <w:rPr>
                <w:sz w:val="1"/>
                <w:szCs w:val="1"/>
                <w:color w:val="auto"/>
              </w:rPr>
            </w:pPr>
          </w:p>
        </w:tc>
      </w:tr>
      <w:tr>
        <w:trPr>
          <w:trHeight w:val="144"/>
        </w:trPr>
        <w:tc>
          <w:tcPr>
            <w:tcW w:w="2820" w:type="dxa"/>
            <w:vAlign w:val="bottom"/>
          </w:tcPr>
          <w:p>
            <w:pPr>
              <w:jc w:val="right"/>
              <w:spacing w:after="0"/>
              <w:rPr>
                <w:sz w:val="20"/>
                <w:szCs w:val="20"/>
                <w:color w:val="auto"/>
              </w:rPr>
            </w:pPr>
            <w:r>
              <w:rPr>
                <w:rFonts w:ascii="Arial" w:cs="Arial" w:eastAsia="Arial" w:hAnsi="Arial"/>
                <w:sz w:val="10"/>
                <w:szCs w:val="10"/>
                <w:color w:val="auto"/>
              </w:rPr>
              <w:t>Issuance of common stock upon exercise of stock options</w:t>
            </w:r>
            <w:r>
              <w:rPr>
                <w:rFonts w:ascii="Times New Roman" w:cs="Times New Roman" w:eastAsia="Times New Roman" w:hAnsi="Times New Roman"/>
                <w:sz w:val="10"/>
                <w:szCs w:val="10"/>
                <w:color w:val="B4B4B4"/>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right w:val="single" w:sz="8" w:color="auto"/>
            </w:tcBorders>
          </w:tcPr>
          <w:p>
            <w:pPr>
              <w:jc w:val="right"/>
              <w:ind w:right="53"/>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spacing w:after="0"/>
              <w:rPr>
                <w:sz w:val="20"/>
                <w:szCs w:val="20"/>
                <w:color w:val="auto"/>
              </w:rPr>
            </w:pPr>
            <w:r>
              <w:rPr>
                <w:rFonts w:ascii="Arial" w:cs="Arial" w:eastAsia="Arial" w:hAnsi="Arial"/>
                <w:sz w:val="10"/>
                <w:szCs w:val="10"/>
                <w:color w:val="auto"/>
              </w:rPr>
              <w:t>821,729</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6,400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6,400</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Vesting of early exercised stock options</w:t>
            </w:r>
            <w:r>
              <w:rPr>
                <w:rFonts w:ascii="Times New Roman" w:cs="Times New Roman" w:eastAsia="Times New Roman" w:hAnsi="Times New Roman"/>
                <w:sz w:val="10"/>
                <w:szCs w:val="10"/>
                <w:color w:val="B4B4B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312</w:t>
            </w:r>
          </w:p>
        </w:tc>
        <w:tc>
          <w:tcPr>
            <w:tcW w:w="0" w:type="dxa"/>
            <w:vAlign w:val="bottom"/>
          </w:tcPr>
          <w:p>
            <w:pPr>
              <w:spacing w:after="0"/>
              <w:rPr>
                <w:sz w:val="1"/>
                <w:szCs w:val="1"/>
                <w:color w:val="auto"/>
              </w:rPr>
            </w:pPr>
          </w:p>
        </w:tc>
      </w:tr>
      <w:tr>
        <w:trPr>
          <w:trHeight w:val="144"/>
        </w:trPr>
        <w:tc>
          <w:tcPr>
            <w:tcW w:w="282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Stock-based compensation</w:t>
            </w:r>
            <w:r>
              <w:rPr>
                <w:rFonts w:ascii="Times New Roman" w:cs="Times New Roman" w:eastAsia="Times New Roman" w:hAnsi="Times New Roman"/>
                <w:sz w:val="10"/>
                <w:szCs w:val="10"/>
                <w:color w:val="B4B4B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9"/>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76,981</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76,981</w:t>
            </w: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B4B4B4"/>
              </w:rPr>
              <w:t>........................................................</w:t>
            </w:r>
            <w:r>
              <w:rPr>
                <w:rFonts w:ascii="Arial" w:cs="Arial" w:eastAsia="Arial" w:hAnsi="Arial"/>
                <w:sz w:val="10"/>
                <w:szCs w:val="10"/>
                <w:b w:val="1"/>
                <w:bCs w:val="1"/>
                <w:color w:val="000000"/>
              </w:rPr>
              <w:t>BalanceasofJanuary31,2024</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146,360,207</w:t>
            </w: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56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0"/>
                <w:szCs w:val="10"/>
                <w:color w:val="auto"/>
                <w:w w:val="98"/>
              </w:rPr>
              <w:t>1,301,121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45,117,008</w:t>
            </w:r>
          </w:p>
        </w:tc>
        <w:tc>
          <w:tcPr>
            <w:tcW w:w="520" w:type="dxa"/>
            <w:vAlign w:val="bottom"/>
            <w:gridSpan w:val="2"/>
            <w:shd w:val="clear" w:color="auto" w:fill="CCEEFF"/>
          </w:tcPr>
          <w:p>
            <w:pPr>
              <w:jc w:val="right"/>
              <w:ind w:right="357"/>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382,356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7"/>
              </w:rPr>
              <w:t>(1,436,035)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(28,293)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7"/>
              </w:rPr>
              <w:t>(1,081,971)</w:t>
            </w:r>
          </w:p>
        </w:tc>
        <w:tc>
          <w:tcPr>
            <w:tcW w:w="0" w:type="dxa"/>
            <w:vAlign w:val="bottom"/>
          </w:tcPr>
          <w:p>
            <w:pPr>
              <w:spacing w:after="0"/>
              <w:rPr>
                <w:sz w:val="1"/>
                <w:szCs w:val="1"/>
                <w:color w:val="auto"/>
              </w:rPr>
            </w:pPr>
          </w:p>
        </w:tc>
      </w:tr>
      <w:tr>
        <w:trPr>
          <w:trHeight w:val="124"/>
        </w:trPr>
        <w:tc>
          <w:tcPr>
            <w:tcW w:w="2820" w:type="dxa"/>
            <w:vAlign w:val="bottom"/>
          </w:tcPr>
          <w:p>
            <w:pPr>
              <w:jc w:val="right"/>
              <w:spacing w:after="0"/>
              <w:rPr>
                <w:sz w:val="20"/>
                <w:szCs w:val="20"/>
                <w:color w:val="auto"/>
              </w:rPr>
            </w:pPr>
            <w:r>
              <w:rPr>
                <w:rFonts w:ascii="Arial" w:cs="Arial" w:eastAsia="Arial" w:hAnsi="Arial"/>
                <w:sz w:val="10"/>
                <w:szCs w:val="10"/>
                <w:color w:val="auto"/>
              </w:rPr>
              <w:t>Net loss</w:t>
            </w:r>
            <w:r>
              <w:rPr>
                <w:rFonts w:ascii="Times New Roman" w:cs="Times New Roman" w:eastAsia="Times New Roman" w:hAnsi="Times New Roman"/>
                <w:sz w:val="10"/>
                <w:szCs w:val="10"/>
                <w:color w:val="B4B4B4"/>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right w:val="single" w:sz="8" w:color="auto"/>
            </w:tcBorders>
          </w:tcPr>
          <w:p>
            <w:pPr>
              <w:jc w:val="right"/>
              <w:ind w:right="53"/>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(181,078)</w:t>
            </w: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(181,078)</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Other comprehensive loss, net of tax</w:t>
            </w:r>
            <w:r>
              <w:rPr>
                <w:rFonts w:ascii="Times New Roman" w:cs="Times New Roman" w:eastAsia="Times New Roman" w:hAnsi="Times New Roman"/>
                <w:sz w:val="10"/>
                <w:szCs w:val="10"/>
                <w:color w:val="B4B4B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(9,329)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(9,329)</w:t>
            </w:r>
          </w:p>
        </w:tc>
        <w:tc>
          <w:tcPr>
            <w:tcW w:w="0" w:type="dxa"/>
            <w:vAlign w:val="bottom"/>
          </w:tcPr>
          <w:p>
            <w:pPr>
              <w:spacing w:after="0"/>
              <w:rPr>
                <w:sz w:val="1"/>
                <w:szCs w:val="1"/>
                <w:color w:val="auto"/>
              </w:rPr>
            </w:pPr>
          </w:p>
        </w:tc>
      </w:tr>
      <w:tr>
        <w:trPr>
          <w:trHeight w:val="144"/>
        </w:trPr>
        <w:tc>
          <w:tcPr>
            <w:tcW w:w="2820" w:type="dxa"/>
            <w:vAlign w:val="bottom"/>
          </w:tcPr>
          <w:p>
            <w:pPr>
              <w:jc w:val="right"/>
              <w:spacing w:after="0"/>
              <w:rPr>
                <w:sz w:val="20"/>
                <w:szCs w:val="20"/>
                <w:color w:val="auto"/>
              </w:rPr>
            </w:pPr>
            <w:r>
              <w:rPr>
                <w:rFonts w:ascii="Arial" w:cs="Arial" w:eastAsia="Arial" w:hAnsi="Arial"/>
                <w:sz w:val="10"/>
                <w:szCs w:val="10"/>
                <w:color w:val="auto"/>
              </w:rPr>
              <w:t xml:space="preserve">Issuance of common stock upon exercise of stock options </w:t>
            </w:r>
            <w:r>
              <w:rPr>
                <w:rFonts w:ascii="Times New Roman" w:cs="Times New Roman" w:eastAsia="Times New Roman" w:hAnsi="Times New Roman"/>
                <w:sz w:val="10"/>
                <w:szCs w:val="10"/>
                <w:color w:val="B4B4B4"/>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right w:val="single" w:sz="8" w:color="auto"/>
            </w:tcBorders>
          </w:tcPr>
          <w:p>
            <w:pPr>
              <w:jc w:val="right"/>
              <w:ind w:right="53"/>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spacing w:after="0"/>
              <w:rPr>
                <w:sz w:val="20"/>
                <w:szCs w:val="20"/>
                <w:color w:val="auto"/>
              </w:rPr>
            </w:pPr>
            <w:r>
              <w:rPr>
                <w:rFonts w:ascii="Arial" w:cs="Arial" w:eastAsia="Arial" w:hAnsi="Arial"/>
                <w:sz w:val="10"/>
                <w:szCs w:val="10"/>
                <w:color w:val="auto"/>
              </w:rPr>
              <w:t>665,863</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4,521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4,521</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 xml:space="preserve">Vesting of early exercised stock options </w:t>
            </w:r>
            <w:r>
              <w:rPr>
                <w:rFonts w:ascii="Times New Roman" w:cs="Times New Roman" w:eastAsia="Times New Roman" w:hAnsi="Times New Roman"/>
                <w:sz w:val="10"/>
                <w:szCs w:val="10"/>
                <w:color w:val="B4B4B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jc w:val="right"/>
              <w:ind w:right="53"/>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1,658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1,658</w:t>
            </w:r>
          </w:p>
        </w:tc>
        <w:tc>
          <w:tcPr>
            <w:tcW w:w="0" w:type="dxa"/>
            <w:vAlign w:val="bottom"/>
          </w:tcPr>
          <w:p>
            <w:pPr>
              <w:spacing w:after="0"/>
              <w:rPr>
                <w:sz w:val="1"/>
                <w:szCs w:val="1"/>
                <w:color w:val="auto"/>
              </w:rPr>
            </w:pPr>
          </w:p>
        </w:tc>
      </w:tr>
      <w:tr>
        <w:trPr>
          <w:trHeight w:val="144"/>
        </w:trPr>
        <w:tc>
          <w:tcPr>
            <w:tcW w:w="282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Stock-based compensation</w:t>
            </w:r>
            <w:r>
              <w:rPr>
                <w:rFonts w:ascii="Times New Roman" w:cs="Times New Roman" w:eastAsia="Times New Roman" w:hAnsi="Times New Roman"/>
                <w:sz w:val="10"/>
                <w:szCs w:val="10"/>
                <w:color w:val="B4B4B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9"/>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79,300</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79,300</w:t>
            </w:r>
          </w:p>
        </w:tc>
        <w:tc>
          <w:tcPr>
            <w:tcW w:w="0" w:type="dxa"/>
            <w:vAlign w:val="bottom"/>
          </w:tcPr>
          <w:p>
            <w:pPr>
              <w:spacing w:after="0"/>
              <w:rPr>
                <w:sz w:val="1"/>
                <w:szCs w:val="1"/>
                <w:color w:val="auto"/>
              </w:rPr>
            </w:pPr>
          </w:p>
        </w:tc>
      </w:tr>
      <w:tr>
        <w:trPr>
          <w:trHeight w:val="141"/>
        </w:trPr>
        <w:tc>
          <w:tcPr>
            <w:tcW w:w="2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B4B4B4"/>
              </w:rPr>
              <w:t>.......................................................</w:t>
            </w:r>
            <w:r>
              <w:rPr>
                <w:rFonts w:ascii="Arial" w:cs="Arial" w:eastAsia="Arial" w:hAnsi="Arial"/>
                <w:sz w:val="10"/>
                <w:szCs w:val="10"/>
                <w:b w:val="1"/>
                <w:bCs w:val="1"/>
                <w:color w:val="000000"/>
              </w:rPr>
              <w:t>BalanceasofJanuary31,2025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146,360,207</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right w:val="single" w:sz="8" w:color="auto"/>
            </w:tcBorders>
            <w:shd w:val="clear" w:color="auto" w:fill="CCEEFF"/>
          </w:tcPr>
          <w:p>
            <w:pPr>
              <w:jc w:val="right"/>
              <w:ind w:right="53"/>
              <w:spacing w:after="0"/>
              <w:rPr>
                <w:sz w:val="20"/>
                <w:szCs w:val="20"/>
                <w:color w:val="auto"/>
              </w:rPr>
            </w:pPr>
            <w:r>
              <w:rPr>
                <w:rFonts w:ascii="Arial" w:cs="Arial" w:eastAsia="Arial" w:hAnsi="Arial"/>
                <w:sz w:val="10"/>
                <w:szCs w:val="10"/>
                <w:color w:val="auto"/>
                <w:w w:val="98"/>
              </w:rPr>
              <w:t>1,301,121</w:t>
            </w:r>
          </w:p>
        </w:tc>
        <w:tc>
          <w:tcPr>
            <w:tcW w:w="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45,782,871</w:t>
            </w:r>
          </w:p>
        </w:tc>
        <w:tc>
          <w:tcPr>
            <w:tcW w:w="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57"/>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467,835</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7"/>
              </w:rPr>
              <w:t>(1,617,113)</w:t>
            </w: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(37,622)</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7"/>
              </w:rPr>
              <w:t>(1,186,899)</w:t>
            </w: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(in thousands)</w:t>
      </w:r>
    </w:p>
    <w:p>
      <w:pPr>
        <w:spacing w:after="0" w:line="11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73" w:lineRule="exact"/>
        <w:rPr>
          <w:sz w:val="20"/>
          <w:szCs w:val="20"/>
          <w:color w:val="auto"/>
        </w:rPr>
      </w:pPr>
    </w:p>
    <w:tbl>
      <w:tblPr>
        <w:tblLayout w:type="fixed"/>
        <w:tblInd w:w="1560" w:type="dxa"/>
        <w:tblCellMar>
          <w:top w:w="0" w:type="dxa"/>
          <w:left w:w="0" w:type="dxa"/>
          <w:bottom w:w="0" w:type="dxa"/>
          <w:right w:w="0" w:type="dxa"/>
        </w:tblCellMar>
      </w:tblPr>
      <w:tr>
        <w:trPr>
          <w:trHeight w:val="143"/>
        </w:trPr>
        <w:tc>
          <w:tcPr>
            <w:tcW w:w="4220" w:type="dxa"/>
            <w:vAlign w:val="bottom"/>
          </w:tcPr>
          <w:p>
            <w:pPr>
              <w:spacing w:after="0"/>
              <w:rPr>
                <w:sz w:val="12"/>
                <w:szCs w:val="12"/>
                <w:color w:val="auto"/>
              </w:rPr>
            </w:pPr>
          </w:p>
        </w:tc>
        <w:tc>
          <w:tcPr>
            <w:tcW w:w="168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Year Ended January 31,</w:t>
            </w:r>
          </w:p>
        </w:tc>
      </w:tr>
      <w:tr>
        <w:trPr>
          <w:trHeight w:val="163"/>
        </w:trPr>
        <w:tc>
          <w:tcPr>
            <w:tcW w:w="4220" w:type="dxa"/>
            <w:vAlign w:val="bottom"/>
          </w:tcPr>
          <w:p>
            <w:pPr>
              <w:spacing w:after="0"/>
              <w:rPr>
                <w:sz w:val="14"/>
                <w:szCs w:val="14"/>
                <w:color w:val="auto"/>
              </w:rPr>
            </w:pPr>
          </w:p>
        </w:tc>
        <w:tc>
          <w:tcPr>
            <w:tcW w:w="860" w:type="dxa"/>
            <w:vAlign w:val="bottom"/>
          </w:tcPr>
          <w:p>
            <w:pPr>
              <w:jc w:val="right"/>
              <w:ind w:right="262"/>
              <w:spacing w:after="0"/>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4"/>
                <w:szCs w:val="14"/>
                <w:color w:val="auto"/>
              </w:rPr>
            </w:pPr>
          </w:p>
        </w:tc>
        <w:tc>
          <w:tcPr>
            <w:tcW w:w="620" w:type="dxa"/>
            <w:vAlign w:val="bottom"/>
          </w:tcPr>
          <w:p>
            <w:pPr>
              <w:jc w:val="right"/>
              <w:ind w:right="200"/>
              <w:spacing w:after="0"/>
              <w:rPr>
                <w:sz w:val="20"/>
                <w:szCs w:val="20"/>
                <w:color w:val="auto"/>
              </w:rPr>
            </w:pPr>
            <w:r>
              <w:rPr>
                <w:rFonts w:ascii="Arial" w:cs="Arial" w:eastAsia="Arial" w:hAnsi="Arial"/>
                <w:sz w:val="11"/>
                <w:szCs w:val="11"/>
                <w:b w:val="1"/>
                <w:bCs w:val="1"/>
                <w:color w:val="auto"/>
              </w:rPr>
              <w:t>2024</w:t>
            </w:r>
          </w:p>
        </w:tc>
      </w:tr>
      <w:tr>
        <w:trPr>
          <w:trHeight w:val="174"/>
        </w:trPr>
        <w:tc>
          <w:tcPr>
            <w:tcW w:w="4220" w:type="dxa"/>
            <w:vAlign w:val="bottom"/>
          </w:tcPr>
          <w:p>
            <w:pPr>
              <w:spacing w:after="0"/>
              <w:rPr>
                <w:sz w:val="20"/>
                <w:szCs w:val="20"/>
                <w:color w:val="auto"/>
              </w:rPr>
            </w:pPr>
            <w:r>
              <w:rPr>
                <w:rFonts w:ascii="Arial" w:cs="Arial" w:eastAsia="Arial" w:hAnsi="Arial"/>
                <w:sz w:val="12"/>
                <w:szCs w:val="12"/>
                <w:color w:val="auto"/>
              </w:rPr>
              <w:t>Cash flows from operating activities:</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4220" w:type="dxa"/>
            <w:vAlign w:val="bottom"/>
          </w:tcPr>
          <w:p>
            <w:pPr>
              <w:ind w:left="140"/>
              <w:spacing w:after="0"/>
              <w:rPr>
                <w:sz w:val="20"/>
                <w:szCs w:val="20"/>
                <w:color w:val="auto"/>
              </w:rPr>
            </w:pPr>
            <w:r>
              <w:rPr>
                <w:rFonts w:ascii="Arial" w:cs="Arial" w:eastAsia="Arial" w:hAnsi="Arial"/>
                <w:sz w:val="12"/>
                <w:szCs w:val="12"/>
                <w:color w:val="auto"/>
              </w:rPr>
              <w:t xml:space="preserve">Net loss </w:t>
            </w:r>
            <w:r>
              <w:rPr>
                <w:rFonts w:ascii="Times New Roman" w:cs="Times New Roman" w:eastAsia="Times New Roman" w:hAnsi="Times New Roman"/>
                <w:sz w:val="12"/>
                <w:szCs w:val="12"/>
                <w:color w:val="B4B4B4"/>
              </w:rPr>
              <w:t>................................................................................................................</w:t>
            </w: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   (181,078)</w:t>
            </w:r>
          </w:p>
        </w:tc>
        <w:tc>
          <w:tcPr>
            <w:tcW w:w="20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(331,552)</w:t>
            </w:r>
          </w:p>
        </w:tc>
      </w:tr>
      <w:tr>
        <w:trPr>
          <w:trHeight w:val="151"/>
        </w:trPr>
        <w:tc>
          <w:tcPr>
            <w:tcW w:w="4220" w:type="dxa"/>
            <w:vAlign w:val="bottom"/>
          </w:tcPr>
          <w:p>
            <w:pPr>
              <w:ind w:left="140"/>
              <w:spacing w:after="0"/>
              <w:rPr>
                <w:sz w:val="20"/>
                <w:szCs w:val="20"/>
                <w:color w:val="auto"/>
              </w:rPr>
            </w:pPr>
            <w:r>
              <w:rPr>
                <w:rFonts w:ascii="Arial" w:cs="Arial" w:eastAsia="Arial" w:hAnsi="Arial"/>
                <w:sz w:val="12"/>
                <w:szCs w:val="12"/>
                <w:color w:val="auto"/>
              </w:rPr>
              <w:t>Adjustments to reconcile net loss to net cash used in operating</w:t>
            </w: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5"/>
        </w:trPr>
        <w:tc>
          <w:tcPr>
            <w:tcW w:w="4220" w:type="dxa"/>
            <w:vAlign w:val="bottom"/>
          </w:tcPr>
          <w:p>
            <w:pPr>
              <w:ind w:left="280"/>
              <w:spacing w:after="0"/>
              <w:rPr>
                <w:sz w:val="20"/>
                <w:szCs w:val="20"/>
                <w:color w:val="auto"/>
              </w:rPr>
            </w:pPr>
            <w:r>
              <w:rPr>
                <w:rFonts w:ascii="Arial" w:cs="Arial" w:eastAsia="Arial" w:hAnsi="Arial"/>
                <w:sz w:val="12"/>
                <w:szCs w:val="12"/>
                <w:color w:val="auto"/>
              </w:rPr>
              <w:t>activities:</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2"/>
        </w:trPr>
        <w:tc>
          <w:tcPr>
            <w:tcW w:w="4220" w:type="dxa"/>
            <w:vAlign w:val="bottom"/>
          </w:tcPr>
          <w:p>
            <w:pPr>
              <w:ind w:left="300"/>
              <w:spacing w:after="0"/>
              <w:rPr>
                <w:sz w:val="20"/>
                <w:szCs w:val="20"/>
                <w:color w:val="auto"/>
              </w:rPr>
            </w:pPr>
            <w:r>
              <w:rPr>
                <w:rFonts w:ascii="Arial" w:cs="Arial" w:eastAsia="Arial" w:hAnsi="Arial"/>
                <w:sz w:val="12"/>
                <w:szCs w:val="12"/>
                <w:color w:val="auto"/>
              </w:rPr>
              <w:t xml:space="preserve">Stock-based compensation, net of amounts capitalized  </w:t>
            </w:r>
            <w:r>
              <w:rPr>
                <w:rFonts w:ascii="Times New Roman" w:cs="Times New Roman" w:eastAsia="Times New Roman" w:hAnsi="Times New Roman"/>
                <w:sz w:val="12"/>
                <w:szCs w:val="12"/>
                <w:color w:val="B4B4B4"/>
              </w:rPr>
              <w:t>.........................</w:t>
            </w:r>
          </w:p>
        </w:tc>
        <w:tc>
          <w:tcPr>
            <w:tcW w:w="860" w:type="dxa"/>
            <w:vAlign w:val="bottom"/>
          </w:tcPr>
          <w:p>
            <w:pPr>
              <w:jc w:val="right"/>
              <w:ind w:right="22"/>
              <w:spacing w:after="0"/>
              <w:rPr>
                <w:sz w:val="20"/>
                <w:szCs w:val="20"/>
                <w:color w:val="auto"/>
              </w:rPr>
            </w:pPr>
            <w:r>
              <w:rPr>
                <w:rFonts w:ascii="Arial" w:cs="Arial" w:eastAsia="Arial" w:hAnsi="Arial"/>
                <w:sz w:val="12"/>
                <w:szCs w:val="12"/>
                <w:color w:val="auto"/>
              </w:rPr>
              <w:t>76,981</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75,851</w:t>
            </w:r>
          </w:p>
        </w:tc>
      </w:tr>
      <w:tr>
        <w:trPr>
          <w:trHeight w:val="182"/>
        </w:trPr>
        <w:tc>
          <w:tcPr>
            <w:tcW w:w="4220" w:type="dxa"/>
            <w:vAlign w:val="bottom"/>
          </w:tcPr>
          <w:p>
            <w:pPr>
              <w:ind w:left="300"/>
              <w:spacing w:after="0"/>
              <w:rPr>
                <w:sz w:val="20"/>
                <w:szCs w:val="20"/>
                <w:color w:val="auto"/>
              </w:rPr>
            </w:pPr>
            <w:r>
              <w:rPr>
                <w:rFonts w:ascii="Arial" w:cs="Arial" w:eastAsia="Arial" w:hAnsi="Arial"/>
                <w:sz w:val="12"/>
                <w:szCs w:val="12"/>
                <w:color w:val="auto"/>
              </w:rPr>
              <w:t xml:space="preserve">Non-cash interest expense </w:t>
            </w:r>
            <w:r>
              <w:rPr>
                <w:rFonts w:ascii="Times New Roman" w:cs="Times New Roman" w:eastAsia="Times New Roman" w:hAnsi="Times New Roman"/>
                <w:sz w:val="12"/>
                <w:szCs w:val="12"/>
                <w:color w:val="B4B4B4"/>
              </w:rPr>
              <w:t>..........................................................................</w:t>
            </w:r>
          </w:p>
        </w:tc>
        <w:tc>
          <w:tcPr>
            <w:tcW w:w="860" w:type="dxa"/>
            <w:vAlign w:val="bottom"/>
          </w:tcPr>
          <w:p>
            <w:pPr>
              <w:jc w:val="right"/>
              <w:ind w:right="22"/>
              <w:spacing w:after="0"/>
              <w:rPr>
                <w:sz w:val="20"/>
                <w:szCs w:val="20"/>
                <w:color w:val="auto"/>
              </w:rPr>
            </w:pPr>
            <w:r>
              <w:rPr>
                <w:rFonts w:ascii="Arial" w:cs="Arial" w:eastAsia="Arial" w:hAnsi="Arial"/>
                <w:sz w:val="12"/>
                <w:szCs w:val="12"/>
                <w:color w:val="auto"/>
              </w:rPr>
              <w:t>46,450</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44,647</w:t>
            </w:r>
          </w:p>
        </w:tc>
      </w:tr>
    </w:tbl>
    <w:p>
      <w:pPr>
        <w:sectPr>
          <w:pgSz w:w="11900" w:h="16840" w:orient="portrait"/>
          <w:cols w:equalWidth="0" w:num="1">
            <w:col w:w="9020"/>
          </w:cols>
          <w:pgMar w:left="1440" w:top="1440" w:right="1440" w:bottom="165" w:gutter="0" w:footer="0" w:header="0"/>
        </w:sectPr>
      </w:pPr>
    </w:p>
    <w:bookmarkStart w:id="165" w:name="page166"/>
    <w:bookmarkEnd w:id="1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tbl>
      <w:tblPr>
        <w:tblLayout w:type="fixed"/>
        <w:tblInd w:w="600" w:type="dxa"/>
        <w:tblCellMar>
          <w:top w:w="0" w:type="dxa"/>
          <w:left w:w="0" w:type="dxa"/>
          <w:bottom w:w="0" w:type="dxa"/>
          <w:right w:w="0" w:type="dxa"/>
        </w:tblCellMar>
      </w:tblPr>
      <w:tr>
        <w:trPr>
          <w:trHeight w:val="139"/>
        </w:trPr>
        <w:tc>
          <w:tcPr>
            <w:tcW w:w="920" w:type="dxa"/>
            <w:vAlign w:val="bottom"/>
          </w:tcPr>
          <w:p>
            <w:pPr>
              <w:spacing w:after="0"/>
              <w:rPr>
                <w:sz w:val="12"/>
                <w:szCs w:val="12"/>
                <w:color w:val="auto"/>
              </w:rPr>
            </w:pPr>
          </w:p>
        </w:tc>
        <w:tc>
          <w:tcPr>
            <w:tcW w:w="4260" w:type="dxa"/>
            <w:vAlign w:val="bottom"/>
          </w:tcPr>
          <w:p>
            <w:pPr>
              <w:ind w:left="340"/>
              <w:spacing w:after="0"/>
              <w:rPr>
                <w:sz w:val="20"/>
                <w:szCs w:val="20"/>
                <w:color w:val="auto"/>
              </w:rPr>
            </w:pPr>
            <w:r>
              <w:rPr>
                <w:rFonts w:ascii="Arial" w:cs="Arial" w:eastAsia="Arial" w:hAnsi="Arial"/>
                <w:sz w:val="12"/>
                <w:szCs w:val="12"/>
                <w:color w:val="auto"/>
              </w:rPr>
              <w:t xml:space="preserve">Deferred income taxes </w:t>
            </w:r>
            <w:r>
              <w:rPr>
                <w:rFonts w:ascii="Times New Roman" w:cs="Times New Roman" w:eastAsia="Times New Roman" w:hAnsi="Times New Roman"/>
                <w:sz w:val="12"/>
                <w:szCs w:val="12"/>
                <w:color w:val="B4B4B4"/>
              </w:rPr>
              <w:t>.................................................................................</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(3,224)</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920" w:type="dxa"/>
            <w:vAlign w:val="bottom"/>
          </w:tcPr>
          <w:p>
            <w:pPr>
              <w:spacing w:after="0"/>
              <w:rPr>
                <w:sz w:val="4"/>
                <w:szCs w:val="4"/>
                <w:color w:val="auto"/>
              </w:rPr>
            </w:pPr>
          </w:p>
        </w:tc>
        <w:tc>
          <w:tcPr>
            <w:tcW w:w="4260" w:type="dxa"/>
            <w:vAlign w:val="bottom"/>
          </w:tcPr>
          <w:p>
            <w:pPr>
              <w:ind w:left="340"/>
              <w:spacing w:after="0" w:line="28" w:lineRule="exact"/>
              <w:rPr>
                <w:sz w:val="20"/>
                <w:szCs w:val="20"/>
                <w:color w:val="auto"/>
              </w:rPr>
            </w:pPr>
            <w:r>
              <w:rPr>
                <w:rFonts w:ascii="Arial" w:cs="Arial" w:eastAsia="Arial" w:hAnsi="Arial"/>
                <w:sz w:val="3"/>
                <w:szCs w:val="3"/>
                <w:color w:val="auto"/>
              </w:rPr>
              <w:t xml:space="preserve">Depreciation and amortization </w:t>
            </w:r>
            <w:r>
              <w:rPr>
                <w:rFonts w:ascii="Times New Roman" w:cs="Times New Roman" w:eastAsia="Times New Roman" w:hAnsi="Times New Roman"/>
                <w:sz w:val="3"/>
                <w:szCs w:val="3"/>
                <w:color w:val="B4B4B4"/>
              </w:rPr>
              <w:t>....................................................................</w:t>
            </w:r>
          </w:p>
        </w:tc>
        <w:tc>
          <w:tcPr>
            <w:tcW w:w="2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jc w:val="right"/>
              <w:spacing w:after="0" w:line="28" w:lineRule="exact"/>
              <w:rPr>
                <w:sz w:val="20"/>
                <w:szCs w:val="20"/>
                <w:color w:val="auto"/>
              </w:rPr>
            </w:pPr>
            <w:r>
              <w:rPr>
                <w:rFonts w:ascii="Arial" w:cs="Arial" w:eastAsia="Arial" w:hAnsi="Arial"/>
                <w:sz w:val="3"/>
                <w:szCs w:val="3"/>
                <w:color w:val="auto"/>
              </w:rPr>
              <w:t>24,889</w:t>
            </w: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jc w:val="right"/>
              <w:ind w:right="19"/>
              <w:spacing w:after="0" w:line="28" w:lineRule="exact"/>
              <w:rPr>
                <w:sz w:val="20"/>
                <w:szCs w:val="20"/>
                <w:color w:val="auto"/>
              </w:rPr>
            </w:pPr>
            <w:r>
              <w:rPr>
                <w:rFonts w:ascii="Arial" w:cs="Arial" w:eastAsia="Arial" w:hAnsi="Arial"/>
                <w:sz w:val="3"/>
                <w:szCs w:val="3"/>
                <w:color w:val="auto"/>
              </w:rPr>
              <w:t>26,864</w:t>
            </w: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4260" w:type="dxa"/>
            <w:vAlign w:val="bottom"/>
          </w:tcPr>
          <w:p>
            <w:pPr>
              <w:ind w:left="340"/>
              <w:spacing w:after="0"/>
              <w:rPr>
                <w:sz w:val="20"/>
                <w:szCs w:val="20"/>
                <w:color w:val="auto"/>
              </w:rPr>
            </w:pPr>
            <w:r>
              <w:rPr>
                <w:rFonts w:ascii="Arial" w:cs="Arial" w:eastAsia="Arial" w:hAnsi="Arial"/>
                <w:sz w:val="12"/>
                <w:szCs w:val="12"/>
                <w:color w:val="auto"/>
              </w:rPr>
              <w:t xml:space="preserve">Amortization of contract acquisition costs </w:t>
            </w:r>
            <w:r>
              <w:rPr>
                <w:rFonts w:ascii="Times New Roman" w:cs="Times New Roman" w:eastAsia="Times New Roman" w:hAnsi="Times New Roman"/>
                <w:sz w:val="12"/>
                <w:szCs w:val="12"/>
                <w:color w:val="B4B4B4"/>
              </w:rPr>
              <w:t>.................................................</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5,647</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7,033</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340"/>
              <w:spacing w:after="0"/>
              <w:rPr>
                <w:sz w:val="20"/>
                <w:szCs w:val="20"/>
                <w:color w:val="auto"/>
              </w:rPr>
            </w:pPr>
            <w:r>
              <w:rPr>
                <w:rFonts w:ascii="Arial" w:cs="Arial" w:eastAsia="Arial" w:hAnsi="Arial"/>
                <w:sz w:val="12"/>
                <w:szCs w:val="12"/>
                <w:color w:val="auto"/>
              </w:rPr>
              <w:t xml:space="preserve">Provision for doubtful accounts </w:t>
            </w:r>
            <w:r>
              <w:rPr>
                <w:rFonts w:ascii="Times New Roman" w:cs="Times New Roman" w:eastAsia="Times New Roman" w:hAnsi="Times New Roman"/>
                <w:sz w:val="12"/>
                <w:szCs w:val="12"/>
                <w:color w:val="B4B4B4"/>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5,912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8,693</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340"/>
              <w:spacing w:after="0"/>
              <w:rPr>
                <w:sz w:val="20"/>
                <w:szCs w:val="20"/>
                <w:color w:val="auto"/>
              </w:rPr>
            </w:pPr>
            <w:r>
              <w:rPr>
                <w:rFonts w:ascii="Arial" w:cs="Arial" w:eastAsia="Arial" w:hAnsi="Arial"/>
                <w:sz w:val="12"/>
                <w:szCs w:val="12"/>
                <w:color w:val="auto"/>
              </w:rPr>
              <w:t xml:space="preserve">Loss (gain) on fair value adjustments </w:t>
            </w:r>
            <w:r>
              <w:rPr>
                <w:rFonts w:ascii="Times New Roman" w:cs="Times New Roman" w:eastAsia="Times New Roman" w:hAnsi="Times New Roman"/>
                <w:sz w:val="12"/>
                <w:szCs w:val="12"/>
                <w:color w:val="B4B4B4"/>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(12,200)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26,594</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340"/>
              <w:spacing w:after="0"/>
              <w:rPr>
                <w:sz w:val="20"/>
                <w:szCs w:val="20"/>
                <w:color w:val="auto"/>
              </w:rPr>
            </w:pPr>
            <w:r>
              <w:rPr>
                <w:rFonts w:ascii="Arial" w:cs="Arial" w:eastAsia="Arial" w:hAnsi="Arial"/>
                <w:sz w:val="12"/>
                <w:szCs w:val="12"/>
                <w:color w:val="auto"/>
              </w:rPr>
              <w:t xml:space="preserve">Other </w:t>
            </w:r>
            <w:r>
              <w:rPr>
                <w:rFonts w:ascii="Times New Roman" w:cs="Times New Roman" w:eastAsia="Times New Roman" w:hAnsi="Times New Roman"/>
                <w:sz w:val="12"/>
                <w:szCs w:val="12"/>
                <w:color w:val="B4B4B4"/>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365</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159</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4260" w:type="dxa"/>
            <w:vAlign w:val="bottom"/>
          </w:tcPr>
          <w:p>
            <w:pPr>
              <w:ind w:left="340"/>
              <w:spacing w:after="0"/>
              <w:rPr>
                <w:sz w:val="20"/>
                <w:szCs w:val="20"/>
                <w:color w:val="auto"/>
              </w:rPr>
            </w:pPr>
            <w:r>
              <w:rPr>
                <w:rFonts w:ascii="Arial" w:cs="Arial" w:eastAsia="Arial" w:hAnsi="Arial"/>
                <w:sz w:val="12"/>
                <w:szCs w:val="12"/>
                <w:color w:val="auto"/>
              </w:rPr>
              <w:t>Changes in operating assets and liabilities, net of effect of business</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4260" w:type="dxa"/>
            <w:vAlign w:val="bottom"/>
          </w:tcPr>
          <w:p>
            <w:pPr>
              <w:ind w:left="460"/>
              <w:spacing w:after="0"/>
              <w:rPr>
                <w:sz w:val="20"/>
                <w:szCs w:val="20"/>
                <w:color w:val="auto"/>
              </w:rPr>
            </w:pPr>
            <w:r>
              <w:rPr>
                <w:rFonts w:ascii="Arial" w:cs="Arial" w:eastAsia="Arial" w:hAnsi="Arial"/>
                <w:sz w:val="12"/>
                <w:szCs w:val="12"/>
                <w:color w:val="auto"/>
              </w:rPr>
              <w:t>acquisitions:</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500"/>
              <w:spacing w:after="0"/>
              <w:rPr>
                <w:sz w:val="20"/>
                <w:szCs w:val="20"/>
                <w:color w:val="auto"/>
              </w:rPr>
            </w:pPr>
            <w:r>
              <w:rPr>
                <w:rFonts w:ascii="Arial" w:cs="Arial" w:eastAsia="Arial" w:hAnsi="Arial"/>
                <w:sz w:val="12"/>
                <w:szCs w:val="12"/>
                <w:color w:val="auto"/>
              </w:rPr>
              <w:t xml:space="preserve">Accounts receivable </w:t>
            </w:r>
            <w:r>
              <w:rPr>
                <w:rFonts w:ascii="Times New Roman" w:cs="Times New Roman" w:eastAsia="Times New Roman" w:hAnsi="Times New Roman"/>
                <w:sz w:val="12"/>
                <w:szCs w:val="12"/>
                <w:color w:val="B4B4B4"/>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(24,614)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(21,149)</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500"/>
              <w:spacing w:after="0"/>
              <w:rPr>
                <w:sz w:val="20"/>
                <w:szCs w:val="20"/>
                <w:color w:val="auto"/>
              </w:rPr>
            </w:pPr>
            <w:r>
              <w:rPr>
                <w:rFonts w:ascii="Arial" w:cs="Arial" w:eastAsia="Arial" w:hAnsi="Arial"/>
                <w:sz w:val="12"/>
                <w:szCs w:val="12"/>
                <w:color w:val="auto"/>
              </w:rPr>
              <w:t xml:space="preserve">Prepaid expenses and other current assets </w:t>
            </w:r>
            <w:r>
              <w:rPr>
                <w:rFonts w:ascii="Times New Roman" w:cs="Times New Roman" w:eastAsia="Times New Roman" w:hAnsi="Times New Roman"/>
                <w:sz w:val="12"/>
                <w:szCs w:val="12"/>
                <w:color w:val="B4B4B4"/>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(1,117)</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1,784</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500"/>
              <w:spacing w:after="0"/>
              <w:rPr>
                <w:sz w:val="20"/>
                <w:szCs w:val="20"/>
                <w:color w:val="auto"/>
              </w:rPr>
            </w:pPr>
            <w:r>
              <w:rPr>
                <w:rFonts w:ascii="Arial" w:cs="Arial" w:eastAsia="Arial" w:hAnsi="Arial"/>
                <w:sz w:val="12"/>
                <w:szCs w:val="12"/>
                <w:color w:val="auto"/>
              </w:rPr>
              <w:t xml:space="preserve">Contract acquisition costs </w:t>
            </w:r>
            <w:r>
              <w:rPr>
                <w:rFonts w:ascii="Times New Roman" w:cs="Times New Roman" w:eastAsia="Times New Roman" w:hAnsi="Times New Roman"/>
                <w:sz w:val="12"/>
                <w:szCs w:val="12"/>
                <w:color w:val="B4B4B4"/>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(23,685)</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500"/>
              <w:spacing w:after="0"/>
              <w:rPr>
                <w:sz w:val="20"/>
                <w:szCs w:val="20"/>
                <w:color w:val="auto"/>
              </w:rPr>
            </w:pPr>
            <w:r>
              <w:rPr>
                <w:rFonts w:ascii="Arial" w:cs="Arial" w:eastAsia="Arial" w:hAnsi="Arial"/>
                <w:sz w:val="12"/>
                <w:szCs w:val="12"/>
                <w:color w:val="auto"/>
              </w:rPr>
              <w:t xml:space="preserve">Other non-current assets </w:t>
            </w:r>
            <w:r>
              <w:rPr>
                <w:rFonts w:ascii="Times New Roman" w:cs="Times New Roman" w:eastAsia="Times New Roman" w:hAnsi="Times New Roman"/>
                <w:sz w:val="12"/>
                <w:szCs w:val="12"/>
                <w:color w:val="B4B4B4"/>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(1,302)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(6,933)</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260" w:type="dxa"/>
            <w:vAlign w:val="bottom"/>
          </w:tcPr>
          <w:p>
            <w:pPr>
              <w:ind w:left="500"/>
              <w:spacing w:after="0"/>
              <w:rPr>
                <w:sz w:val="20"/>
                <w:szCs w:val="20"/>
                <w:color w:val="auto"/>
              </w:rPr>
            </w:pPr>
            <w:r>
              <w:rPr>
                <w:rFonts w:ascii="Arial" w:cs="Arial" w:eastAsia="Arial" w:hAnsi="Arial"/>
                <w:sz w:val="12"/>
                <w:szCs w:val="12"/>
                <w:color w:val="auto"/>
              </w:rPr>
              <w:t xml:space="preserve">Accounts payabl  </w:t>
            </w:r>
            <w:r>
              <w:rPr>
                <w:rFonts w:ascii="Times New Roman" w:cs="Times New Roman" w:eastAsia="Times New Roman" w:hAnsi="Times New Roman"/>
                <w:sz w:val="12"/>
                <w:szCs w:val="12"/>
                <w:color w:val="B4B4B4"/>
              </w:rPr>
              <w:t>.....................................................................................</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17,093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(9,630)</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920" w:type="dxa"/>
            <w:vAlign w:val="bottom"/>
          </w:tcPr>
          <w:p>
            <w:pPr>
              <w:spacing w:after="0"/>
              <w:rPr>
                <w:sz w:val="7"/>
                <w:szCs w:val="7"/>
                <w:color w:val="auto"/>
              </w:rPr>
            </w:pPr>
          </w:p>
        </w:tc>
        <w:tc>
          <w:tcPr>
            <w:tcW w:w="4260" w:type="dxa"/>
            <w:vAlign w:val="bottom"/>
          </w:tcPr>
          <w:p>
            <w:pPr>
              <w:ind w:left="500"/>
              <w:spacing w:after="0" w:line="86" w:lineRule="exact"/>
              <w:rPr>
                <w:sz w:val="20"/>
                <w:szCs w:val="20"/>
                <w:color w:val="auto"/>
              </w:rPr>
            </w:pPr>
            <w:r>
              <w:rPr>
                <w:rFonts w:ascii="Arial" w:cs="Arial" w:eastAsia="Arial" w:hAnsi="Arial"/>
                <w:sz w:val="9"/>
                <w:szCs w:val="9"/>
                <w:color w:val="auto"/>
              </w:rPr>
              <w:t>e</w:t>
            </w: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4260" w:type="dxa"/>
            <w:vAlign w:val="bottom"/>
          </w:tcPr>
          <w:p>
            <w:pPr>
              <w:ind w:left="500"/>
              <w:spacing w:after="0"/>
              <w:rPr>
                <w:sz w:val="20"/>
                <w:szCs w:val="20"/>
                <w:color w:val="auto"/>
              </w:rPr>
            </w:pPr>
            <w:r>
              <w:rPr>
                <w:rFonts w:ascii="Arial" w:cs="Arial" w:eastAsia="Arial" w:hAnsi="Arial"/>
                <w:sz w:val="12"/>
                <w:szCs w:val="12"/>
                <w:color w:val="auto"/>
              </w:rPr>
              <w:t xml:space="preserve">Accrued expenses and other current liabilities  </w:t>
            </w:r>
            <w:r>
              <w:rPr>
                <w:rFonts w:ascii="Times New Roman" w:cs="Times New Roman" w:eastAsia="Times New Roman" w:hAnsi="Times New Roman"/>
                <w:sz w:val="12"/>
                <w:szCs w:val="12"/>
                <w:color w:val="B4B4B4"/>
              </w:rPr>
              <w:t>....................................</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6,647</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33,170</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4260" w:type="dxa"/>
            <w:vAlign w:val="bottom"/>
          </w:tcPr>
          <w:p>
            <w:pPr>
              <w:ind w:left="500"/>
              <w:spacing w:after="0"/>
              <w:rPr>
                <w:sz w:val="20"/>
                <w:szCs w:val="20"/>
                <w:color w:val="auto"/>
              </w:rPr>
            </w:pPr>
            <w:r>
              <w:rPr>
                <w:rFonts w:ascii="Arial" w:cs="Arial" w:eastAsia="Arial" w:hAnsi="Arial"/>
                <w:sz w:val="12"/>
                <w:szCs w:val="12"/>
                <w:color w:val="auto"/>
              </w:rPr>
              <w:t xml:space="preserve">Deferred revenue </w:t>
            </w:r>
            <w:r>
              <w:rPr>
                <w:rFonts w:ascii="Times New Roman" w:cs="Times New Roman" w:eastAsia="Times New Roman" w:hAnsi="Times New Roman"/>
                <w:sz w:val="12"/>
                <w:szCs w:val="12"/>
                <w:color w:val="B4B4B4"/>
              </w:rPr>
              <w:t>......................................................................................</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6,578</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8,787</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4260" w:type="dxa"/>
            <w:vAlign w:val="bottom"/>
          </w:tcPr>
          <w:p>
            <w:pPr>
              <w:ind w:left="500"/>
              <w:spacing w:after="0"/>
              <w:rPr>
                <w:sz w:val="20"/>
                <w:szCs w:val="20"/>
                <w:color w:val="auto"/>
              </w:rPr>
            </w:pPr>
            <w:r>
              <w:rPr>
                <w:rFonts w:ascii="Arial" w:cs="Arial" w:eastAsia="Arial" w:hAnsi="Arial"/>
                <w:sz w:val="12"/>
                <w:szCs w:val="12"/>
                <w:color w:val="auto"/>
              </w:rPr>
              <w:t>Operating lease right-of-use asset and operating lease liabilities,</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4260" w:type="dxa"/>
            <w:vAlign w:val="bottom"/>
          </w:tcPr>
          <w:p>
            <w:pPr>
              <w:ind w:left="720"/>
              <w:spacing w:after="0"/>
              <w:rPr>
                <w:sz w:val="20"/>
                <w:szCs w:val="20"/>
                <w:color w:val="auto"/>
              </w:rPr>
            </w:pPr>
            <w:r>
              <w:rPr>
                <w:rFonts w:ascii="Arial" w:cs="Arial" w:eastAsia="Arial" w:hAnsi="Arial"/>
                <w:sz w:val="12"/>
                <w:szCs w:val="12"/>
                <w:color w:val="auto"/>
              </w:rPr>
              <w:t xml:space="preserve">net </w:t>
            </w:r>
            <w:r>
              <w:rPr>
                <w:rFonts w:ascii="Times New Roman" w:cs="Times New Roman" w:eastAsia="Times New Roman" w:hAnsi="Times New Roman"/>
                <w:sz w:val="12"/>
                <w:szCs w:val="12"/>
                <w:color w:val="B4B4B4"/>
              </w:rPr>
              <w:t>........................................................................................................</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2,256</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173</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500"/>
              <w:spacing w:after="0"/>
              <w:rPr>
                <w:sz w:val="20"/>
                <w:szCs w:val="20"/>
                <w:color w:val="auto"/>
              </w:rPr>
            </w:pPr>
            <w:r>
              <w:rPr>
                <w:rFonts w:ascii="Arial" w:cs="Arial" w:eastAsia="Arial" w:hAnsi="Arial"/>
                <w:sz w:val="12"/>
                <w:szCs w:val="12"/>
                <w:color w:val="auto"/>
              </w:rPr>
              <w:t xml:space="preserve">Other non-current liabilities </w:t>
            </w:r>
            <w:r>
              <w:rPr>
                <w:rFonts w:ascii="Times New Roman" w:cs="Times New Roman" w:eastAsia="Times New Roman" w:hAnsi="Times New Roman"/>
                <w:sz w:val="12"/>
                <w:szCs w:val="12"/>
                <w:color w:val="B4B4B4"/>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771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(27,630)</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640"/>
              <w:spacing w:after="0"/>
              <w:rPr>
                <w:sz w:val="20"/>
                <w:szCs w:val="20"/>
                <w:color w:val="auto"/>
              </w:rPr>
            </w:pPr>
            <w:r>
              <w:rPr>
                <w:rFonts w:ascii="Arial" w:cs="Arial" w:eastAsia="Arial" w:hAnsi="Arial"/>
                <w:sz w:val="12"/>
                <w:szCs w:val="12"/>
                <w:color w:val="auto"/>
              </w:rPr>
              <w:t xml:space="preserve">Net cash used in operating activities </w:t>
            </w:r>
            <w:r>
              <w:rPr>
                <w:rFonts w:ascii="Times New Roman" w:cs="Times New Roman" w:eastAsia="Times New Roman" w:hAnsi="Times New Roman"/>
                <w:sz w:val="12"/>
                <w:szCs w:val="12"/>
                <w:color w:val="B4B4B4"/>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(50,406)</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(166,363)</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40"/>
              <w:spacing w:after="0"/>
              <w:rPr>
                <w:sz w:val="20"/>
                <w:szCs w:val="20"/>
                <w:color w:val="auto"/>
              </w:rPr>
            </w:pPr>
            <w:r>
              <w:rPr>
                <w:rFonts w:ascii="Arial" w:cs="Arial" w:eastAsia="Arial" w:hAnsi="Arial"/>
                <w:sz w:val="12"/>
                <w:szCs w:val="12"/>
                <w:color w:val="auto"/>
              </w:rPr>
              <w:t>Cash flows from investing activities:</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340"/>
              <w:spacing w:after="0"/>
              <w:rPr>
                <w:sz w:val="20"/>
                <w:szCs w:val="20"/>
                <w:color w:val="auto"/>
              </w:rPr>
            </w:pPr>
            <w:r>
              <w:rPr>
                <w:rFonts w:ascii="Arial" w:cs="Arial" w:eastAsia="Arial" w:hAnsi="Arial"/>
                <w:sz w:val="12"/>
                <w:szCs w:val="12"/>
                <w:color w:val="auto"/>
              </w:rPr>
              <w:t xml:space="preserve">Capitalized software development costs </w:t>
            </w:r>
            <w:r>
              <w:rPr>
                <w:rFonts w:ascii="Times New Roman" w:cs="Times New Roman" w:eastAsia="Times New Roman" w:hAnsi="Times New Roman"/>
                <w:sz w:val="12"/>
                <w:szCs w:val="12"/>
                <w:color w:val="B4B4B4"/>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(15,309)</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(16,743)</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340"/>
              <w:spacing w:after="0"/>
              <w:rPr>
                <w:sz w:val="20"/>
                <w:szCs w:val="20"/>
                <w:color w:val="auto"/>
              </w:rPr>
            </w:pPr>
            <w:r>
              <w:rPr>
                <w:rFonts w:ascii="Arial" w:cs="Arial" w:eastAsia="Arial" w:hAnsi="Arial"/>
                <w:sz w:val="12"/>
                <w:szCs w:val="12"/>
                <w:color w:val="auto"/>
              </w:rPr>
              <w:t xml:space="preserve">Purchases of property and equipment </w:t>
            </w:r>
            <w:r>
              <w:rPr>
                <w:rFonts w:ascii="Times New Roman" w:cs="Times New Roman" w:eastAsia="Times New Roman" w:hAnsi="Times New Roman"/>
                <w:sz w:val="12"/>
                <w:szCs w:val="12"/>
                <w:color w:val="B4B4B4"/>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(994)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(561)</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4260" w:type="dxa"/>
            <w:vAlign w:val="bottom"/>
          </w:tcPr>
          <w:p>
            <w:pPr>
              <w:ind w:left="360"/>
              <w:spacing w:after="0"/>
              <w:rPr>
                <w:sz w:val="20"/>
                <w:szCs w:val="20"/>
                <w:color w:val="auto"/>
              </w:rPr>
            </w:pPr>
            <w:r>
              <w:rPr>
                <w:rFonts w:ascii="Arial" w:cs="Arial" w:eastAsia="Arial" w:hAnsi="Arial"/>
                <w:sz w:val="12"/>
                <w:szCs w:val="12"/>
                <w:color w:val="auto"/>
              </w:rPr>
              <w:t>Cash consideration paid for business acquisition, net of cash</w:t>
            </w:r>
          </w:p>
        </w:tc>
        <w:tc>
          <w:tcPr>
            <w:tcW w:w="2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(3,879)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(7,026)</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4260" w:type="dxa"/>
            <w:vAlign w:val="bottom"/>
          </w:tcPr>
          <w:p>
            <w:pPr>
              <w:ind w:left="500"/>
              <w:spacing w:after="0"/>
              <w:rPr>
                <w:sz w:val="20"/>
                <w:szCs w:val="20"/>
                <w:color w:val="auto"/>
              </w:rPr>
            </w:pPr>
            <w:r>
              <w:rPr>
                <w:rFonts w:ascii="Arial" w:cs="Arial" w:eastAsia="Arial" w:hAnsi="Arial"/>
                <w:sz w:val="12"/>
                <w:szCs w:val="12"/>
                <w:color w:val="auto"/>
              </w:rPr>
              <w:t xml:space="preserve">acquired </w:t>
            </w:r>
            <w:r>
              <w:rPr>
                <w:rFonts w:ascii="Times New Roman" w:cs="Times New Roman" w:eastAsia="Times New Roman" w:hAnsi="Times New Roman"/>
                <w:sz w:val="12"/>
                <w:szCs w:val="12"/>
                <w:color w:val="B4B4B4"/>
              </w:rPr>
              <w:t>.....................................................................................................</w:t>
            </w:r>
          </w:p>
        </w:tc>
        <w:tc>
          <w:tcPr>
            <w:tcW w:w="2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920" w:type="dxa"/>
            <w:vAlign w:val="bottom"/>
          </w:tcPr>
          <w:p>
            <w:pPr>
              <w:spacing w:after="0"/>
              <w:rPr>
                <w:sz w:val="16"/>
                <w:szCs w:val="16"/>
                <w:color w:val="auto"/>
              </w:rPr>
            </w:pPr>
          </w:p>
        </w:tc>
        <w:tc>
          <w:tcPr>
            <w:tcW w:w="4260" w:type="dxa"/>
            <w:vAlign w:val="bottom"/>
          </w:tcPr>
          <w:p>
            <w:pPr>
              <w:ind w:left="340"/>
              <w:spacing w:after="0"/>
              <w:rPr>
                <w:sz w:val="20"/>
                <w:szCs w:val="20"/>
                <w:color w:val="auto"/>
              </w:rPr>
            </w:pPr>
            <w:r>
              <w:rPr>
                <w:rFonts w:ascii="Arial" w:cs="Arial" w:eastAsia="Arial" w:hAnsi="Arial"/>
                <w:sz w:val="12"/>
                <w:szCs w:val="12"/>
                <w:color w:val="auto"/>
              </w:rPr>
              <w:t xml:space="preserve">(Increase) decrease in corporate card receivables </w:t>
            </w:r>
            <w:r>
              <w:rPr>
                <w:rFonts w:ascii="Times New Roman" w:cs="Times New Roman" w:eastAsia="Times New Roman" w:hAnsi="Times New Roman"/>
                <w:sz w:val="12"/>
                <w:szCs w:val="12"/>
                <w:color w:val="B4B4B4"/>
              </w:rPr>
              <w:t>..................................</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65,052</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(84,449)</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640"/>
              <w:spacing w:after="0"/>
              <w:rPr>
                <w:sz w:val="20"/>
                <w:szCs w:val="20"/>
                <w:color w:val="auto"/>
              </w:rPr>
            </w:pPr>
            <w:r>
              <w:rPr>
                <w:rFonts w:ascii="Arial" w:cs="Arial" w:eastAsia="Arial" w:hAnsi="Arial"/>
                <w:sz w:val="12"/>
                <w:szCs w:val="12"/>
                <w:color w:val="auto"/>
              </w:rPr>
              <w:t xml:space="preserve">Net cash provided by (used in) investing activities  </w:t>
            </w:r>
            <w:r>
              <w:rPr>
                <w:rFonts w:ascii="Times New Roman" w:cs="Times New Roman" w:eastAsia="Times New Roman" w:hAnsi="Times New Roman"/>
                <w:sz w:val="12"/>
                <w:szCs w:val="12"/>
                <w:color w:val="B4B4B4"/>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44,870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(108,779)</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920" w:type="dxa"/>
            <w:vAlign w:val="bottom"/>
          </w:tcPr>
          <w:p>
            <w:pPr>
              <w:spacing w:after="0"/>
              <w:rPr>
                <w:sz w:val="10"/>
                <w:szCs w:val="10"/>
                <w:color w:val="auto"/>
              </w:rPr>
            </w:pPr>
          </w:p>
        </w:tc>
        <w:tc>
          <w:tcPr>
            <w:tcW w:w="4260" w:type="dxa"/>
            <w:vAlign w:val="bottom"/>
            <w:vMerge w:val="restart"/>
          </w:tcPr>
          <w:p>
            <w:pPr>
              <w:ind w:left="40"/>
              <w:spacing w:after="0"/>
              <w:rPr>
                <w:sz w:val="20"/>
                <w:szCs w:val="20"/>
                <w:color w:val="auto"/>
              </w:rPr>
            </w:pPr>
            <w:r>
              <w:rPr>
                <w:rFonts w:ascii="Arial" w:cs="Arial" w:eastAsia="Arial" w:hAnsi="Arial"/>
                <w:sz w:val="12"/>
                <w:szCs w:val="12"/>
                <w:color w:val="auto"/>
              </w:rPr>
              <w:t>Cash flows from financing activities:</w:t>
            </w: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920" w:type="dxa"/>
            <w:vAlign w:val="bottom"/>
          </w:tcPr>
          <w:p>
            <w:pPr>
              <w:spacing w:after="0"/>
              <w:rPr>
                <w:sz w:val="3"/>
                <w:szCs w:val="3"/>
                <w:color w:val="auto"/>
              </w:rPr>
            </w:pPr>
          </w:p>
        </w:tc>
        <w:tc>
          <w:tcPr>
            <w:tcW w:w="42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920" w:type="dxa"/>
            <w:vAlign w:val="bottom"/>
          </w:tcPr>
          <w:p>
            <w:pPr>
              <w:spacing w:after="0"/>
              <w:rPr>
                <w:sz w:val="10"/>
                <w:szCs w:val="10"/>
                <w:color w:val="auto"/>
              </w:rPr>
            </w:pPr>
          </w:p>
        </w:tc>
        <w:tc>
          <w:tcPr>
            <w:tcW w:w="4260" w:type="dxa"/>
            <w:vAlign w:val="bottom"/>
          </w:tcPr>
          <w:p>
            <w:pPr>
              <w:ind w:left="360"/>
              <w:spacing w:after="0" w:line="123" w:lineRule="exact"/>
              <w:rPr>
                <w:sz w:val="20"/>
                <w:szCs w:val="20"/>
                <w:color w:val="auto"/>
              </w:rPr>
            </w:pPr>
            <w:r>
              <w:rPr>
                <w:rFonts w:ascii="Arial" w:cs="Arial" w:eastAsia="Arial" w:hAnsi="Arial"/>
                <w:sz w:val="12"/>
                <w:szCs w:val="12"/>
                <w:color w:val="auto"/>
              </w:rPr>
              <w:t>Proceeds from issuance of common stock from exercise of stock-</w:t>
            </w: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4260" w:type="dxa"/>
            <w:vAlign w:val="bottom"/>
          </w:tcPr>
          <w:p>
            <w:pPr>
              <w:ind w:left="500"/>
              <w:spacing w:after="0"/>
              <w:rPr>
                <w:sz w:val="20"/>
                <w:szCs w:val="20"/>
                <w:color w:val="auto"/>
              </w:rPr>
            </w:pPr>
            <w:r>
              <w:rPr>
                <w:rFonts w:ascii="Arial" w:cs="Arial" w:eastAsia="Arial" w:hAnsi="Arial"/>
                <w:sz w:val="12"/>
                <w:szCs w:val="12"/>
                <w:color w:val="auto"/>
              </w:rPr>
              <w:t xml:space="preserve">based awards </w:t>
            </w:r>
            <w:r>
              <w:rPr>
                <w:rFonts w:ascii="Times New Roman" w:cs="Times New Roman" w:eastAsia="Times New Roman" w:hAnsi="Times New Roman"/>
                <w:sz w:val="12"/>
                <w:szCs w:val="12"/>
                <w:color w:val="B4B4B4"/>
              </w:rPr>
              <w:t>............................................................................................</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4,540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9,059</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340"/>
              <w:spacing w:after="0"/>
              <w:rPr>
                <w:sz w:val="20"/>
                <w:szCs w:val="20"/>
                <w:color w:val="auto"/>
              </w:rPr>
            </w:pPr>
            <w:r>
              <w:rPr>
                <w:rFonts w:ascii="Arial" w:cs="Arial" w:eastAsia="Arial" w:hAnsi="Arial"/>
                <w:sz w:val="12"/>
                <w:szCs w:val="12"/>
                <w:color w:val="auto"/>
              </w:rPr>
              <w:t xml:space="preserve">Proceeds from borrowings of debt </w:t>
            </w:r>
            <w:r>
              <w:rPr>
                <w:rFonts w:ascii="Times New Roman" w:cs="Times New Roman" w:eastAsia="Times New Roman" w:hAnsi="Times New Roman"/>
                <w:sz w:val="12"/>
                <w:szCs w:val="12"/>
                <w:color w:val="B4B4B4"/>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86,187</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206,419</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 xml:space="preserve">Payments of borrowings of debt </w:t>
            </w:r>
            <w:r>
              <w:rPr>
                <w:rFonts w:ascii="Times New Roman" w:cs="Times New Roman" w:eastAsia="Times New Roman" w:hAnsi="Times New Roman"/>
                <w:sz w:val="12"/>
                <w:szCs w:val="12"/>
                <w:color w:val="B4B4B4"/>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(35,758)</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(725)</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920" w:type="dxa"/>
            <w:vAlign w:val="bottom"/>
          </w:tcPr>
          <w:p>
            <w:pPr>
              <w:spacing w:after="0"/>
              <w:rPr>
                <w:sz w:val="16"/>
                <w:szCs w:val="16"/>
                <w:color w:val="auto"/>
              </w:rPr>
            </w:pPr>
          </w:p>
        </w:tc>
        <w:tc>
          <w:tcPr>
            <w:tcW w:w="4260" w:type="dxa"/>
            <w:vAlign w:val="bottom"/>
          </w:tcPr>
          <w:p>
            <w:pPr>
              <w:ind w:left="340"/>
              <w:spacing w:after="0"/>
              <w:rPr>
                <w:sz w:val="20"/>
                <w:szCs w:val="20"/>
                <w:color w:val="auto"/>
              </w:rPr>
            </w:pPr>
            <w:r>
              <w:rPr>
                <w:rFonts w:ascii="Arial" w:cs="Arial" w:eastAsia="Arial" w:hAnsi="Arial"/>
                <w:sz w:val="12"/>
                <w:szCs w:val="12"/>
                <w:color w:val="auto"/>
              </w:rPr>
              <w:t xml:space="preserve">Payments for debt issuance cost </w:t>
            </w:r>
            <w:r>
              <w:rPr>
                <w:rFonts w:ascii="Times New Roman" w:cs="Times New Roman" w:eastAsia="Times New Roman" w:hAnsi="Times New Roman"/>
                <w:sz w:val="12"/>
                <w:szCs w:val="12"/>
                <w:color w:val="B4B4B4"/>
              </w:rPr>
              <w:t>................................................................</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(1,512)</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340"/>
              <w:spacing w:after="0"/>
              <w:rPr>
                <w:sz w:val="20"/>
                <w:szCs w:val="20"/>
                <w:color w:val="auto"/>
              </w:rPr>
            </w:pPr>
            <w:r>
              <w:rPr>
                <w:rFonts w:ascii="Arial" w:cs="Arial" w:eastAsia="Arial" w:hAnsi="Arial"/>
                <w:sz w:val="12"/>
                <w:szCs w:val="12"/>
                <w:color w:val="auto"/>
              </w:rPr>
              <w:t xml:space="preserve">Payments of deferred consideration in business combinations  </w:t>
            </w:r>
            <w:r>
              <w:rPr>
                <w:rFonts w:ascii="Times New Roman" w:cs="Times New Roman" w:eastAsia="Times New Roman" w:hAnsi="Times New Roman"/>
                <w:sz w:val="12"/>
                <w:szCs w:val="12"/>
                <w:color w:val="B4B4B4"/>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(903)</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(2,133)</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640"/>
              <w:spacing w:after="0"/>
              <w:rPr>
                <w:sz w:val="20"/>
                <w:szCs w:val="20"/>
                <w:color w:val="auto"/>
              </w:rPr>
            </w:pPr>
            <w:r>
              <w:rPr>
                <w:rFonts w:ascii="Arial" w:cs="Arial" w:eastAsia="Arial" w:hAnsi="Arial"/>
                <w:sz w:val="12"/>
                <w:szCs w:val="12"/>
                <w:color w:val="auto"/>
              </w:rPr>
              <w:t xml:space="preserve">Net cash provided by financing activities </w:t>
            </w:r>
            <w:r>
              <w:rPr>
                <w:rFonts w:ascii="Times New Roman" w:cs="Times New Roman" w:eastAsia="Times New Roman" w:hAnsi="Times New Roman"/>
                <w:sz w:val="12"/>
                <w:szCs w:val="12"/>
                <w:color w:val="B4B4B4"/>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52,554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212,620</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920" w:type="dxa"/>
            <w:vAlign w:val="bottom"/>
          </w:tcPr>
          <w:p>
            <w:pPr>
              <w:spacing w:after="0"/>
              <w:rPr>
                <w:sz w:val="10"/>
                <w:szCs w:val="10"/>
                <w:color w:val="auto"/>
              </w:rPr>
            </w:pPr>
          </w:p>
        </w:tc>
        <w:tc>
          <w:tcPr>
            <w:tcW w:w="4260" w:type="dxa"/>
            <w:vAlign w:val="bottom"/>
          </w:tcPr>
          <w:p>
            <w:pPr>
              <w:ind w:left="640"/>
              <w:spacing w:after="0" w:line="123" w:lineRule="exact"/>
              <w:rPr>
                <w:sz w:val="20"/>
                <w:szCs w:val="20"/>
                <w:color w:val="auto"/>
              </w:rPr>
            </w:pPr>
            <w:r>
              <w:rPr>
                <w:rFonts w:ascii="Arial" w:cs="Arial" w:eastAsia="Arial" w:hAnsi="Arial"/>
                <w:sz w:val="12"/>
                <w:szCs w:val="12"/>
                <w:color w:val="auto"/>
              </w:rPr>
              <w:t>Effect of exchange rate changes on cash, cash equivalents and</w:t>
            </w: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4260" w:type="dxa"/>
            <w:vAlign w:val="bottom"/>
          </w:tcPr>
          <w:p>
            <w:pPr>
              <w:ind w:left="820"/>
              <w:spacing w:after="0"/>
              <w:rPr>
                <w:sz w:val="20"/>
                <w:szCs w:val="20"/>
                <w:color w:val="auto"/>
              </w:rPr>
            </w:pPr>
            <w:r>
              <w:rPr>
                <w:rFonts w:ascii="Arial" w:cs="Arial" w:eastAsia="Arial" w:hAnsi="Arial"/>
                <w:sz w:val="12"/>
                <w:szCs w:val="12"/>
                <w:color w:val="auto"/>
              </w:rPr>
              <w:t xml:space="preserve">restricted cash </w:t>
            </w:r>
            <w:r>
              <w:rPr>
                <w:rFonts w:ascii="Times New Roman" w:cs="Times New Roman" w:eastAsia="Times New Roman" w:hAnsi="Times New Roman"/>
                <w:sz w:val="12"/>
                <w:szCs w:val="12"/>
                <w:color w:val="B4B4B4"/>
              </w:rPr>
              <w:t>.................................................................................</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(3,805)</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(414)</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20" w:type="dxa"/>
            <w:vAlign w:val="bottom"/>
          </w:tcPr>
          <w:p>
            <w:pPr>
              <w:spacing w:after="0"/>
              <w:rPr>
                <w:sz w:val="14"/>
                <w:szCs w:val="14"/>
                <w:color w:val="auto"/>
              </w:rPr>
            </w:pPr>
          </w:p>
        </w:tc>
        <w:tc>
          <w:tcPr>
            <w:tcW w:w="4260" w:type="dxa"/>
            <w:vAlign w:val="bottom"/>
          </w:tcPr>
          <w:p>
            <w:pPr>
              <w:ind w:left="640"/>
              <w:spacing w:after="0"/>
              <w:rPr>
                <w:sz w:val="20"/>
                <w:szCs w:val="20"/>
                <w:color w:val="auto"/>
              </w:rPr>
            </w:pPr>
            <w:r>
              <w:rPr>
                <w:rFonts w:ascii="Arial" w:cs="Arial" w:eastAsia="Arial" w:hAnsi="Arial"/>
                <w:sz w:val="12"/>
                <w:szCs w:val="12"/>
                <w:color w:val="auto"/>
              </w:rPr>
              <w:t>Net increase (decrease) in cash, cash equivalents and</w:t>
            </w:r>
          </w:p>
        </w:tc>
        <w:tc>
          <w:tcPr>
            <w:tcW w:w="2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43,213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(62,936)</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4260" w:type="dxa"/>
            <w:vAlign w:val="bottom"/>
          </w:tcPr>
          <w:p>
            <w:pPr>
              <w:ind w:left="820"/>
              <w:spacing w:after="0"/>
              <w:rPr>
                <w:sz w:val="20"/>
                <w:szCs w:val="20"/>
                <w:color w:val="auto"/>
              </w:rPr>
            </w:pPr>
            <w:r>
              <w:rPr>
                <w:rFonts w:ascii="Arial" w:cs="Arial" w:eastAsia="Arial" w:hAnsi="Arial"/>
                <w:sz w:val="12"/>
                <w:szCs w:val="12"/>
                <w:color w:val="auto"/>
              </w:rPr>
              <w:t xml:space="preserve">restricted cash </w:t>
            </w:r>
            <w:r>
              <w:rPr>
                <w:rFonts w:ascii="Times New Roman" w:cs="Times New Roman" w:eastAsia="Times New Roman" w:hAnsi="Times New Roman"/>
                <w:sz w:val="12"/>
                <w:szCs w:val="12"/>
                <w:color w:val="B4B4B4"/>
              </w:rPr>
              <w:t>.................................................................................</w:t>
            </w:r>
          </w:p>
        </w:tc>
        <w:tc>
          <w:tcPr>
            <w:tcW w:w="2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Cash, cash equivalents and restricted cash, beginning of period  </w:t>
            </w:r>
            <w:r>
              <w:rPr>
                <w:rFonts w:ascii="Times New Roman" w:cs="Times New Roman" w:eastAsia="Times New Roman" w:hAnsi="Times New Roman"/>
                <w:sz w:val="12"/>
                <w:szCs w:val="12"/>
                <w:color w:val="B4B4B4"/>
              </w:rPr>
              <w:t>...................</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267,382</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330,318</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260" w:type="dxa"/>
            <w:vAlign w:val="bottom"/>
            <w:tcBorders>
              <w:bottom w:val="single" w:sz="8" w:color="CCEEFF"/>
            </w:tcBorders>
          </w:tcPr>
          <w:p>
            <w:pPr>
              <w:ind w:left="2900"/>
              <w:spacing w:after="0"/>
              <w:rPr>
                <w:sz w:val="20"/>
                <w:szCs w:val="20"/>
                <w:color w:val="auto"/>
              </w:rPr>
            </w:pPr>
            <w:r>
              <w:rPr>
                <w:rFonts w:ascii="Arial" w:cs="Arial" w:eastAsia="Arial" w:hAnsi="Arial"/>
                <w:sz w:val="12"/>
                <w:szCs w:val="12"/>
                <w:color w:val="auto"/>
              </w:rPr>
              <w:t>F-7</w:t>
            </w: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920" w:type="dxa"/>
            <w:vAlign w:val="bottom"/>
          </w:tcPr>
          <w:p>
            <w:pPr>
              <w:spacing w:after="0"/>
              <w:rPr>
                <w:sz w:val="14"/>
                <w:szCs w:val="14"/>
                <w:color w:val="auto"/>
              </w:rPr>
            </w:pPr>
          </w:p>
        </w:tc>
        <w:tc>
          <w:tcPr>
            <w:tcW w:w="42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920" w:type="dxa"/>
            <w:vAlign w:val="bottom"/>
          </w:tcPr>
          <w:p>
            <w:pPr>
              <w:spacing w:after="0"/>
              <w:rPr>
                <w:sz w:val="24"/>
                <w:szCs w:val="24"/>
                <w:color w:val="auto"/>
              </w:rPr>
            </w:pPr>
          </w:p>
        </w:tc>
        <w:tc>
          <w:tcPr>
            <w:tcW w:w="42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(in thousands)</w:t>
      </w:r>
    </w:p>
    <w:p>
      <w:pPr>
        <w:spacing w:after="0" w:line="11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73"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1"/>
                <w:szCs w:val="11"/>
                <w:b w:val="1"/>
                <w:bCs w:val="1"/>
                <w:color w:val="auto"/>
                <w:w w:val="99"/>
              </w:rPr>
              <w:t>Year Ended January 31,</w:t>
            </w:r>
          </w:p>
        </w:tc>
        <w:tc>
          <w:tcPr>
            <w:tcW w:w="0" w:type="dxa"/>
            <w:vAlign w:val="bottom"/>
          </w:tcPr>
          <w:p>
            <w:pPr>
              <w:spacing w:after="0"/>
              <w:rPr>
                <w:sz w:val="1"/>
                <w:szCs w:val="1"/>
                <w:color w:val="auto"/>
              </w:rPr>
            </w:pPr>
          </w:p>
        </w:tc>
      </w:tr>
      <w:tr>
        <w:trPr>
          <w:trHeight w:val="147"/>
        </w:trPr>
        <w:tc>
          <w:tcPr>
            <w:tcW w:w="4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63"/>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Cash,cashequivalentsandrestrictedcash,endofperiod</w:t>
            </w: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310,595</w:t>
            </w:r>
          </w:p>
        </w:tc>
        <w:tc>
          <w:tcPr>
            <w:tcW w:w="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267,382</w:t>
            </w:r>
          </w:p>
        </w:tc>
        <w:tc>
          <w:tcPr>
            <w:tcW w:w="0" w:type="dxa"/>
            <w:vAlign w:val="bottom"/>
          </w:tcPr>
          <w:p>
            <w:pPr>
              <w:spacing w:after="0"/>
              <w:rPr>
                <w:sz w:val="1"/>
                <w:szCs w:val="1"/>
                <w:color w:val="auto"/>
              </w:rPr>
            </w:pPr>
          </w:p>
        </w:tc>
      </w:tr>
      <w:tr>
        <w:trPr>
          <w:trHeight w:val="185"/>
        </w:trPr>
        <w:tc>
          <w:tcPr>
            <w:tcW w:w="4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Supplemental disclosure of cash flow information:</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60" w:type="dxa"/>
            <w:vAlign w:val="bottom"/>
          </w:tcPr>
          <w:p>
            <w:pPr>
              <w:ind w:left="340"/>
              <w:spacing w:after="0"/>
              <w:rPr>
                <w:sz w:val="20"/>
                <w:szCs w:val="20"/>
                <w:color w:val="auto"/>
              </w:rPr>
            </w:pPr>
            <w:r>
              <w:rPr>
                <w:rFonts w:ascii="Arial" w:cs="Arial" w:eastAsia="Arial" w:hAnsi="Arial"/>
                <w:sz w:val="12"/>
                <w:szCs w:val="12"/>
                <w:color w:val="auto"/>
              </w:rPr>
              <w:t xml:space="preserve">Cash paid for interest </w:t>
            </w:r>
            <w:r>
              <w:rPr>
                <w:rFonts w:ascii="Times New Roman" w:cs="Times New Roman" w:eastAsia="Times New Roman" w:hAnsi="Times New Roman"/>
                <w:sz w:val="12"/>
                <w:szCs w:val="12"/>
                <w:color w:val="B4B4B4"/>
              </w:rPr>
              <w:t>....................................................................................</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29,547</w:t>
            </w:r>
          </w:p>
        </w:tc>
        <w:tc>
          <w:tcPr>
            <w:tcW w:w="240" w:type="dxa"/>
            <w:vAlign w:val="bottom"/>
            <w:gridSpan w:val="2"/>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18,634</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 xml:space="preserve">Cash paid for income taxes </w:t>
            </w:r>
            <w:r>
              <w:rPr>
                <w:rFonts w:ascii="Times New Roman" w:cs="Times New Roman" w:eastAsia="Times New Roman" w:hAnsi="Times New Roman"/>
                <w:sz w:val="12"/>
                <w:szCs w:val="12"/>
                <w:color w:val="B4B4B4"/>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8,539</w:t>
            </w:r>
          </w:p>
        </w:tc>
        <w:tc>
          <w:tcPr>
            <w:tcW w:w="2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6,368</w:t>
            </w:r>
          </w:p>
        </w:tc>
        <w:tc>
          <w:tcPr>
            <w:tcW w:w="0" w:type="dxa"/>
            <w:vAlign w:val="bottom"/>
          </w:tcPr>
          <w:p>
            <w:pPr>
              <w:spacing w:after="0"/>
              <w:rPr>
                <w:sz w:val="1"/>
                <w:szCs w:val="1"/>
                <w:color w:val="auto"/>
              </w:rPr>
            </w:pPr>
          </w:p>
        </w:tc>
      </w:tr>
      <w:tr>
        <w:trPr>
          <w:trHeight w:val="201"/>
        </w:trPr>
        <w:tc>
          <w:tcPr>
            <w:tcW w:w="4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Noncash investing and financing activities:</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60" w:type="dxa"/>
            <w:vAlign w:val="bottom"/>
          </w:tcPr>
          <w:p>
            <w:pPr>
              <w:ind w:left="340"/>
              <w:spacing w:after="0"/>
              <w:rPr>
                <w:sz w:val="20"/>
                <w:szCs w:val="20"/>
                <w:color w:val="auto"/>
              </w:rPr>
            </w:pPr>
            <w:r>
              <w:rPr>
                <w:rFonts w:ascii="Arial" w:cs="Arial" w:eastAsia="Arial" w:hAnsi="Arial"/>
                <w:sz w:val="12"/>
                <w:szCs w:val="12"/>
                <w:color w:val="auto"/>
              </w:rPr>
              <w:t xml:space="preserve">Vesting of early exercised stock options  </w:t>
            </w:r>
            <w:r>
              <w:rPr>
                <w:rFonts w:ascii="Times New Roman" w:cs="Times New Roman" w:eastAsia="Times New Roman" w:hAnsi="Times New Roman"/>
                <w:sz w:val="12"/>
                <w:szCs w:val="12"/>
                <w:color w:val="B4B4B4"/>
              </w:rPr>
              <w:t>...................................................</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1,658</w:t>
            </w:r>
          </w:p>
        </w:tc>
        <w:tc>
          <w:tcPr>
            <w:tcW w:w="240" w:type="dxa"/>
            <w:vAlign w:val="bottom"/>
            <w:gridSpan w:val="2"/>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312</w:t>
            </w:r>
          </w:p>
        </w:tc>
        <w:tc>
          <w:tcPr>
            <w:tcW w:w="0" w:type="dxa"/>
            <w:vAlign w:val="bottom"/>
          </w:tcPr>
          <w:p>
            <w:pPr>
              <w:spacing w:after="0"/>
              <w:rPr>
                <w:sz w:val="1"/>
                <w:szCs w:val="1"/>
                <w:color w:val="auto"/>
              </w:rPr>
            </w:pPr>
          </w:p>
        </w:tc>
      </w:tr>
      <w:tr>
        <w:trPr>
          <w:trHeight w:val="133"/>
        </w:trPr>
        <w:tc>
          <w:tcPr>
            <w:tcW w:w="4260" w:type="dxa"/>
            <w:vAlign w:val="bottom"/>
            <w:shd w:val="clear" w:color="auto" w:fill="CCEEFF"/>
          </w:tcPr>
          <w:p>
            <w:pPr>
              <w:ind w:left="320"/>
              <w:spacing w:after="0" w:line="133" w:lineRule="exact"/>
              <w:rPr>
                <w:sz w:val="20"/>
                <w:szCs w:val="20"/>
                <w:color w:val="auto"/>
              </w:rPr>
            </w:pPr>
            <w:r>
              <w:rPr>
                <w:rFonts w:ascii="Arial" w:cs="Arial" w:eastAsia="Arial" w:hAnsi="Arial"/>
                <w:sz w:val="12"/>
                <w:szCs w:val="12"/>
                <w:color w:val="auto"/>
              </w:rPr>
              <w:t>Capitalized share-based compensation for internal-use software</w:t>
            </w:r>
          </w:p>
        </w:tc>
        <w:tc>
          <w:tcPr>
            <w:tcW w:w="200" w:type="dxa"/>
            <w:vAlign w:val="bottom"/>
            <w:vMerge w:val="restart"/>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2,319</w:t>
            </w:r>
          </w:p>
        </w:tc>
        <w:tc>
          <w:tcPr>
            <w:tcW w:w="240" w:type="dxa"/>
            <w:vAlign w:val="bottom"/>
            <w:gridSpan w:val="2"/>
            <w:vMerge w:val="restart"/>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1,130</w:t>
            </w:r>
          </w:p>
        </w:tc>
        <w:tc>
          <w:tcPr>
            <w:tcW w:w="0" w:type="dxa"/>
            <w:vAlign w:val="bottom"/>
          </w:tcPr>
          <w:p>
            <w:pPr>
              <w:spacing w:after="0"/>
              <w:rPr>
                <w:sz w:val="1"/>
                <w:szCs w:val="1"/>
                <w:color w:val="auto"/>
              </w:rPr>
            </w:pPr>
          </w:p>
        </w:tc>
      </w:tr>
      <w:tr>
        <w:trPr>
          <w:trHeight w:val="171"/>
        </w:trPr>
        <w:tc>
          <w:tcPr>
            <w:tcW w:w="4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 xml:space="preserve">development costs </w:t>
            </w:r>
            <w:r>
              <w:rPr>
                <w:rFonts w:ascii="Times New Roman" w:cs="Times New Roman" w:eastAsia="Times New Roman" w:hAnsi="Times New Roman"/>
                <w:sz w:val="12"/>
                <w:szCs w:val="12"/>
                <w:color w:val="B4B4B4"/>
              </w:rPr>
              <w:t>...................................................................................</w:t>
            </w:r>
          </w:p>
        </w:tc>
        <w:tc>
          <w:tcPr>
            <w:tcW w:w="200" w:type="dxa"/>
            <w:vAlign w:val="bottom"/>
            <w:tcBorders>
              <w:bottom w:val="single" w:sz="8" w:color="CCEEFF"/>
            </w:tcBorders>
            <w:vMerge w:val="continue"/>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240" w:type="dxa"/>
            <w:vAlign w:val="bottom"/>
            <w:tcBorders>
              <w:bottom w:val="single" w:sz="8" w:color="CCEEFF"/>
            </w:tcBorders>
            <w:gridSpan w:val="2"/>
            <w:vMerge w:val="continue"/>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60" w:type="dxa"/>
            <w:vAlign w:val="bottom"/>
          </w:tcPr>
          <w:p>
            <w:pPr>
              <w:ind w:left="340"/>
              <w:spacing w:after="0"/>
              <w:rPr>
                <w:sz w:val="20"/>
                <w:szCs w:val="20"/>
                <w:color w:val="auto"/>
              </w:rPr>
            </w:pPr>
            <w:r>
              <w:rPr>
                <w:rFonts w:ascii="Arial" w:cs="Arial" w:eastAsia="Arial" w:hAnsi="Arial"/>
                <w:sz w:val="12"/>
                <w:szCs w:val="12"/>
                <w:color w:val="auto"/>
              </w:rPr>
              <w:t xml:space="preserve">Amounts unpaid for purchases of property and equipment </w:t>
            </w:r>
            <w:r>
              <w:rPr>
                <w:rFonts w:ascii="Times New Roman" w:cs="Times New Roman" w:eastAsia="Times New Roman" w:hAnsi="Times New Roman"/>
                <w:sz w:val="12"/>
                <w:szCs w:val="12"/>
                <w:color w:val="B4B4B4"/>
              </w:rPr>
              <w:t>....................</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12</w:t>
            </w:r>
          </w:p>
        </w:tc>
        <w:tc>
          <w:tcPr>
            <w:tcW w:w="240" w:type="dxa"/>
            <w:vAlign w:val="bottom"/>
            <w:gridSpan w:val="2"/>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556</w:t>
            </w:r>
          </w:p>
        </w:tc>
        <w:tc>
          <w:tcPr>
            <w:tcW w:w="0" w:type="dxa"/>
            <w:vAlign w:val="bottom"/>
          </w:tcPr>
          <w:p>
            <w:pPr>
              <w:spacing w:after="0"/>
              <w:rPr>
                <w:sz w:val="1"/>
                <w:szCs w:val="1"/>
                <w:color w:val="auto"/>
              </w:rPr>
            </w:pPr>
          </w:p>
        </w:tc>
      </w:tr>
    </w:tbl>
    <w:p>
      <w:pPr>
        <w:spacing w:after="0" w:line="96"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ectPr>
          <w:pgSz w:w="11900" w:h="16840" w:orient="portrait"/>
          <w:cols w:equalWidth="0" w:num="1">
            <w:col w:w="9020"/>
          </w:cols>
          <w:pgMar w:left="1440" w:top="546" w:right="1440" w:bottom="1440" w:gutter="0" w:footer="0" w:header="0"/>
        </w:sectPr>
      </w:pPr>
    </w:p>
    <w:bookmarkStart w:id="166" w:name="page167"/>
    <w:bookmarkEnd w:id="1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F-8</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300"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1 - DESCRIPTION OF BUSINESS AND  SIGNIFICANT ACCOUNTING POLICIES</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Description of Business</w:t>
      </w:r>
    </w:p>
    <w:p>
      <w:pPr>
        <w:spacing w:after="0" w:line="128" w:lineRule="exact"/>
        <w:rPr>
          <w:sz w:val="20"/>
          <w:szCs w:val="20"/>
          <w:color w:val="auto"/>
        </w:rPr>
      </w:pPr>
    </w:p>
    <w:p>
      <w:pPr>
        <w:ind w:left="1520" w:right="1760" w:firstLine="230"/>
        <w:spacing w:after="0" w:line="273" w:lineRule="auto"/>
        <w:rPr>
          <w:sz w:val="20"/>
          <w:szCs w:val="20"/>
          <w:color w:val="auto"/>
        </w:rPr>
      </w:pPr>
      <w:r>
        <w:rPr>
          <w:rFonts w:ascii="Arial" w:cs="Arial" w:eastAsia="Arial" w:hAnsi="Arial"/>
          <w:sz w:val="12"/>
          <w:szCs w:val="12"/>
          <w:color w:val="auto"/>
        </w:rPr>
        <w:t>Navan, Inc. (the “Company”, “we”, “our”), together with its subsidiaries, is a cloud-based technology platform built to solve the comprehensive needs of frequent travelers. We offer a comprehensive, all-in-one, AI-powered travel, payments and expense management solution designed to streamline the entire travel lifecycle, from booking and policy enforcement to payment processing, expense reconciliation, and reporting. The Company was incorporated in the state of Delaware in February 2015. The Company is currently headquartered in Palo Alto, California and has operations in North America, Asia Pacific, the Middle East, and Europe.</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Basis of Presentation and Principles of Consolidation</w:t>
      </w:r>
    </w:p>
    <w:p>
      <w:pPr>
        <w:spacing w:after="0" w:line="128" w:lineRule="exact"/>
        <w:rPr>
          <w:sz w:val="20"/>
          <w:szCs w:val="20"/>
          <w:color w:val="auto"/>
        </w:rPr>
      </w:pPr>
    </w:p>
    <w:p>
      <w:pPr>
        <w:ind w:left="1520" w:right="1680" w:firstLine="230"/>
        <w:spacing w:after="0" w:line="281" w:lineRule="auto"/>
        <w:rPr>
          <w:sz w:val="20"/>
          <w:szCs w:val="20"/>
          <w:color w:val="auto"/>
        </w:rPr>
      </w:pPr>
      <w:r>
        <w:rPr>
          <w:rFonts w:ascii="Arial" w:cs="Arial" w:eastAsia="Arial" w:hAnsi="Arial"/>
          <w:sz w:val="12"/>
          <w:szCs w:val="12"/>
          <w:color w:val="auto"/>
        </w:rPr>
        <w:t>The accompanying consolidated financial statements have been prepared in conformity with generally accepted accounting principles in the United States of America (“GAAP”). We consolidate our wholly-owned subsidiaries over which we exercise control, and variable interest entities (“VIEs”) where we are deemed to be the primary beneficiary. See Note 9 — Variable Interest Entities for further detail.</w:t>
      </w:r>
    </w:p>
    <w:p>
      <w:pPr>
        <w:spacing w:after="0" w:line="81" w:lineRule="exact"/>
        <w:rPr>
          <w:sz w:val="20"/>
          <w:szCs w:val="20"/>
          <w:color w:val="auto"/>
        </w:rPr>
      </w:pPr>
    </w:p>
    <w:p>
      <w:pPr>
        <w:ind w:left="1520" w:right="1980" w:firstLine="230"/>
        <w:spacing w:after="0" w:line="281" w:lineRule="auto"/>
        <w:rPr>
          <w:sz w:val="20"/>
          <w:szCs w:val="20"/>
          <w:color w:val="auto"/>
        </w:rPr>
      </w:pPr>
      <w:r>
        <w:rPr>
          <w:rFonts w:ascii="Arial" w:cs="Arial" w:eastAsia="Arial" w:hAnsi="Arial"/>
          <w:sz w:val="12"/>
          <w:szCs w:val="12"/>
          <w:color w:val="auto"/>
        </w:rPr>
        <w:t>The accompanying consolidated financial statements include the accounts of the Company and entities in which it has a controlling financial interest in accordance with the consolidation accounting principles guidance. All intercompany profits, transactions, and balances have been eliminated in consolidation.</w:t>
      </w:r>
    </w:p>
    <w:p>
      <w:pPr>
        <w:spacing w:after="0" w:line="81" w:lineRule="exact"/>
        <w:rPr>
          <w:sz w:val="20"/>
          <w:szCs w:val="20"/>
          <w:color w:val="auto"/>
        </w:rPr>
      </w:pPr>
    </w:p>
    <w:p>
      <w:pPr>
        <w:ind w:left="1520" w:right="1700" w:firstLine="230"/>
        <w:spacing w:after="0" w:line="312" w:lineRule="auto"/>
        <w:rPr>
          <w:sz w:val="20"/>
          <w:szCs w:val="20"/>
          <w:color w:val="auto"/>
        </w:rPr>
      </w:pPr>
      <w:r>
        <w:rPr>
          <w:rFonts w:ascii="Arial" w:cs="Arial" w:eastAsia="Arial" w:hAnsi="Arial"/>
          <w:sz w:val="12"/>
          <w:szCs w:val="12"/>
          <w:color w:val="auto"/>
        </w:rPr>
        <w:t>The Company’s fiscal year ends on January 31. References made to “fiscal 2025” and “fiscal 2024” refer to the Company’s fiscal years ended January 31, 2025 and 2024, respectively.</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Reverse Stock Split</w:t>
      </w:r>
    </w:p>
    <w:p>
      <w:pPr>
        <w:spacing w:after="0" w:line="128" w:lineRule="exact"/>
        <w:rPr>
          <w:sz w:val="20"/>
          <w:szCs w:val="20"/>
          <w:color w:val="auto"/>
        </w:rPr>
      </w:pPr>
    </w:p>
    <w:p>
      <w:pPr>
        <w:ind w:left="1520" w:right="1840" w:firstLine="230"/>
        <w:spacing w:after="0" w:line="289" w:lineRule="auto"/>
        <w:rPr>
          <w:sz w:val="20"/>
          <w:szCs w:val="20"/>
          <w:color w:val="auto"/>
        </w:rPr>
      </w:pPr>
      <w:r>
        <w:rPr>
          <w:rFonts w:ascii="Arial" w:cs="Arial" w:eastAsia="Arial" w:hAnsi="Arial"/>
          <w:sz w:val="12"/>
          <w:szCs w:val="12"/>
          <w:color w:val="auto"/>
        </w:rPr>
        <w:t>On September 18, 2025, the Company effected a one-for-three reverse stock split of its common stock and redeemable convertible preferred stock. All share and per share information has been retroactively adjusted to reflect the stock split for all periods presented.</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28" w:lineRule="exact"/>
        <w:rPr>
          <w:sz w:val="20"/>
          <w:szCs w:val="20"/>
          <w:color w:val="auto"/>
        </w:rPr>
      </w:pPr>
    </w:p>
    <w:p>
      <w:pPr>
        <w:ind w:left="1520" w:right="1680" w:firstLine="230"/>
        <w:spacing w:after="0" w:line="270" w:lineRule="auto"/>
        <w:rPr>
          <w:sz w:val="20"/>
          <w:szCs w:val="20"/>
          <w:color w:val="auto"/>
        </w:rPr>
      </w:pPr>
      <w:r>
        <w:rPr>
          <w:rFonts w:ascii="Arial" w:cs="Arial" w:eastAsia="Arial" w:hAnsi="Arial"/>
          <w:sz w:val="12"/>
          <w:szCs w:val="12"/>
          <w:color w:val="auto"/>
        </w:rPr>
        <w:t>The preparation of consolidated financial statements in conformity with GAAP requires management to make estimates, judgments and assumptions that affect the reported amounts in the consolidated financial statements and accompanying notes. Estimates and judgments are based on historical experience, forecasted events and various other assumptions that the Company believes to be reasonable under the circumstances. On an ongoing basis, management evaluates estimates, including, but not limited to: carrying values and useful lives of long-lived assets and intangible assets; capitalization of internal-use software costs; the expected period of benefit for contract acquisition costs; the estimate of expected credit losses on accounts receivable; fair values of assets acquired and liabilities assumed in business combinations; fair values of embedded derivatives and redeemable convertible preferred stock warrant liabilities; fair values of stock-based awards issued; the incremental borrowing rate used for operating lease liabilities; and assumptions used in accounting for income taxes. These estimates are inherently subject to judgment and actual results could differ from those estimates.</w:t>
      </w:r>
    </w:p>
    <w:p>
      <w:pPr>
        <w:spacing w:after="0" w:line="91"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Concentration of Credit Risk</w:t>
      </w:r>
    </w:p>
    <w:p>
      <w:pPr>
        <w:spacing w:after="0" w:line="128"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color w:val="auto"/>
        </w:rPr>
        <w:t>Financial instruments that potentially subject the Company to concentrations of credit risk consist primarily of cash and cash equivalents, restricted cash and accounts receivable. The Company’s cash and cash equivalents and restricted cash are on deposit with high-quality financial institutions that exceed federally insured limits. The Company regularly monitors the composition and maturities of cash and cash equivalent and restricted cash balances. The Company has not experienced any losses due to institutional failure or bankruptcy. The Company performs credit evaluations of its customers and generally does not require collateral for sales on credit. In certain cases, based on the Company’s credit</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F-9</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ind w:left="1520" w:right="2120"/>
        <w:spacing w:after="0" w:line="312" w:lineRule="auto"/>
        <w:rPr>
          <w:sz w:val="20"/>
          <w:szCs w:val="20"/>
          <w:color w:val="auto"/>
        </w:rPr>
      </w:pPr>
      <w:r>
        <w:rPr>
          <w:rFonts w:ascii="Arial" w:cs="Arial" w:eastAsia="Arial" w:hAnsi="Arial"/>
          <w:sz w:val="12"/>
          <w:szCs w:val="12"/>
          <w:color w:val="auto"/>
        </w:rPr>
        <w:t>evaluations, collateral, primarily in the form of cash deposits, is required to mitigate corporate card receivable collection risk.</w:t>
      </w:r>
    </w:p>
    <w:p>
      <w:pPr>
        <w:spacing w:after="0" w:line="62" w:lineRule="exact"/>
        <w:rPr>
          <w:sz w:val="20"/>
          <w:szCs w:val="20"/>
          <w:color w:val="auto"/>
        </w:rPr>
      </w:pPr>
    </w:p>
    <w:p>
      <w:pPr>
        <w:ind w:left="1520" w:right="1600" w:firstLine="230"/>
        <w:spacing w:after="0" w:line="280" w:lineRule="auto"/>
        <w:rPr>
          <w:sz w:val="20"/>
          <w:szCs w:val="20"/>
          <w:color w:val="auto"/>
        </w:rPr>
      </w:pPr>
      <w:r>
        <w:rPr>
          <w:rFonts w:ascii="Arial" w:cs="Arial" w:eastAsia="Arial" w:hAnsi="Arial"/>
          <w:sz w:val="12"/>
          <w:szCs w:val="12"/>
          <w:color w:val="auto"/>
        </w:rPr>
        <w:t>One payment partner customer accounted for 11.2% and 11.5% of the Company’s revenue during the years ended January 31, 2025 and 2024, respectively. One platform customer accounted for 12% and 14% of accounts receivable as of January 31, 2025 and 2024, respectively. The Company did not have any customers that accounted for 10% or more of corporate card receivables as of January 31, 2025 and 2024.</w:t>
      </w:r>
    </w:p>
    <w:p>
      <w:pPr>
        <w:spacing w:after="0" w:line="23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Foreign Currency</w:t>
      </w:r>
    </w:p>
    <w:p>
      <w:pPr>
        <w:spacing w:after="0" w:line="128" w:lineRule="exact"/>
        <w:rPr>
          <w:sz w:val="20"/>
          <w:szCs w:val="20"/>
          <w:color w:val="auto"/>
        </w:rPr>
      </w:pPr>
    </w:p>
    <w:p>
      <w:pPr>
        <w:ind w:left="1520" w:right="1680" w:firstLine="230"/>
        <w:spacing w:after="0" w:line="277" w:lineRule="auto"/>
        <w:rPr>
          <w:sz w:val="20"/>
          <w:szCs w:val="20"/>
          <w:color w:val="auto"/>
        </w:rPr>
      </w:pPr>
      <w:r>
        <w:rPr>
          <w:rFonts w:ascii="Arial" w:cs="Arial" w:eastAsia="Arial" w:hAnsi="Arial"/>
          <w:sz w:val="12"/>
          <w:szCs w:val="12"/>
          <w:color w:val="auto"/>
        </w:rPr>
        <w:t>The functional currency of the Company’s foreign subsidiaries is the local currency or U.S. dollar, depending on the primary economic environment in which the subsidiary operates. Transactions denominated in currencies other than the functional currency are remeasured to the functional currency at the exchange rate in effect on the date of the transaction and are recorded in the current period consolidated statements of operations. Monetary assets and liabilities denominated in currencies other</w:t>
      </w:r>
    </w:p>
    <w:p>
      <w:pPr>
        <w:sectPr>
          <w:pgSz w:w="11900" w:h="16840" w:orient="portrait"/>
          <w:cols w:equalWidth="0" w:num="1">
            <w:col w:w="9020"/>
          </w:cols>
          <w:pgMar w:left="1440" w:top="1440" w:right="1440" w:bottom="0" w:gutter="0" w:footer="0" w:header="0"/>
        </w:sectPr>
      </w:pPr>
    </w:p>
    <w:bookmarkStart w:id="167" w:name="page168"/>
    <w:bookmarkEnd w:id="167"/>
    <w:p>
      <w:pPr>
        <w:ind w:left="1520" w:right="1840"/>
        <w:spacing w:after="0" w:line="273" w:lineRule="auto"/>
        <w:rPr>
          <w:sz w:val="20"/>
          <w:szCs w:val="20"/>
          <w:color w:val="auto"/>
        </w:rPr>
      </w:pPr>
      <w:r>
        <w:rPr>
          <w:rFonts w:ascii="Arial" w:cs="Arial" w:eastAsia="Arial" w:hAnsi="Arial"/>
          <w:sz w:val="12"/>
          <w:szCs w:val="12"/>
          <w:color w:val="auto"/>
        </w:rPr>
        <w:t>than the functional currency are remeasured monthly using the month-end exchange rate. Gains and losses resulting from such remeasurements are recorded in other expense, net in the consolidated statements of operations. Subsidiary assets and liabilities with non-U.S. dollar functional currencies are translated at the month-end exchange rate, accumulated deficit and other equity items are translated at historical exchange rates, and revenue and expenses are translated at average exchange rates during the year. Cumulative translation adjustments are recorded within accumulated other comprehensive income (loss), a separate component of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-690880</wp:posOffset>
            </wp:positionV>
            <wp:extent cx="6732270" cy="99707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7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128" w:lineRule="exact"/>
        <w:rPr>
          <w:sz w:val="20"/>
          <w:szCs w:val="20"/>
          <w:color w:val="auto"/>
        </w:rPr>
      </w:pPr>
    </w:p>
    <w:p>
      <w:pPr>
        <w:ind w:left="1520" w:right="1700" w:firstLine="230"/>
        <w:spacing w:after="0" w:line="281" w:lineRule="auto"/>
        <w:rPr>
          <w:sz w:val="20"/>
          <w:szCs w:val="20"/>
          <w:color w:val="auto"/>
        </w:rPr>
      </w:pPr>
      <w:r>
        <w:rPr>
          <w:rFonts w:ascii="Arial" w:cs="Arial" w:eastAsia="Arial" w:hAnsi="Arial"/>
          <w:sz w:val="12"/>
          <w:szCs w:val="12"/>
          <w:color w:val="auto"/>
        </w:rPr>
        <w:t>Cash and cash equivalents consists of funds deposited with banks, funds available for use held with our corporate card payment processing partner which are not earmarked to collateralize corporate card spend by our customers, and money market funds with original or remaining maturities of three months or less at the time of purchase.</w:t>
      </w:r>
    </w:p>
    <w:p>
      <w:pPr>
        <w:spacing w:after="0" w:line="8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Restricted Cash</w:t>
      </w:r>
    </w:p>
    <w:p>
      <w:pPr>
        <w:spacing w:after="0" w:line="128" w:lineRule="exact"/>
        <w:rPr>
          <w:sz w:val="20"/>
          <w:szCs w:val="20"/>
          <w:color w:val="auto"/>
        </w:rPr>
      </w:pPr>
    </w:p>
    <w:p>
      <w:pPr>
        <w:ind w:left="1520" w:right="1800" w:firstLine="230"/>
        <w:spacing w:after="0" w:line="281" w:lineRule="auto"/>
        <w:rPr>
          <w:sz w:val="20"/>
          <w:szCs w:val="20"/>
          <w:color w:val="auto"/>
        </w:rPr>
      </w:pPr>
      <w:r>
        <w:rPr>
          <w:rFonts w:ascii="Arial" w:cs="Arial" w:eastAsia="Arial" w:hAnsi="Arial"/>
          <w:sz w:val="12"/>
          <w:szCs w:val="12"/>
          <w:color w:val="auto"/>
        </w:rPr>
        <w:t>Restricted cash consists of (i) a portion of the balance held with our payment processing partners to fund transactions charged by our corporate card users, (ii) cash balances held at our consolidated VIE, and (iii) cash used as collateral for the letters of credit for lease agreements that have lease terms that extend beyond 12 months from the balance sheet date.</w:t>
      </w:r>
    </w:p>
    <w:p>
      <w:pPr>
        <w:spacing w:after="0" w:line="81" w:lineRule="exact"/>
        <w:rPr>
          <w:sz w:val="20"/>
          <w:szCs w:val="20"/>
          <w:color w:val="auto"/>
        </w:rPr>
      </w:pPr>
    </w:p>
    <w:p>
      <w:pPr>
        <w:ind w:left="1520" w:right="1860" w:firstLine="230"/>
        <w:spacing w:after="0" w:line="289" w:lineRule="auto"/>
        <w:rPr>
          <w:sz w:val="20"/>
          <w:szCs w:val="20"/>
          <w:color w:val="auto"/>
        </w:rPr>
      </w:pPr>
      <w:r>
        <w:rPr>
          <w:rFonts w:ascii="Arial" w:cs="Arial" w:eastAsia="Arial" w:hAnsi="Arial"/>
          <w:sz w:val="12"/>
          <w:szCs w:val="12"/>
          <w:color w:val="auto"/>
        </w:rPr>
        <w:t>The following table provides a reconciliation of cash, cash equivalents and restricted cash reported within the consolidated balance sheets that sum to the total of such amounts in the consolidated statements of cash flows (in thousands):</w:t>
      </w:r>
    </w:p>
    <w:p>
      <w:pPr>
        <w:spacing w:after="0" w:line="93"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4"/>
          </w:tcPr>
          <w:p>
            <w:pPr>
              <w:ind w:left="240"/>
              <w:spacing w:after="0"/>
              <w:rPr>
                <w:sz w:val="20"/>
                <w:szCs w:val="20"/>
                <w:color w:val="auto"/>
              </w:rPr>
            </w:pPr>
            <w:r>
              <w:rPr>
                <w:rFonts w:ascii="Arial" w:cs="Arial" w:eastAsia="Arial" w:hAnsi="Arial"/>
                <w:sz w:val="11"/>
                <w:szCs w:val="11"/>
                <w:b w:val="1"/>
                <w:bCs w:val="1"/>
                <w:color w:val="auto"/>
              </w:rPr>
              <w:t>As of January 31</w:t>
            </w: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ind w:left="240"/>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restart"/>
          </w:tcPr>
          <w:p>
            <w:pPr>
              <w:jc w:val="right"/>
              <w:ind w:right="24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Cashandcashequivalents</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157,672</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166,421</w:t>
            </w:r>
          </w:p>
        </w:tc>
        <w:tc>
          <w:tcPr>
            <w:tcW w:w="0" w:type="dxa"/>
            <w:vAlign w:val="bottom"/>
          </w:tcPr>
          <w:p>
            <w:pPr>
              <w:spacing w:after="0"/>
              <w:rPr>
                <w:sz w:val="1"/>
                <w:szCs w:val="1"/>
                <w:color w:val="auto"/>
              </w:rPr>
            </w:pPr>
          </w:p>
        </w:tc>
      </w:tr>
      <w:tr>
        <w:trPr>
          <w:trHeight w:val="173"/>
        </w:trPr>
        <w:tc>
          <w:tcPr>
            <w:tcW w:w="4260" w:type="dxa"/>
            <w:vAlign w:val="bottom"/>
          </w:tcPr>
          <w:p>
            <w:pPr>
              <w:jc w:val="right"/>
              <w:ind w:right="38"/>
              <w:spacing w:after="0"/>
              <w:rPr>
                <w:sz w:val="20"/>
                <w:szCs w:val="20"/>
                <w:color w:val="auto"/>
              </w:rPr>
            </w:pPr>
            <w:r>
              <w:rPr>
                <w:rFonts w:ascii="Arial" w:cs="Arial" w:eastAsia="Arial" w:hAnsi="Arial"/>
                <w:sz w:val="12"/>
                <w:szCs w:val="12"/>
                <w:color w:val="auto"/>
              </w:rPr>
              <w:t xml:space="preserve">Restricted cash, current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Arial" w:cs="Arial" w:eastAsia="Arial" w:hAnsi="Arial"/>
                <w:sz w:val="12"/>
                <w:szCs w:val="12"/>
                <w:color w:val="auto"/>
              </w:rPr>
              <w:t>148,157</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20"/>
              <w:spacing w:after="0"/>
              <w:rPr>
                <w:sz w:val="20"/>
                <w:szCs w:val="20"/>
                <w:color w:val="auto"/>
              </w:rPr>
            </w:pPr>
            <w:r>
              <w:rPr>
                <w:rFonts w:ascii="Arial" w:cs="Arial" w:eastAsia="Arial" w:hAnsi="Arial"/>
                <w:sz w:val="12"/>
                <w:szCs w:val="12"/>
                <w:color w:val="auto"/>
              </w:rPr>
              <w:t>95,961</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 xml:space="preserve">Restricted cash, non-current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4,766</w:t>
            </w: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5,000</w:t>
            </w:r>
          </w:p>
        </w:tc>
        <w:tc>
          <w:tcPr>
            <w:tcW w:w="0" w:type="dxa"/>
            <w:vAlign w:val="bottom"/>
          </w:tcPr>
          <w:p>
            <w:pPr>
              <w:spacing w:after="0"/>
              <w:rPr>
                <w:sz w:val="1"/>
                <w:szCs w:val="1"/>
                <w:color w:val="auto"/>
              </w:rPr>
            </w:pPr>
          </w:p>
        </w:tc>
      </w:tr>
      <w:tr>
        <w:trPr>
          <w:trHeight w:val="161"/>
        </w:trPr>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Totalcashandcashequivalentsandrestrictedcash</w:t>
            </w: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310,595</w:t>
            </w:r>
          </w:p>
        </w:tc>
        <w:tc>
          <w:tcPr>
            <w:tcW w:w="40" w:type="dxa"/>
            <w:vAlign w:val="bottom"/>
          </w:tcPr>
          <w:p>
            <w:pPr>
              <w:spacing w:after="0"/>
              <w:rPr>
                <w:sz w:val="13"/>
                <w:szCs w:val="13"/>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267,382</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Fair Value Measurements</w:t>
      </w:r>
    </w:p>
    <w:p>
      <w:pPr>
        <w:spacing w:after="0" w:line="128" w:lineRule="exact"/>
        <w:rPr>
          <w:sz w:val="20"/>
          <w:szCs w:val="20"/>
          <w:color w:val="auto"/>
        </w:rPr>
      </w:pPr>
    </w:p>
    <w:p>
      <w:pPr>
        <w:ind w:left="1520" w:right="1680" w:firstLine="230"/>
        <w:spacing w:after="0" w:line="281" w:lineRule="auto"/>
        <w:rPr>
          <w:sz w:val="20"/>
          <w:szCs w:val="20"/>
          <w:color w:val="auto"/>
        </w:rPr>
      </w:pPr>
      <w:r>
        <w:rPr>
          <w:rFonts w:ascii="Arial" w:cs="Arial" w:eastAsia="Arial" w:hAnsi="Arial"/>
          <w:sz w:val="12"/>
          <w:szCs w:val="12"/>
          <w:color w:val="auto"/>
        </w:rPr>
        <w:t xml:space="preserve">Fair value is defined as the price that would be received to sell an asset or paid to transfer a liability in an orderly transaction between market participants at the measurement date. Accounting Standards Codification (“ASC”) 820, </w:t>
      </w:r>
      <w:r>
        <w:rPr>
          <w:rFonts w:ascii="Arial" w:cs="Arial" w:eastAsia="Arial" w:hAnsi="Arial"/>
          <w:sz w:val="12"/>
          <w:szCs w:val="12"/>
          <w:i w:val="1"/>
          <w:iCs w:val="1"/>
          <w:color w:val="auto"/>
        </w:rPr>
        <w:t>Fair Value Measurement</w:t>
      </w:r>
      <w:r>
        <w:rPr>
          <w:rFonts w:ascii="Arial" w:cs="Arial" w:eastAsia="Arial" w:hAnsi="Arial"/>
          <w:sz w:val="12"/>
          <w:szCs w:val="12"/>
          <w:color w:val="auto"/>
        </w:rPr>
        <w:t xml:space="preserve"> , establishes a framework for measuring fair value and requires disclosure about the fair value measurements of assets and liabilities.</w:t>
      </w: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F-10</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ind w:left="1520" w:right="1720" w:firstLine="230"/>
        <w:spacing w:after="0" w:line="289" w:lineRule="auto"/>
        <w:rPr>
          <w:sz w:val="20"/>
          <w:szCs w:val="20"/>
          <w:color w:val="auto"/>
        </w:rPr>
      </w:pPr>
      <w:r>
        <w:rPr>
          <w:rFonts w:ascii="Arial" w:cs="Arial" w:eastAsia="Arial" w:hAnsi="Arial"/>
          <w:sz w:val="12"/>
          <w:szCs w:val="12"/>
          <w:color w:val="auto"/>
        </w:rPr>
        <w:t>In accordance with ASC 820, we use the fair value hierarchy, which maximizes the use of observable inputs and minimizes the use of unobservable inputs. The three levels of the fair value hierarchy are set forth below:</w:t>
      </w:r>
    </w:p>
    <w:p>
      <w:pPr>
        <w:spacing w:after="0" w:line="76" w:lineRule="exact"/>
        <w:rPr>
          <w:sz w:val="20"/>
          <w:szCs w:val="20"/>
          <w:color w:val="auto"/>
        </w:rPr>
      </w:pPr>
    </w:p>
    <w:p>
      <w:pPr>
        <w:ind w:left="1760"/>
        <w:spacing w:after="0"/>
        <w:rPr>
          <w:sz w:val="20"/>
          <w:szCs w:val="20"/>
          <w:color w:val="auto"/>
        </w:rPr>
      </w:pPr>
      <w:r>
        <w:rPr>
          <w:rFonts w:ascii="Arial" w:cs="Arial" w:eastAsia="Arial" w:hAnsi="Arial"/>
          <w:sz w:val="12"/>
          <w:szCs w:val="12"/>
          <w:b w:val="1"/>
          <w:bCs w:val="1"/>
          <w:color w:val="auto"/>
        </w:rPr>
        <w:t>Level 1</w:t>
      </w:r>
      <w:r>
        <w:rPr>
          <w:rFonts w:ascii="Arial" w:cs="Arial" w:eastAsia="Arial" w:hAnsi="Arial"/>
          <w:sz w:val="12"/>
          <w:szCs w:val="12"/>
          <w:color w:val="auto"/>
        </w:rPr>
        <w:t>—Observable inputs such as quoted prices in active markets for identical assets or liabilities.</w:t>
      </w:r>
    </w:p>
    <w:p>
      <w:pPr>
        <w:spacing w:after="0" w:line="130" w:lineRule="exact"/>
        <w:rPr>
          <w:sz w:val="20"/>
          <w:szCs w:val="20"/>
          <w:color w:val="auto"/>
        </w:rPr>
      </w:pPr>
    </w:p>
    <w:p>
      <w:pPr>
        <w:ind w:left="1520" w:right="1700" w:firstLine="230"/>
        <w:spacing w:after="0" w:line="289" w:lineRule="auto"/>
        <w:rPr>
          <w:sz w:val="20"/>
          <w:szCs w:val="20"/>
          <w:color w:val="auto"/>
        </w:rPr>
      </w:pPr>
      <w:r>
        <w:rPr>
          <w:rFonts w:ascii="Arial" w:cs="Arial" w:eastAsia="Arial" w:hAnsi="Arial"/>
          <w:sz w:val="12"/>
          <w:szCs w:val="12"/>
          <w:b w:val="1"/>
          <w:bCs w:val="1"/>
          <w:color w:val="auto"/>
        </w:rPr>
        <w:t>Level 2—</w:t>
      </w:r>
      <w:r>
        <w:rPr>
          <w:rFonts w:ascii="Arial" w:cs="Arial" w:eastAsia="Arial" w:hAnsi="Arial"/>
          <w:sz w:val="12"/>
          <w:szCs w:val="12"/>
          <w:color w:val="auto"/>
        </w:rPr>
        <w:t>Observable inputs other than Level 1 prices such as quoted prices for similar assets or</w:t>
      </w:r>
      <w:r>
        <w:rPr>
          <w:rFonts w:ascii="Arial" w:cs="Arial" w:eastAsia="Arial" w:hAnsi="Arial"/>
          <w:sz w:val="12"/>
          <w:szCs w:val="12"/>
          <w:b w:val="1"/>
          <w:bCs w:val="1"/>
          <w:color w:val="auto"/>
        </w:rPr>
        <w:t xml:space="preserve"> </w:t>
      </w:r>
      <w:r>
        <w:rPr>
          <w:rFonts w:ascii="Arial" w:cs="Arial" w:eastAsia="Arial" w:hAnsi="Arial"/>
          <w:sz w:val="12"/>
          <w:szCs w:val="12"/>
          <w:color w:val="auto"/>
        </w:rPr>
        <w:t>liabilities in active markets, quoted prices in markets that are not active, or inputs other than quoted prices that are observable either directly or indirectly for the full term of the assets or liabilities.</w:t>
      </w:r>
    </w:p>
    <w:p>
      <w:pPr>
        <w:spacing w:after="0" w:line="76" w:lineRule="exact"/>
        <w:rPr>
          <w:sz w:val="20"/>
          <w:szCs w:val="20"/>
          <w:color w:val="auto"/>
        </w:rPr>
      </w:pPr>
    </w:p>
    <w:p>
      <w:pPr>
        <w:ind w:left="1520" w:right="1760" w:firstLine="230"/>
        <w:spacing w:after="0" w:line="312" w:lineRule="auto"/>
        <w:rPr>
          <w:sz w:val="20"/>
          <w:szCs w:val="20"/>
          <w:color w:val="auto"/>
        </w:rPr>
      </w:pPr>
      <w:r>
        <w:rPr>
          <w:rFonts w:ascii="Arial" w:cs="Arial" w:eastAsia="Arial" w:hAnsi="Arial"/>
          <w:sz w:val="12"/>
          <w:szCs w:val="12"/>
          <w:b w:val="1"/>
          <w:bCs w:val="1"/>
          <w:color w:val="auto"/>
        </w:rPr>
        <w:t>Level 3</w:t>
      </w:r>
      <w:r>
        <w:rPr>
          <w:rFonts w:ascii="Arial" w:cs="Arial" w:eastAsia="Arial" w:hAnsi="Arial"/>
          <w:sz w:val="12"/>
          <w:szCs w:val="12"/>
          <w:color w:val="auto"/>
        </w:rPr>
        <w:t>—Unobservable inputs in which there is little or no market data and that are significant to the</w:t>
      </w:r>
      <w:r>
        <w:rPr>
          <w:rFonts w:ascii="Arial" w:cs="Arial" w:eastAsia="Arial" w:hAnsi="Arial"/>
          <w:sz w:val="12"/>
          <w:szCs w:val="12"/>
          <w:b w:val="1"/>
          <w:bCs w:val="1"/>
          <w:color w:val="auto"/>
        </w:rPr>
        <w:t xml:space="preserve"> </w:t>
      </w:r>
      <w:r>
        <w:rPr>
          <w:rFonts w:ascii="Arial" w:cs="Arial" w:eastAsia="Arial" w:hAnsi="Arial"/>
          <w:sz w:val="12"/>
          <w:szCs w:val="12"/>
          <w:color w:val="auto"/>
        </w:rPr>
        <w:t>fair value of the assets or liabilities.</w:t>
      </w:r>
    </w:p>
    <w:p>
      <w:pPr>
        <w:spacing w:after="0" w:line="62" w:lineRule="exact"/>
        <w:rPr>
          <w:sz w:val="20"/>
          <w:szCs w:val="20"/>
          <w:color w:val="auto"/>
        </w:rPr>
      </w:pPr>
    </w:p>
    <w:p>
      <w:pPr>
        <w:ind w:left="1520" w:right="1740" w:firstLine="230"/>
        <w:spacing w:after="0" w:line="275" w:lineRule="auto"/>
        <w:rPr>
          <w:sz w:val="20"/>
          <w:szCs w:val="20"/>
          <w:color w:val="auto"/>
        </w:rPr>
      </w:pPr>
      <w:r>
        <w:rPr>
          <w:rFonts w:ascii="Arial" w:cs="Arial" w:eastAsia="Arial" w:hAnsi="Arial"/>
          <w:sz w:val="12"/>
          <w:szCs w:val="12"/>
          <w:color w:val="auto"/>
        </w:rPr>
        <w:t>Our primary financial instruments include cash and cash equivalents, restricted cash, accounts receivable, corporate card receivables, accounts payable, accrued expenses, debt, convertible debt, embedded derivatives and redeemable convertible preferred stock warrants. The estimated fair value of cash and cash equivalents, restricted cash, accounts receivable, corporate card receivables, accounts payable and accrued expenses approximate their carrying value due to the short-term maturities of these instruments. For further information, refer to Note 3 — Fair Value Measurements and Note 8 — Debt.</w:t>
      </w:r>
    </w:p>
    <w:p>
      <w:pPr>
        <w:spacing w:after="0" w:line="87"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Accounts Receivable and Allowance for Expected Credit Losses</w:t>
      </w:r>
    </w:p>
    <w:p>
      <w:pPr>
        <w:spacing w:after="0" w:line="128" w:lineRule="exact"/>
        <w:rPr>
          <w:sz w:val="20"/>
          <w:szCs w:val="20"/>
          <w:color w:val="auto"/>
        </w:rPr>
      </w:pPr>
    </w:p>
    <w:p>
      <w:pPr>
        <w:ind w:left="1520" w:right="1720" w:firstLine="230"/>
        <w:spacing w:after="0" w:line="272" w:lineRule="auto"/>
        <w:rPr>
          <w:sz w:val="20"/>
          <w:szCs w:val="20"/>
          <w:color w:val="auto"/>
        </w:rPr>
      </w:pPr>
      <w:r>
        <w:rPr>
          <w:rFonts w:ascii="Arial" w:cs="Arial" w:eastAsia="Arial" w:hAnsi="Arial"/>
          <w:sz w:val="12"/>
          <w:szCs w:val="12"/>
          <w:color w:val="auto"/>
        </w:rPr>
        <w:t>Accounts receivable are generally due within thirty days and are recorded net of an allowance for estimated uncollectible amounts. We estimate expected credit losses based on various factors, including the age of the receivable balance, credit quality of the customer, and past collection experience with the customer. We consider the need to adjust historical information used in our estimates to reflect the extent to which we expect current conditions and reasonable and supportable forecasts to differ from the conditions that existed for the period over which historical information was evaluated. Long-aged balances and other higher risk amounts are reviewed individually for collectability. We recognize estimated credit losses through the income statement, and the allowance for estimated credit losses is recorded in accounts receivable, net on the consolidated balance sheets.</w:t>
      </w:r>
    </w:p>
    <w:p>
      <w:pPr>
        <w:spacing w:after="0" w:line="85"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5300" w:type="dxa"/>
            <w:vAlign w:val="bottom"/>
            <w:gridSpan w:val="5"/>
          </w:tcPr>
          <w:p>
            <w:pPr>
              <w:ind w:left="240"/>
              <w:spacing w:after="0"/>
              <w:rPr>
                <w:sz w:val="20"/>
                <w:szCs w:val="20"/>
                <w:color w:val="auto"/>
              </w:rPr>
            </w:pPr>
            <w:r>
              <w:rPr>
                <w:rFonts w:ascii="Arial" w:cs="Arial" w:eastAsia="Arial" w:hAnsi="Arial"/>
                <w:sz w:val="12"/>
                <w:szCs w:val="12"/>
                <w:color w:val="auto"/>
              </w:rPr>
              <w:t>The following table summarizes the allowance for expected credit losses as of January 31,</w:t>
            </w:r>
          </w:p>
        </w:tc>
        <w:tc>
          <w:tcPr>
            <w:tcW w:w="680" w:type="dxa"/>
            <w:vAlign w:val="bottom"/>
          </w:tcPr>
          <w:p>
            <w:pPr>
              <w:jc w:val="right"/>
              <w:ind w:right="39"/>
              <w:spacing w:after="0"/>
              <w:rPr>
                <w:sz w:val="20"/>
                <w:szCs w:val="20"/>
                <w:color w:val="auto"/>
              </w:rPr>
            </w:pPr>
            <w:r>
              <w:rPr>
                <w:rFonts w:ascii="Arial" w:cs="Arial" w:eastAsia="Arial" w:hAnsi="Arial"/>
                <w:sz w:val="12"/>
                <w:szCs w:val="12"/>
                <w:color w:val="auto"/>
              </w:rPr>
              <w:t>2025 and</w:t>
            </w:r>
          </w:p>
        </w:tc>
        <w:tc>
          <w:tcPr>
            <w:tcW w:w="0" w:type="dxa"/>
            <w:vAlign w:val="bottom"/>
          </w:tcPr>
          <w:p>
            <w:pPr>
              <w:spacing w:after="0"/>
              <w:rPr>
                <w:sz w:val="1"/>
                <w:szCs w:val="1"/>
                <w:color w:val="auto"/>
              </w:rPr>
            </w:pPr>
          </w:p>
        </w:tc>
      </w:tr>
      <w:tr>
        <w:trPr>
          <w:trHeight w:val="165"/>
        </w:trPr>
        <w:tc>
          <w:tcPr>
            <w:tcW w:w="4260" w:type="dxa"/>
            <w:vAlign w:val="bottom"/>
          </w:tcPr>
          <w:p>
            <w:pPr>
              <w:spacing w:after="0"/>
              <w:rPr>
                <w:sz w:val="20"/>
                <w:szCs w:val="20"/>
                <w:color w:val="auto"/>
              </w:rPr>
            </w:pPr>
            <w:r>
              <w:rPr>
                <w:rFonts w:ascii="Arial" w:cs="Arial" w:eastAsia="Arial" w:hAnsi="Arial"/>
                <w:sz w:val="12"/>
                <w:szCs w:val="12"/>
                <w:color w:val="auto"/>
              </w:rPr>
              <w:t>2024 (in thousands):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4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gridSpan w:val="4"/>
          </w:tcPr>
          <w:p>
            <w:pPr>
              <w:ind w:left="240"/>
              <w:spacing w:after="0"/>
              <w:rPr>
                <w:sz w:val="20"/>
                <w:szCs w:val="20"/>
                <w:color w:val="auto"/>
              </w:rPr>
            </w:pPr>
            <w:r>
              <w:rPr>
                <w:rFonts w:ascii="Arial" w:cs="Arial" w:eastAsia="Arial" w:hAnsi="Arial"/>
                <w:sz w:val="11"/>
                <w:szCs w:val="11"/>
                <w:b w:val="1"/>
                <w:bCs w:val="1"/>
                <w:color w:val="auto"/>
              </w:rPr>
              <w:t>As of January 31</w:t>
            </w: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ind w:left="240"/>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b w:val="1"/>
                <w:bCs w:val="1"/>
                <w:color w:val="000000"/>
              </w:rPr>
              <w:t>Balanceatbeginningofperiod</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4,270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2,270</w:t>
            </w:r>
          </w:p>
        </w:tc>
        <w:tc>
          <w:tcPr>
            <w:tcW w:w="0" w:type="dxa"/>
            <w:vAlign w:val="bottom"/>
          </w:tcPr>
          <w:p>
            <w:pPr>
              <w:spacing w:after="0"/>
              <w:rPr>
                <w:sz w:val="1"/>
                <w:szCs w:val="1"/>
                <w:color w:val="auto"/>
              </w:rPr>
            </w:pPr>
          </w:p>
        </w:tc>
      </w:tr>
      <w:tr>
        <w:trPr>
          <w:trHeight w:val="173"/>
        </w:trPr>
        <w:tc>
          <w:tcPr>
            <w:tcW w:w="4260" w:type="dxa"/>
            <w:vAlign w:val="bottom"/>
          </w:tcPr>
          <w:p>
            <w:pPr>
              <w:ind w:left="180"/>
              <w:spacing w:after="0"/>
              <w:rPr>
                <w:sz w:val="20"/>
                <w:szCs w:val="20"/>
                <w:color w:val="auto"/>
              </w:rPr>
            </w:pPr>
            <w:r>
              <w:rPr>
                <w:rFonts w:ascii="Arial" w:cs="Arial" w:eastAsia="Arial" w:hAnsi="Arial"/>
                <w:sz w:val="12"/>
                <w:szCs w:val="12"/>
                <w:color w:val="auto"/>
              </w:rPr>
              <w:t xml:space="preserve">Provision for expected credit losses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Arial" w:cs="Arial" w:eastAsia="Arial" w:hAnsi="Arial"/>
                <w:sz w:val="12"/>
                <w:szCs w:val="12"/>
                <w:color w:val="auto"/>
              </w:rPr>
              <w:t>3,764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4,488</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Amounts written off, recoveries and other adjustments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(2,899)</w:t>
            </w: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(2,488)</w:t>
            </w:r>
          </w:p>
        </w:tc>
        <w:tc>
          <w:tcPr>
            <w:tcW w:w="0" w:type="dxa"/>
            <w:vAlign w:val="bottom"/>
          </w:tcPr>
          <w:p>
            <w:pPr>
              <w:spacing w:after="0"/>
              <w:rPr>
                <w:sz w:val="1"/>
                <w:szCs w:val="1"/>
                <w:color w:val="auto"/>
              </w:rPr>
            </w:pPr>
          </w:p>
        </w:tc>
      </w:tr>
      <w:tr>
        <w:trPr>
          <w:trHeight w:val="161"/>
        </w:trPr>
        <w:tc>
          <w:tcPr>
            <w:tcW w:w="4260" w:type="dxa"/>
            <w:vAlign w:val="bottom"/>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b w:val="1"/>
                <w:bCs w:val="1"/>
                <w:color w:val="000000"/>
              </w:rPr>
              <w:t>Balanceatendofperiod</w:t>
            </w: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5,135</w:t>
            </w:r>
          </w:p>
        </w:tc>
        <w:tc>
          <w:tcPr>
            <w:tcW w:w="40" w:type="dxa"/>
            <w:vAlign w:val="bottom"/>
          </w:tcPr>
          <w:p>
            <w:pPr>
              <w:spacing w:after="0"/>
              <w:rPr>
                <w:sz w:val="13"/>
                <w:szCs w:val="1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4,270</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Corporate Card Receivables and Allowance for Expected Credit Losses</w:t>
      </w:r>
    </w:p>
    <w:p>
      <w:pPr>
        <w:spacing w:after="0" w:line="128" w:lineRule="exact"/>
        <w:rPr>
          <w:sz w:val="20"/>
          <w:szCs w:val="20"/>
          <w:color w:val="auto"/>
        </w:rPr>
      </w:pPr>
    </w:p>
    <w:p>
      <w:pPr>
        <w:ind w:left="1520" w:right="1700" w:firstLine="230"/>
        <w:spacing w:after="0" w:line="281" w:lineRule="auto"/>
        <w:rPr>
          <w:sz w:val="20"/>
          <w:szCs w:val="20"/>
          <w:color w:val="auto"/>
        </w:rPr>
      </w:pPr>
      <w:r>
        <w:rPr>
          <w:rFonts w:ascii="Arial" w:cs="Arial" w:eastAsia="Arial" w:hAnsi="Arial"/>
          <w:sz w:val="12"/>
          <w:szCs w:val="12"/>
          <w:color w:val="auto"/>
        </w:rPr>
        <w:t>We provide virtual and physical corporate credit cards to customers of our expense management offering through issuing bank partners. Under our payment partner arrangements, we are required to prefund spend on these credit cards. We recognize a receivable for each transaction, and receivables are generally due within ten days.</w:t>
      </w:r>
    </w:p>
    <w:p>
      <w:pPr>
        <w:spacing w:after="0" w:line="81" w:lineRule="exact"/>
        <w:rPr>
          <w:sz w:val="20"/>
          <w:szCs w:val="20"/>
          <w:color w:val="auto"/>
        </w:rPr>
      </w:pPr>
    </w:p>
    <w:p>
      <w:pPr>
        <w:ind w:left="1520" w:right="1700" w:firstLine="230"/>
        <w:spacing w:after="0" w:line="289" w:lineRule="auto"/>
        <w:rPr>
          <w:sz w:val="20"/>
          <w:szCs w:val="20"/>
          <w:color w:val="auto"/>
        </w:rPr>
      </w:pPr>
      <w:r>
        <w:rPr>
          <w:rFonts w:ascii="Arial" w:cs="Arial" w:eastAsia="Arial" w:hAnsi="Arial"/>
          <w:sz w:val="12"/>
          <w:szCs w:val="12"/>
          <w:color w:val="auto"/>
        </w:rPr>
        <w:t>Corporate card receivables are recorded net of an allowance for expected credit losses. The allowance for expected credit losses is based on our assessment of the collectability of these receivables. We consider the following factors when determining the collectability of specific customer accounts: age</w:t>
      </w:r>
    </w:p>
    <w:p>
      <w:pPr>
        <w:sectPr>
          <w:pgSz w:w="11900" w:h="16840" w:orient="portrait"/>
          <w:cols w:equalWidth="0" w:num="1">
            <w:col w:w="9020"/>
          </w:cols>
          <w:pgMar w:left="1440" w:top="560" w:right="1440" w:bottom="79" w:gutter="0" w:footer="0" w:header="0"/>
        </w:sectPr>
      </w:pPr>
    </w:p>
    <w:bookmarkStart w:id="168" w:name="page169"/>
    <w:bookmarkEnd w:id="168"/>
    <w:p>
      <w:pPr>
        <w:ind w:left="1520" w:right="1720"/>
        <w:spacing w:after="0" w:line="184" w:lineRule="auto"/>
        <w:rPr>
          <w:sz w:val="20"/>
          <w:szCs w:val="20"/>
          <w:color w:val="auto"/>
        </w:rPr>
      </w:pPr>
      <w:r>
        <w:rPr>
          <w:rFonts w:ascii="Arial" w:cs="Arial" w:eastAsia="Arial" w:hAnsi="Arial"/>
          <w:sz w:val="12"/>
          <w:szCs w:val="12"/>
          <w:color w:val="auto"/>
        </w:rPr>
        <w:t>of the receivable balance, credit quality of the customer, and past collection experience with the customer. We consider the need to adjust historical information used in our estimates to reflect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-127635</wp:posOffset>
            </wp:positionV>
            <wp:extent cx="6732270" cy="99707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2"/>
          <w:szCs w:val="12"/>
          <w:color w:val="auto"/>
        </w:rPr>
        <w:t>to which we expect current conditions and reasonable and supportable forecasts to differ from the</w:t>
      </w: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F-11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ind w:left="1520" w:right="1880"/>
        <w:spacing w:after="0" w:line="289" w:lineRule="auto"/>
        <w:rPr>
          <w:sz w:val="20"/>
          <w:szCs w:val="20"/>
          <w:color w:val="auto"/>
        </w:rPr>
      </w:pPr>
      <w:r>
        <w:rPr>
          <w:rFonts w:ascii="Arial" w:cs="Arial" w:eastAsia="Arial" w:hAnsi="Arial"/>
          <w:sz w:val="12"/>
          <w:szCs w:val="12"/>
          <w:color w:val="auto"/>
        </w:rPr>
        <w:t>conditions that existed for the period over which historical information was evaluated. We recognize estimated credit losses through the income statement, and the allowance for estimated credit losses is recorded in corporate card receivables, net on the consolidated balance sheets.</w:t>
      </w:r>
    </w:p>
    <w:p>
      <w:pPr>
        <w:spacing w:after="0" w:line="76" w:lineRule="exact"/>
        <w:rPr>
          <w:sz w:val="20"/>
          <w:szCs w:val="20"/>
          <w:color w:val="auto"/>
        </w:rPr>
      </w:pPr>
    </w:p>
    <w:p>
      <w:pPr>
        <w:ind w:left="1520" w:right="1800" w:firstLine="230"/>
        <w:spacing w:after="0" w:line="312" w:lineRule="auto"/>
        <w:rPr>
          <w:sz w:val="20"/>
          <w:szCs w:val="20"/>
          <w:color w:val="auto"/>
        </w:rPr>
      </w:pPr>
      <w:r>
        <w:rPr>
          <w:rFonts w:ascii="Arial" w:cs="Arial" w:eastAsia="Arial" w:hAnsi="Arial"/>
          <w:sz w:val="12"/>
          <w:szCs w:val="12"/>
          <w:color w:val="auto"/>
        </w:rPr>
        <w:t>The following table summarizes the corporate card receivables allowance for expected credit losses (in thousands):</w:t>
      </w:r>
    </w:p>
    <w:p>
      <w:pPr>
        <w:spacing w:after="0" w:line="79"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4"/>
          </w:tcPr>
          <w:p>
            <w:pPr>
              <w:ind w:left="240"/>
              <w:spacing w:after="0"/>
              <w:rPr>
                <w:sz w:val="20"/>
                <w:szCs w:val="20"/>
                <w:color w:val="auto"/>
              </w:rPr>
            </w:pPr>
            <w:r>
              <w:rPr>
                <w:rFonts w:ascii="Arial" w:cs="Arial" w:eastAsia="Arial" w:hAnsi="Arial"/>
                <w:sz w:val="11"/>
                <w:szCs w:val="11"/>
                <w:b w:val="1"/>
                <w:bCs w:val="1"/>
                <w:color w:val="auto"/>
              </w:rPr>
              <w:t>As of January 31</w:t>
            </w: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ind w:left="240"/>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restart"/>
          </w:tcPr>
          <w:p>
            <w:pPr>
              <w:jc w:val="right"/>
              <w:ind w:right="24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b w:val="1"/>
                <w:bCs w:val="1"/>
                <w:color w:val="000000"/>
              </w:rPr>
              <w:t>Balanceatbeginningofperiod</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566</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595</w:t>
            </w:r>
          </w:p>
        </w:tc>
        <w:tc>
          <w:tcPr>
            <w:tcW w:w="0" w:type="dxa"/>
            <w:vAlign w:val="bottom"/>
          </w:tcPr>
          <w:p>
            <w:pPr>
              <w:spacing w:after="0"/>
              <w:rPr>
                <w:sz w:val="1"/>
                <w:szCs w:val="1"/>
                <w:color w:val="auto"/>
              </w:rPr>
            </w:pPr>
          </w:p>
        </w:tc>
      </w:tr>
      <w:tr>
        <w:trPr>
          <w:trHeight w:val="173"/>
        </w:trPr>
        <w:tc>
          <w:tcPr>
            <w:tcW w:w="4260" w:type="dxa"/>
            <w:vAlign w:val="bottom"/>
          </w:tcPr>
          <w:p>
            <w:pPr>
              <w:ind w:left="180"/>
              <w:spacing w:after="0"/>
              <w:rPr>
                <w:sz w:val="20"/>
                <w:szCs w:val="20"/>
                <w:color w:val="auto"/>
              </w:rPr>
            </w:pPr>
            <w:r>
              <w:rPr>
                <w:rFonts w:ascii="Arial" w:cs="Arial" w:eastAsia="Arial" w:hAnsi="Arial"/>
                <w:sz w:val="12"/>
                <w:szCs w:val="12"/>
                <w:color w:val="auto"/>
              </w:rPr>
              <w:t xml:space="preserve">Provision for expected credit losses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Arial" w:cs="Arial" w:eastAsia="Arial" w:hAnsi="Arial"/>
                <w:sz w:val="12"/>
                <w:szCs w:val="12"/>
                <w:color w:val="auto"/>
              </w:rPr>
              <w:t>2,296</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3,332</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Amounts written off, recoveries and other adjustments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(2,482)</w:t>
            </w: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(3,361)</w:t>
            </w:r>
          </w:p>
        </w:tc>
        <w:tc>
          <w:tcPr>
            <w:tcW w:w="0" w:type="dxa"/>
            <w:vAlign w:val="bottom"/>
          </w:tcPr>
          <w:p>
            <w:pPr>
              <w:spacing w:after="0"/>
              <w:rPr>
                <w:sz w:val="1"/>
                <w:szCs w:val="1"/>
                <w:color w:val="auto"/>
              </w:rPr>
            </w:pPr>
          </w:p>
        </w:tc>
      </w:tr>
      <w:tr>
        <w:trPr>
          <w:trHeight w:val="161"/>
        </w:trPr>
        <w:tc>
          <w:tcPr>
            <w:tcW w:w="4260" w:type="dxa"/>
            <w:vAlign w:val="bottom"/>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b w:val="1"/>
                <w:bCs w:val="1"/>
                <w:color w:val="000000"/>
              </w:rPr>
              <w:t>Balanceatendofperiod</w:t>
            </w: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380</w:t>
            </w:r>
          </w:p>
        </w:tc>
        <w:tc>
          <w:tcPr>
            <w:tcW w:w="40" w:type="dxa"/>
            <w:vAlign w:val="bottom"/>
          </w:tcPr>
          <w:p>
            <w:pPr>
              <w:spacing w:after="0"/>
              <w:rPr>
                <w:sz w:val="13"/>
                <w:szCs w:val="13"/>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566</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Business Combinations</w:t>
      </w:r>
    </w:p>
    <w:p>
      <w:pPr>
        <w:spacing w:after="0" w:line="128" w:lineRule="exact"/>
        <w:rPr>
          <w:sz w:val="20"/>
          <w:szCs w:val="20"/>
          <w:color w:val="auto"/>
        </w:rPr>
      </w:pPr>
    </w:p>
    <w:p>
      <w:pPr>
        <w:ind w:left="1520" w:right="1780" w:firstLine="230"/>
        <w:spacing w:after="0" w:line="270" w:lineRule="auto"/>
        <w:rPr>
          <w:sz w:val="20"/>
          <w:szCs w:val="20"/>
          <w:color w:val="auto"/>
        </w:rPr>
      </w:pPr>
      <w:r>
        <w:rPr>
          <w:rFonts w:ascii="Arial" w:cs="Arial" w:eastAsia="Arial" w:hAnsi="Arial"/>
          <w:sz w:val="12"/>
          <w:szCs w:val="12"/>
          <w:color w:val="auto"/>
        </w:rPr>
        <w:t>We allocate the fair value of purchase consideration to the tangible and intangible assets acquired and liabilities assumed based on their estimated fair values. The excess of the fair value of purchase consideration over the fair values of these identifiable assets and liabilities is recorded as goodwill. The determination of fair value requires management to make significant estimates and assumptions, especially with respect to intangible assets. Significant estimates in valuing certain intangible assets include, but are not limited to, future expected cash flows from trade names from a market participant perspective, acquired customers, acquired technology, useful lives and discount rates. Management’s estimates of fair value are based upon assumptions believed to be reasonable, but which are inherently uncertain and unpredictable and, as a result, actual results may differ from estimates. During the measurement period, which is one year from the acquisition date, management may record adjustments to the assets acquired and liabilities assumed, with the corresponding offset to goodwill.</w:t>
      </w:r>
    </w:p>
    <w:p>
      <w:pPr>
        <w:spacing w:after="0" w:line="9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Variable Interest Entities</w:t>
      </w:r>
    </w:p>
    <w:p>
      <w:pPr>
        <w:spacing w:after="0" w:line="128" w:lineRule="exact"/>
        <w:rPr>
          <w:sz w:val="20"/>
          <w:szCs w:val="20"/>
          <w:color w:val="auto"/>
        </w:rPr>
      </w:pPr>
    </w:p>
    <w:p>
      <w:pPr>
        <w:ind w:left="1520" w:right="1720" w:firstLine="230"/>
        <w:spacing w:after="0" w:line="272" w:lineRule="auto"/>
        <w:rPr>
          <w:sz w:val="20"/>
          <w:szCs w:val="20"/>
          <w:color w:val="auto"/>
        </w:rPr>
      </w:pPr>
      <w:r>
        <w:rPr>
          <w:rFonts w:ascii="Arial" w:cs="Arial" w:eastAsia="Arial" w:hAnsi="Arial"/>
          <w:sz w:val="12"/>
          <w:szCs w:val="12"/>
          <w:color w:val="auto"/>
        </w:rPr>
        <w:t>We evaluate our ownership, contractual, and other interests in entities to determine if we have a variable interest in an entity. These evaluations are complex, involve judgment and the use of estimates and assumptions based on available historical and prospective information, among other factors. If we determine that an entity for which we hold a contractual or ownership interest in is a VIE and that we are the primary beneficiary, we consolidate the entity in the consolidated financial statements. The primary beneficiary of a VIE is the party that meets both of the following criteria: (1) has the power to make decisions that most significantly affect the economic performance of the VIE; and (2) has the obligation to absorb losses or the right to receive benefits that in either case could potentially be significant to the VIE.</w:t>
      </w:r>
    </w:p>
    <w:p>
      <w:pPr>
        <w:spacing w:after="0" w:line="88" w:lineRule="exact"/>
        <w:rPr>
          <w:sz w:val="20"/>
          <w:szCs w:val="20"/>
          <w:color w:val="auto"/>
        </w:rPr>
      </w:pPr>
    </w:p>
    <w:p>
      <w:pPr>
        <w:ind w:left="1520" w:right="1880" w:firstLine="230"/>
        <w:spacing w:after="0" w:line="281" w:lineRule="auto"/>
        <w:rPr>
          <w:sz w:val="20"/>
          <w:szCs w:val="20"/>
          <w:color w:val="auto"/>
        </w:rPr>
      </w:pPr>
      <w:r>
        <w:rPr>
          <w:rFonts w:ascii="Arial" w:cs="Arial" w:eastAsia="Arial" w:hAnsi="Arial"/>
          <w:sz w:val="12"/>
          <w:szCs w:val="12"/>
          <w:color w:val="auto"/>
        </w:rPr>
        <w:t>We evaluate our relationship with our VIEs on an ongoing basis to determine whether we are the primary beneficiary. If we are not deemed to be the primary beneficiary in a VIE, we account for the investment or other variable interests in a VIE in accordance with applicable GAAP. Refer to Note 9 — Variable Interest Entities for further information.</w:t>
      </w:r>
    </w:p>
    <w:p>
      <w:pPr>
        <w:spacing w:after="0" w:line="8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Leases</w:t>
      </w:r>
    </w:p>
    <w:p>
      <w:pPr>
        <w:spacing w:after="0" w:line="128" w:lineRule="exact"/>
        <w:rPr>
          <w:sz w:val="20"/>
          <w:szCs w:val="20"/>
          <w:color w:val="auto"/>
        </w:rPr>
      </w:pPr>
    </w:p>
    <w:p>
      <w:pPr>
        <w:ind w:left="1520" w:right="1720" w:firstLine="230"/>
        <w:spacing w:after="0" w:line="272" w:lineRule="auto"/>
        <w:rPr>
          <w:sz w:val="20"/>
          <w:szCs w:val="20"/>
          <w:color w:val="auto"/>
        </w:rPr>
      </w:pPr>
      <w:r>
        <w:rPr>
          <w:rFonts w:ascii="Arial" w:cs="Arial" w:eastAsia="Arial" w:hAnsi="Arial"/>
          <w:sz w:val="12"/>
          <w:szCs w:val="12"/>
          <w:color w:val="auto"/>
        </w:rPr>
        <w:t>We determine if an arrangement is or contains a lease at inception by evaluating various factors, including if the contract conveys the right to control the use of an identified asset for a period of time in exchange for consideration and other facts and circumstances. Lease classification is determined at the lease commencement date. Lease liabilities and their corresponding right-of-use (“ROU”) assets are recognized at commencement date and recorded based on the present value of lease payments over the expected lease term. The implicit rates within our operating leases are generally not determinable and therefore we use the incremental borrowing rate at the lease commencement date to determine the present value of lease payments. The determination of the incremental borrowing rate requires judgment. We determine the incremental borrowing rate for each lease using our estimated borrowing rate, adjusted</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F-12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ind w:left="1520" w:right="1820"/>
        <w:spacing w:after="0" w:line="281" w:lineRule="auto"/>
        <w:rPr>
          <w:sz w:val="20"/>
          <w:szCs w:val="20"/>
          <w:color w:val="auto"/>
        </w:rPr>
      </w:pPr>
      <w:r>
        <w:rPr>
          <w:rFonts w:ascii="Arial" w:cs="Arial" w:eastAsia="Arial" w:hAnsi="Arial"/>
          <w:sz w:val="12"/>
          <w:szCs w:val="12"/>
          <w:color w:val="auto"/>
        </w:rPr>
        <w:t>for various factors including level of collateralization, term and currency to align with the terms of the lease. The ROU asset also might include lease prepayments, offset by lease incentives. Certain leases include options to extend or terminate the lease. Lease terms include options to extend or terminate the lease when it is reasonably certain we will exercise that option.</w:t>
      </w:r>
    </w:p>
    <w:p>
      <w:pPr>
        <w:spacing w:after="0" w:line="81" w:lineRule="exact"/>
        <w:rPr>
          <w:sz w:val="20"/>
          <w:szCs w:val="20"/>
          <w:color w:val="auto"/>
        </w:rPr>
      </w:pPr>
    </w:p>
    <w:p>
      <w:pPr>
        <w:ind w:left="1520" w:right="1760" w:firstLine="230"/>
        <w:spacing w:after="0" w:line="277" w:lineRule="auto"/>
        <w:rPr>
          <w:sz w:val="20"/>
          <w:szCs w:val="20"/>
          <w:color w:val="auto"/>
        </w:rPr>
      </w:pPr>
      <w:r>
        <w:rPr>
          <w:rFonts w:ascii="Arial" w:cs="Arial" w:eastAsia="Arial" w:hAnsi="Arial"/>
          <w:sz w:val="12"/>
          <w:szCs w:val="12"/>
          <w:color w:val="auto"/>
        </w:rPr>
        <w:t>The Company has made accounting policy elections to (i) not recognize ROU assets or lease liabilities for short-term leases (leases with lease terms of 12 months or less); and (ii) combine lease and non-lease components. Variable lease payments are recognized in the consolidated statements of operations when incurred and include certain non-lease components, such as maintenance and other services provided by the lessor to the extent the charges are variable.</w:t>
      </w:r>
    </w:p>
    <w:p>
      <w:pPr>
        <w:spacing w:after="0" w:line="8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Property, Equipment and Software, Net</w:t>
      </w:r>
    </w:p>
    <w:p>
      <w:pPr>
        <w:spacing w:after="0" w:line="128" w:lineRule="exact"/>
        <w:rPr>
          <w:sz w:val="20"/>
          <w:szCs w:val="20"/>
          <w:color w:val="auto"/>
        </w:rPr>
      </w:pPr>
    </w:p>
    <w:p>
      <w:pPr>
        <w:ind w:left="1520" w:right="1740" w:firstLine="230"/>
        <w:spacing w:after="0" w:line="275" w:lineRule="auto"/>
        <w:rPr>
          <w:sz w:val="20"/>
          <w:szCs w:val="20"/>
          <w:color w:val="auto"/>
        </w:rPr>
      </w:pPr>
      <w:r>
        <w:rPr>
          <w:rFonts w:ascii="Arial" w:cs="Arial" w:eastAsia="Arial" w:hAnsi="Arial"/>
          <w:sz w:val="12"/>
          <w:szCs w:val="12"/>
          <w:color w:val="auto"/>
        </w:rPr>
        <w:t>Property, equipment and software, net are stated at cost, less accumulated depreciation and amortization. Major improvements that extend the life, capacity or efficiency, or improve the safety of an asset, are capitalized, while maintenance and repairs are expensed as incurred. When assets are retired or disposed of, the cost and related accumulated depreciation and amortization are removed from the related accounts and the resulting gain or loss is reflected in the consolidated statements of operations in the period realized.</w:t>
      </w:r>
    </w:p>
    <w:p>
      <w:pPr>
        <w:spacing w:after="0" w:line="85"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We capitalize certain internal-use software development costs incurred during the application</w:t>
      </w:r>
    </w:p>
    <w:p>
      <w:pPr>
        <w:sectPr>
          <w:pgSz w:w="11900" w:h="16840" w:orient="portrait"/>
          <w:cols w:equalWidth="0" w:num="1">
            <w:col w:w="9020"/>
          </w:cols>
          <w:pgMar w:left="1440" w:top="560" w:right="1440" w:bottom="105" w:gutter="0" w:footer="0" w:header="0"/>
        </w:sectPr>
      </w:pPr>
    </w:p>
    <w:bookmarkStart w:id="169" w:name="page170"/>
    <w:bookmarkEnd w:id="169"/>
    <w:p>
      <w:pPr>
        <w:ind w:left="1520" w:right="1700"/>
        <w:spacing w:after="0" w:line="209" w:lineRule="auto"/>
        <w:rPr>
          <w:sz w:val="20"/>
          <w:szCs w:val="20"/>
          <w:color w:val="auto"/>
        </w:rPr>
      </w:pPr>
      <w:r>
        <w:rPr>
          <w:rFonts w:ascii="Arial" w:cs="Arial" w:eastAsia="Arial" w:hAnsi="Arial"/>
          <w:sz w:val="12"/>
          <w:szCs w:val="12"/>
          <w:color w:val="auto"/>
        </w:rPr>
        <w:t>development stage. Such costs are amortized on a straight-line basis over the estimated useful life. Costs related to preliminary project activities and post-implementation activities are expensed as incurred.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-146050</wp:posOffset>
            </wp:positionV>
            <wp:extent cx="6732270" cy="99707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jc w:val="both"/>
        <w:ind w:left="1520" w:right="1820"/>
        <w:spacing w:after="0" w:line="279" w:lineRule="auto"/>
        <w:rPr>
          <w:sz w:val="20"/>
          <w:szCs w:val="20"/>
          <w:color w:val="auto"/>
        </w:rPr>
      </w:pPr>
      <w:r>
        <w:rPr>
          <w:rFonts w:ascii="Arial" w:cs="Arial" w:eastAsia="Arial" w:hAnsi="Arial"/>
          <w:sz w:val="12"/>
          <w:szCs w:val="12"/>
          <w:color w:val="auto"/>
        </w:rPr>
        <w:t>incurred for enhancements that are expected to result in additional functionality are also capitalized and expensed over the estimated useful life of the upgrades. Capitalized internal-use software development costs are included in property, equipment and software, net on the consolidated balance sheets.</w:t>
      </w:r>
    </w:p>
    <w:p>
      <w:pPr>
        <w:spacing w:after="0" w:line="55" w:lineRule="exact"/>
        <w:rPr>
          <w:sz w:val="20"/>
          <w:szCs w:val="20"/>
          <w:color w:val="auto"/>
        </w:rPr>
      </w:pPr>
    </w:p>
    <w:p>
      <w:pPr>
        <w:ind w:left="1520" w:right="1740" w:firstLine="230"/>
        <w:spacing w:after="0" w:line="172" w:lineRule="exact"/>
        <w:rPr>
          <w:sz w:val="20"/>
          <w:szCs w:val="20"/>
          <w:color w:val="auto"/>
        </w:rPr>
      </w:pPr>
      <w:r>
        <w:rPr>
          <w:rFonts w:ascii="Arial" w:cs="Arial" w:eastAsia="Arial" w:hAnsi="Arial"/>
          <w:sz w:val="12"/>
          <w:szCs w:val="12"/>
          <w:color w:val="auto"/>
        </w:rPr>
        <w:t>Depreciation and amortization expense is recorded using the straight</w:t>
      </w:r>
      <w:r>
        <w:rPr>
          <w:rFonts w:ascii="MS PGothic" w:cs="MS PGothic" w:eastAsia="MS PGothic" w:hAnsi="MS PGothic"/>
          <w:sz w:val="12"/>
          <w:szCs w:val="12"/>
          <w:color w:val="auto"/>
        </w:rPr>
        <w:t>‑</w:t>
      </w:r>
      <w:r>
        <w:rPr>
          <w:rFonts w:ascii="Arial" w:cs="Arial" w:eastAsia="Arial" w:hAnsi="Arial"/>
          <w:sz w:val="12"/>
          <w:szCs w:val="12"/>
          <w:color w:val="auto"/>
        </w:rPr>
        <w:t>line method over the estimated useful lives of the assets as follows:</w:t>
      </w:r>
    </w:p>
    <w:p>
      <w:pPr>
        <w:spacing w:after="0" w:line="143"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1"/>
                <w:szCs w:val="11"/>
                <w:b w:val="1"/>
                <w:bCs w:val="1"/>
                <w:color w:val="auto"/>
              </w:rPr>
              <w:t>Property, Equipment and Software</w:t>
            </w:r>
          </w:p>
        </w:tc>
        <w:tc>
          <w:tcPr>
            <w:tcW w:w="40" w:type="dxa"/>
            <w:vAlign w:val="bottom"/>
            <w:tcBorders>
              <w:bottom w:val="single" w:sz="8" w:color="CCEEFF"/>
            </w:tcBorders>
          </w:tcPr>
          <w:p>
            <w:pPr>
              <w:spacing w:after="0"/>
              <w:rPr>
                <w:sz w:val="13"/>
                <w:szCs w:val="13"/>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Useful Life</w:t>
            </w:r>
          </w:p>
        </w:tc>
      </w:tr>
      <w:tr>
        <w:trPr>
          <w:trHeight w:val="172"/>
        </w:trPr>
        <w:tc>
          <w:tcPr>
            <w:tcW w:w="2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Internal-use software</w:t>
            </w:r>
          </w:p>
        </w:tc>
        <w:tc>
          <w:tcPr>
            <w:tcW w:w="40" w:type="dxa"/>
            <w:vAlign w:val="bottom"/>
            <w:shd w:val="clear" w:color="auto" w:fill="CCEEFF"/>
          </w:tcPr>
          <w:p>
            <w:pPr>
              <w:spacing w:after="0"/>
              <w:rPr>
                <w:sz w:val="14"/>
                <w:szCs w:val="14"/>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3 years</w:t>
            </w:r>
          </w:p>
        </w:tc>
      </w:tr>
      <w:tr>
        <w:trPr>
          <w:trHeight w:val="173"/>
        </w:trPr>
        <w:tc>
          <w:tcPr>
            <w:tcW w:w="2960" w:type="dxa"/>
            <w:vAlign w:val="bottom"/>
          </w:tcPr>
          <w:p>
            <w:pPr>
              <w:jc w:val="center"/>
              <w:spacing w:after="0"/>
              <w:rPr>
                <w:sz w:val="20"/>
                <w:szCs w:val="20"/>
                <w:color w:val="auto"/>
              </w:rPr>
            </w:pPr>
            <w:r>
              <w:rPr>
                <w:rFonts w:ascii="Arial" w:cs="Arial" w:eastAsia="Arial" w:hAnsi="Arial"/>
                <w:sz w:val="12"/>
                <w:szCs w:val="12"/>
                <w:color w:val="auto"/>
              </w:rPr>
              <w:t>Computers and equipment</w:t>
            </w:r>
          </w:p>
        </w:tc>
        <w:tc>
          <w:tcPr>
            <w:tcW w:w="40" w:type="dxa"/>
            <w:vAlign w:val="bottom"/>
          </w:tcPr>
          <w:p>
            <w:pPr>
              <w:spacing w:after="0"/>
              <w:rPr>
                <w:sz w:val="15"/>
                <w:szCs w:val="15"/>
                <w:color w:val="auto"/>
              </w:rPr>
            </w:pPr>
          </w:p>
        </w:tc>
        <w:tc>
          <w:tcPr>
            <w:tcW w:w="2980" w:type="dxa"/>
            <w:vAlign w:val="bottom"/>
          </w:tcPr>
          <w:p>
            <w:pPr>
              <w:jc w:val="center"/>
              <w:spacing w:after="0"/>
              <w:rPr>
                <w:sz w:val="20"/>
                <w:szCs w:val="20"/>
                <w:color w:val="auto"/>
              </w:rPr>
            </w:pPr>
            <w:r>
              <w:rPr>
                <w:rFonts w:ascii="Arial" w:cs="Arial" w:eastAsia="Arial" w:hAnsi="Arial"/>
                <w:sz w:val="12"/>
                <w:szCs w:val="12"/>
                <w:color w:val="auto"/>
              </w:rPr>
              <w:t>3 to 5 years</w:t>
            </w:r>
          </w:p>
        </w:tc>
      </w:tr>
      <w:tr>
        <w:trPr>
          <w:trHeight w:val="190"/>
        </w:trPr>
        <w:tc>
          <w:tcPr>
            <w:tcW w:w="2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Fixtures and fittings</w:t>
            </w:r>
          </w:p>
        </w:tc>
        <w:tc>
          <w:tcPr>
            <w:tcW w:w="40" w:type="dxa"/>
            <w:vAlign w:val="bottom"/>
            <w:shd w:val="clear" w:color="auto" w:fill="CCEEFF"/>
          </w:tcPr>
          <w:p>
            <w:pPr>
              <w:spacing w:after="0"/>
              <w:rPr>
                <w:sz w:val="16"/>
                <w:szCs w:val="16"/>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3 to 5 years</w:t>
            </w:r>
          </w:p>
        </w:tc>
      </w:tr>
      <w:tr>
        <w:trPr>
          <w:trHeight w:val="182"/>
        </w:trPr>
        <w:tc>
          <w:tcPr>
            <w:tcW w:w="2960" w:type="dxa"/>
            <w:vAlign w:val="bottom"/>
          </w:tcPr>
          <w:p>
            <w:pPr>
              <w:jc w:val="center"/>
              <w:spacing w:after="0"/>
              <w:rPr>
                <w:sz w:val="20"/>
                <w:szCs w:val="20"/>
                <w:color w:val="auto"/>
              </w:rPr>
            </w:pPr>
            <w:r>
              <w:rPr>
                <w:rFonts w:ascii="Arial" w:cs="Arial" w:eastAsia="Arial" w:hAnsi="Arial"/>
                <w:sz w:val="12"/>
                <w:szCs w:val="12"/>
                <w:color w:val="auto"/>
              </w:rPr>
              <w:t>Leasehold improvements</w:t>
            </w:r>
          </w:p>
        </w:tc>
        <w:tc>
          <w:tcPr>
            <w:tcW w:w="40" w:type="dxa"/>
            <w:vAlign w:val="bottom"/>
          </w:tcPr>
          <w:p>
            <w:pPr>
              <w:spacing w:after="0"/>
              <w:rPr>
                <w:sz w:val="15"/>
                <w:szCs w:val="15"/>
                <w:color w:val="auto"/>
              </w:rPr>
            </w:pPr>
          </w:p>
        </w:tc>
        <w:tc>
          <w:tcPr>
            <w:tcW w:w="2980" w:type="dxa"/>
            <w:vAlign w:val="bottom"/>
          </w:tcPr>
          <w:p>
            <w:pPr>
              <w:ind w:left="220"/>
              <w:spacing w:after="0"/>
              <w:rPr>
                <w:sz w:val="20"/>
                <w:szCs w:val="20"/>
                <w:color w:val="auto"/>
              </w:rPr>
            </w:pPr>
            <w:r>
              <w:rPr>
                <w:rFonts w:ascii="Arial" w:cs="Arial" w:eastAsia="Arial" w:hAnsi="Arial"/>
                <w:sz w:val="12"/>
                <w:szCs w:val="12"/>
                <w:color w:val="auto"/>
              </w:rPr>
              <w:t>Shorter of useful life or remaining lease term</w:t>
            </w:r>
          </w:p>
        </w:tc>
      </w:tr>
    </w:tbl>
    <w:p>
      <w:pPr>
        <w:spacing w:after="0" w:line="13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Goodwill</w:t>
      </w:r>
    </w:p>
    <w:p>
      <w:pPr>
        <w:spacing w:after="0" w:line="128" w:lineRule="exact"/>
        <w:rPr>
          <w:sz w:val="20"/>
          <w:szCs w:val="20"/>
          <w:color w:val="auto"/>
        </w:rPr>
      </w:pPr>
    </w:p>
    <w:p>
      <w:pPr>
        <w:ind w:left="1520" w:right="2020" w:firstLine="230"/>
        <w:spacing w:after="0" w:line="312" w:lineRule="auto"/>
        <w:rPr>
          <w:sz w:val="20"/>
          <w:szCs w:val="20"/>
          <w:color w:val="auto"/>
        </w:rPr>
      </w:pPr>
      <w:r>
        <w:rPr>
          <w:rFonts w:ascii="Arial" w:cs="Arial" w:eastAsia="Arial" w:hAnsi="Arial"/>
          <w:sz w:val="12"/>
          <w:szCs w:val="12"/>
          <w:color w:val="auto"/>
        </w:rPr>
        <w:t>Goodwill represents the excess of the purchase price of the acquisition over the net fair value of identifiable assets acquired and liabilities assumed. Goodwill amounts are not amortized.</w:t>
      </w:r>
    </w:p>
    <w:p>
      <w:pPr>
        <w:spacing w:after="0" w:line="62" w:lineRule="exact"/>
        <w:rPr>
          <w:sz w:val="20"/>
          <w:szCs w:val="20"/>
          <w:color w:val="auto"/>
        </w:rPr>
      </w:pPr>
    </w:p>
    <w:p>
      <w:pPr>
        <w:ind w:left="1520" w:right="1720" w:firstLine="230"/>
        <w:spacing w:after="0" w:line="271" w:lineRule="auto"/>
        <w:rPr>
          <w:sz w:val="20"/>
          <w:szCs w:val="20"/>
          <w:color w:val="auto"/>
        </w:rPr>
      </w:pPr>
      <w:r>
        <w:rPr>
          <w:rFonts w:ascii="Arial" w:cs="Arial" w:eastAsia="Arial" w:hAnsi="Arial"/>
          <w:sz w:val="12"/>
          <w:szCs w:val="12"/>
          <w:color w:val="auto"/>
        </w:rPr>
        <w:t>We test goodwill for impairment at least annually, in the fourth fiscal quarter, or more frequently if facts or changes in circumstances indicate the carrying amount of goodwill may not be recoverable. We have one reporting unit; therefore, goodwill is tested at the enterprise level. In testing goodwill for impairment, we have the option to first perform a qualitative assessment to determine whether it is more likely than not that the fair value of the reporting units is less than the carrying amount, including goodwill. If it is determined that it is more likely than not that the fair value of the reporting unit is less than the carrying amount, a quantitative assessment is performed by comparing the fair value of a reporting unit with its carrying amount. An impairment charge is recognized for the amount by which the carrying amount exceeds the reporting unit’s fair value, not to exceed the total amount of goodwill allocated to that reporting unit.</w:t>
      </w:r>
    </w:p>
    <w:p>
      <w:pPr>
        <w:spacing w:after="0" w:line="243" w:lineRule="exact"/>
        <w:rPr>
          <w:sz w:val="20"/>
          <w:szCs w:val="20"/>
          <w:color w:val="auto"/>
        </w:rPr>
      </w:pPr>
    </w:p>
    <w:p>
      <w:pPr>
        <w:jc w:val="center"/>
        <w:ind w:right="60"/>
        <w:spacing w:after="0"/>
        <w:tabs>
          <w:tab w:leader="none" w:pos="120" w:val="left"/>
        </w:tabs>
        <w:rPr>
          <w:sz w:val="20"/>
          <w:szCs w:val="20"/>
          <w:color w:val="auto"/>
        </w:rPr>
      </w:pPr>
      <w:r>
        <w:rPr>
          <w:rFonts w:ascii="Arial" w:cs="Arial" w:eastAsia="Arial" w:hAnsi="Arial"/>
          <w:sz w:val="12"/>
          <w:szCs w:val="12"/>
          <w:color w:val="auto"/>
        </w:rPr>
        <w:t>No impairments of goodwill were recognized during the years ended January 31,</w:t>
        <w:tab/>
        <w:t>2025 and 2024.</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F-13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Intangible Assets, Net</w:t>
      </w:r>
    </w:p>
    <w:p>
      <w:pPr>
        <w:spacing w:after="0" w:line="128" w:lineRule="exact"/>
        <w:rPr>
          <w:sz w:val="20"/>
          <w:szCs w:val="20"/>
          <w:color w:val="auto"/>
        </w:rPr>
      </w:pPr>
    </w:p>
    <w:p>
      <w:pPr>
        <w:ind w:left="1520" w:right="1780" w:firstLine="230"/>
        <w:spacing w:after="0" w:line="289" w:lineRule="auto"/>
        <w:rPr>
          <w:sz w:val="20"/>
          <w:szCs w:val="20"/>
          <w:color w:val="auto"/>
        </w:rPr>
      </w:pPr>
      <w:r>
        <w:rPr>
          <w:rFonts w:ascii="Arial" w:cs="Arial" w:eastAsia="Arial" w:hAnsi="Arial"/>
          <w:sz w:val="12"/>
          <w:szCs w:val="12"/>
          <w:color w:val="auto"/>
        </w:rPr>
        <w:t>Upon acquisition, identifiable intangible assets are recorded at fair value and are carried at cost less accumulated amortization. Identifiable intangible assets with finite lives are amortized on a straight-line basis over their estimated useful lives.</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2960" w:type="dxa"/>
            <w:vAlign w:val="bottom"/>
            <w:tcBorders>
              <w:bottom w:val="single" w:sz="8" w:color="auto"/>
            </w:tcBorders>
          </w:tcPr>
          <w:p>
            <w:pPr>
              <w:ind w:left="1060"/>
              <w:spacing w:after="0"/>
              <w:rPr>
                <w:sz w:val="20"/>
                <w:szCs w:val="20"/>
                <w:color w:val="auto"/>
              </w:rPr>
            </w:pPr>
            <w:r>
              <w:rPr>
                <w:rFonts w:ascii="Arial" w:cs="Arial" w:eastAsia="Arial" w:hAnsi="Arial"/>
                <w:sz w:val="11"/>
                <w:szCs w:val="11"/>
                <w:b w:val="1"/>
                <w:bCs w:val="1"/>
                <w:color w:val="auto"/>
              </w:rPr>
              <w:t>Intangible Assets</w:t>
            </w:r>
          </w:p>
        </w:tc>
        <w:tc>
          <w:tcPr>
            <w:tcW w:w="40" w:type="dxa"/>
            <w:vAlign w:val="bottom"/>
            <w:tcBorders>
              <w:bottom w:val="single" w:sz="8" w:color="CCEEFF"/>
            </w:tcBorders>
          </w:tcPr>
          <w:p>
            <w:pPr>
              <w:spacing w:after="0"/>
              <w:rPr>
                <w:sz w:val="13"/>
                <w:szCs w:val="13"/>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Useful Life</w:t>
            </w:r>
          </w:p>
        </w:tc>
      </w:tr>
      <w:tr>
        <w:trPr>
          <w:trHeight w:val="172"/>
        </w:trPr>
        <w:tc>
          <w:tcPr>
            <w:tcW w:w="2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Trade names</w:t>
            </w:r>
          </w:p>
        </w:tc>
        <w:tc>
          <w:tcPr>
            <w:tcW w:w="40" w:type="dxa"/>
            <w:vAlign w:val="bottom"/>
            <w:shd w:val="clear" w:color="auto" w:fill="CCEEFF"/>
          </w:tcPr>
          <w:p>
            <w:pPr>
              <w:spacing w:after="0"/>
              <w:rPr>
                <w:sz w:val="14"/>
                <w:szCs w:val="14"/>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3-19 years</w:t>
            </w:r>
          </w:p>
        </w:tc>
      </w:tr>
      <w:tr>
        <w:trPr>
          <w:trHeight w:val="173"/>
        </w:trPr>
        <w:tc>
          <w:tcPr>
            <w:tcW w:w="2960" w:type="dxa"/>
            <w:vAlign w:val="bottom"/>
          </w:tcPr>
          <w:p>
            <w:pPr>
              <w:jc w:val="center"/>
              <w:spacing w:after="0"/>
              <w:rPr>
                <w:sz w:val="20"/>
                <w:szCs w:val="20"/>
                <w:color w:val="auto"/>
              </w:rPr>
            </w:pPr>
            <w:r>
              <w:rPr>
                <w:rFonts w:ascii="Arial" w:cs="Arial" w:eastAsia="Arial" w:hAnsi="Arial"/>
                <w:sz w:val="12"/>
                <w:szCs w:val="12"/>
                <w:color w:val="auto"/>
              </w:rPr>
              <w:t>Domain names</w:t>
            </w:r>
          </w:p>
        </w:tc>
        <w:tc>
          <w:tcPr>
            <w:tcW w:w="40" w:type="dxa"/>
            <w:vAlign w:val="bottom"/>
          </w:tcPr>
          <w:p>
            <w:pPr>
              <w:spacing w:after="0"/>
              <w:rPr>
                <w:sz w:val="15"/>
                <w:szCs w:val="15"/>
                <w:color w:val="auto"/>
              </w:rPr>
            </w:pPr>
          </w:p>
        </w:tc>
        <w:tc>
          <w:tcPr>
            <w:tcW w:w="2980" w:type="dxa"/>
            <w:vAlign w:val="bottom"/>
          </w:tcPr>
          <w:p>
            <w:pPr>
              <w:jc w:val="center"/>
              <w:spacing w:after="0"/>
              <w:rPr>
                <w:sz w:val="20"/>
                <w:szCs w:val="20"/>
                <w:color w:val="auto"/>
              </w:rPr>
            </w:pPr>
            <w:r>
              <w:rPr>
                <w:rFonts w:ascii="Arial" w:cs="Arial" w:eastAsia="Arial" w:hAnsi="Arial"/>
                <w:sz w:val="12"/>
                <w:szCs w:val="12"/>
                <w:color w:val="auto"/>
              </w:rPr>
              <w:t>15 years</w:t>
            </w:r>
          </w:p>
        </w:tc>
      </w:tr>
      <w:tr>
        <w:trPr>
          <w:trHeight w:val="190"/>
        </w:trPr>
        <w:tc>
          <w:tcPr>
            <w:tcW w:w="2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Customer relationships</w:t>
            </w:r>
          </w:p>
        </w:tc>
        <w:tc>
          <w:tcPr>
            <w:tcW w:w="40" w:type="dxa"/>
            <w:vAlign w:val="bottom"/>
            <w:shd w:val="clear" w:color="auto" w:fill="CCEEFF"/>
          </w:tcPr>
          <w:p>
            <w:pPr>
              <w:spacing w:after="0"/>
              <w:rPr>
                <w:sz w:val="16"/>
                <w:szCs w:val="16"/>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5-13 years</w:t>
            </w:r>
          </w:p>
        </w:tc>
      </w:tr>
      <w:tr>
        <w:trPr>
          <w:trHeight w:val="182"/>
        </w:trPr>
        <w:tc>
          <w:tcPr>
            <w:tcW w:w="2960" w:type="dxa"/>
            <w:vAlign w:val="bottom"/>
          </w:tcPr>
          <w:p>
            <w:pPr>
              <w:jc w:val="center"/>
              <w:spacing w:after="0"/>
              <w:rPr>
                <w:sz w:val="20"/>
                <w:szCs w:val="20"/>
                <w:color w:val="auto"/>
              </w:rPr>
            </w:pPr>
            <w:r>
              <w:rPr>
                <w:rFonts w:ascii="Arial" w:cs="Arial" w:eastAsia="Arial" w:hAnsi="Arial"/>
                <w:sz w:val="12"/>
                <w:szCs w:val="12"/>
                <w:color w:val="auto"/>
              </w:rPr>
              <w:t>Developed technology</w:t>
            </w:r>
          </w:p>
        </w:tc>
        <w:tc>
          <w:tcPr>
            <w:tcW w:w="40" w:type="dxa"/>
            <w:vAlign w:val="bottom"/>
          </w:tcPr>
          <w:p>
            <w:pPr>
              <w:spacing w:after="0"/>
              <w:rPr>
                <w:sz w:val="15"/>
                <w:szCs w:val="15"/>
                <w:color w:val="auto"/>
              </w:rPr>
            </w:pPr>
          </w:p>
        </w:tc>
        <w:tc>
          <w:tcPr>
            <w:tcW w:w="2980" w:type="dxa"/>
            <w:vAlign w:val="bottom"/>
          </w:tcPr>
          <w:p>
            <w:pPr>
              <w:jc w:val="center"/>
              <w:spacing w:after="0"/>
              <w:rPr>
                <w:sz w:val="20"/>
                <w:szCs w:val="20"/>
                <w:color w:val="auto"/>
              </w:rPr>
            </w:pPr>
            <w:r>
              <w:rPr>
                <w:rFonts w:ascii="Arial" w:cs="Arial" w:eastAsia="Arial" w:hAnsi="Arial"/>
                <w:sz w:val="12"/>
                <w:szCs w:val="12"/>
                <w:color w:val="auto"/>
              </w:rPr>
              <w:t>1-2 years</w:t>
            </w:r>
          </w:p>
        </w:tc>
      </w:tr>
    </w:tbl>
    <w:p>
      <w:pPr>
        <w:spacing w:after="0" w:line="13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Impairment of Long-Lived Assets</w:t>
      </w:r>
    </w:p>
    <w:p>
      <w:pPr>
        <w:spacing w:after="0" w:line="128"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The valuation of long-lived assets, including intangible assets, property, equipment and software, and operating lease ROU assets are reviewed for impairment whenever events or changes in circumstances indicate that the carrying amount of the asset may not be recoverable. The recoverability of long-lived assets or asset groups is calculated based on the estimated undiscounted future cash flows expected to result from the use and eventual disposition of the asset. If the carrying amount of a long-lived asset or asset group exceeds the sum of the projected undiscounted future cash flows, an impairment charge is recognized as the amount by which the carrying amount of the asset exceeds the fair value of the asset or asset group. Impairment testing is performed at the asset group level.</w:t>
      </w:r>
    </w:p>
    <w:p>
      <w:pPr>
        <w:spacing w:after="0" w:line="88" w:lineRule="exact"/>
        <w:rPr>
          <w:sz w:val="20"/>
          <w:szCs w:val="20"/>
          <w:color w:val="auto"/>
        </w:rPr>
      </w:pPr>
    </w:p>
    <w:p>
      <w:pPr>
        <w:ind w:left="1520" w:right="1980" w:firstLine="230"/>
        <w:spacing w:after="0" w:line="312" w:lineRule="auto"/>
        <w:rPr>
          <w:sz w:val="20"/>
          <w:szCs w:val="20"/>
          <w:color w:val="auto"/>
        </w:rPr>
      </w:pPr>
      <w:r>
        <w:rPr>
          <w:rFonts w:ascii="Arial" w:cs="Arial" w:eastAsia="Arial" w:hAnsi="Arial"/>
          <w:sz w:val="12"/>
          <w:szCs w:val="12"/>
          <w:color w:val="auto"/>
        </w:rPr>
        <w:t>No impairment losses on intangible assets or other long-lived assets were recognized during the years ended January 31, 2025 and 2024.</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28" w:lineRule="exact"/>
        <w:rPr>
          <w:sz w:val="20"/>
          <w:szCs w:val="20"/>
          <w:color w:val="auto"/>
        </w:rPr>
      </w:pPr>
    </w:p>
    <w:p>
      <w:pPr>
        <w:ind w:left="1520" w:right="1620" w:firstLine="230"/>
        <w:spacing w:after="0" w:line="270" w:lineRule="auto"/>
        <w:rPr>
          <w:sz w:val="20"/>
          <w:szCs w:val="20"/>
          <w:color w:val="auto"/>
        </w:rPr>
      </w:pPr>
      <w:r>
        <w:rPr>
          <w:rFonts w:ascii="Arial" w:cs="Arial" w:eastAsia="Arial" w:hAnsi="Arial"/>
          <w:sz w:val="12"/>
          <w:szCs w:val="12"/>
          <w:color w:val="auto"/>
        </w:rPr>
        <w:t xml:space="preserve">We recognize revenue in accordance with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 when a customer obtains control of promised services in an amount that reflects the consideration we expect to be entitled to in exchange for these services. Our primary sources of revenue are fees earned from platform customers for access to our travel and expense management platform or on-demand travel management services, and from travel supply and payment partners for connection to our network of travel bookings and corporate card transaction dollar volume. Fees from our platform customers are either earned on a per-booking transaction or subscription basis. Fees from our travel supply and payment partners are generally earned on a per-transaction basis. Under our arrangements with certain travel supply partners, we earn additional fees when cumulative actual booking or transaction dollar volume exceeds specified contractual thresholds. Our travel supply partners include airlines, hotels, car rental companies, rail carriers, and providers of Global Distribution Systems. Our payment partners primarily include our corporate card payment processors and card issuing partners.</w:t>
      </w:r>
    </w:p>
    <w:p>
      <w:pPr>
        <w:spacing w:after="0" w:line="89" w:lineRule="exact"/>
        <w:rPr>
          <w:sz w:val="20"/>
          <w:szCs w:val="20"/>
          <w:color w:val="auto"/>
        </w:rPr>
      </w:pPr>
    </w:p>
    <w:p>
      <w:pPr>
        <w:ind w:left="1760"/>
        <w:spacing w:after="0"/>
        <w:rPr>
          <w:sz w:val="20"/>
          <w:szCs w:val="20"/>
          <w:color w:val="auto"/>
        </w:rPr>
      </w:pPr>
      <w:r>
        <w:rPr>
          <w:rFonts w:ascii="Arial" w:cs="Arial" w:eastAsia="Arial" w:hAnsi="Arial"/>
          <w:sz w:val="12"/>
          <w:szCs w:val="12"/>
          <w:u w:val="single" w:color="auto"/>
          <w:color w:val="auto"/>
        </w:rPr>
        <w:t>Platform Customers</w:t>
      </w:r>
    </w:p>
    <w:p>
      <w:pPr>
        <w:spacing w:after="0" w:line="130" w:lineRule="exact"/>
        <w:rPr>
          <w:sz w:val="20"/>
          <w:szCs w:val="20"/>
          <w:color w:val="auto"/>
        </w:rPr>
      </w:pPr>
    </w:p>
    <w:p>
      <w:pPr>
        <w:ind w:left="1520" w:right="1700" w:firstLine="230"/>
        <w:spacing w:after="0" w:line="277" w:lineRule="auto"/>
        <w:rPr>
          <w:sz w:val="20"/>
          <w:szCs w:val="20"/>
          <w:color w:val="auto"/>
        </w:rPr>
      </w:pPr>
      <w:r>
        <w:rPr>
          <w:rFonts w:ascii="Arial" w:cs="Arial" w:eastAsia="Arial" w:hAnsi="Arial"/>
          <w:sz w:val="12"/>
          <w:szCs w:val="12"/>
          <w:color w:val="auto"/>
        </w:rPr>
        <w:t>Our primary performance obligation is to provide platform customers with continuous access to our cloud-based travel and expense management platform or to our on-demand travel management services. Transaction-based fees are generally non-refundable, and represent variable consideration allocated to the period the booking occurs. Revenue from transaction-based fees is recognized at the time of booking. Subscription fees are recognized ratably over the non-cancellable contract term.</w:t>
      </w:r>
    </w:p>
    <w:p>
      <w:pPr>
        <w:spacing w:after="0" w:line="84" w:lineRule="exact"/>
        <w:rPr>
          <w:sz w:val="20"/>
          <w:szCs w:val="20"/>
          <w:color w:val="auto"/>
        </w:rPr>
      </w:pPr>
    </w:p>
    <w:p>
      <w:pPr>
        <w:ind w:left="1520" w:right="1720" w:firstLine="230"/>
        <w:spacing w:after="0" w:line="281" w:lineRule="auto"/>
        <w:rPr>
          <w:sz w:val="20"/>
          <w:szCs w:val="20"/>
          <w:color w:val="auto"/>
        </w:rPr>
      </w:pPr>
      <w:r>
        <w:rPr>
          <w:rFonts w:ascii="Arial" w:cs="Arial" w:eastAsia="Arial" w:hAnsi="Arial"/>
          <w:sz w:val="12"/>
          <w:szCs w:val="12"/>
          <w:color w:val="auto"/>
        </w:rPr>
        <w:t>We maintain a rewards program under which users of our platform receive credits for the purchase of future personal travel. These credits expire twelve months after they are earned. We record a rewards liability and a reduction to revenue related to the vested and unpaid rewards earned by users of our platform, net of expected breakage.</w:t>
      </w:r>
    </w:p>
    <w:p>
      <w:pPr>
        <w:sectPr>
          <w:pgSz w:w="11900" w:h="16840" w:orient="portrait"/>
          <w:cols w:equalWidth="0" w:num="1">
            <w:col w:w="9020"/>
          </w:cols>
          <w:pgMar w:left="1440" w:top="560" w:right="1440" w:bottom="707" w:gutter="0" w:footer="0" w:header="0"/>
        </w:sectPr>
      </w:pPr>
    </w:p>
    <w:bookmarkStart w:id="170" w:name="page171"/>
    <w:bookmarkEnd w:id="170"/>
    <w:p>
      <w:pPr>
        <w:jc w:val="center"/>
        <w:ind w:right="20"/>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ind w:left="1760"/>
        <w:spacing w:after="0"/>
        <w:rPr>
          <w:sz w:val="20"/>
          <w:szCs w:val="20"/>
          <w:color w:val="auto"/>
        </w:rPr>
      </w:pPr>
      <w:r>
        <w:rPr>
          <w:rFonts w:ascii="Arial" w:cs="Arial" w:eastAsia="Arial" w:hAnsi="Arial"/>
          <w:sz w:val="12"/>
          <w:szCs w:val="12"/>
          <w:u w:val="single" w:color="auto"/>
          <w:color w:val="auto"/>
        </w:rPr>
        <w:t>Travel Supply and Payment Partner Fees</w:t>
      </w:r>
    </w:p>
    <w:p>
      <w:pPr>
        <w:spacing w:after="0" w:line="130" w:lineRule="exact"/>
        <w:rPr>
          <w:sz w:val="20"/>
          <w:szCs w:val="20"/>
          <w:color w:val="auto"/>
        </w:rPr>
      </w:pPr>
    </w:p>
    <w:p>
      <w:pPr>
        <w:ind w:left="1520" w:right="1680" w:firstLine="230"/>
        <w:spacing w:after="0" w:line="277" w:lineRule="auto"/>
        <w:rPr>
          <w:sz w:val="20"/>
          <w:szCs w:val="20"/>
          <w:color w:val="auto"/>
        </w:rPr>
      </w:pPr>
      <w:r>
        <w:rPr>
          <w:rFonts w:ascii="Arial" w:cs="Arial" w:eastAsia="Arial" w:hAnsi="Arial"/>
          <w:sz w:val="12"/>
          <w:szCs w:val="12"/>
          <w:color w:val="auto"/>
        </w:rPr>
        <w:t>Our primary performance obligation to our travel supply partners is to connect them to user bookings made on our cloud-based travel management platform or through our on-demand travel management services. For airline and rail carriers, we are generally entitled to fees at the time of booking. For hotel and car rental partners, we are generally entitled to fees at the completion of a traveler’s stay or at the end of the rental period, respectively. Revenue is recognized at the time we are entitled to these fees.</w:t>
      </w:r>
    </w:p>
    <w:p>
      <w:pPr>
        <w:spacing w:after="0" w:line="84" w:lineRule="exact"/>
        <w:rPr>
          <w:sz w:val="20"/>
          <w:szCs w:val="20"/>
          <w:color w:val="auto"/>
        </w:rPr>
      </w:pPr>
    </w:p>
    <w:p>
      <w:pPr>
        <w:ind w:left="1520" w:right="1860" w:firstLine="230"/>
        <w:spacing w:after="0" w:line="275" w:lineRule="auto"/>
        <w:rPr>
          <w:sz w:val="20"/>
          <w:szCs w:val="20"/>
          <w:color w:val="auto"/>
        </w:rPr>
      </w:pPr>
      <w:r>
        <w:rPr>
          <w:rFonts w:ascii="Arial" w:cs="Arial" w:eastAsia="Arial" w:hAnsi="Arial"/>
          <w:sz w:val="12"/>
          <w:szCs w:val="12"/>
          <w:color w:val="auto"/>
        </w:rPr>
        <w:t>Our primary obligation to our payment partners is to connect them with user transaction volume on our physical and virtual corporate cards. We earn fees and other incentives from our payment partners based on the transaction dollar volume of each physical or virtual corporate card payment transaction processed, and we recognize revenue in the period each transaction occurs. We provide rebates to certain platform customers based on the dollar volume of payment transactions processed on our platform. Rebates paid to customers are recognized as a reduction to revenue.</w:t>
      </w:r>
    </w:p>
    <w:p>
      <w:pPr>
        <w:spacing w:after="0" w:line="87"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Deferred Revenue</w:t>
      </w:r>
    </w:p>
    <w:p>
      <w:pPr>
        <w:spacing w:after="0" w:line="128" w:lineRule="exact"/>
        <w:rPr>
          <w:sz w:val="20"/>
          <w:szCs w:val="20"/>
          <w:color w:val="auto"/>
        </w:rPr>
      </w:pPr>
    </w:p>
    <w:p>
      <w:pPr>
        <w:ind w:left="1520" w:right="1720" w:firstLine="230"/>
        <w:spacing w:after="0" w:line="275" w:lineRule="auto"/>
        <w:rPr>
          <w:sz w:val="20"/>
          <w:szCs w:val="20"/>
          <w:color w:val="auto"/>
        </w:rPr>
      </w:pPr>
      <w:r>
        <w:rPr>
          <w:rFonts w:ascii="Arial" w:cs="Arial" w:eastAsia="Arial" w:hAnsi="Arial"/>
          <w:sz w:val="12"/>
          <w:szCs w:val="12"/>
          <w:color w:val="auto"/>
        </w:rPr>
        <w:t>Revenue is deferred when we have the right to invoice in advance of performance under a customer contract. We typically invoice platform customers for access to our cloud-based travel and expense management platforms annually in advance, upon execution of the initial contract or subsequent renewal. Invoices are generally payable within 30 to 60 days. The current portion of deferred revenue balances will be recognized during the following 12-month period. The non-current portion of deferred revenue balances will be recognized beyond the next 12-month period.</w:t>
      </w:r>
    </w:p>
    <w:p>
      <w:pPr>
        <w:spacing w:after="0" w:line="87"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Contract Acquisition Costs</w:t>
      </w:r>
    </w:p>
    <w:p>
      <w:pPr>
        <w:spacing w:after="0" w:line="128" w:lineRule="exact"/>
        <w:rPr>
          <w:sz w:val="20"/>
          <w:szCs w:val="20"/>
          <w:color w:val="auto"/>
        </w:rPr>
      </w:pPr>
    </w:p>
    <w:p>
      <w:pPr>
        <w:ind w:left="1520" w:right="1640" w:firstLine="230"/>
        <w:spacing w:after="0" w:line="272" w:lineRule="auto"/>
        <w:rPr>
          <w:sz w:val="20"/>
          <w:szCs w:val="20"/>
          <w:color w:val="auto"/>
        </w:rPr>
      </w:pPr>
      <w:r>
        <w:rPr>
          <w:rFonts w:ascii="Arial" w:cs="Arial" w:eastAsia="Arial" w:hAnsi="Arial"/>
          <w:sz w:val="12"/>
          <w:szCs w:val="12"/>
          <w:color w:val="auto"/>
        </w:rPr>
        <w:t>We capitalize incremental costs of obtaining a contract with a customer if the costs are recoverable. These costs, which primarily consist of sales commissions, are deferred and amortized on a straight-line basis over the period of benefit, which we have estimated to be five years. We estimate the period of benefit by primarily taking into consideration the average customer life, among other factors. During fiscal 2025, we capitalized $23.7 million of contract acquisition costs and recognized related amortization expense of $5.6 million . During fiscal 2024, no contract acquisition costs were capitalized and we recognized amortization expense of $7.0 million . Amortization expense is included in sales and marketing expense in the consolidated statements of operations.</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Cost of Revenue</w:t>
      </w:r>
    </w:p>
    <w:p>
      <w:pPr>
        <w:spacing w:after="0" w:line="128" w:lineRule="exact"/>
        <w:rPr>
          <w:sz w:val="20"/>
          <w:szCs w:val="20"/>
          <w:color w:val="auto"/>
        </w:rPr>
      </w:pPr>
    </w:p>
    <w:p>
      <w:pPr>
        <w:ind w:left="1520" w:right="1740" w:firstLine="230"/>
        <w:spacing w:after="0" w:line="275" w:lineRule="auto"/>
        <w:rPr>
          <w:sz w:val="20"/>
          <w:szCs w:val="20"/>
          <w:color w:val="auto"/>
        </w:rPr>
      </w:pPr>
      <w:r>
        <w:rPr>
          <w:rFonts w:ascii="Arial" w:cs="Arial" w:eastAsia="Arial" w:hAnsi="Arial"/>
          <w:sz w:val="12"/>
          <w:szCs w:val="12"/>
          <w:color w:val="auto"/>
        </w:rPr>
        <w:t>Cost of revenue consists of direct personnel-related costs associated with customer support and a portion of customer success personnel costs, including salaries, bonuses, stock-based compensation, benefits and other expenses. In addition to personnel-related costs, cost of revenue includes third-party cloud infrastructure costs incurred to deliver our cloud-based travel and expense management platform, amortization of internally developed software and acquired technology, credit card processing fees, third-party vendor fees, and the allocation of certain corporate costs.</w:t>
      </w:r>
    </w:p>
    <w:p>
      <w:pPr>
        <w:spacing w:after="0" w:line="87"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128" w:lineRule="exact"/>
        <w:rPr>
          <w:sz w:val="20"/>
          <w:szCs w:val="20"/>
          <w:color w:val="auto"/>
        </w:rPr>
      </w:pPr>
    </w:p>
    <w:p>
      <w:pPr>
        <w:ind w:left="1520" w:right="1780" w:firstLine="230"/>
        <w:spacing w:after="0" w:line="277" w:lineRule="auto"/>
        <w:rPr>
          <w:sz w:val="20"/>
          <w:szCs w:val="20"/>
          <w:color w:val="auto"/>
        </w:rPr>
      </w:pPr>
      <w:r>
        <w:rPr>
          <w:rFonts w:ascii="Arial" w:cs="Arial" w:eastAsia="Arial" w:hAnsi="Arial"/>
          <w:sz w:val="12"/>
          <w:szCs w:val="12"/>
          <w:color w:val="auto"/>
        </w:rPr>
        <w:t>Research and development costs are expensed as incurred. Research and development costs primarily consist of personnel-related costs associated with research and development personnel, including salaries, bonuses, stock-based compensation, benefits and other expenses, third-party cloud infrastructure costs incurred in developing our platform, third-party consulting costs, and the allocation of certain corporate costs.</w:t>
      </w:r>
    </w:p>
    <w:p>
      <w:pPr>
        <w:spacing w:after="0" w:line="8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Sales and Marketing Expenses</w:t>
      </w:r>
    </w:p>
    <w:p>
      <w:pPr>
        <w:spacing w:after="0" w:line="128" w:lineRule="exact"/>
        <w:rPr>
          <w:sz w:val="20"/>
          <w:szCs w:val="20"/>
          <w:color w:val="auto"/>
        </w:rPr>
      </w:pPr>
    </w:p>
    <w:p>
      <w:pPr>
        <w:ind w:left="1520" w:right="1880" w:firstLine="230"/>
        <w:spacing w:after="0" w:line="289" w:lineRule="auto"/>
        <w:rPr>
          <w:sz w:val="20"/>
          <w:szCs w:val="20"/>
          <w:color w:val="auto"/>
        </w:rPr>
      </w:pPr>
      <w:r>
        <w:rPr>
          <w:rFonts w:ascii="Arial" w:cs="Arial" w:eastAsia="Arial" w:hAnsi="Arial"/>
          <w:sz w:val="12"/>
          <w:szCs w:val="12"/>
          <w:color w:val="auto"/>
        </w:rPr>
        <w:t>Sales and marketing expenses primarily consist of personnel-related expenses, including salaries, commissions, bonuses, stock-based compensation, benefits and other expenses, amortization of acquired intangible assets, other promotional and advertising expenses, and the allocation of certain</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F-15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ind w:left="1520" w:right="2120"/>
        <w:spacing w:after="0" w:line="312" w:lineRule="auto"/>
        <w:rPr>
          <w:sz w:val="20"/>
          <w:szCs w:val="20"/>
          <w:color w:val="auto"/>
        </w:rPr>
      </w:pPr>
      <w:r>
        <w:rPr>
          <w:rFonts w:ascii="Arial" w:cs="Arial" w:eastAsia="Arial" w:hAnsi="Arial"/>
          <w:sz w:val="12"/>
          <w:szCs w:val="12"/>
          <w:color w:val="auto"/>
        </w:rPr>
        <w:t>corporate costs. The Company expenses certain sales and marketing costs, including promotional expenses, as incurred.</w:t>
      </w:r>
    </w:p>
    <w:p>
      <w:pPr>
        <w:spacing w:after="0" w:line="62" w:lineRule="exact"/>
        <w:rPr>
          <w:sz w:val="20"/>
          <w:szCs w:val="20"/>
          <w:color w:val="auto"/>
        </w:rPr>
      </w:pPr>
    </w:p>
    <w:p>
      <w:pPr>
        <w:ind w:left="1520" w:right="1780" w:firstLine="230"/>
        <w:spacing w:after="0" w:line="289" w:lineRule="auto"/>
        <w:rPr>
          <w:sz w:val="20"/>
          <w:szCs w:val="20"/>
          <w:color w:val="auto"/>
        </w:rPr>
      </w:pPr>
      <w:r>
        <w:rPr>
          <w:rFonts w:ascii="Arial" w:cs="Arial" w:eastAsia="Arial" w:hAnsi="Arial"/>
          <w:sz w:val="12"/>
          <w:szCs w:val="12"/>
          <w:color w:val="auto"/>
        </w:rPr>
        <w:t>Advertising costs are expensed as incurred in sales and marketing expense in the consolidated statements of operations and amounted to $22.3 million and $12.4 million for the years ended January 31, 2025 and 2024, respectively.</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128"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color w:val="auto"/>
        </w:rPr>
        <w:t>General and administrative expenses primarily consist of personnel-related expenses associated with finance, legal, information technology, payment and finance operations, executives, and human resources personnel, including salaries, bonuses, stock-based compensation, benefits and other expenses. In addition to personnel-related expenses, general and administrative expenses consist of external professional services for finance, legal, human resources and information technology, corporate insurance costs, the allocation of certain corporate costs, and bad debt expenses. General and administrative expenses are expensed as incurred.</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28" w:lineRule="exact"/>
        <w:rPr>
          <w:sz w:val="20"/>
          <w:szCs w:val="20"/>
          <w:color w:val="auto"/>
        </w:rPr>
      </w:pPr>
    </w:p>
    <w:p>
      <w:pPr>
        <w:ind w:left="1520" w:right="1680" w:firstLine="230"/>
        <w:spacing w:after="0" w:line="272" w:lineRule="auto"/>
        <w:rPr>
          <w:sz w:val="20"/>
          <w:szCs w:val="20"/>
          <w:color w:val="auto"/>
        </w:rPr>
      </w:pPr>
      <w:r>
        <w:rPr>
          <w:rFonts w:ascii="Arial" w:cs="Arial" w:eastAsia="Arial" w:hAnsi="Arial"/>
          <w:sz w:val="12"/>
          <w:szCs w:val="12"/>
          <w:color w:val="auto"/>
        </w:rPr>
        <w:t>Stock-based compensation expense is recognized over the requisite service period, which is generally over the vesting term of four years, on a straight-line basis for all stock-based payments that are granted to employees, non-employees and directors, including grants of employee stock options and other stock-based awards, that vest based on time-based service vesting conditions. Equity-classified awards issued to employees, non-employees such as consultants and non-employee directors are measured at the grant-date fair value of the award. Forfeitures are recognized as they occur. We estimate the grant-date fair value of stock options using the Black-Scholes option pricing model. The Black-Scholes option pricing model requires the input of highly subjective assumptions, including the fair value</w:t>
      </w:r>
    </w:p>
    <w:p>
      <w:pPr>
        <w:sectPr>
          <w:pgSz w:w="11900" w:h="16840" w:orient="portrait"/>
          <w:cols w:equalWidth="0" w:num="1">
            <w:col w:w="9020"/>
          </w:cols>
          <w:pgMar w:left="1440" w:top="560" w:right="1440" w:bottom="0" w:gutter="0" w:footer="0" w:header="0"/>
        </w:sectPr>
      </w:pPr>
    </w:p>
    <w:bookmarkStart w:id="171" w:name="page172"/>
    <w:bookmarkEnd w:id="171"/>
    <w:p>
      <w:pPr>
        <w:ind w:left="1520" w:right="1720"/>
        <w:spacing w:after="0" w:line="312" w:lineRule="auto"/>
        <w:rPr>
          <w:sz w:val="20"/>
          <w:szCs w:val="20"/>
          <w:color w:val="auto"/>
        </w:rPr>
      </w:pPr>
      <w:r>
        <w:rPr>
          <w:rFonts w:ascii="Arial" w:cs="Arial" w:eastAsia="Arial" w:hAnsi="Arial"/>
          <w:sz w:val="12"/>
          <w:szCs w:val="12"/>
          <w:color w:val="auto"/>
        </w:rPr>
        <w:t>of the underlying common stock, the expected term of the option and the expected volatility of the price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-220980</wp:posOffset>
            </wp:positionV>
            <wp:extent cx="6732270" cy="99707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42" w:lineRule="exact"/>
        <w:rPr>
          <w:sz w:val="20"/>
          <w:szCs w:val="20"/>
          <w:color w:val="auto"/>
        </w:rPr>
      </w:pPr>
    </w:p>
    <w:p>
      <w:pPr>
        <w:ind w:left="1520" w:right="1680" w:firstLine="230"/>
        <w:spacing w:after="0" w:line="270" w:lineRule="auto"/>
        <w:rPr>
          <w:sz w:val="20"/>
          <w:szCs w:val="20"/>
          <w:color w:val="auto"/>
        </w:rPr>
      </w:pPr>
      <w:r>
        <w:rPr>
          <w:rFonts w:ascii="Arial" w:cs="Arial" w:eastAsia="Arial" w:hAnsi="Arial"/>
          <w:sz w:val="12"/>
          <w:szCs w:val="12"/>
          <w:color w:val="auto"/>
        </w:rPr>
        <w:t>Restricted stock units (“RSUs”) are subject to both time-based service and performance-based vesting conditions, which may be satisfied by either a sale of the company or following the effective date of an initial public offering, neither of which, for accounting purposes, are considered probable until they occur. The fair value of new or modified RSU awards is equal to the grant date fair value of the Company’s common stock. These RSUs generally vest over a four-year period based on the achievement of specified qualifying events and are subject to continued service through the applicable vesting dates. Compensation cost is recognized over the requisite service period when it is probable that the performance condition will be satisfied. In the period in which the performance-based condition becomes probable, we will record cumulative stock-based compensation expense for the service period completed to such date and will begin recording stock-based compensation expense using the accelerated attribution method based on the grant-date fair value of the RSUs for awards where the service period is not complete.</w:t>
      </w:r>
    </w:p>
    <w:p>
      <w:pPr>
        <w:spacing w:after="0" w:line="24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Sales and Other Related Taxes</w:t>
      </w:r>
    </w:p>
    <w:p>
      <w:pPr>
        <w:spacing w:after="0" w:line="128" w:lineRule="exact"/>
        <w:rPr>
          <w:sz w:val="20"/>
          <w:szCs w:val="20"/>
          <w:color w:val="auto"/>
        </w:rPr>
      </w:pPr>
    </w:p>
    <w:p>
      <w:pPr>
        <w:ind w:left="1520" w:right="1780" w:firstLine="230"/>
        <w:spacing w:after="0" w:line="281" w:lineRule="auto"/>
        <w:rPr>
          <w:sz w:val="20"/>
          <w:szCs w:val="20"/>
          <w:color w:val="auto"/>
        </w:rPr>
      </w:pPr>
      <w:r>
        <w:rPr>
          <w:rFonts w:ascii="Arial" w:cs="Arial" w:eastAsia="Arial" w:hAnsi="Arial"/>
          <w:sz w:val="12"/>
          <w:szCs w:val="12"/>
          <w:color w:val="auto"/>
        </w:rPr>
        <w:t>Amounts collected from customers and remitted to governmental authorities, which primarily comprise value added taxes in foreign jurisdictions and sales tax in domestic jurisdictions, are presented on a net basis in the consolidated statements of operations in that taxes billed to customers are not included as a component of revenue.</w:t>
      </w:r>
    </w:p>
    <w:p>
      <w:pPr>
        <w:spacing w:after="0" w:line="8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Gain (Loss) on Fair Value Adjustments</w:t>
      </w:r>
    </w:p>
    <w:p>
      <w:pPr>
        <w:spacing w:after="0" w:line="128" w:lineRule="exact"/>
        <w:rPr>
          <w:sz w:val="20"/>
          <w:szCs w:val="20"/>
          <w:color w:val="auto"/>
        </w:rPr>
      </w:pPr>
    </w:p>
    <w:p>
      <w:pPr>
        <w:ind w:left="1520" w:right="2160" w:firstLine="230"/>
        <w:spacing w:after="0" w:line="312" w:lineRule="auto"/>
        <w:rPr>
          <w:sz w:val="20"/>
          <w:szCs w:val="20"/>
          <w:color w:val="auto"/>
        </w:rPr>
      </w:pPr>
      <w:r>
        <w:rPr>
          <w:rFonts w:ascii="Arial" w:cs="Arial" w:eastAsia="Arial" w:hAnsi="Arial"/>
          <w:sz w:val="12"/>
          <w:szCs w:val="12"/>
          <w:color w:val="auto"/>
        </w:rPr>
        <w:t>Gain (loss) on fair value adjustments consists of gains and losses as a result of recording our embedded derivative and warrant liabilities at fair value at the end of each reporting period.</w:t>
      </w: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F-16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Other Income (Expense), Net</w:t>
      </w:r>
    </w:p>
    <w:p>
      <w:pPr>
        <w:spacing w:after="0" w:line="128" w:lineRule="exact"/>
        <w:rPr>
          <w:sz w:val="20"/>
          <w:szCs w:val="20"/>
          <w:color w:val="auto"/>
        </w:rPr>
      </w:pPr>
    </w:p>
    <w:p>
      <w:pPr>
        <w:ind w:left="1520" w:right="2060" w:firstLine="230"/>
        <w:spacing w:after="0" w:line="312" w:lineRule="auto"/>
        <w:rPr>
          <w:sz w:val="20"/>
          <w:szCs w:val="20"/>
          <w:color w:val="auto"/>
        </w:rPr>
      </w:pPr>
      <w:r>
        <w:rPr>
          <w:rFonts w:ascii="Arial" w:cs="Arial" w:eastAsia="Arial" w:hAnsi="Arial"/>
          <w:sz w:val="12"/>
          <w:szCs w:val="12"/>
          <w:color w:val="auto"/>
        </w:rPr>
        <w:t xml:space="preserve">Other income (expense), net consists of interest income earned on cash and cash equivalents, foreign exchange gains and losses, and </w:t>
      </w:r>
      <w:r>
        <w:rPr>
          <w:rFonts w:ascii="Arial" w:cs="Arial" w:eastAsia="Arial" w:hAnsi="Arial"/>
          <w:sz w:val="12"/>
          <w:szCs w:val="12"/>
          <w:color w:val="auto"/>
          <w:highlight w:val="white"/>
        </w:rPr>
        <w:t>other non-operating gains and losses.</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Income Taxes</w:t>
      </w:r>
    </w:p>
    <w:p>
      <w:pPr>
        <w:spacing w:after="0" w:line="128"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We record a provision for income taxes for the anticipated tax consequences of the reported results of operations using the asset and liability method. Deferred tax assets and liabilities are recognized by applying enacted statutory tax rates applicable to future years to differences between the financial statement carrying amounts of existing assets and liabilities and their respective tax bases as well as net operating loss and tax credit carryforwards. The effect of a change in tax rates on deferred tax assets and liabilities is recognized in income in the period that includes the enactment date. The measurement of deferred tax assets is reduced, if necessary, by a valuation allowance for any tax benefits for which future realization is uncertain. We account for the tax effects of global intangible low tax income as a current period expense.</w:t>
      </w:r>
    </w:p>
    <w:p>
      <w:pPr>
        <w:spacing w:after="0" w:line="242"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We use a recognition threshold and measurement attribute for the consolidated financial statement recognition and measurement of a tax position taken or expected to be taken in a tax return. A tax position is recognized when it is more likely than not that the tax position will be sustained upon examination by the taxing authorities, based on the technical merits of the position. The tax benefits recognized in the financial statements from such positions are then measured based on the largest amount of benefit that has a greater than 50% likelihood of being realized upon ultimate settlement. We account for uncertainty in tax positions recognized in the consolidated financial statements by recognizing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threshold at the effective date to be recognized. Interest and penalties related to uncertain tax positions are recognized in the provision for income taxes. See Note 12 — Income Taxes for further information regarding income taxes.</w:t>
      </w:r>
    </w:p>
    <w:p>
      <w:pPr>
        <w:spacing w:after="0" w:line="24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Net Loss Per Share</w:t>
      </w:r>
    </w:p>
    <w:p>
      <w:pPr>
        <w:spacing w:after="0" w:line="128" w:lineRule="exact"/>
        <w:rPr>
          <w:sz w:val="20"/>
          <w:szCs w:val="20"/>
          <w:color w:val="auto"/>
        </w:rPr>
      </w:pPr>
    </w:p>
    <w:p>
      <w:pPr>
        <w:ind w:left="1520" w:right="1680" w:firstLine="230"/>
        <w:spacing w:after="0" w:line="273" w:lineRule="auto"/>
        <w:rPr>
          <w:sz w:val="20"/>
          <w:szCs w:val="20"/>
          <w:color w:val="auto"/>
        </w:rPr>
      </w:pPr>
      <w:r>
        <w:rPr>
          <w:rFonts w:ascii="Arial" w:cs="Arial" w:eastAsia="Arial" w:hAnsi="Arial"/>
          <w:sz w:val="12"/>
          <w:szCs w:val="12"/>
          <w:color w:val="auto"/>
        </w:rPr>
        <w:t>Basic and diluted net loss per share attributable to common stockholders is presented in conformity with the two-class method required for companies with participating securities. We consider all series of our redeemable convertible preferred stock, together with warrants to purchase redeemable convertible preferred stock, to be participating securities as the holders of such stock have the right to receive noncumulative dividends on a pari passu basis in the event that a dividend is paid on common stock. Under the two-class method, net losses are not allocated to the participating securities as the participating securities do not have a contractual obligation to share in the Company’s losses.</w:t>
      </w:r>
    </w:p>
    <w:p>
      <w:pPr>
        <w:spacing w:after="0" w:line="88" w:lineRule="exact"/>
        <w:rPr>
          <w:sz w:val="20"/>
          <w:szCs w:val="20"/>
          <w:color w:val="auto"/>
        </w:rPr>
      </w:pPr>
    </w:p>
    <w:p>
      <w:pPr>
        <w:ind w:left="1520" w:right="1740" w:firstLine="230"/>
        <w:spacing w:after="0" w:line="274" w:lineRule="auto"/>
        <w:rPr>
          <w:sz w:val="20"/>
          <w:szCs w:val="20"/>
          <w:color w:val="auto"/>
        </w:rPr>
      </w:pPr>
      <w:r>
        <w:rPr>
          <w:rFonts w:ascii="Arial" w:cs="Arial" w:eastAsia="Arial" w:hAnsi="Arial"/>
          <w:sz w:val="12"/>
          <w:szCs w:val="12"/>
          <w:color w:val="auto"/>
        </w:rPr>
        <w:t>Under the two-class method, basic net loss per share attributable to common stockholders is computed by dividing net loss attributable to common stockholders by the weighted average number of shares of common stock outstanding during the period. Diluted net loss per share attributable to common stockholders adjusts basic earnings per share for the potentially dilutive impact of common stock equivalents to the extent they are dilutive. As the Company has reported losses for all periods presented, all potentially dilutive securities are anti-dilutive, and accordingly, basic net loss per share equals diluted net loss per share.</w:t>
      </w:r>
    </w:p>
    <w:p>
      <w:pPr>
        <w:spacing w:after="0" w:line="24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Comprehensive Loss</w:t>
      </w:r>
    </w:p>
    <w:p>
      <w:pPr>
        <w:spacing w:after="0" w:line="128" w:lineRule="exact"/>
        <w:rPr>
          <w:sz w:val="20"/>
          <w:szCs w:val="20"/>
          <w:color w:val="auto"/>
        </w:rPr>
      </w:pPr>
    </w:p>
    <w:p>
      <w:pPr>
        <w:jc w:val="both"/>
        <w:ind w:left="1520" w:right="1740" w:firstLine="230"/>
        <w:spacing w:after="0" w:line="289" w:lineRule="auto"/>
        <w:rPr>
          <w:sz w:val="20"/>
          <w:szCs w:val="20"/>
          <w:color w:val="auto"/>
        </w:rPr>
      </w:pPr>
      <w:r>
        <w:rPr>
          <w:rFonts w:ascii="Arial" w:cs="Arial" w:eastAsia="Arial" w:hAnsi="Arial"/>
          <w:sz w:val="12"/>
          <w:szCs w:val="12"/>
          <w:color w:val="auto"/>
        </w:rPr>
        <w:t>Comprehensive loss is comprised of net loss and other comprehensive loss. The primary component of other comprehensive loss is foreign currency translation adjustments arising from the consolidation of foreign legal entities.</w:t>
      </w:r>
    </w:p>
    <w:p>
      <w:pPr>
        <w:sectPr>
          <w:pgSz w:w="11900" w:h="16840" w:orient="portrait"/>
          <w:cols w:equalWidth="0" w:num="1">
            <w:col w:w="9020"/>
          </w:cols>
          <w:pgMar w:left="1440" w:top="560" w:right="1440" w:bottom="796"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F-17</w:t>
      </w:r>
    </w:p>
    <w:p>
      <w:pPr>
        <w:sectPr>
          <w:pgSz w:w="11900" w:h="16840" w:orient="portrait"/>
          <w:cols w:equalWidth="0" w:num="1">
            <w:col w:w="9020"/>
          </w:cols>
          <w:pgMar w:left="1440" w:top="560" w:right="1440" w:bottom="796" w:gutter="0" w:footer="0" w:header="0"/>
          <w:type w:val="continuous"/>
        </w:sectPr>
      </w:pPr>
    </w:p>
    <w:bookmarkStart w:id="172" w:name="page173"/>
    <w:bookmarkEnd w:id="172"/>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-86995</wp:posOffset>
            </wp:positionV>
            <wp:extent cx="6732270" cy="99707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Segment Information</w:t>
      </w:r>
    </w:p>
    <w:p>
      <w:pPr>
        <w:spacing w:after="0" w:line="128" w:lineRule="exact"/>
        <w:rPr>
          <w:sz w:val="20"/>
          <w:szCs w:val="20"/>
          <w:color w:val="auto"/>
        </w:rPr>
      </w:pPr>
    </w:p>
    <w:p>
      <w:pPr>
        <w:ind w:left="1520" w:right="1760" w:firstLine="230"/>
        <w:spacing w:after="0" w:line="281" w:lineRule="auto"/>
        <w:rPr>
          <w:sz w:val="20"/>
          <w:szCs w:val="20"/>
          <w:color w:val="auto"/>
        </w:rPr>
      </w:pPr>
      <w:r>
        <w:rPr>
          <w:rFonts w:ascii="Arial" w:cs="Arial" w:eastAsia="Arial" w:hAnsi="Arial"/>
          <w:sz w:val="12"/>
          <w:szCs w:val="12"/>
          <w:color w:val="auto"/>
        </w:rPr>
        <w:t>The Company’s chief operating decision maker (“CODM”) is its Chief Executive Officer, who reviews financial information presented on a consolidated basis for purposes of making operating decisions, assessing financial performance, and allocating resources. The Company operates its business in one operating segment and, therefore, has one reportable segment.</w:t>
      </w:r>
    </w:p>
    <w:p>
      <w:pPr>
        <w:spacing w:after="0" w:line="81" w:lineRule="exact"/>
        <w:rPr>
          <w:sz w:val="20"/>
          <w:szCs w:val="20"/>
          <w:color w:val="auto"/>
        </w:rPr>
      </w:pPr>
    </w:p>
    <w:p>
      <w:pPr>
        <w:ind w:left="1520" w:right="1700" w:firstLine="230"/>
        <w:spacing w:after="0" w:line="270" w:lineRule="auto"/>
        <w:rPr>
          <w:sz w:val="20"/>
          <w:szCs w:val="20"/>
          <w:color w:val="auto"/>
        </w:rPr>
      </w:pPr>
      <w:r>
        <w:rPr>
          <w:rFonts w:ascii="Arial" w:cs="Arial" w:eastAsia="Arial" w:hAnsi="Arial"/>
          <w:sz w:val="12"/>
          <w:szCs w:val="12"/>
          <w:color w:val="auto"/>
        </w:rPr>
        <w:t>The CODM uses consolidated net loss to measure segment profit or loss in order to assess, manage, and maintain performance of the business based on resource allocations. The CODM also uses consolidated net loss to approve operating budgets and to identify product development and market expansion opportunities. The Company’s objective in making resource allocation decisions is to optimize the consolidated financial results. Significant segment expenses that the CODM reviews and utilizes to manage the Company’s operations are cost of revenue, research and development, sales and marketing, and general and administrative expenses at the consolidated level, which are presented in the Company’s consolidated statements of operations. Other segment items included in consolidated net loss include gain (loss) on fair value adjustments, interest expense, other income (expense), net, and income tax expense, which are presented in the Company’s consolidated statements of operations. The measure of segment assets is reported on the balance sheet as total consolidated assets.</w:t>
      </w:r>
    </w:p>
    <w:p>
      <w:pPr>
        <w:spacing w:after="0" w:line="91" w:lineRule="exact"/>
        <w:rPr>
          <w:sz w:val="20"/>
          <w:szCs w:val="20"/>
          <w:color w:val="auto"/>
        </w:rPr>
      </w:pPr>
    </w:p>
    <w:p>
      <w:pPr>
        <w:ind w:left="1520" w:right="1740" w:firstLine="230"/>
        <w:spacing w:after="0" w:line="289" w:lineRule="auto"/>
        <w:rPr>
          <w:sz w:val="20"/>
          <w:szCs w:val="20"/>
          <w:color w:val="auto"/>
        </w:rPr>
      </w:pPr>
      <w:r>
        <w:rPr>
          <w:rFonts w:ascii="Arial" w:cs="Arial" w:eastAsia="Arial" w:hAnsi="Arial"/>
          <w:sz w:val="12"/>
          <w:szCs w:val="12"/>
          <w:color w:val="auto"/>
        </w:rPr>
        <w:t>Revenue by geographical region can be found in Note 2 — Revenue. The following table presents long-lived assets, which includes property, equipment and software, net of depreciation and amortization, and operating lease ROU assets, by geographic region (in thousands):</w:t>
      </w:r>
    </w:p>
    <w:p>
      <w:pPr>
        <w:spacing w:after="0" w:line="93"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4"/>
          </w:tcPr>
          <w:p>
            <w:pPr>
              <w:jc w:val="right"/>
              <w:ind w:right="379"/>
              <w:spacing w:after="0"/>
              <w:rPr>
                <w:sz w:val="20"/>
                <w:szCs w:val="20"/>
                <w:color w:val="auto"/>
              </w:rPr>
            </w:pPr>
            <w:r>
              <w:rPr>
                <w:rFonts w:ascii="Arial" w:cs="Arial" w:eastAsia="Arial" w:hAnsi="Arial"/>
                <w:sz w:val="11"/>
                <w:szCs w:val="11"/>
                <w:b w:val="1"/>
                <w:bCs w:val="1"/>
                <w:color w:val="auto"/>
              </w:rPr>
              <w:t>As of January 31</w:t>
            </w: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jc w:val="right"/>
              <w:ind w:right="324"/>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UnitedStates</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59,181</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62,883</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United Kingdom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Arial" w:cs="Arial" w:eastAsia="Arial" w:hAnsi="Arial"/>
                <w:sz w:val="12"/>
                <w:szCs w:val="12"/>
                <w:color w:val="auto"/>
              </w:rPr>
              <w:t>10,633</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8,302</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All other countries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7,730</w:t>
            </w: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5,875</w:t>
            </w:r>
          </w:p>
        </w:tc>
        <w:tc>
          <w:tcPr>
            <w:tcW w:w="0" w:type="dxa"/>
            <w:vAlign w:val="bottom"/>
          </w:tcPr>
          <w:p>
            <w:pPr>
              <w:spacing w:after="0"/>
              <w:rPr>
                <w:sz w:val="1"/>
                <w:szCs w:val="1"/>
                <w:color w:val="auto"/>
              </w:rPr>
            </w:pPr>
          </w:p>
        </w:tc>
      </w:tr>
      <w:tr>
        <w:trPr>
          <w:trHeight w:val="163"/>
        </w:trPr>
        <w:tc>
          <w:tcPr>
            <w:tcW w:w="4260" w:type="dxa"/>
            <w:vAlign w:val="bottom"/>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Totallong-livedassets,net</w:t>
            </w: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77,544</w:t>
            </w:r>
          </w:p>
        </w:tc>
        <w:tc>
          <w:tcPr>
            <w:tcW w:w="40" w:type="dxa"/>
            <w:vAlign w:val="bottom"/>
          </w:tcPr>
          <w:p>
            <w:pPr>
              <w:spacing w:after="0"/>
              <w:rPr>
                <w:sz w:val="14"/>
                <w:szCs w:val="14"/>
                <w:color w:val="auto"/>
              </w:rPr>
            </w:pPr>
          </w:p>
        </w:tc>
        <w:tc>
          <w:tcPr>
            <w:tcW w:w="2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77,060</w:t>
            </w:r>
          </w:p>
        </w:tc>
        <w:tc>
          <w:tcPr>
            <w:tcW w:w="0" w:type="dxa"/>
            <w:vAlign w:val="bottom"/>
          </w:tcPr>
          <w:p>
            <w:pPr>
              <w:spacing w:after="0"/>
              <w:rPr>
                <w:sz w:val="1"/>
                <w:szCs w:val="1"/>
                <w:color w:val="auto"/>
              </w:rPr>
            </w:pPr>
          </w:p>
        </w:tc>
      </w:tr>
      <w:tr>
        <w:trPr>
          <w:trHeight w:val="283"/>
        </w:trPr>
        <w:tc>
          <w:tcPr>
            <w:tcW w:w="4260" w:type="dxa"/>
            <w:vAlign w:val="bottom"/>
          </w:tcPr>
          <w:p>
            <w:pPr>
              <w:ind w:left="240"/>
              <w:spacing w:after="0"/>
              <w:rPr>
                <w:sz w:val="20"/>
                <w:szCs w:val="20"/>
                <w:color w:val="auto"/>
              </w:rPr>
            </w:pPr>
            <w:r>
              <w:rPr>
                <w:rFonts w:ascii="Arial" w:cs="Arial" w:eastAsia="Arial" w:hAnsi="Arial"/>
                <w:sz w:val="12"/>
                <w:szCs w:val="12"/>
                <w:b w:val="1"/>
                <w:bCs w:val="1"/>
                <w:i w:val="1"/>
                <w:iCs w:val="1"/>
                <w:color w:val="auto"/>
              </w:rPr>
              <w:t>Recently Adopted Accounting Pronouncements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60" w:type="dxa"/>
            <w:vAlign w:val="bottom"/>
            <w:gridSpan w:val="5"/>
          </w:tcPr>
          <w:p>
            <w:pPr>
              <w:ind w:left="240"/>
              <w:spacing w:after="0"/>
              <w:rPr>
                <w:sz w:val="20"/>
                <w:szCs w:val="20"/>
                <w:color w:val="auto"/>
              </w:rPr>
            </w:pPr>
            <w:r>
              <w:rPr>
                <w:rFonts w:ascii="Arial" w:cs="Arial" w:eastAsia="Arial" w:hAnsi="Arial"/>
                <w:sz w:val="12"/>
                <w:szCs w:val="12"/>
                <w:color w:val="auto"/>
              </w:rPr>
              <w:t>In June 2016, the Financial Accounting Standards Board (FASB) issued ASU No. 2016-13,</w:t>
            </w:r>
          </w:p>
        </w:tc>
        <w:tc>
          <w:tcPr>
            <w:tcW w:w="620" w:type="dxa"/>
            <w:vAlign w:val="bottom"/>
          </w:tcPr>
          <w:p>
            <w:pPr>
              <w:jc w:val="right"/>
              <w:ind w:right="39"/>
              <w:spacing w:after="0"/>
              <w:rPr>
                <w:sz w:val="20"/>
                <w:szCs w:val="20"/>
                <w:color w:val="auto"/>
              </w:rPr>
            </w:pPr>
            <w:r>
              <w:rPr>
                <w:rFonts w:ascii="Arial" w:cs="Arial" w:eastAsia="Arial" w:hAnsi="Arial"/>
                <w:sz w:val="12"/>
                <w:szCs w:val="12"/>
                <w:i w:val="1"/>
                <w:iCs w:val="1"/>
                <w:color w:val="auto"/>
              </w:rPr>
              <w:t>Financial</w:t>
            </w:r>
          </w:p>
        </w:tc>
        <w:tc>
          <w:tcPr>
            <w:tcW w:w="0" w:type="dxa"/>
            <w:vAlign w:val="bottom"/>
          </w:tcPr>
          <w:p>
            <w:pPr>
              <w:spacing w:after="0"/>
              <w:rPr>
                <w:sz w:val="1"/>
                <w:szCs w:val="1"/>
                <w:color w:val="auto"/>
              </w:rPr>
            </w:pPr>
          </w:p>
        </w:tc>
      </w:tr>
      <w:tr>
        <w:trPr>
          <w:trHeight w:val="165"/>
        </w:trPr>
        <w:tc>
          <w:tcPr>
            <w:tcW w:w="5360" w:type="dxa"/>
            <w:vAlign w:val="bottom"/>
            <w:gridSpan w:val="5"/>
          </w:tcPr>
          <w:p>
            <w:pPr>
              <w:spacing w:after="0"/>
              <w:rPr>
                <w:sz w:val="20"/>
                <w:szCs w:val="20"/>
                <w:color w:val="auto"/>
              </w:rPr>
            </w:pPr>
            <w:r>
              <w:rPr>
                <w:rFonts w:ascii="Arial" w:cs="Arial" w:eastAsia="Arial" w:hAnsi="Arial"/>
                <w:sz w:val="12"/>
                <w:szCs w:val="12"/>
                <w:i w:val="1"/>
                <w:iCs w:val="1"/>
                <w:color w:val="auto"/>
              </w:rPr>
              <w:t>Instruments—Credit Losses (Topic 326): Measurement of Credit Losses on Financial Instruments</w:t>
            </w:r>
          </w:p>
        </w:tc>
        <w:tc>
          <w:tcPr>
            <w:tcW w:w="620" w:type="dxa"/>
            <w:vAlign w:val="bottom"/>
          </w:tcPr>
          <w:p>
            <w:pPr>
              <w:jc w:val="right"/>
              <w:ind w:right="19"/>
              <w:spacing w:after="0"/>
              <w:rPr>
                <w:sz w:val="20"/>
                <w:szCs w:val="20"/>
                <w:color w:val="auto"/>
              </w:rPr>
            </w:pPr>
            <w:r>
              <w:rPr>
                <w:rFonts w:ascii="Arial" w:cs="Arial" w:eastAsia="Arial" w:hAnsi="Arial"/>
                <w:sz w:val="12"/>
                <w:szCs w:val="12"/>
                <w:color w:val="auto"/>
              </w:rPr>
              <w:t>(“ASU</w:t>
            </w:r>
          </w:p>
        </w:tc>
        <w:tc>
          <w:tcPr>
            <w:tcW w:w="0" w:type="dxa"/>
            <w:vAlign w:val="bottom"/>
          </w:tcPr>
          <w:p>
            <w:pPr>
              <w:spacing w:after="0"/>
              <w:rPr>
                <w:sz w:val="1"/>
                <w:szCs w:val="1"/>
                <w:color w:val="auto"/>
              </w:rPr>
            </w:pPr>
          </w:p>
        </w:tc>
      </w:tr>
    </w:tbl>
    <w:p>
      <w:pPr>
        <w:ind w:left="1520" w:right="1720"/>
        <w:spacing w:after="0" w:line="275" w:lineRule="auto"/>
        <w:rPr>
          <w:sz w:val="20"/>
          <w:szCs w:val="20"/>
          <w:color w:val="auto"/>
        </w:rPr>
      </w:pPr>
      <w:r>
        <w:rPr>
          <w:rFonts w:ascii="Arial" w:cs="Arial" w:eastAsia="Arial" w:hAnsi="Arial"/>
          <w:sz w:val="12"/>
          <w:szCs w:val="12"/>
          <w:color w:val="auto"/>
        </w:rPr>
        <w:t>2016-13”). ASU 2016-13 amends guidance related to impairment of financial instruments by replacing the incurred loss impairment methodology with an expected credit loss model for which a company recognizes an allowance based on the estimate of expected credit loss. The Company adopted ASU 2016-13 as of February 1, 2023 with no material impact to its consolidated financial statements.</w:t>
      </w:r>
    </w:p>
    <w:p>
      <w:pPr>
        <w:spacing w:after="0" w:line="83" w:lineRule="exact"/>
        <w:rPr>
          <w:sz w:val="20"/>
          <w:szCs w:val="20"/>
          <w:color w:val="auto"/>
        </w:rPr>
      </w:pPr>
    </w:p>
    <w:p>
      <w:pPr>
        <w:ind w:left="1520" w:right="1720" w:firstLine="230"/>
        <w:spacing w:after="0" w:line="273" w:lineRule="auto"/>
        <w:rPr>
          <w:sz w:val="20"/>
          <w:szCs w:val="20"/>
          <w:color w:val="auto"/>
        </w:rPr>
      </w:pPr>
      <w:r>
        <w:rPr>
          <w:rFonts w:ascii="Arial" w:cs="Arial" w:eastAsia="Arial" w:hAnsi="Arial"/>
          <w:sz w:val="12"/>
          <w:szCs w:val="12"/>
          <w:color w:val="auto"/>
        </w:rPr>
        <w:t xml:space="preserve">In November 2023, the FASB issued ASU 2023-07, </w:t>
      </w:r>
      <w:r>
        <w:rPr>
          <w:rFonts w:ascii="Arial" w:cs="Arial" w:eastAsia="Arial" w:hAnsi="Arial"/>
          <w:sz w:val="12"/>
          <w:szCs w:val="12"/>
          <w:i w:val="1"/>
          <w:iCs w:val="1"/>
          <w:color w:val="auto"/>
        </w:rPr>
        <w:t>Segment Reporting (Topic 280): Improvements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to Reportable Segment Disclosures </w:t>
      </w:r>
      <w:r>
        <w:rPr>
          <w:rFonts w:ascii="Arial" w:cs="Arial" w:eastAsia="Arial" w:hAnsi="Arial"/>
          <w:sz w:val="12"/>
          <w:szCs w:val="12"/>
          <w:color w:val="auto"/>
        </w:rPr>
        <w:t>(“ASU 2023-07”), which amends disclosure requirements relating to</w:t>
      </w:r>
      <w:r>
        <w:rPr>
          <w:rFonts w:ascii="Arial" w:cs="Arial" w:eastAsia="Arial" w:hAnsi="Arial"/>
          <w:sz w:val="12"/>
          <w:szCs w:val="12"/>
          <w:i w:val="1"/>
          <w:iCs w:val="1"/>
          <w:color w:val="auto"/>
        </w:rPr>
        <w:t xml:space="preserve"> </w:t>
      </w:r>
      <w:r>
        <w:rPr>
          <w:rFonts w:ascii="Arial" w:cs="Arial" w:eastAsia="Arial" w:hAnsi="Arial"/>
          <w:sz w:val="12"/>
          <w:szCs w:val="12"/>
          <w:color w:val="auto"/>
        </w:rPr>
        <w:t>segment reporting, primarily through enhanced disclosure about significant segment expenses and by requiring disclosure of segment information on an annual and interim basis. The Company adopted ASU 2023-07 as of February 1, 2024 with no material impact on its consolidated financial statements. For further information, refer to Segment Information within Note 1 — Description of Business and Significant Accounting Policies.</w:t>
      </w:r>
    </w:p>
    <w:p>
      <w:pPr>
        <w:spacing w:after="0" w:line="88" w:lineRule="exact"/>
        <w:rPr>
          <w:sz w:val="20"/>
          <w:szCs w:val="20"/>
          <w:color w:val="auto"/>
        </w:rPr>
      </w:pPr>
    </w:p>
    <w:p>
      <w:pPr>
        <w:ind w:left="1520" w:right="1660" w:firstLine="230"/>
        <w:spacing w:after="0" w:line="275" w:lineRule="auto"/>
        <w:rPr>
          <w:sz w:val="20"/>
          <w:szCs w:val="20"/>
          <w:color w:val="auto"/>
        </w:rPr>
      </w:pPr>
      <w:r>
        <w:rPr>
          <w:rFonts w:ascii="Arial" w:cs="Arial" w:eastAsia="Arial" w:hAnsi="Arial"/>
          <w:sz w:val="12"/>
          <w:szCs w:val="12"/>
          <w:color w:val="auto"/>
        </w:rPr>
        <w:t xml:space="preserve">In August 2020, the FASB issued ASU No. 2020-06, </w:t>
      </w:r>
      <w:r>
        <w:rPr>
          <w:rFonts w:ascii="Arial" w:cs="Arial" w:eastAsia="Arial" w:hAnsi="Arial"/>
          <w:sz w:val="12"/>
          <w:szCs w:val="12"/>
          <w:i w:val="1"/>
          <w:iCs w:val="1"/>
          <w:color w:val="auto"/>
        </w:rPr>
        <w:t>Debt—Debt with Conversion and Other Options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(Subtopic 470-20) and Derivatives and Hedging </w:t>
      </w:r>
      <w:r>
        <w:rPr>
          <w:rFonts w:ascii="Arial" w:cs="Arial" w:eastAsia="Arial" w:hAnsi="Arial"/>
          <w:sz w:val="12"/>
          <w:szCs w:val="12"/>
          <w:i w:val="1"/>
          <w:iCs w:val="1"/>
          <w:color w:val="auto"/>
          <w:highlight w:val="white"/>
        </w:rPr>
        <w:t>—</w:t>
      </w:r>
      <w:r>
        <w:rPr>
          <w:rFonts w:ascii="Arial" w:cs="Arial" w:eastAsia="Arial" w:hAnsi="Arial"/>
          <w:sz w:val="12"/>
          <w:szCs w:val="12"/>
          <w:i w:val="1"/>
          <w:iCs w:val="1"/>
          <w:color w:val="auto"/>
        </w:rPr>
        <w:t xml:space="preserve">Contracts in Entity’s Own Equity (Subtopic 815-40) </w:t>
      </w:r>
      <w:r>
        <w:rPr>
          <w:rFonts w:ascii="Arial" w:cs="Arial" w:eastAsia="Arial" w:hAnsi="Arial"/>
          <w:sz w:val="12"/>
          <w:szCs w:val="12"/>
          <w:color w:val="auto"/>
        </w:rPr>
        <w:t>(“ASU 2020-06”). ASU 2020-06 is intended to simplify the accounting for convertible instruments by removing certain separation models and to simplify the accounting for contracts in an entity’s own equity by eliminating the settlement criteria to qualify for a scope exception from derivative accounting. ASU 2020-06 also clarifies the diluted earnings per share calculation when convertible instruments and</w:t>
      </w: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F-18</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ind w:left="1520" w:right="1840"/>
        <w:spacing w:after="0" w:line="312" w:lineRule="auto"/>
        <w:rPr>
          <w:sz w:val="20"/>
          <w:szCs w:val="20"/>
          <w:color w:val="auto"/>
        </w:rPr>
      </w:pPr>
      <w:r>
        <w:rPr>
          <w:rFonts w:ascii="Arial" w:cs="Arial" w:eastAsia="Arial" w:hAnsi="Arial"/>
          <w:sz w:val="12"/>
          <w:szCs w:val="12"/>
          <w:color w:val="auto"/>
        </w:rPr>
        <w:t>contracts in an entity’s own equity are involved. The Company adopted ASU 2020-06 as of February 1, 2024 with no material impact to its consolidated financial statements.</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Recently Issued Accounting Pronouncements Not Yet Adopted</w:t>
      </w:r>
    </w:p>
    <w:p>
      <w:pPr>
        <w:spacing w:after="0" w:line="128" w:lineRule="exact"/>
        <w:rPr>
          <w:sz w:val="20"/>
          <w:szCs w:val="20"/>
          <w:color w:val="auto"/>
        </w:rPr>
      </w:pPr>
    </w:p>
    <w:p>
      <w:pPr>
        <w:ind w:left="1520" w:right="1680" w:firstLine="230"/>
        <w:spacing w:after="0" w:line="264" w:lineRule="auto"/>
        <w:rPr>
          <w:sz w:val="20"/>
          <w:szCs w:val="20"/>
          <w:color w:val="auto"/>
        </w:rPr>
      </w:pPr>
      <w:r>
        <w:rPr>
          <w:rFonts w:ascii="Arial" w:cs="Arial" w:eastAsia="Arial" w:hAnsi="Arial"/>
          <w:sz w:val="12"/>
          <w:szCs w:val="12"/>
          <w:color w:val="auto"/>
          <w:highlight w:val="white"/>
        </w:rPr>
        <w:t xml:space="preserve">In December 2023, the FASB issued ASU 2023-09, </w:t>
      </w:r>
      <w:r>
        <w:rPr>
          <w:rFonts w:ascii="Arial" w:cs="Arial" w:eastAsia="Arial" w:hAnsi="Arial"/>
          <w:sz w:val="12"/>
          <w:szCs w:val="12"/>
          <w:i w:val="1"/>
          <w:iCs w:val="1"/>
          <w:color w:val="auto"/>
          <w:highlight w:val="white"/>
        </w:rPr>
        <w:t xml:space="preserve">Income Taxes </w:t>
      </w:r>
      <w:r>
        <w:rPr>
          <w:sz w:val="1"/>
          <w:szCs w:val="1"/>
          <w:color w:val="auto"/>
        </w:rPr>
        <w:drawing>
          <wp:inline distT="0" distB="0" distL="0" distR="0">
            <wp:extent cx="24130" cy="9144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130" cy="91440"/>
                    </a:xfrm>
                    <a:prstGeom prst="rect">
                      <a:avLst/>
                    </a:prstGeom>
                    <a:noFill/>
                    <a:ln>
                      <a:noFill/>
                    </a:ln>
                  </pic:spPr>
                </pic:pic>
              </a:graphicData>
            </a:graphic>
          </wp:inline>
        </w:drawing>
      </w:r>
      <w:r>
        <w:rPr>
          <w:rFonts w:ascii="Arial" w:cs="Arial" w:eastAsia="Arial" w:hAnsi="Arial"/>
          <w:sz w:val="12"/>
          <w:szCs w:val="12"/>
          <w:i w:val="1"/>
          <w:iCs w:val="1"/>
          <w:color w:val="auto"/>
          <w:highlight w:val="white"/>
        </w:rPr>
        <w:t xml:space="preserve">(Topic 740): Improvements to Income Tax Disclosures </w:t>
      </w:r>
      <w:r>
        <w:rPr>
          <w:rFonts w:ascii="Arial" w:cs="Arial" w:eastAsia="Arial" w:hAnsi="Arial"/>
          <w:sz w:val="12"/>
          <w:szCs w:val="12"/>
          <w:color w:val="auto"/>
          <w:highlight w:val="white"/>
        </w:rPr>
        <w:t>, which requires entities to annually (1) disclose specific categories in the rate</w:t>
      </w:r>
      <w:r>
        <w:rPr>
          <w:rFonts w:ascii="Arial" w:cs="Arial" w:eastAsia="Arial" w:hAnsi="Arial"/>
          <w:sz w:val="12"/>
          <w:szCs w:val="12"/>
          <w:i w:val="1"/>
          <w:iCs w:val="1"/>
          <w:color w:val="auto"/>
          <w:highlight w:val="white"/>
        </w:rPr>
        <w:t xml:space="preserve"> </w:t>
      </w:r>
      <w:r>
        <w:rPr>
          <w:rFonts w:ascii="Arial" w:cs="Arial" w:eastAsia="Arial" w:hAnsi="Arial"/>
          <w:sz w:val="12"/>
          <w:szCs w:val="12"/>
          <w:color w:val="auto"/>
          <w:highlight w:val="white"/>
        </w:rPr>
        <w:t xml:space="preserve">reconciliation and (2) provide additional information for reconciling items that meet a quantitative threshold (if the effect of those reconciling items is equal to or greater than 5 percent of the amount computed by multiplying pretax </w:t>
      </w:r>
      <w:r>
        <w:rPr>
          <w:rFonts w:ascii="Arial" w:cs="Arial" w:eastAsia="Arial" w:hAnsi="Arial"/>
          <w:sz w:val="12"/>
          <w:szCs w:val="12"/>
          <w:color w:val="auto"/>
        </w:rPr>
        <w:t>income (loss) by the applicable statutory income tax rate). This standard</w:t>
      </w:r>
      <w:r>
        <w:rPr>
          <w:rFonts w:ascii="Arial" w:cs="Arial" w:eastAsia="Arial" w:hAnsi="Arial"/>
          <w:sz w:val="12"/>
          <w:szCs w:val="12"/>
          <w:color w:val="auto"/>
          <w:highlight w:val="white"/>
        </w:rPr>
        <w:t xml:space="preserve"> </w:t>
      </w:r>
      <w:r>
        <w:rPr>
          <w:rFonts w:ascii="Arial" w:cs="Arial" w:eastAsia="Arial" w:hAnsi="Arial"/>
          <w:sz w:val="12"/>
          <w:szCs w:val="12"/>
          <w:color w:val="auto"/>
        </w:rPr>
        <w:t xml:space="preserve">is effective for public business entities for annual periods beginning after December 15, 2024. For all other entities, the standard is effective for annual periods beginning after December 15, 2025. Early adoption is permitted </w:t>
      </w:r>
      <w:r>
        <w:rPr>
          <w:rFonts w:ascii="Arial" w:cs="Arial" w:eastAsia="Arial" w:hAnsi="Arial"/>
          <w:sz w:val="12"/>
          <w:szCs w:val="12"/>
          <w:color w:val="auto"/>
          <w:highlight w:val="white"/>
        </w:rPr>
        <w:t>. The Company is currently evaluating the impact of this standard on its consolidated</w:t>
      </w:r>
      <w:r>
        <w:rPr>
          <w:rFonts w:ascii="Arial" w:cs="Arial" w:eastAsia="Arial" w:hAnsi="Arial"/>
          <w:sz w:val="12"/>
          <w:szCs w:val="12"/>
          <w:color w:val="auto"/>
        </w:rPr>
        <w:t xml:space="preserve"> </w:t>
      </w:r>
      <w:r>
        <w:rPr>
          <w:rFonts w:ascii="Arial" w:cs="Arial" w:eastAsia="Arial" w:hAnsi="Arial"/>
          <w:sz w:val="12"/>
          <w:szCs w:val="12"/>
          <w:color w:val="auto"/>
          <w:highlight w:val="white"/>
        </w:rPr>
        <w:t>financial statements.</w:t>
      </w:r>
    </w:p>
    <w:p>
      <w:pPr>
        <w:spacing w:after="0" w:line="247" w:lineRule="exact"/>
        <w:rPr>
          <w:sz w:val="20"/>
          <w:szCs w:val="20"/>
          <w:color w:val="auto"/>
        </w:rPr>
      </w:pPr>
    </w:p>
    <w:p>
      <w:pPr>
        <w:ind w:left="1520" w:right="1760" w:firstLine="230"/>
        <w:spacing w:after="0" w:line="273" w:lineRule="auto"/>
        <w:rPr>
          <w:sz w:val="20"/>
          <w:szCs w:val="20"/>
          <w:color w:val="auto"/>
        </w:rPr>
      </w:pPr>
      <w:r>
        <w:rPr>
          <w:rFonts w:ascii="Arial" w:cs="Arial" w:eastAsia="Arial" w:hAnsi="Arial"/>
          <w:sz w:val="12"/>
          <w:szCs w:val="12"/>
          <w:color w:val="auto"/>
          <w:highlight w:val="white"/>
        </w:rPr>
        <w:t xml:space="preserve">In November 2024, the FASB issued ASU 2024-03, </w:t>
      </w:r>
      <w:r>
        <w:rPr>
          <w:rFonts w:ascii="Arial" w:cs="Arial" w:eastAsia="Arial" w:hAnsi="Arial"/>
          <w:sz w:val="12"/>
          <w:szCs w:val="12"/>
          <w:i w:val="1"/>
          <w:iCs w:val="1"/>
          <w:color w:val="auto"/>
          <w:highlight w:val="white"/>
        </w:rPr>
        <w:t>Income Statement—Reporting Comprehensive</w:t>
      </w:r>
      <w:r>
        <w:rPr>
          <w:rFonts w:ascii="Arial" w:cs="Arial" w:eastAsia="Arial" w:hAnsi="Arial"/>
          <w:sz w:val="12"/>
          <w:szCs w:val="12"/>
          <w:color w:val="auto"/>
          <w:highlight w:val="white"/>
        </w:rPr>
        <w:t xml:space="preserve"> </w:t>
      </w:r>
      <w:r>
        <w:rPr>
          <w:rFonts w:ascii="Arial" w:cs="Arial" w:eastAsia="Arial" w:hAnsi="Arial"/>
          <w:sz w:val="12"/>
          <w:szCs w:val="12"/>
          <w:i w:val="1"/>
          <w:iCs w:val="1"/>
          <w:color w:val="auto"/>
          <w:highlight w:val="white"/>
        </w:rPr>
        <w:t>Income—Expense Disaggregation Disclosures (Subtopic 220-40): Disaggregation of Income Statement Expenses</w:t>
      </w:r>
      <w:r>
        <w:rPr>
          <w:rFonts w:ascii="Arial" w:cs="Arial" w:eastAsia="Arial" w:hAnsi="Arial"/>
          <w:sz w:val="12"/>
          <w:szCs w:val="12"/>
          <w:color w:val="auto"/>
          <w:highlight w:val="white"/>
        </w:rPr>
        <w:t>. The new guidance requires disaggregated information about certain income statement</w:t>
      </w:r>
      <w:r>
        <w:rPr>
          <w:rFonts w:ascii="Arial" w:cs="Arial" w:eastAsia="Arial" w:hAnsi="Arial"/>
          <w:sz w:val="12"/>
          <w:szCs w:val="12"/>
          <w:i w:val="1"/>
          <w:iCs w:val="1"/>
          <w:color w:val="auto"/>
          <w:highlight w:val="white"/>
        </w:rPr>
        <w:t xml:space="preserve"> </w:t>
      </w:r>
      <w:r>
        <w:rPr>
          <w:rFonts w:ascii="Arial" w:cs="Arial" w:eastAsia="Arial" w:hAnsi="Arial"/>
          <w:sz w:val="12"/>
          <w:szCs w:val="12"/>
          <w:color w:val="auto"/>
          <w:highlight w:val="white"/>
        </w:rPr>
        <w:t>expense line items on an annual and interim basis. The standard is effective for public business entities for annual periods beginning after December 15, 2026 and interim reporting periods beginning after December 15, 2027. Early adoption is permitted. The Company is currently evaluating the impact of this standard on its consolidated financial statements.</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2 – REVENUE</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Disaggregation of Revenue</w:t>
      </w:r>
    </w:p>
    <w:p>
      <w:pPr>
        <w:spacing w:after="0" w:line="12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Revenue consists of the following (in thousands):</w:t>
      </w:r>
    </w:p>
    <w:p>
      <w:pPr>
        <w:spacing w:after="0" w:line="168" w:lineRule="exact"/>
        <w:rPr>
          <w:sz w:val="20"/>
          <w:szCs w:val="20"/>
          <w:color w:val="auto"/>
        </w:rPr>
      </w:pPr>
    </w:p>
    <w:p>
      <w:pPr>
        <w:ind w:left="6060"/>
        <w:spacing w:after="0"/>
        <w:rPr>
          <w:sz w:val="20"/>
          <w:szCs w:val="20"/>
          <w:color w:val="auto"/>
        </w:rPr>
      </w:pPr>
      <w:r>
        <w:rPr>
          <w:rFonts w:ascii="Arial" w:cs="Arial" w:eastAsia="Arial" w:hAnsi="Arial"/>
          <w:sz w:val="11"/>
          <w:szCs w:val="11"/>
          <w:b w:val="1"/>
          <w:bCs w:val="1"/>
          <w:color w:val="auto"/>
        </w:rPr>
        <w:t>Year Ended January 31,</w:t>
      </w:r>
    </w:p>
    <w:p>
      <w:pPr>
        <w:spacing w:after="0" w:line="36" w:lineRule="exact"/>
        <w:rPr>
          <w:sz w:val="20"/>
          <w:szCs w:val="20"/>
          <w:color w:val="auto"/>
        </w:rPr>
      </w:pPr>
    </w:p>
    <w:p>
      <w:pPr>
        <w:ind w:left="6080"/>
        <w:spacing w:after="0"/>
        <w:tabs>
          <w:tab w:leader="none" w:pos="6940" w:val="left"/>
        </w:tabs>
        <w:rPr>
          <w:sz w:val="20"/>
          <w:szCs w:val="20"/>
          <w:color w:val="auto"/>
        </w:rPr>
      </w:pPr>
      <w:r>
        <w:rPr>
          <w:rFonts w:ascii="Arial" w:cs="Arial" w:eastAsia="Arial" w:hAnsi="Arial"/>
          <w:sz w:val="11"/>
          <w:szCs w:val="11"/>
          <w:b w:val="1"/>
          <w:bCs w:val="1"/>
          <w:color w:val="auto"/>
        </w:rPr>
        <w:t>2025</w:t>
      </w:r>
      <w:r>
        <w:rPr>
          <w:sz w:val="20"/>
          <w:szCs w:val="20"/>
          <w:color w:val="auto"/>
        </w:rPr>
        <w:tab/>
      </w:r>
      <w:r>
        <w:rPr>
          <w:rFonts w:ascii="Arial" w:cs="Arial" w:eastAsia="Arial" w:hAnsi="Arial"/>
          <w:sz w:val="11"/>
          <w:szCs w:val="11"/>
          <w:b w:val="1"/>
          <w:bCs w:val="1"/>
          <w:color w:val="auto"/>
        </w:rPr>
        <w:t>2024</w:t>
      </w:r>
    </w:p>
    <w:p>
      <w:pPr>
        <w:sectPr>
          <w:pgSz w:w="11900" w:h="16840" w:orient="portrait"/>
          <w:cols w:equalWidth="0" w:num="1">
            <w:col w:w="9020"/>
          </w:cols>
          <w:pgMar w:left="1440" w:top="569" w:right="1440" w:bottom="95" w:gutter="0" w:footer="0" w:header="0"/>
        </w:sectPr>
      </w:pPr>
    </w:p>
    <w:p>
      <w:pPr>
        <w:spacing w:after="0" w:line="26" w:lineRule="exact"/>
        <w:rPr>
          <w:sz w:val="20"/>
          <w:szCs w:val="20"/>
          <w:color w:val="auto"/>
        </w:rPr>
      </w:pPr>
    </w:p>
    <w:p>
      <w:pPr>
        <w:ind w:left="1560"/>
        <w:spacing w:after="0"/>
        <w:tabs>
          <w:tab w:leader="none" w:pos="5800" w:val="left"/>
          <w:tab w:leader="none" w:pos="6080" w:val="left"/>
          <w:tab w:leader="none" w:pos="6660" w:val="left"/>
          <w:tab w:leader="none" w:pos="6960" w:val="left"/>
        </w:tabs>
        <w:rPr>
          <w:sz w:val="20"/>
          <w:szCs w:val="20"/>
          <w:color w:val="auto"/>
        </w:rPr>
      </w:pPr>
      <w:r>
        <w:rPr>
          <w:rFonts w:ascii="Arial" w:cs="Arial" w:eastAsia="Arial" w:hAnsi="Arial"/>
          <w:sz w:val="12"/>
          <w:szCs w:val="12"/>
          <w:color w:val="auto"/>
        </w:rPr>
        <w:t xml:space="preserve">Usage-based revenue </w:t>
      </w:r>
      <w:r>
        <w:rPr>
          <w:rFonts w:ascii="Times New Roman" w:cs="Times New Roman" w:eastAsia="Times New Roman" w:hAnsi="Times New Roman"/>
          <w:sz w:val="12"/>
          <w:szCs w:val="12"/>
          <w:color w:val="B4B4B4"/>
        </w:rPr>
        <w:t>............................................................................................</w:t>
      </w:r>
      <w:r>
        <w:rPr>
          <w:rFonts w:ascii="Arial" w:cs="Arial" w:eastAsia="Arial" w:hAnsi="Arial"/>
          <w:sz w:val="12"/>
          <w:szCs w:val="12"/>
          <w:color w:val="auto"/>
        </w:rPr>
        <w:tab/>
        <w:t>$</w:t>
      </w:r>
      <w:r>
        <w:rPr>
          <w:sz w:val="20"/>
          <w:szCs w:val="20"/>
          <w:color w:val="auto"/>
        </w:rPr>
        <w:tab/>
      </w:r>
      <w:r>
        <w:rPr>
          <w:rFonts w:ascii="Arial" w:cs="Arial" w:eastAsia="Arial" w:hAnsi="Arial"/>
          <w:sz w:val="12"/>
          <w:szCs w:val="12"/>
          <w:color w:val="auto"/>
        </w:rPr>
        <w:t>490,356</w:t>
        <w:tab/>
        <w:t>$</w:t>
      </w:r>
      <w:r>
        <w:rPr>
          <w:sz w:val="20"/>
          <w:szCs w:val="20"/>
          <w:color w:val="auto"/>
        </w:rPr>
        <w:tab/>
      </w:r>
      <w:r>
        <w:rPr>
          <w:rFonts w:ascii="Arial" w:cs="Arial" w:eastAsia="Arial" w:hAnsi="Arial"/>
          <w:sz w:val="12"/>
          <w:szCs w:val="12"/>
          <w:color w:val="auto"/>
        </w:rPr>
        <w:t>371,728</w:t>
      </w:r>
    </w:p>
    <w:p>
      <w:pPr>
        <w:sectPr>
          <w:pgSz w:w="11900" w:h="16840" w:orient="portrait"/>
          <w:cols w:equalWidth="0" w:num="1">
            <w:col w:w="9020"/>
          </w:cols>
          <w:pgMar w:left="1440" w:top="569" w:right="1440" w:bottom="95" w:gutter="0" w:footer="0" w:header="0"/>
          <w:type w:val="continuous"/>
        </w:sectPr>
      </w:pPr>
    </w:p>
    <w:bookmarkStart w:id="173" w:name="page174"/>
    <w:bookmarkEnd w:id="173"/>
    <w:tbl>
      <w:tblPr>
        <w:tblLayout w:type="fixed"/>
        <w:tblInd w:w="1560" w:type="dxa"/>
        <w:tblCellMar>
          <w:top w:w="0" w:type="dxa"/>
          <w:left w:w="0" w:type="dxa"/>
          <w:bottom w:w="0" w:type="dxa"/>
          <w:right w:w="0" w:type="dxa"/>
        </w:tblCellMar>
      </w:tblPr>
      <w:tr>
        <w:trPr>
          <w:trHeight w:val="144"/>
        </w:trPr>
        <w:tc>
          <w:tcPr>
            <w:tcW w:w="4220" w:type="dxa"/>
            <w:vAlign w:val="bottom"/>
          </w:tcPr>
          <w:p>
            <w:pPr>
              <w:jc w:val="right"/>
              <w:ind w:right="45"/>
              <w:spacing w:after="0"/>
              <w:rPr>
                <w:sz w:val="20"/>
                <w:szCs w:val="20"/>
                <w:color w:val="auto"/>
              </w:rPr>
            </w:pPr>
            <w:r>
              <w:rPr>
                <w:rFonts w:ascii="Arial" w:cs="Arial" w:eastAsia="Arial" w:hAnsi="Arial"/>
                <w:sz w:val="12"/>
                <w:szCs w:val="12"/>
                <w:color w:val="auto"/>
              </w:rPr>
              <w:t xml:space="preserve">Subscription revenue </w:t>
            </w:r>
            <w:r>
              <w:rPr>
                <w:rFonts w:ascii="Times New Roman" w:cs="Times New Roman" w:eastAsia="Times New Roman" w:hAnsi="Times New Roman"/>
                <w:sz w:val="12"/>
                <w:szCs w:val="12"/>
                <w:color w:val="B4B4B4"/>
              </w:rPr>
              <w:t>..............................................................................................</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46,481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30,528</w:t>
            </w:r>
          </w:p>
        </w:tc>
        <w:tc>
          <w:tcPr>
            <w:tcW w:w="0" w:type="dxa"/>
            <w:vAlign w:val="bottom"/>
          </w:tcPr>
          <w:p>
            <w:pPr>
              <w:spacing w:after="0"/>
              <w:rPr>
                <w:sz w:val="1"/>
                <w:szCs w:val="1"/>
                <w:color w:val="auto"/>
              </w:rPr>
            </w:pPr>
          </w:p>
        </w:tc>
      </w:tr>
      <w:tr>
        <w:trPr>
          <w:trHeight w:val="29"/>
        </w:trPr>
        <w:tc>
          <w:tcPr>
            <w:tcW w:w="4220" w:type="dxa"/>
            <w:vAlign w:val="bottom"/>
            <w:vMerge w:val="restart"/>
          </w:tcPr>
          <w:p>
            <w:pPr>
              <w:jc w:val="right"/>
              <w:ind w:right="3265"/>
              <w:spacing w:after="0"/>
              <w:rPr>
                <w:sz w:val="20"/>
                <w:szCs w:val="20"/>
                <w:color w:val="auto"/>
              </w:rPr>
            </w:pPr>
            <w:r>
              <w:rPr>
                <w:rFonts w:ascii="Arial" w:cs="Arial" w:eastAsia="Arial" w:hAnsi="Arial"/>
                <w:sz w:val="12"/>
                <w:szCs w:val="12"/>
                <w:color w:val="auto"/>
              </w:rPr>
              <w:t>Total revenue</w:t>
            </w: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4220" w:type="dxa"/>
            <w:vAlign w:val="bottom"/>
            <w:vMerge w:val="continue"/>
          </w:tcPr>
          <w:p>
            <w:pPr>
              <w:jc w:val="right"/>
              <w:ind w:right="65"/>
              <w:spacing w:after="0" w:line="76" w:lineRule="exact"/>
              <w:rPr>
                <w:sz w:val="20"/>
                <w:szCs w:val="20"/>
                <w:color w:val="auto"/>
              </w:rPr>
            </w:pPr>
            <w:r>
              <w:rPr>
                <w:rFonts w:ascii="Times New Roman" w:cs="Times New Roman" w:eastAsia="Times New Roman" w:hAnsi="Times New Roman"/>
                <w:sz w:val="8"/>
                <w:szCs w:val="8"/>
                <w:color w:val="B4B4B4"/>
              </w:rPr>
              <w:t>......................................................................................................</w:t>
            </w:r>
          </w:p>
        </w:tc>
        <w:tc>
          <w:tcPr>
            <w:tcW w:w="2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536,837</w:t>
            </w:r>
          </w:p>
        </w:tc>
        <w:tc>
          <w:tcPr>
            <w:tcW w:w="40" w:type="dxa"/>
            <w:vAlign w:val="bottom"/>
          </w:tcPr>
          <w:p>
            <w:pPr>
              <w:spacing w:after="0"/>
              <w:rPr>
                <w:sz w:val="12"/>
                <w:szCs w:val="12"/>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402,256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-212090</wp:posOffset>
            </wp:positionV>
            <wp:extent cx="6732270" cy="99707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104" w:lineRule="exact"/>
        <w:rPr>
          <w:sz w:val="20"/>
          <w:szCs w:val="20"/>
          <w:color w:val="auto"/>
        </w:rPr>
      </w:pPr>
    </w:p>
    <w:p>
      <w:pPr>
        <w:ind w:left="1520" w:right="1820" w:firstLine="230"/>
        <w:spacing w:after="0" w:line="275" w:lineRule="auto"/>
        <w:rPr>
          <w:sz w:val="20"/>
          <w:szCs w:val="20"/>
          <w:color w:val="auto"/>
        </w:rPr>
      </w:pPr>
      <w:r>
        <w:rPr>
          <w:rFonts w:ascii="Arial" w:cs="Arial" w:eastAsia="Arial" w:hAnsi="Arial"/>
          <w:sz w:val="12"/>
          <w:szCs w:val="12"/>
          <w:color w:val="auto"/>
        </w:rPr>
        <w:t>Usage-based revenue primarily represents fees from our platform customers earned on a per-booking transaction basis and fees from our travel supply and payment partne</w:t>
      </w:r>
      <w:r>
        <w:rPr>
          <w:rFonts w:ascii="Arial" w:cs="Arial" w:eastAsia="Arial" w:hAnsi="Arial"/>
          <w:sz w:val="12"/>
          <w:szCs w:val="12"/>
          <w:color w:val="auto"/>
          <w:strike w:val="1"/>
        </w:rPr>
        <w:t>rs, which are g</w:t>
      </w:r>
      <w:r>
        <w:rPr>
          <w:rFonts w:ascii="Arial" w:cs="Arial" w:eastAsia="Arial" w:hAnsi="Arial"/>
          <w:sz w:val="12"/>
          <w:szCs w:val="12"/>
          <w:color w:val="auto"/>
        </w:rPr>
        <w:t xml:space="preserve">enerally earned on a per-transaction basis. Under our arrangements with certain travel </w:t>
      </w:r>
      <w:r>
        <w:rPr>
          <w:rFonts w:ascii="Arial" w:cs="Arial" w:eastAsia="Arial" w:hAnsi="Arial"/>
          <w:sz w:val="12"/>
          <w:szCs w:val="12"/>
          <w:color w:val="auto"/>
          <w:strike w:val="1"/>
        </w:rPr>
        <w:t>supply partner</w:t>
      </w:r>
      <w:r>
        <w:rPr>
          <w:rFonts w:ascii="Arial" w:cs="Arial" w:eastAsia="Arial" w:hAnsi="Arial"/>
          <w:sz w:val="12"/>
          <w:szCs w:val="12"/>
          <w:color w:val="auto"/>
        </w:rPr>
        <w:t>s, we earn additional fees when cumulative actual booking or transaction dollar volume exceeds specified contractual thresholds. Subscription revenue primarily represents revenue earned from subscriptions to our expense management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F-19</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ind w:left="1520" w:right="2040" w:firstLine="230"/>
        <w:spacing w:after="0" w:line="312" w:lineRule="auto"/>
        <w:rPr>
          <w:sz w:val="20"/>
          <w:szCs w:val="20"/>
          <w:color w:val="auto"/>
        </w:rPr>
      </w:pPr>
      <w:r>
        <w:rPr>
          <w:rFonts w:ascii="Arial" w:cs="Arial" w:eastAsia="Arial" w:hAnsi="Arial"/>
          <w:sz w:val="12"/>
          <w:szCs w:val="12"/>
          <w:color w:val="auto"/>
        </w:rPr>
        <w:t>The following table summarizes revenue by region based on the billing country of customers (in thousands, except percentages):</w:t>
      </w:r>
    </w:p>
    <w:p>
      <w:pPr>
        <w:spacing w:after="0" w:line="101"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2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jc w:val="right"/>
              <w:ind w:right="181"/>
              <w:spacing w:after="0"/>
              <w:rPr>
                <w:sz w:val="20"/>
                <w:szCs w:val="20"/>
                <w:color w:val="auto"/>
              </w:rPr>
            </w:pPr>
            <w:r>
              <w:rPr>
                <w:rFonts w:ascii="Arial" w:cs="Arial" w:eastAsia="Arial" w:hAnsi="Arial"/>
                <w:sz w:val="11"/>
                <w:szCs w:val="11"/>
                <w:b w:val="1"/>
                <w:bCs w:val="1"/>
                <w:color w:val="auto"/>
              </w:rPr>
              <w:t>Year Ended January 31,</w:t>
            </w: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525"/>
              <w:spacing w:after="0"/>
              <w:rPr>
                <w:sz w:val="20"/>
                <w:szCs w:val="20"/>
                <w:color w:val="auto"/>
              </w:rPr>
            </w:pPr>
            <w:r>
              <w:rPr>
                <w:rFonts w:ascii="Arial" w:cs="Arial" w:eastAsia="Arial" w:hAnsi="Arial"/>
                <w:sz w:val="11"/>
                <w:szCs w:val="11"/>
                <w:b w:val="1"/>
                <w:bCs w:val="1"/>
                <w:color w:val="auto"/>
              </w:rPr>
              <w:t>2025</w:t>
            </w:r>
          </w:p>
        </w:tc>
        <w:tc>
          <w:tcPr>
            <w:tcW w:w="1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524"/>
              <w:spacing w:after="0"/>
              <w:rPr>
                <w:sz w:val="20"/>
                <w:szCs w:val="20"/>
                <w:color w:val="auto"/>
              </w:rPr>
            </w:pPr>
            <w:r>
              <w:rPr>
                <w:rFonts w:ascii="Arial" w:cs="Arial" w:eastAsia="Arial" w:hAnsi="Arial"/>
                <w:sz w:val="11"/>
                <w:szCs w:val="11"/>
                <w:b w:val="1"/>
                <w:bCs w:val="1"/>
                <w:color w:val="auto"/>
              </w:rPr>
              <w:t>2024</w:t>
            </w: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restart"/>
          </w:tcPr>
          <w:p>
            <w:pPr>
              <w:jc w:val="right"/>
              <w:ind w:right="161"/>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7"/>
                <w:szCs w:val="7"/>
                <w:color w:val="auto"/>
              </w:rPr>
            </w:pPr>
          </w:p>
        </w:tc>
        <w:tc>
          <w:tcPr>
            <w:tcW w:w="84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rPr>
              <w:t>Percentage of</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restart"/>
          </w:tcPr>
          <w:p>
            <w:pPr>
              <w:jc w:val="right"/>
              <w:ind w:right="161"/>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7"/>
                <w:szCs w:val="7"/>
                <w:color w:val="auto"/>
              </w:rPr>
            </w:pPr>
          </w:p>
        </w:tc>
        <w:tc>
          <w:tcPr>
            <w:tcW w:w="84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rPr>
              <w:t>Percentage of</w:t>
            </w:r>
          </w:p>
        </w:tc>
        <w:tc>
          <w:tcPr>
            <w:tcW w:w="0" w:type="dxa"/>
            <w:vAlign w:val="bottom"/>
          </w:tcPr>
          <w:p>
            <w:pPr>
              <w:spacing w:after="0"/>
              <w:rPr>
                <w:sz w:val="1"/>
                <w:szCs w:val="1"/>
                <w:color w:val="auto"/>
              </w:rPr>
            </w:pPr>
          </w:p>
        </w:tc>
      </w:tr>
      <w:tr>
        <w:trPr>
          <w:trHeight w:val="153"/>
        </w:trPr>
        <w:tc>
          <w:tcPr>
            <w:tcW w:w="25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Revenue</w:t>
            </w: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Revenue</w:t>
            </w: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UnitedStates</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315,807</w:t>
            </w: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217,427</w:t>
            </w: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520" w:type="dxa"/>
            <w:vAlign w:val="bottom"/>
          </w:tcPr>
          <w:p>
            <w:pPr>
              <w:jc w:val="right"/>
              <w:spacing w:after="0"/>
              <w:rPr>
                <w:sz w:val="20"/>
                <w:szCs w:val="20"/>
                <w:color w:val="auto"/>
              </w:rPr>
            </w:pPr>
            <w:r>
              <w:rPr>
                <w:rFonts w:ascii="Arial" w:cs="Arial" w:eastAsia="Arial" w:hAnsi="Arial"/>
                <w:sz w:val="12"/>
                <w:szCs w:val="12"/>
                <w:color w:val="auto"/>
              </w:rPr>
              <w:t xml:space="preserve">United Kingdom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129,412</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24</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115,234</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29</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0"/>
        </w:trPr>
        <w:tc>
          <w:tcPr>
            <w:tcW w:w="2520" w:type="dxa"/>
            <w:vAlign w:val="bottom"/>
            <w:shd w:val="clear" w:color="auto" w:fill="CCEEFF"/>
          </w:tcPr>
          <w:p>
            <w:pPr>
              <w:jc w:val="right"/>
              <w:ind w:right="18"/>
              <w:spacing w:after="0" w:line="190" w:lineRule="exact"/>
              <w:rPr>
                <w:sz w:val="20"/>
                <w:szCs w:val="20"/>
                <w:color w:val="auto"/>
              </w:rPr>
            </w:pPr>
            <w:r>
              <w:rPr>
                <w:rFonts w:ascii="Arial" w:cs="Arial" w:eastAsia="Arial" w:hAnsi="Arial"/>
                <w:sz w:val="12"/>
                <w:szCs w:val="12"/>
                <w:color w:val="auto"/>
              </w:rPr>
              <w:t xml:space="preserve">Rest of World </w:t>
            </w:r>
            <w:r>
              <w:rPr>
                <w:rFonts w:ascii="Arial" w:cs="Arial" w:eastAsia="Arial" w:hAnsi="Arial"/>
                <w:sz w:val="17"/>
                <w:szCs w:val="17"/>
                <w:color w:val="auto"/>
                <w:vertAlign w:val="superscript"/>
              </w:rPr>
              <w:t>(1)</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91,618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69,595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252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536,837</w:t>
            </w:r>
          </w:p>
        </w:tc>
        <w:tc>
          <w:tcPr>
            <w:tcW w:w="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402,256</w:t>
            </w:r>
          </w:p>
        </w:tc>
        <w:tc>
          <w:tcPr>
            <w:tcW w:w="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_______________</w:t>
      </w:r>
    </w:p>
    <w:p>
      <w:pPr>
        <w:spacing w:after="0" w:line="23" w:lineRule="exact"/>
        <w:rPr>
          <w:sz w:val="20"/>
          <w:szCs w:val="20"/>
          <w:color w:val="auto"/>
        </w:rPr>
      </w:pPr>
    </w:p>
    <w:p>
      <w:pPr>
        <w:ind w:left="1760" w:right="2940" w:hanging="238"/>
        <w:spacing w:after="0"/>
        <w:tabs>
          <w:tab w:leader="none" w:pos="1760" w:val="left"/>
        </w:tabs>
        <w:numPr>
          <w:ilvl w:val="0"/>
          <w:numId w:val="181"/>
        </w:numPr>
        <w:rPr>
          <w:rFonts w:ascii="Arial" w:cs="Arial" w:eastAsia="Arial" w:hAnsi="Arial"/>
          <w:sz w:val="11"/>
          <w:szCs w:val="11"/>
          <w:color w:val="auto"/>
        </w:rPr>
      </w:pPr>
      <w:r>
        <w:rPr>
          <w:rFonts w:ascii="Arial" w:cs="Arial" w:eastAsia="Arial" w:hAnsi="Arial"/>
          <w:sz w:val="11"/>
          <w:szCs w:val="11"/>
          <w:color w:val="auto"/>
        </w:rPr>
        <w:t>No individual country within Rest of World comprises more than 10% of tota revenue. l</w:t>
      </w:r>
    </w:p>
    <w:p>
      <w:pPr>
        <w:spacing w:after="0" w:line="116" w:lineRule="exact"/>
        <w:rPr>
          <w:rFonts w:ascii="Arial" w:cs="Arial" w:eastAsia="Arial" w:hAnsi="Arial"/>
          <w:sz w:val="11"/>
          <w:szCs w:val="11"/>
          <w:color w:val="auto"/>
        </w:rPr>
      </w:pPr>
    </w:p>
    <w:p>
      <w:pPr>
        <w:ind w:left="1760"/>
        <w:spacing w:after="0"/>
        <w:rPr>
          <w:rFonts w:ascii="Arial" w:cs="Arial" w:eastAsia="Arial" w:hAnsi="Arial"/>
          <w:sz w:val="11"/>
          <w:szCs w:val="11"/>
          <w:color w:val="auto"/>
        </w:rPr>
      </w:pPr>
      <w:r>
        <w:rPr>
          <w:rFonts w:ascii="Arial" w:cs="Arial" w:eastAsia="Arial" w:hAnsi="Arial"/>
          <w:sz w:val="12"/>
          <w:szCs w:val="12"/>
          <w:b w:val="1"/>
          <w:bCs w:val="1"/>
          <w:i w:val="1"/>
          <w:iCs w:val="1"/>
          <w:color w:val="auto"/>
        </w:rPr>
        <w:t>Unbilled Receivables</w:t>
      </w:r>
    </w:p>
    <w:p>
      <w:pPr>
        <w:spacing w:after="0" w:line="128" w:lineRule="exact"/>
        <w:rPr>
          <w:sz w:val="20"/>
          <w:szCs w:val="20"/>
          <w:color w:val="auto"/>
        </w:rPr>
      </w:pPr>
    </w:p>
    <w:p>
      <w:pPr>
        <w:ind w:left="1520" w:right="1840" w:firstLine="230"/>
        <w:spacing w:after="0" w:line="273" w:lineRule="auto"/>
        <w:rPr>
          <w:sz w:val="20"/>
          <w:szCs w:val="20"/>
          <w:color w:val="auto"/>
        </w:rPr>
      </w:pPr>
      <w:r>
        <w:rPr>
          <w:rFonts w:ascii="Arial" w:cs="Arial" w:eastAsia="Arial" w:hAnsi="Arial"/>
          <w:sz w:val="12"/>
          <w:szCs w:val="12"/>
          <w:color w:val="auto"/>
        </w:rPr>
        <w:t>We receive payments from customers based on a billing schedule as established in our customer contracts. Accounts receivable are recorded when we have an unconditional right to consideration. In some arrangements, we have a right to consideration for our performance under the customer contract before invoicing the customer, resulting in an unbilled accounts receivable. We recognized unbilled accounts receivable of $51.9 million and $38.1 million as of January 31, 2025 and 2024, respectively. Unbilled accounts receivable is recorded within accounts receivable, net on the accompanying consolidated balance sheets.</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Contract Liabilities</w:t>
      </w:r>
    </w:p>
    <w:p>
      <w:pPr>
        <w:spacing w:after="0" w:line="128"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color w:val="auto"/>
        </w:rPr>
        <w:t>Revenue is deferred when we have the right to invoice in advance of performance under a customer contract. The deferred revenue balance primarily consists of annual subscription payments. The current portion of deferred revenue represents the amounts that are expected to be recognized within one year of the balance sheet date. The non-current portion of deferred revenue represents amounts that are expected to be recognized more than one year from the balance sheet date. For the years ended January 31, 2025 and 2024, revenue recognized from deferred revenue at the beginning of the period was $27.7 million and $ 18.6 million, respectively.</w:t>
      </w:r>
    </w:p>
    <w:p>
      <w:pPr>
        <w:spacing w:after="0" w:line="88" w:lineRule="exact"/>
        <w:rPr>
          <w:sz w:val="20"/>
          <w:szCs w:val="20"/>
          <w:color w:val="auto"/>
        </w:rPr>
      </w:pPr>
    </w:p>
    <w:p>
      <w:pPr>
        <w:ind w:left="1520" w:right="1620" w:firstLine="230"/>
        <w:spacing w:after="0" w:line="273" w:lineRule="auto"/>
        <w:rPr>
          <w:sz w:val="20"/>
          <w:szCs w:val="20"/>
          <w:color w:val="auto"/>
        </w:rPr>
      </w:pPr>
      <w:r>
        <w:rPr>
          <w:rFonts w:ascii="Arial" w:cs="Arial" w:eastAsia="Arial" w:hAnsi="Arial"/>
          <w:sz w:val="12"/>
          <w:szCs w:val="12"/>
          <w:color w:val="auto"/>
        </w:rPr>
        <w:t>Remaining performance obligations represent the amount of contracted future revenue that has not yet been recognized. We do not disclose the value of remaining performance obligations for (i) contracts with an original expected length of one year or less, and (ii) contracts for which variable consideration is allocated to an unsatisfied performance obligation. Our remaining performance obligations related to multi-year subscription contracts were $ 28.2 million as of January 31, 2025, of which we expect to recognize approximately 59% as revenue over the next 12 months, 32% as revenue over the subsequent 13 to 24 months, and the remainder thereafter.</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3 – FAIR VALUE MEASUREMENTS</w:t>
      </w:r>
    </w:p>
    <w:p>
      <w:pPr>
        <w:spacing w:after="0" w:line="130" w:lineRule="exact"/>
        <w:rPr>
          <w:sz w:val="20"/>
          <w:szCs w:val="20"/>
          <w:color w:val="auto"/>
        </w:rPr>
      </w:pPr>
    </w:p>
    <w:p>
      <w:pPr>
        <w:ind w:left="1520" w:right="1820" w:firstLine="230"/>
        <w:spacing w:after="0" w:line="312" w:lineRule="auto"/>
        <w:rPr>
          <w:sz w:val="20"/>
          <w:szCs w:val="20"/>
          <w:color w:val="auto"/>
        </w:rPr>
      </w:pPr>
      <w:r>
        <w:rPr>
          <w:rFonts w:ascii="Arial" w:cs="Arial" w:eastAsia="Arial" w:hAnsi="Arial"/>
          <w:sz w:val="12"/>
          <w:szCs w:val="12"/>
          <w:color w:val="auto"/>
        </w:rPr>
        <w:t>The following table presents our financial assets and liabilities measured at fair value on a recurring basis based on the three-tier fair value hierarchy (in thousands):</w:t>
      </w:r>
    </w:p>
    <w:p>
      <w:pPr>
        <w:spacing w:after="0" w:line="101"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2520" w:type="dxa"/>
            <w:vAlign w:val="bottom"/>
          </w:tcPr>
          <w:p>
            <w:pPr>
              <w:spacing w:after="0"/>
              <w:rPr>
                <w:sz w:val="13"/>
                <w:szCs w:val="13"/>
                <w:color w:val="auto"/>
              </w:rPr>
            </w:pPr>
          </w:p>
        </w:tc>
        <w:tc>
          <w:tcPr>
            <w:tcW w:w="3460" w:type="dxa"/>
            <w:vAlign w:val="bottom"/>
            <w:tcBorders>
              <w:bottom w:val="single" w:sz="8" w:color="auto"/>
            </w:tcBorders>
            <w:gridSpan w:val="11"/>
          </w:tcPr>
          <w:p>
            <w:pPr>
              <w:jc w:val="right"/>
              <w:ind w:right="440"/>
              <w:spacing w:after="0"/>
              <w:rPr>
                <w:sz w:val="20"/>
                <w:szCs w:val="20"/>
                <w:color w:val="auto"/>
              </w:rPr>
            </w:pPr>
            <w:r>
              <w:rPr>
                <w:rFonts w:ascii="Arial" w:cs="Arial" w:eastAsia="Arial" w:hAnsi="Arial"/>
                <w:sz w:val="11"/>
                <w:szCs w:val="11"/>
                <w:b w:val="1"/>
                <w:bCs w:val="1"/>
                <w:color w:val="auto"/>
              </w:rPr>
              <w:t>Fair value measurements as of January 31, 2025</w:t>
            </w:r>
          </w:p>
        </w:tc>
        <w:tc>
          <w:tcPr>
            <w:tcW w:w="0" w:type="dxa"/>
            <w:vAlign w:val="bottom"/>
          </w:tcPr>
          <w:p>
            <w:pPr>
              <w:spacing w:after="0"/>
              <w:rPr>
                <w:sz w:val="1"/>
                <w:szCs w:val="1"/>
                <w:color w:val="auto"/>
              </w:rPr>
            </w:pPr>
          </w:p>
        </w:tc>
      </w:tr>
      <w:tr>
        <w:trPr>
          <w:trHeight w:val="147"/>
        </w:trPr>
        <w:tc>
          <w:tcPr>
            <w:tcW w:w="25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1</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2</w:t>
            </w: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1"/>
                <w:szCs w:val="11"/>
                <w:b w:val="1"/>
                <w:bCs w:val="1"/>
                <w:color w:val="auto"/>
              </w:rPr>
              <w:t>Level 3</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Financial Liabilities</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520" w:type="dxa"/>
            <w:vAlign w:val="bottom"/>
          </w:tcPr>
          <w:p>
            <w:pPr>
              <w:ind w:left="40"/>
              <w:spacing w:after="0" w:line="125" w:lineRule="exact"/>
              <w:rPr>
                <w:sz w:val="20"/>
                <w:szCs w:val="20"/>
                <w:color w:val="auto"/>
              </w:rPr>
            </w:pPr>
            <w:r>
              <w:rPr>
                <w:rFonts w:ascii="Arial" w:cs="Arial" w:eastAsia="Arial" w:hAnsi="Arial"/>
                <w:sz w:val="12"/>
                <w:szCs w:val="12"/>
                <w:color w:val="auto"/>
              </w:rPr>
              <w:t>Redeemable convertible preferred stock</w:t>
            </w:r>
          </w:p>
        </w:tc>
        <w:tc>
          <w:tcPr>
            <w:tcW w:w="640" w:type="dxa"/>
            <w:vAlign w:val="bottom"/>
            <w:vMerge w:val="restart"/>
          </w:tcPr>
          <w:p>
            <w:pPr>
              <w:jc w:val="right"/>
              <w:ind w:right="482"/>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tcPr>
          <w:p>
            <w:pPr>
              <w:jc w:val="right"/>
              <w:ind w:right="463"/>
              <w:spacing w:after="0"/>
              <w:rPr>
                <w:sz w:val="20"/>
                <w:szCs w:val="20"/>
                <w:color w:val="auto"/>
              </w:rPr>
            </w:pPr>
            <w:r>
              <w:rPr>
                <w:rFonts w:ascii="Arial" w:cs="Arial" w:eastAsia="Arial" w:hAnsi="Arial"/>
                <w:sz w:val="12"/>
                <w:szCs w:val="12"/>
                <w:color w:val="auto"/>
              </w:rPr>
              <w:t>$</w:t>
            </w:r>
          </w:p>
        </w:tc>
        <w:tc>
          <w:tcPr>
            <w:tcW w:w="22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200" w:type="dxa"/>
            <w:vAlign w:val="bottom"/>
            <w:gridSpan w:val="2"/>
            <w:vMerge w:val="restart"/>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427</w:t>
            </w:r>
          </w:p>
        </w:tc>
        <w:tc>
          <w:tcPr>
            <w:tcW w:w="240" w:type="dxa"/>
            <w:vAlign w:val="bottom"/>
            <w:gridSpan w:val="2"/>
            <w:vMerge w:val="restart"/>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427</w:t>
            </w:r>
          </w:p>
        </w:tc>
        <w:tc>
          <w:tcPr>
            <w:tcW w:w="0" w:type="dxa"/>
            <w:vAlign w:val="bottom"/>
          </w:tcPr>
          <w:p>
            <w:pPr>
              <w:spacing w:after="0"/>
              <w:rPr>
                <w:sz w:val="1"/>
                <w:szCs w:val="1"/>
                <w:color w:val="auto"/>
              </w:rPr>
            </w:pPr>
          </w:p>
        </w:tc>
      </w:tr>
      <w:tr>
        <w:trPr>
          <w:trHeight w:val="165"/>
        </w:trPr>
        <w:tc>
          <w:tcPr>
            <w:tcW w:w="2520" w:type="dxa"/>
            <w:vAlign w:val="bottom"/>
          </w:tcPr>
          <w:p>
            <w:pPr>
              <w:ind w:left="140"/>
              <w:spacing w:after="0"/>
              <w:rPr>
                <w:sz w:val="20"/>
                <w:szCs w:val="20"/>
                <w:color w:val="auto"/>
              </w:rPr>
            </w:pPr>
            <w:r>
              <w:rPr>
                <w:rFonts w:ascii="Arial" w:cs="Arial" w:eastAsia="Arial" w:hAnsi="Arial"/>
                <w:sz w:val="12"/>
                <w:szCs w:val="12"/>
                <w:color w:val="auto"/>
              </w:rPr>
              <w:t xml:space="preserve">warrant liability </w:t>
            </w:r>
            <w:r>
              <w:rPr>
                <w:rFonts w:ascii="Times New Roman" w:cs="Times New Roman" w:eastAsia="Times New Roman" w:hAnsi="Times New Roman"/>
                <w:sz w:val="12"/>
                <w:szCs w:val="12"/>
                <w:color w:val="B4B4B4"/>
              </w:rPr>
              <w:t>...............................................</w:t>
            </w:r>
          </w:p>
        </w:tc>
        <w:tc>
          <w:tcPr>
            <w:tcW w:w="6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Embedded derivative liability  </w:t>
            </w:r>
            <w:r>
              <w:rPr>
                <w:rFonts w:ascii="Times New Roman" w:cs="Times New Roman" w:eastAsia="Times New Roman" w:hAnsi="Times New Roman"/>
                <w:sz w:val="12"/>
                <w:szCs w:val="12"/>
                <w:color w:val="B4B4B4"/>
              </w:rPr>
              <w:t>.........................</w:t>
            </w:r>
          </w:p>
        </w:tc>
        <w:tc>
          <w:tcPr>
            <w:tcW w:w="64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59,820</w:t>
            </w:r>
          </w:p>
        </w:tc>
        <w:tc>
          <w:tcPr>
            <w:tcW w:w="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59,820</w:t>
            </w:r>
          </w:p>
        </w:tc>
        <w:tc>
          <w:tcPr>
            <w:tcW w:w="0" w:type="dxa"/>
            <w:vAlign w:val="bottom"/>
          </w:tcPr>
          <w:p>
            <w:pPr>
              <w:spacing w:after="0"/>
              <w:rPr>
                <w:sz w:val="1"/>
                <w:szCs w:val="1"/>
                <w:color w:val="auto"/>
              </w:rPr>
            </w:pPr>
          </w:p>
        </w:tc>
      </w:tr>
      <w:tr>
        <w:trPr>
          <w:trHeight w:val="161"/>
        </w:trPr>
        <w:tc>
          <w:tcPr>
            <w:tcW w:w="2520" w:type="dxa"/>
            <w:vAlign w:val="bottom"/>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w:t>
            </w:r>
          </w:p>
        </w:tc>
        <w:tc>
          <w:tcPr>
            <w:tcW w:w="640" w:type="dxa"/>
            <w:vAlign w:val="bottom"/>
            <w:tcBorders>
              <w:bottom w:val="single" w:sz="8" w:color="auto"/>
            </w:tcBorders>
          </w:tcPr>
          <w:p>
            <w:pPr>
              <w:jc w:val="right"/>
              <w:ind w:right="482"/>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20" w:type="dxa"/>
            <w:vAlign w:val="bottom"/>
            <w:tcBorders>
              <w:bottom w:val="single" w:sz="8" w:color="auto"/>
            </w:tcBorders>
          </w:tcPr>
          <w:p>
            <w:pPr>
              <w:jc w:val="right"/>
              <w:ind w:right="463"/>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60,247</w:t>
            </w:r>
          </w:p>
        </w:tc>
        <w:tc>
          <w:tcPr>
            <w:tcW w:w="40" w:type="dxa"/>
            <w:vAlign w:val="bottom"/>
          </w:tcPr>
          <w:p>
            <w:pPr>
              <w:spacing w:after="0"/>
              <w:rPr>
                <w:sz w:val="13"/>
                <w:szCs w:val="13"/>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60,247</w:t>
            </w:r>
          </w:p>
        </w:tc>
        <w:tc>
          <w:tcPr>
            <w:tcW w:w="0" w:type="dxa"/>
            <w:vAlign w:val="bottom"/>
          </w:tcPr>
          <w:p>
            <w:pPr>
              <w:spacing w:after="0"/>
              <w:rPr>
                <w:sz w:val="1"/>
                <w:szCs w:val="1"/>
                <w:color w:val="auto"/>
              </w:rPr>
            </w:pPr>
          </w:p>
        </w:tc>
      </w:tr>
      <w:tr>
        <w:trPr>
          <w:trHeight w:val="490"/>
        </w:trPr>
        <w:tc>
          <w:tcPr>
            <w:tcW w:w="2520" w:type="dxa"/>
            <w:vAlign w:val="bottom"/>
          </w:tcPr>
          <w:p>
            <w:pPr>
              <w:spacing w:after="0"/>
              <w:rPr>
                <w:sz w:val="24"/>
                <w:szCs w:val="24"/>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F-20</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ectPr>
          <w:pgSz w:w="11900" w:h="16840" w:orient="portrait"/>
          <w:cols w:equalWidth="0" w:num="1">
            <w:col w:w="9020"/>
          </w:cols>
          <w:pgMar w:left="1440" w:top="559" w:right="1440" w:bottom="351" w:gutter="0" w:footer="0" w:header="0"/>
        </w:sectPr>
      </w:pPr>
    </w:p>
    <w:bookmarkStart w:id="174" w:name="page175"/>
    <w:bookmarkEnd w:id="174"/>
    <w:tbl>
      <w:tblPr>
        <w:tblLayout w:type="fixed"/>
        <w:tblInd w:w="1520" w:type="dxa"/>
        <w:tblCellMar>
          <w:top w:w="0" w:type="dxa"/>
          <w:left w:w="0" w:type="dxa"/>
          <w:bottom w:w="0" w:type="dxa"/>
          <w:right w:w="0" w:type="dxa"/>
        </w:tblCellMar>
      </w:tblPr>
      <w:tr>
        <w:trPr>
          <w:trHeight w:val="143"/>
        </w:trPr>
        <w:tc>
          <w:tcPr>
            <w:tcW w:w="2520" w:type="dxa"/>
            <w:vAlign w:val="bottom"/>
          </w:tcPr>
          <w:p>
            <w:pPr>
              <w:spacing w:after="0"/>
              <w:rPr>
                <w:sz w:val="12"/>
                <w:szCs w:val="12"/>
                <w:color w:val="auto"/>
              </w:rPr>
            </w:pPr>
          </w:p>
        </w:tc>
        <w:tc>
          <w:tcPr>
            <w:tcW w:w="3460" w:type="dxa"/>
            <w:vAlign w:val="bottom"/>
            <w:gridSpan w:val="11"/>
          </w:tcPr>
          <w:p>
            <w:pPr>
              <w:jc w:val="right"/>
              <w:ind w:right="440"/>
              <w:spacing w:after="0"/>
              <w:rPr>
                <w:sz w:val="20"/>
                <w:szCs w:val="20"/>
                <w:color w:val="auto"/>
              </w:rPr>
            </w:pPr>
            <w:r>
              <w:rPr>
                <w:rFonts w:ascii="Arial" w:cs="Arial" w:eastAsia="Arial" w:hAnsi="Arial"/>
                <w:sz w:val="11"/>
                <w:szCs w:val="11"/>
                <w:b w:val="1"/>
                <w:bCs w:val="1"/>
                <w:color w:val="auto"/>
              </w:rPr>
              <w:t>Fair value measurements as of January 31, 2024</w:t>
            </w: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5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1</w:t>
            </w: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2</w:t>
            </w: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1"/>
                <w:szCs w:val="11"/>
                <w:b w:val="1"/>
                <w:bCs w:val="1"/>
                <w:color w:val="auto"/>
              </w:rPr>
              <w:t>Level 3</w:t>
            </w:r>
          </w:p>
        </w:tc>
        <w:tc>
          <w:tcPr>
            <w:tcW w:w="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Financial Liabilities:</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520" w:type="dxa"/>
            <w:vAlign w:val="bottom"/>
          </w:tcPr>
          <w:p>
            <w:pPr>
              <w:ind w:left="40"/>
              <w:spacing w:after="0" w:line="106" w:lineRule="exact"/>
              <w:rPr>
                <w:sz w:val="20"/>
                <w:szCs w:val="20"/>
                <w:color w:val="auto"/>
              </w:rPr>
            </w:pPr>
            <w:r>
              <w:rPr>
                <w:rFonts w:ascii="Arial" w:cs="Arial" w:eastAsia="Arial" w:hAnsi="Arial"/>
                <w:sz w:val="12"/>
                <w:szCs w:val="12"/>
                <w:color w:val="auto"/>
              </w:rPr>
              <w:t>Redeemable convertible preferred stock</w:t>
            </w:r>
          </w:p>
        </w:tc>
        <w:tc>
          <w:tcPr>
            <w:tcW w:w="640" w:type="dxa"/>
            <w:vAlign w:val="bottom"/>
            <w:vMerge w:val="restart"/>
          </w:tcPr>
          <w:p>
            <w:pPr>
              <w:jc w:val="right"/>
              <w:ind w:right="483"/>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tcPr>
          <w:p>
            <w:pPr>
              <w:jc w:val="right"/>
              <w:ind w:right="463"/>
              <w:spacing w:after="0"/>
              <w:rPr>
                <w:sz w:val="20"/>
                <w:szCs w:val="20"/>
                <w:color w:val="auto"/>
              </w:rPr>
            </w:pPr>
            <w:r>
              <w:rPr>
                <w:rFonts w:ascii="Arial" w:cs="Arial" w:eastAsia="Arial" w:hAnsi="Arial"/>
                <w:sz w:val="12"/>
                <w:szCs w:val="12"/>
                <w:color w:val="auto"/>
              </w:rPr>
              <w:t>$</w:t>
            </w:r>
          </w:p>
        </w:tc>
        <w:tc>
          <w:tcPr>
            <w:tcW w:w="22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200" w:type="dxa"/>
            <w:vAlign w:val="bottom"/>
            <w:gridSpan w:val="2"/>
            <w:vMerge w:val="restart"/>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297</w:t>
            </w:r>
          </w:p>
        </w:tc>
        <w:tc>
          <w:tcPr>
            <w:tcW w:w="240" w:type="dxa"/>
            <w:vAlign w:val="bottom"/>
            <w:gridSpan w:val="2"/>
            <w:vMerge w:val="restart"/>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297</w:t>
            </w:r>
          </w:p>
        </w:tc>
        <w:tc>
          <w:tcPr>
            <w:tcW w:w="0" w:type="dxa"/>
            <w:vAlign w:val="bottom"/>
          </w:tcPr>
          <w:p>
            <w:pPr>
              <w:spacing w:after="0"/>
              <w:rPr>
                <w:sz w:val="1"/>
                <w:szCs w:val="1"/>
                <w:color w:val="auto"/>
              </w:rPr>
            </w:pPr>
          </w:p>
        </w:tc>
      </w:tr>
      <w:tr>
        <w:trPr>
          <w:trHeight w:val="165"/>
        </w:trPr>
        <w:tc>
          <w:tcPr>
            <w:tcW w:w="2520" w:type="dxa"/>
            <w:vAlign w:val="bottom"/>
          </w:tcPr>
          <w:p>
            <w:pPr>
              <w:ind w:left="140"/>
              <w:spacing w:after="0"/>
              <w:rPr>
                <w:sz w:val="20"/>
                <w:szCs w:val="20"/>
                <w:color w:val="auto"/>
              </w:rPr>
            </w:pPr>
            <w:r>
              <w:rPr>
                <w:rFonts w:ascii="Arial" w:cs="Arial" w:eastAsia="Arial" w:hAnsi="Arial"/>
                <w:sz w:val="12"/>
                <w:szCs w:val="12"/>
                <w:color w:val="auto"/>
              </w:rPr>
              <w:t xml:space="preserve">warrant liability </w:t>
            </w:r>
            <w:r>
              <w:rPr>
                <w:rFonts w:ascii="Times New Roman" w:cs="Times New Roman" w:eastAsia="Times New Roman" w:hAnsi="Times New Roman"/>
                <w:sz w:val="12"/>
                <w:szCs w:val="12"/>
                <w:color w:val="B4B4B4"/>
              </w:rPr>
              <w:t>...............................................</w:t>
            </w:r>
          </w:p>
        </w:tc>
        <w:tc>
          <w:tcPr>
            <w:tcW w:w="6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Embedded derivative liability  </w:t>
            </w:r>
            <w:r>
              <w:rPr>
                <w:rFonts w:ascii="Times New Roman" w:cs="Times New Roman" w:eastAsia="Times New Roman" w:hAnsi="Times New Roman"/>
                <w:sz w:val="12"/>
                <w:szCs w:val="12"/>
                <w:color w:val="B4B4B4"/>
              </w:rPr>
              <w:t>.........................</w:t>
            </w:r>
          </w:p>
        </w:tc>
        <w:tc>
          <w:tcPr>
            <w:tcW w:w="64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72,150</w:t>
            </w:r>
          </w:p>
        </w:tc>
        <w:tc>
          <w:tcPr>
            <w:tcW w:w="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72,150</w:t>
            </w:r>
          </w:p>
        </w:tc>
        <w:tc>
          <w:tcPr>
            <w:tcW w:w="0" w:type="dxa"/>
            <w:vAlign w:val="bottom"/>
          </w:tcPr>
          <w:p>
            <w:pPr>
              <w:spacing w:after="0"/>
              <w:rPr>
                <w:sz w:val="1"/>
                <w:szCs w:val="1"/>
                <w:color w:val="auto"/>
              </w:rPr>
            </w:pPr>
          </w:p>
        </w:tc>
      </w:tr>
      <w:tr>
        <w:trPr>
          <w:trHeight w:val="161"/>
        </w:trPr>
        <w:tc>
          <w:tcPr>
            <w:tcW w:w="2520" w:type="dxa"/>
            <w:vAlign w:val="bottom"/>
          </w:tcPr>
          <w:p>
            <w:pPr>
              <w:ind w:left="20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w:t>
            </w:r>
          </w:p>
        </w:tc>
        <w:tc>
          <w:tcPr>
            <w:tcW w:w="640" w:type="dxa"/>
            <w:vAlign w:val="bottom"/>
            <w:tcBorders>
              <w:bottom w:val="single" w:sz="8" w:color="auto"/>
            </w:tcBorders>
          </w:tcPr>
          <w:p>
            <w:pPr>
              <w:jc w:val="right"/>
              <w:ind w:right="483"/>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20" w:type="dxa"/>
            <w:vAlign w:val="bottom"/>
            <w:tcBorders>
              <w:bottom w:val="single" w:sz="8" w:color="auto"/>
            </w:tcBorders>
          </w:tcPr>
          <w:p>
            <w:pPr>
              <w:jc w:val="right"/>
              <w:ind w:right="463"/>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72,447</w:t>
            </w:r>
          </w:p>
        </w:tc>
        <w:tc>
          <w:tcPr>
            <w:tcW w:w="40" w:type="dxa"/>
            <w:vAlign w:val="bottom"/>
          </w:tcPr>
          <w:p>
            <w:pPr>
              <w:spacing w:after="0"/>
              <w:rPr>
                <w:sz w:val="13"/>
                <w:szCs w:val="13"/>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72,447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-765175</wp:posOffset>
            </wp:positionV>
            <wp:extent cx="6732270" cy="99707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76" w:lineRule="exact"/>
        <w:rPr>
          <w:sz w:val="20"/>
          <w:szCs w:val="20"/>
          <w:color w:val="auto"/>
        </w:rPr>
      </w:pPr>
    </w:p>
    <w:p>
      <w:pPr>
        <w:ind w:left="1520" w:right="2140" w:firstLine="230"/>
        <w:spacing w:after="0" w:line="312" w:lineRule="auto"/>
        <w:rPr>
          <w:sz w:val="20"/>
          <w:szCs w:val="20"/>
          <w:color w:val="auto"/>
        </w:rPr>
      </w:pPr>
      <w:r>
        <w:rPr>
          <w:rFonts w:ascii="Arial" w:cs="Arial" w:eastAsia="Arial" w:hAnsi="Arial"/>
          <w:sz w:val="12"/>
          <w:szCs w:val="12"/>
          <w:color w:val="auto"/>
        </w:rPr>
        <w:t>There were no transfers between Level 1, Level 2 or Level 3 fair value hierarchy categories of financial instruments during the years ended January 31, 2025 and 2024.</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Redeemable Convertible Preferred Stock Warrant Liability</w:t>
      </w:r>
    </w:p>
    <w:p>
      <w:pPr>
        <w:spacing w:after="0" w:line="12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In connection with a loan agreement entered into in December 2015, we issued redeemable</w:t>
      </w:r>
    </w:p>
    <w:p>
      <w:pPr>
        <w:spacing w:after="0" w:line="27" w:lineRule="exact"/>
        <w:rPr>
          <w:sz w:val="20"/>
          <w:szCs w:val="20"/>
          <w:color w:val="auto"/>
        </w:rPr>
      </w:pPr>
    </w:p>
    <w:p>
      <w:pPr>
        <w:ind w:left="1520"/>
        <w:spacing w:after="0"/>
        <w:tabs>
          <w:tab w:leader="none" w:pos="4260" w:val="left"/>
        </w:tabs>
        <w:rPr>
          <w:sz w:val="20"/>
          <w:szCs w:val="20"/>
          <w:color w:val="auto"/>
        </w:rPr>
      </w:pPr>
      <w:r>
        <w:rPr>
          <w:rFonts w:ascii="Arial" w:cs="Arial" w:eastAsia="Arial" w:hAnsi="Arial"/>
          <w:sz w:val="12"/>
          <w:szCs w:val="12"/>
          <w:color w:val="auto"/>
        </w:rPr>
        <w:t>convertible preferred stock warrants to purchase</w:t>
        <w:tab/>
        <w:t>60,757, 30,192, 34,080 and 40,160 shares of Series</w:t>
      </w:r>
    </w:p>
    <w:p>
      <w:pPr>
        <w:spacing w:after="0" w:line="15" w:lineRule="exact"/>
        <w:rPr>
          <w:sz w:val="20"/>
          <w:szCs w:val="20"/>
          <w:color w:val="auto"/>
        </w:rPr>
      </w:pPr>
    </w:p>
    <w:p>
      <w:pPr>
        <w:ind w:left="1520"/>
        <w:spacing w:after="0"/>
        <w:tabs>
          <w:tab w:leader="none" w:pos="6460" w:val="left"/>
        </w:tabs>
        <w:rPr>
          <w:sz w:val="20"/>
          <w:szCs w:val="20"/>
          <w:color w:val="auto"/>
        </w:rPr>
      </w:pPr>
      <w:r>
        <w:rPr>
          <w:rFonts w:ascii="Arial" w:cs="Arial" w:eastAsia="Arial" w:hAnsi="Arial"/>
          <w:sz w:val="12"/>
          <w:szCs w:val="12"/>
          <w:color w:val="auto"/>
        </w:rPr>
        <w:t>Seed, Series A, Series A-1 and Series B preferred stock at the stated exercise prices of</w:t>
        <w:tab/>
        <w:t>$0.2469,</w:t>
      </w:r>
    </w:p>
    <w:p>
      <w:pPr>
        <w:spacing w:after="0" w:line="15" w:lineRule="exact"/>
        <w:rPr>
          <w:sz w:val="20"/>
          <w:szCs w:val="20"/>
          <w:color w:val="auto"/>
        </w:rPr>
      </w:pPr>
    </w:p>
    <w:p>
      <w:pPr>
        <w:ind w:left="1520"/>
        <w:spacing w:after="0"/>
        <w:tabs>
          <w:tab w:leader="none" w:pos="5660" w:val="left"/>
        </w:tabs>
        <w:rPr>
          <w:sz w:val="20"/>
          <w:szCs w:val="20"/>
          <w:color w:val="auto"/>
        </w:rPr>
      </w:pPr>
      <w:r>
        <w:rPr>
          <w:rFonts w:ascii="Arial" w:cs="Arial" w:eastAsia="Arial" w:hAnsi="Arial"/>
          <w:sz w:val="12"/>
          <w:szCs w:val="12"/>
          <w:color w:val="auto"/>
        </w:rPr>
        <w:t>$0.4968, $0.5853 and $1.8675 per share, respectively. As of January 31,</w:t>
        <w:tab/>
        <w:t>2025 and 2024, 40,160 Series</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B redeemable convertible preferred stock warrants remain outstanding and are recorded at a fair value of</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$0.4 million and $0.3 million, respectively.</w:t>
      </w:r>
    </w:p>
    <w:p>
      <w:pPr>
        <w:spacing w:after="0" w:line="118" w:lineRule="exact"/>
        <w:rPr>
          <w:sz w:val="20"/>
          <w:szCs w:val="20"/>
          <w:color w:val="auto"/>
        </w:rPr>
      </w:pPr>
    </w:p>
    <w:p>
      <w:pPr>
        <w:ind w:left="1520" w:right="1800" w:firstLine="230"/>
        <w:spacing w:after="0" w:line="289" w:lineRule="auto"/>
        <w:rPr>
          <w:sz w:val="20"/>
          <w:szCs w:val="20"/>
          <w:color w:val="auto"/>
        </w:rPr>
      </w:pPr>
      <w:r>
        <w:rPr>
          <w:rFonts w:ascii="Arial" w:cs="Arial" w:eastAsia="Arial" w:hAnsi="Arial"/>
          <w:sz w:val="12"/>
          <w:szCs w:val="12"/>
          <w:color w:val="auto"/>
        </w:rPr>
        <w:t>The fair value of the redeemable convertible preferred stock warrant liability was determined using the Black-Scholes option pricing model. The following assumptions were used to calculate the fair value of the redeemable convertible preferred stock warrant liability:</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1720" w:type="dxa"/>
            <w:vAlign w:val="bottom"/>
            <w:tcBorders>
              <w:bottom w:val="single" w:sz="8" w:color="auto"/>
            </w:tcBorders>
            <w:gridSpan w:val="3"/>
          </w:tcPr>
          <w:p>
            <w:pPr>
              <w:jc w:val="right"/>
              <w:ind w:right="198"/>
              <w:spacing w:after="0"/>
              <w:rPr>
                <w:sz w:val="20"/>
                <w:szCs w:val="20"/>
                <w:color w:val="auto"/>
              </w:rPr>
            </w:pPr>
            <w:r>
              <w:rPr>
                <w:rFonts w:ascii="Arial" w:cs="Arial" w:eastAsia="Arial" w:hAnsi="Arial"/>
                <w:sz w:val="11"/>
                <w:szCs w:val="11"/>
                <w:b w:val="1"/>
                <w:bCs w:val="1"/>
                <w:color w:val="auto"/>
              </w:rPr>
              <w:t>Year Ended January 31,</w:t>
            </w:r>
          </w:p>
        </w:tc>
      </w:tr>
      <w:tr>
        <w:trPr>
          <w:trHeight w:val="147"/>
        </w:trPr>
        <w:tc>
          <w:tcPr>
            <w:tcW w:w="4260" w:type="dxa"/>
            <w:vAlign w:val="bottom"/>
          </w:tcPr>
          <w:p>
            <w:pPr>
              <w:spacing w:after="0"/>
              <w:rPr>
                <w:sz w:val="12"/>
                <w:szCs w:val="12"/>
                <w:color w:val="auto"/>
              </w:rPr>
            </w:pPr>
          </w:p>
        </w:tc>
        <w:tc>
          <w:tcPr>
            <w:tcW w:w="840" w:type="dxa"/>
            <w:vAlign w:val="bottom"/>
          </w:tcPr>
          <w:p>
            <w:pPr>
              <w:jc w:val="right"/>
              <w:ind w:right="241"/>
              <w:spacing w:after="0"/>
              <w:rPr>
                <w:sz w:val="20"/>
                <w:szCs w:val="20"/>
                <w:color w:val="auto"/>
              </w:rPr>
            </w:pPr>
            <w:r>
              <w:rPr>
                <w:rFonts w:ascii="Arial" w:cs="Arial" w:eastAsia="Arial" w:hAnsi="Arial"/>
                <w:sz w:val="11"/>
                <w:szCs w:val="11"/>
                <w:b w:val="1"/>
                <w:bCs w:val="1"/>
                <w:color w:val="auto"/>
              </w:rPr>
              <w:t>2025</w:t>
            </w:r>
          </w:p>
        </w:tc>
        <w:tc>
          <w:tcPr>
            <w:tcW w:w="880" w:type="dxa"/>
            <w:vAlign w:val="bottom"/>
            <w:gridSpan w:val="2"/>
          </w:tcPr>
          <w:p>
            <w:pPr>
              <w:jc w:val="right"/>
              <w:ind w:right="238"/>
              <w:spacing w:after="0"/>
              <w:rPr>
                <w:sz w:val="20"/>
                <w:szCs w:val="20"/>
                <w:color w:val="auto"/>
              </w:rPr>
            </w:pPr>
            <w:r>
              <w:rPr>
                <w:rFonts w:ascii="Arial" w:cs="Arial" w:eastAsia="Arial" w:hAnsi="Arial"/>
                <w:sz w:val="11"/>
                <w:szCs w:val="11"/>
                <w:b w:val="1"/>
                <w:bCs w:val="1"/>
                <w:color w:val="auto"/>
              </w:rPr>
              <w:t>2024</w:t>
            </w:r>
          </w:p>
        </w:tc>
      </w:tr>
      <w:tr>
        <w:trPr>
          <w:trHeight w:val="167"/>
        </w:trPr>
        <w:tc>
          <w:tcPr>
            <w:tcW w:w="42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shd w:val="clear" w:color="auto" w:fill="CCEEFF"/>
              </w:rPr>
              <w:t>....................................................................................................................</w:t>
            </w:r>
            <w:r>
              <w:rPr>
                <w:rFonts w:ascii="Arial" w:cs="Arial" w:eastAsia="Arial" w:hAnsi="Arial"/>
                <w:sz w:val="12"/>
                <w:szCs w:val="12"/>
                <w:color w:val="000000"/>
                <w:shd w:val="clear" w:color="auto" w:fill="CCEEFF"/>
              </w:rPr>
              <w:t>Volatility</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55.0 - 65.0%</w:t>
            </w:r>
          </w:p>
        </w:tc>
        <w:tc>
          <w:tcPr>
            <w:tcW w:w="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64.5 - 69.5%</w:t>
            </w: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highlight w:val="white"/>
              </w:rPr>
              <w:t xml:space="preserve">Risk-free interest rate </w:t>
            </w:r>
            <w:r>
              <w:rPr>
                <w:rFonts w:ascii="Times New Roman" w:cs="Times New Roman" w:eastAsia="Times New Roman" w:hAnsi="Times New Roman"/>
                <w:sz w:val="12"/>
                <w:szCs w:val="12"/>
                <w:color w:val="B4B4B4"/>
                <w:highlight w:val="white"/>
              </w:rPr>
              <w:t>.............................................................................................</w:t>
            </w:r>
          </w:p>
        </w:tc>
        <w:tc>
          <w:tcPr>
            <w:tcW w:w="840" w:type="dxa"/>
            <w:vAlign w:val="bottom"/>
          </w:tcPr>
          <w:p>
            <w:pPr>
              <w:jc w:val="right"/>
              <w:spacing w:after="0"/>
              <w:rPr>
                <w:sz w:val="20"/>
                <w:szCs w:val="20"/>
                <w:color w:val="auto"/>
              </w:rPr>
            </w:pPr>
            <w:r>
              <w:rPr>
                <w:rFonts w:ascii="Arial" w:cs="Arial" w:eastAsia="Arial" w:hAnsi="Arial"/>
                <w:sz w:val="12"/>
                <w:szCs w:val="12"/>
                <w:color w:val="auto"/>
                <w:highlight w:val="white"/>
              </w:rPr>
              <w:t>4.06 - 4.82%</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highlight w:val="white"/>
              </w:rPr>
              <w:t>3.61 - 4.86%</w:t>
            </w: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Expected term (in years) </w:t>
            </w:r>
            <w:r>
              <w:rPr>
                <w:rFonts w:ascii="Times New Roman" w:cs="Times New Roman" w:eastAsia="Times New Roman" w:hAnsi="Times New Roman"/>
                <w:sz w:val="12"/>
                <w:szCs w:val="12"/>
                <w:color w:val="B4B4B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3.9 - 4.4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4.9 - 5.4</w:t>
            </w:r>
          </w:p>
        </w:tc>
      </w:tr>
      <w:tr>
        <w:trPr>
          <w:trHeight w:val="182"/>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Dividend yield </w:t>
            </w:r>
            <w:r>
              <w:rPr>
                <w:rFonts w:ascii="Times New Roman" w:cs="Times New Roman" w:eastAsia="Times New Roman" w:hAnsi="Times New Roman"/>
                <w:sz w:val="12"/>
                <w:szCs w:val="12"/>
                <w:color w:val="B4B4B4"/>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 %</w:t>
            </w:r>
          </w:p>
        </w:tc>
        <w:tc>
          <w:tcPr>
            <w:tcW w:w="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 %</w:t>
            </w:r>
          </w:p>
        </w:tc>
      </w:tr>
    </w:tbl>
    <w:p>
      <w:pPr>
        <w:spacing w:after="0" w:line="143" w:lineRule="exact"/>
        <w:rPr>
          <w:sz w:val="20"/>
          <w:szCs w:val="20"/>
          <w:color w:val="auto"/>
        </w:rPr>
      </w:pPr>
    </w:p>
    <w:p>
      <w:pPr>
        <w:ind w:left="1520" w:right="1960" w:firstLine="230"/>
        <w:spacing w:after="0" w:line="275" w:lineRule="auto"/>
        <w:rPr>
          <w:sz w:val="20"/>
          <w:szCs w:val="20"/>
          <w:color w:val="auto"/>
        </w:rPr>
      </w:pPr>
      <w:r>
        <w:rPr>
          <w:rFonts w:ascii="Arial" w:cs="Arial" w:eastAsia="Arial" w:hAnsi="Arial"/>
          <w:sz w:val="12"/>
          <w:szCs w:val="12"/>
          <w:color w:val="auto"/>
        </w:rPr>
        <w:t>The redeemable convertible preferred stock warrant liability is recorded within other non-current liabilities on the consolidated balance sheets. Changes in fair value are recorded in gain (loss) on fair value adjustments on the accompanying consolidated statements of operations for the years ended January 31, 2025 and 2024. We will continue to adjust the redeemable convertible preferred stock warrant liability for changes in fair value until the earlier of conversion, exercise or expiration of the warrants.</w:t>
      </w:r>
    </w:p>
    <w:p>
      <w:pPr>
        <w:spacing w:after="0" w:line="85" w:lineRule="exact"/>
        <w:rPr>
          <w:sz w:val="20"/>
          <w:szCs w:val="20"/>
          <w:color w:val="auto"/>
        </w:rPr>
      </w:pPr>
    </w:p>
    <w:p>
      <w:pPr>
        <w:ind w:left="1520" w:right="1700" w:firstLine="230"/>
        <w:spacing w:after="0" w:line="281" w:lineRule="auto"/>
        <w:rPr>
          <w:sz w:val="20"/>
          <w:szCs w:val="20"/>
          <w:color w:val="auto"/>
        </w:rPr>
      </w:pPr>
      <w:r>
        <w:rPr>
          <w:rFonts w:ascii="Arial" w:cs="Arial" w:eastAsia="Arial" w:hAnsi="Arial"/>
          <w:sz w:val="12"/>
          <w:szCs w:val="12"/>
          <w:color w:val="auto"/>
        </w:rPr>
        <w:t>Fair value measurements are highly sensitive to changes in these inputs; significant changes in these inputs would result in a significantly higher or lower fair value. The change in value of the redeemable convertible preferred stock warrant liability during the years ended January 31, 2025 and 2024 is summarized below (in thousands):</w:t>
      </w:r>
    </w:p>
    <w:p>
      <w:pPr>
        <w:spacing w:after="0" w:line="119" w:lineRule="exact"/>
        <w:rPr>
          <w:sz w:val="20"/>
          <w:szCs w:val="20"/>
          <w:color w:val="auto"/>
        </w:rPr>
      </w:pPr>
    </w:p>
    <w:tbl>
      <w:tblPr>
        <w:tblLayout w:type="fixed"/>
        <w:tblInd w:w="1520" w:type="dxa"/>
        <w:tblCellMar>
          <w:top w:w="0" w:type="dxa"/>
          <w:left w:w="0" w:type="dxa"/>
          <w:bottom w:w="0" w:type="dxa"/>
          <w:right w:w="0" w:type="dxa"/>
        </w:tblCellMar>
      </w:tblPr>
      <w:tr>
        <w:trPr>
          <w:trHeight w:val="182"/>
        </w:trPr>
        <w:tc>
          <w:tcPr>
            <w:tcW w:w="5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Balance as of January 31, 2023 </w:t>
            </w:r>
            <w:r>
              <w:rPr>
                <w:rFonts w:ascii="Times New Roman" w:cs="Times New Roman" w:eastAsia="Times New Roman" w:hAnsi="Times New Roman"/>
                <w:sz w:val="12"/>
                <w:szCs w:val="12"/>
                <w:color w:val="B4B4B4"/>
              </w:rPr>
              <w:t>......................................................................................................</w:t>
            </w:r>
          </w:p>
        </w:tc>
        <w:tc>
          <w:tcPr>
            <w:tcW w:w="30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433</w:t>
            </w:r>
          </w:p>
        </w:tc>
      </w:tr>
      <w:tr>
        <w:trPr>
          <w:trHeight w:val="173"/>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Change in fair value </w:t>
            </w:r>
            <w:r>
              <w:rPr>
                <w:rFonts w:ascii="Times New Roman" w:cs="Times New Roman" w:eastAsia="Times New Roman" w:hAnsi="Times New Roman"/>
                <w:sz w:val="12"/>
                <w:szCs w:val="12"/>
                <w:color w:val="B4B4B4"/>
              </w:rPr>
              <w:t>...........................................................................................................................</w:t>
            </w:r>
          </w:p>
        </w:tc>
        <w:tc>
          <w:tcPr>
            <w:tcW w:w="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w:t>
            </w:r>
          </w:p>
        </w:tc>
      </w:tr>
      <w:tr>
        <w:trPr>
          <w:trHeight w:val="170"/>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BalanceasofJanuary31,2024</w:t>
            </w: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w:t>
            </w:r>
          </w:p>
        </w:tc>
      </w:tr>
      <w:tr>
        <w:trPr>
          <w:trHeight w:val="173"/>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Change in fair value </w:t>
            </w:r>
            <w:r>
              <w:rPr>
                <w:rFonts w:ascii="Times New Roman" w:cs="Times New Roman" w:eastAsia="Times New Roman" w:hAnsi="Times New Roman"/>
                <w:sz w:val="12"/>
                <w:szCs w:val="12"/>
                <w:color w:val="B4B4B4"/>
              </w:rPr>
              <w:t>...........................................................................................................................</w:t>
            </w:r>
          </w:p>
        </w:tc>
        <w:tc>
          <w:tcPr>
            <w:tcW w:w="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w:t>
            </w:r>
          </w:p>
        </w:tc>
      </w:tr>
      <w:tr>
        <w:trPr>
          <w:trHeight w:val="17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BalanceasofJanuary31,2025</w:t>
            </w:r>
          </w:p>
        </w:tc>
        <w:tc>
          <w:tcPr>
            <w:tcW w:w="3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F-21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Embedded Derivative Liability</w:t>
      </w:r>
    </w:p>
    <w:p>
      <w:pPr>
        <w:spacing w:after="0" w:line="128" w:lineRule="exact"/>
        <w:rPr>
          <w:sz w:val="20"/>
          <w:szCs w:val="20"/>
          <w:color w:val="auto"/>
        </w:rPr>
      </w:pPr>
    </w:p>
    <w:p>
      <w:pPr>
        <w:jc w:val="both"/>
        <w:ind w:left="1520" w:right="1780" w:firstLine="230"/>
        <w:spacing w:after="0" w:line="271" w:lineRule="auto"/>
        <w:rPr>
          <w:sz w:val="20"/>
          <w:szCs w:val="20"/>
          <w:color w:val="auto"/>
        </w:rPr>
      </w:pPr>
      <w:r>
        <w:rPr>
          <w:rFonts w:ascii="Arial" w:cs="Arial" w:eastAsia="Arial" w:hAnsi="Arial"/>
          <w:sz w:val="12"/>
          <w:szCs w:val="12"/>
          <w:color w:val="auto"/>
        </w:rPr>
        <w:t>The embedded derivative liability is bifurcated from the convertible notes issued in June 2020. Refer to Note 8 — Debt for further information regarding the convertible notes. The fair value of the embedded derivative liability was computed using a combination of the income approach, the Black-Scholes option pricing model, a probability-weighted estimate of the time to conversion, and other Level 3 inputs.</w:t>
      </w:r>
    </w:p>
    <w:p>
      <w:pPr>
        <w:spacing w:after="0" w:line="1" w:lineRule="exact"/>
        <w:rPr>
          <w:sz w:val="20"/>
          <w:szCs w:val="20"/>
          <w:color w:val="auto"/>
        </w:rPr>
      </w:pPr>
    </w:p>
    <w:p>
      <w:pPr>
        <w:ind w:left="1520" w:right="1820"/>
        <w:spacing w:after="0" w:line="279" w:lineRule="auto"/>
        <w:rPr>
          <w:sz w:val="20"/>
          <w:szCs w:val="20"/>
          <w:color w:val="auto"/>
        </w:rPr>
      </w:pPr>
      <w:r>
        <w:rPr>
          <w:rFonts w:ascii="Arial" w:cs="Arial" w:eastAsia="Arial" w:hAnsi="Arial"/>
          <w:sz w:val="12"/>
          <w:szCs w:val="12"/>
          <w:color w:val="auto"/>
        </w:rPr>
        <w:t>Significant management assumptions and estimates were involved in this determination. The significant unobservable inputs used in measuring the fair value of the embedded derivative liability include the following:</w:t>
      </w:r>
    </w:p>
    <w:p>
      <w:pPr>
        <w:spacing w:after="0" w:line="120"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020" w:type="dxa"/>
            <w:vAlign w:val="bottom"/>
          </w:tcPr>
          <w:p>
            <w:pPr>
              <w:spacing w:after="0"/>
              <w:rPr>
                <w:sz w:val="13"/>
                <w:szCs w:val="13"/>
                <w:color w:val="auto"/>
              </w:rPr>
            </w:pPr>
          </w:p>
        </w:tc>
        <w:tc>
          <w:tcPr>
            <w:tcW w:w="1960" w:type="dxa"/>
            <w:vAlign w:val="bottom"/>
            <w:tcBorders>
              <w:bottom w:val="single" w:sz="8" w:color="auto"/>
            </w:tcBorders>
            <w:gridSpan w:val="5"/>
          </w:tcPr>
          <w:p>
            <w:pPr>
              <w:jc w:val="right"/>
              <w:ind w:right="319"/>
              <w:spacing w:after="0"/>
              <w:rPr>
                <w:sz w:val="20"/>
                <w:szCs w:val="20"/>
                <w:color w:val="auto"/>
              </w:rPr>
            </w:pPr>
            <w:r>
              <w:rPr>
                <w:rFonts w:ascii="Arial" w:cs="Arial" w:eastAsia="Arial" w:hAnsi="Arial"/>
                <w:sz w:val="11"/>
                <w:szCs w:val="11"/>
                <w:b w:val="1"/>
                <w:bCs w:val="1"/>
                <w:color w:val="auto"/>
              </w:rPr>
              <w:t>Year Ended January 31,</w:t>
            </w:r>
          </w:p>
        </w:tc>
      </w:tr>
      <w:tr>
        <w:trPr>
          <w:trHeight w:val="147"/>
        </w:trPr>
        <w:tc>
          <w:tcPr>
            <w:tcW w:w="40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301"/>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99"/>
              <w:spacing w:after="0"/>
              <w:rPr>
                <w:sz w:val="20"/>
                <w:szCs w:val="20"/>
                <w:color w:val="auto"/>
              </w:rPr>
            </w:pPr>
            <w:r>
              <w:rPr>
                <w:rFonts w:ascii="Arial" w:cs="Arial" w:eastAsia="Arial" w:hAnsi="Arial"/>
                <w:sz w:val="11"/>
                <w:szCs w:val="11"/>
                <w:b w:val="1"/>
                <w:bCs w:val="1"/>
                <w:color w:val="auto"/>
              </w:rPr>
              <w:t>2024</w:t>
            </w:r>
          </w:p>
        </w:tc>
      </w:tr>
      <w:tr>
        <w:trPr>
          <w:trHeight w:val="167"/>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Timetoexpiration(inyears)</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0.70 - 1.70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1.17 - 2.17</w:t>
            </w:r>
          </w:p>
        </w:tc>
      </w:tr>
      <w:tr>
        <w:trPr>
          <w:trHeight w:val="173"/>
        </w:trPr>
        <w:tc>
          <w:tcPr>
            <w:tcW w:w="4020" w:type="dxa"/>
            <w:vAlign w:val="bottom"/>
          </w:tcPr>
          <w:p>
            <w:pPr>
              <w:ind w:left="40"/>
              <w:spacing w:after="0"/>
              <w:rPr>
                <w:sz w:val="20"/>
                <w:szCs w:val="20"/>
                <w:color w:val="auto"/>
              </w:rPr>
            </w:pPr>
            <w:r>
              <w:rPr>
                <w:rFonts w:ascii="Arial" w:cs="Arial" w:eastAsia="Arial" w:hAnsi="Arial"/>
                <w:sz w:val="12"/>
                <w:szCs w:val="12"/>
                <w:color w:val="auto"/>
              </w:rPr>
              <w:t xml:space="preserve">Time from conversion to maturity (in years)  </w:t>
            </w:r>
            <w:r>
              <w:rPr>
                <w:rFonts w:ascii="Times New Roman" w:cs="Times New Roman" w:eastAsia="Times New Roman" w:hAnsi="Times New Roman"/>
                <w:sz w:val="12"/>
                <w:szCs w:val="12"/>
                <w:color w:val="B4B4B4"/>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0.65 - 1.65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0.19 - 1.19</w:t>
            </w:r>
          </w:p>
        </w:tc>
      </w:tr>
      <w:tr>
        <w:trPr>
          <w:trHeight w:val="190"/>
        </w:trPr>
        <w:tc>
          <w:tcPr>
            <w:tcW w:w="40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Discount factor </w:t>
            </w:r>
            <w:r>
              <w:rPr>
                <w:rFonts w:ascii="Times New Roman" w:cs="Times New Roman" w:eastAsia="Times New Roman" w:hAnsi="Times New Roman"/>
                <w:sz w:val="12"/>
                <w:szCs w:val="12"/>
                <w:color w:val="B4B4B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9.0 %</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10.5 %</w:t>
            </w:r>
          </w:p>
        </w:tc>
      </w:tr>
      <w:tr>
        <w:trPr>
          <w:trHeight w:val="173"/>
        </w:trPr>
        <w:tc>
          <w:tcPr>
            <w:tcW w:w="4020" w:type="dxa"/>
            <w:vAlign w:val="bottom"/>
          </w:tcPr>
          <w:p>
            <w:pPr>
              <w:ind w:left="40"/>
              <w:spacing w:after="0"/>
              <w:rPr>
                <w:sz w:val="20"/>
                <w:szCs w:val="20"/>
                <w:color w:val="auto"/>
              </w:rPr>
            </w:pPr>
            <w:r>
              <w:rPr>
                <w:rFonts w:ascii="Arial" w:cs="Arial" w:eastAsia="Arial" w:hAnsi="Arial"/>
                <w:sz w:val="12"/>
                <w:szCs w:val="12"/>
                <w:color w:val="auto"/>
                <w:highlight w:val="white"/>
              </w:rPr>
              <w:t xml:space="preserve">Volatility </w:t>
            </w:r>
            <w:r>
              <w:rPr>
                <w:rFonts w:ascii="Times New Roman" w:cs="Times New Roman" w:eastAsia="Times New Roman" w:hAnsi="Times New Roman"/>
                <w:sz w:val="12"/>
                <w:szCs w:val="12"/>
                <w:color w:val="B4B4B4"/>
                <w:highlight w:val="white"/>
              </w:rPr>
              <w:t>.............................................................................................................</w:t>
            </w:r>
          </w:p>
        </w:tc>
        <w:tc>
          <w:tcPr>
            <w:tcW w:w="960" w:type="dxa"/>
            <w:vAlign w:val="bottom"/>
          </w:tcPr>
          <w:p>
            <w:pPr>
              <w:jc w:val="right"/>
              <w:spacing w:after="0"/>
              <w:rPr>
                <w:sz w:val="20"/>
                <w:szCs w:val="20"/>
                <w:color w:val="auto"/>
              </w:rPr>
            </w:pPr>
            <w:r>
              <w:rPr>
                <w:rFonts w:ascii="Arial" w:cs="Arial" w:eastAsia="Arial" w:hAnsi="Arial"/>
                <w:sz w:val="12"/>
                <w:szCs w:val="12"/>
                <w:color w:val="auto"/>
                <w:highlight w:val="white"/>
              </w:rPr>
              <w:t>57.8% - 72.6%</w:t>
            </w:r>
          </w:p>
        </w:tc>
        <w:tc>
          <w:tcPr>
            <w:tcW w:w="1000" w:type="dxa"/>
            <w:vAlign w:val="bottom"/>
            <w:gridSpan w:val="4"/>
          </w:tcPr>
          <w:p>
            <w:pPr>
              <w:jc w:val="right"/>
              <w:spacing w:after="0"/>
              <w:rPr>
                <w:sz w:val="20"/>
                <w:szCs w:val="20"/>
                <w:color w:val="auto"/>
              </w:rPr>
            </w:pPr>
            <w:r>
              <w:rPr>
                <w:rFonts w:ascii="Arial" w:cs="Arial" w:eastAsia="Arial" w:hAnsi="Arial"/>
                <w:sz w:val="12"/>
                <w:szCs w:val="12"/>
                <w:color w:val="auto"/>
                <w:highlight w:val="white"/>
              </w:rPr>
              <w:t>66.1% - 85.3%</w:t>
            </w:r>
          </w:p>
        </w:tc>
      </w:tr>
      <w:tr>
        <w:trPr>
          <w:trHeight w:val="190"/>
        </w:trPr>
        <w:tc>
          <w:tcPr>
            <w:tcW w:w="4020" w:type="dxa"/>
            <w:vAlign w:val="bottom"/>
            <w:shd w:val="clear" w:color="auto" w:fill="CCEEFF"/>
          </w:tcPr>
          <w:p>
            <w:pPr>
              <w:ind w:left="40"/>
              <w:spacing w:after="0"/>
              <w:rPr>
                <w:sz w:val="20"/>
                <w:szCs w:val="20"/>
                <w:color w:val="auto"/>
              </w:rPr>
            </w:pPr>
            <w:r>
              <w:rPr>
                <w:rFonts w:ascii="Arial" w:cs="Arial" w:eastAsia="Arial" w:hAnsi="Arial"/>
                <w:sz w:val="12"/>
                <w:szCs w:val="12"/>
                <w:color w:val="auto"/>
                <w:shd w:val="clear" w:color="auto" w:fill="CCEEFF"/>
              </w:rPr>
              <w:t xml:space="preserve">Risk free rate </w:t>
            </w:r>
            <w:r>
              <w:rPr>
                <w:rFonts w:ascii="Times New Roman" w:cs="Times New Roman" w:eastAsia="Times New Roman" w:hAnsi="Times New Roman"/>
                <w:sz w:val="12"/>
                <w:szCs w:val="12"/>
                <w:color w:val="B4B4B4"/>
                <w:shd w:val="clear" w:color="auto" w:fill="CCEEFF"/>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4.12% - 4.15%</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4.23% - 4.65%</w:t>
            </w:r>
          </w:p>
        </w:tc>
      </w:tr>
      <w:tr>
        <w:trPr>
          <w:trHeight w:val="287"/>
        </w:trPr>
        <w:tc>
          <w:tcPr>
            <w:tcW w:w="5320" w:type="dxa"/>
            <w:vAlign w:val="bottom"/>
            <w:gridSpan w:val="5"/>
          </w:tcPr>
          <w:p>
            <w:pPr>
              <w:ind w:left="240"/>
              <w:spacing w:after="0"/>
              <w:rPr>
                <w:sz w:val="20"/>
                <w:szCs w:val="20"/>
                <w:color w:val="auto"/>
              </w:rPr>
            </w:pPr>
            <w:r>
              <w:rPr>
                <w:rFonts w:ascii="Arial" w:cs="Arial" w:eastAsia="Arial" w:hAnsi="Arial"/>
                <w:sz w:val="12"/>
                <w:szCs w:val="12"/>
                <w:color w:val="auto"/>
              </w:rPr>
              <w:t>The change in value of the embedded derivative liability during the years ended January 31,</w:t>
            </w:r>
          </w:p>
        </w:tc>
        <w:tc>
          <w:tcPr>
            <w:tcW w:w="660" w:type="dxa"/>
            <w:vAlign w:val="bottom"/>
          </w:tcPr>
          <w:p>
            <w:pPr>
              <w:jc w:val="right"/>
              <w:ind w:right="199"/>
              <w:spacing w:after="0"/>
              <w:rPr>
                <w:sz w:val="20"/>
                <w:szCs w:val="20"/>
                <w:color w:val="auto"/>
              </w:rPr>
            </w:pPr>
            <w:r>
              <w:rPr>
                <w:rFonts w:ascii="Arial" w:cs="Arial" w:eastAsia="Arial" w:hAnsi="Arial"/>
                <w:sz w:val="12"/>
                <w:szCs w:val="12"/>
                <w:color w:val="auto"/>
              </w:rPr>
              <w:t>2025</w:t>
            </w:r>
          </w:p>
        </w:tc>
      </w:tr>
      <w:tr>
        <w:trPr>
          <w:trHeight w:val="165"/>
        </w:trPr>
        <w:tc>
          <w:tcPr>
            <w:tcW w:w="4020" w:type="dxa"/>
            <w:vAlign w:val="bottom"/>
          </w:tcPr>
          <w:p>
            <w:pPr>
              <w:spacing w:after="0"/>
              <w:rPr>
                <w:sz w:val="20"/>
                <w:szCs w:val="20"/>
                <w:color w:val="auto"/>
              </w:rPr>
            </w:pPr>
            <w:r>
              <w:rPr>
                <w:rFonts w:ascii="Arial" w:cs="Arial" w:eastAsia="Arial" w:hAnsi="Arial"/>
                <w:sz w:val="12"/>
                <w:szCs w:val="12"/>
                <w:color w:val="auto"/>
              </w:rPr>
              <w:t>and 2024 is summarized below (in thousands):</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2"/>
        </w:trPr>
        <w:tc>
          <w:tcPr>
            <w:tcW w:w="4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82"/>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xml:space="preserve">Balance as of January 31, 2023 </w:t>
            </w:r>
            <w:r>
              <w:rPr>
                <w:rFonts w:ascii="Times New Roman" w:cs="Times New Roman" w:eastAsia="Times New Roman" w:hAnsi="Times New Roman"/>
                <w:sz w:val="12"/>
                <w:szCs w:val="12"/>
                <w:color w:val="B4B4B4"/>
              </w:rPr>
              <w:t>......................................................................................................</w:t>
            </w:r>
          </w:p>
        </w:tc>
        <w:tc>
          <w:tcPr>
            <w:tcW w:w="340" w:type="dxa"/>
            <w:vAlign w:val="bottom"/>
            <w:gridSpan w:val="3"/>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45,420</w:t>
            </w:r>
          </w:p>
        </w:tc>
      </w:tr>
      <w:tr>
        <w:trPr>
          <w:trHeight w:val="173"/>
        </w:trPr>
        <w:tc>
          <w:tcPr>
            <w:tcW w:w="4980" w:type="dxa"/>
            <w:vAlign w:val="bottom"/>
            <w:tcBorders>
              <w:bottom w:val="single" w:sz="8" w:color="CCEEFF"/>
            </w:tcBorders>
            <w:gridSpan w:val="2"/>
          </w:tcPr>
          <w:p>
            <w:pPr>
              <w:ind w:left="40"/>
              <w:spacing w:after="0"/>
              <w:rPr>
                <w:sz w:val="20"/>
                <w:szCs w:val="20"/>
                <w:color w:val="auto"/>
              </w:rPr>
            </w:pPr>
            <w:r>
              <w:rPr>
                <w:rFonts w:ascii="Arial" w:cs="Arial" w:eastAsia="Arial" w:hAnsi="Arial"/>
                <w:sz w:val="12"/>
                <w:szCs w:val="12"/>
                <w:color w:val="auto"/>
              </w:rPr>
              <w:t xml:space="preserve">Change in fair value </w:t>
            </w:r>
            <w:r>
              <w:rPr>
                <w:rFonts w:ascii="Times New Roman" w:cs="Times New Roman" w:eastAsia="Times New Roman" w:hAnsi="Times New Roman"/>
                <w:sz w:val="12"/>
                <w:szCs w:val="12"/>
                <w:color w:val="B4B4B4"/>
              </w:rPr>
              <w:t>...........................................................................................................................</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26,730</w:t>
            </w:r>
          </w:p>
        </w:tc>
      </w:tr>
      <w:tr>
        <w:trPr>
          <w:trHeight w:val="170"/>
        </w:trPr>
        <w:tc>
          <w:tcPr>
            <w:tcW w:w="4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BalanceasofJanuary31,2024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72,150</w:t>
            </w:r>
          </w:p>
        </w:tc>
      </w:tr>
      <w:tr>
        <w:trPr>
          <w:trHeight w:val="173"/>
        </w:trPr>
        <w:tc>
          <w:tcPr>
            <w:tcW w:w="4980" w:type="dxa"/>
            <w:vAlign w:val="bottom"/>
            <w:tcBorders>
              <w:bottom w:val="single" w:sz="8" w:color="CCEEFF"/>
            </w:tcBorders>
            <w:gridSpan w:val="2"/>
          </w:tcPr>
          <w:p>
            <w:pPr>
              <w:ind w:left="40"/>
              <w:spacing w:after="0"/>
              <w:rPr>
                <w:sz w:val="20"/>
                <w:szCs w:val="20"/>
                <w:color w:val="auto"/>
              </w:rPr>
            </w:pPr>
            <w:r>
              <w:rPr>
                <w:rFonts w:ascii="Arial" w:cs="Arial" w:eastAsia="Arial" w:hAnsi="Arial"/>
                <w:sz w:val="12"/>
                <w:szCs w:val="12"/>
                <w:color w:val="auto"/>
              </w:rPr>
              <w:t xml:space="preserve">Change in fair value </w:t>
            </w:r>
            <w:r>
              <w:rPr>
                <w:rFonts w:ascii="Times New Roman" w:cs="Times New Roman" w:eastAsia="Times New Roman" w:hAnsi="Times New Roman"/>
                <w:sz w:val="12"/>
                <w:szCs w:val="12"/>
                <w:color w:val="B4B4B4"/>
              </w:rPr>
              <w:t>...........................................................................................................................</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(12,330)</w:t>
            </w:r>
          </w:p>
        </w:tc>
      </w:tr>
      <w:tr>
        <w:trPr>
          <w:trHeight w:val="17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BalanceasofJanuary31,2025</w:t>
            </w:r>
          </w:p>
        </w:tc>
        <w:tc>
          <w:tcPr>
            <w:tcW w:w="160" w:type="dxa"/>
            <w:vAlign w:val="bottom"/>
            <w:tcBorders>
              <w:bottom w:val="single" w:sz="8" w:color="CCEEFF"/>
            </w:tcBorders>
            <w:gridSpan w:val="2"/>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59,820</w:t>
            </w:r>
          </w:p>
        </w:tc>
      </w:tr>
    </w:tbl>
    <w:p>
      <w:pPr>
        <w:spacing w:after="0" w:line="124" w:lineRule="exact"/>
        <w:rPr>
          <w:sz w:val="20"/>
          <w:szCs w:val="20"/>
          <w:color w:val="auto"/>
        </w:rPr>
      </w:pPr>
    </w:p>
    <w:p>
      <w:pPr>
        <w:ind w:left="1520" w:right="1980" w:firstLine="230"/>
        <w:spacing w:after="0" w:line="312" w:lineRule="auto"/>
        <w:rPr>
          <w:sz w:val="20"/>
          <w:szCs w:val="20"/>
          <w:color w:val="auto"/>
        </w:rPr>
      </w:pPr>
      <w:r>
        <w:rPr>
          <w:rFonts w:ascii="Arial" w:cs="Arial" w:eastAsia="Arial" w:hAnsi="Arial"/>
          <w:sz w:val="12"/>
          <w:szCs w:val="12"/>
          <w:color w:val="auto"/>
        </w:rPr>
        <w:t>Changes in fair value of the embedded derivative liability are recognized as a component of gain (loss) on fair value adjustments in the accompanying consolidated statements of operations.</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Other Financial Instruments</w:t>
      </w:r>
    </w:p>
    <w:p>
      <w:pPr>
        <w:spacing w:after="0" w:line="128" w:lineRule="exact"/>
        <w:rPr>
          <w:sz w:val="20"/>
          <w:szCs w:val="20"/>
          <w:color w:val="auto"/>
        </w:rPr>
      </w:pPr>
    </w:p>
    <w:p>
      <w:pPr>
        <w:ind w:left="1520" w:right="1720" w:firstLine="230"/>
        <w:spacing w:after="0" w:line="312" w:lineRule="auto"/>
        <w:rPr>
          <w:sz w:val="20"/>
          <w:szCs w:val="20"/>
          <w:color w:val="auto"/>
        </w:rPr>
      </w:pPr>
      <w:r>
        <w:rPr>
          <w:rFonts w:ascii="Arial" w:cs="Arial" w:eastAsia="Arial" w:hAnsi="Arial"/>
          <w:sz w:val="12"/>
          <w:szCs w:val="12"/>
          <w:color w:val="auto"/>
        </w:rPr>
        <w:t>The fair value of other financial instruments that are not recognized at fair value on the balance sheet are presented below for disclosure purposes only (in thousands):</w:t>
      </w:r>
    </w:p>
    <w:p>
      <w:pPr>
        <w:sectPr>
          <w:pgSz w:w="11900" w:h="16840" w:orient="portrait"/>
          <w:cols w:equalWidth="0" w:num="1">
            <w:col w:w="9020"/>
          </w:cols>
          <w:pgMar w:left="1440" w:top="560" w:right="1440" w:bottom="143" w:gutter="0" w:footer="0" w:header="0"/>
        </w:sectPr>
      </w:pPr>
    </w:p>
    <w:bookmarkStart w:id="175" w:name="page176"/>
    <w:bookmarkEnd w:id="175"/>
    <w:tbl>
      <w:tblPr>
        <w:tblLayout w:type="fixed"/>
        <w:tblInd w:w="1520" w:type="dxa"/>
        <w:tblCellMar>
          <w:top w:w="0" w:type="dxa"/>
          <w:left w:w="0" w:type="dxa"/>
          <w:bottom w:w="0" w:type="dxa"/>
          <w:right w:w="0" w:type="dxa"/>
        </w:tblCellMar>
      </w:tblPr>
      <w:tr>
        <w:trPr>
          <w:trHeight w:val="126"/>
        </w:trPr>
        <w:tc>
          <w:tcPr>
            <w:tcW w:w="3400" w:type="dxa"/>
            <w:vAlign w:val="bottom"/>
          </w:tcPr>
          <w:p>
            <w:pPr>
              <w:spacing w:after="0"/>
              <w:rPr>
                <w:sz w:val="10"/>
                <w:szCs w:val="10"/>
                <w:color w:val="auto"/>
              </w:rPr>
            </w:pPr>
          </w:p>
        </w:tc>
        <w:tc>
          <w:tcPr>
            <w:tcW w:w="8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Fair Value</w:t>
            </w:r>
          </w:p>
        </w:tc>
        <w:tc>
          <w:tcPr>
            <w:tcW w:w="200" w:type="dxa"/>
            <w:vAlign w:val="bottom"/>
          </w:tcPr>
          <w:p>
            <w:pPr>
              <w:spacing w:after="0"/>
              <w:rPr>
                <w:sz w:val="10"/>
                <w:szCs w:val="10"/>
                <w:color w:val="auto"/>
              </w:rPr>
            </w:pPr>
          </w:p>
        </w:tc>
        <w:tc>
          <w:tcPr>
            <w:tcW w:w="1520" w:type="dxa"/>
            <w:vAlign w:val="bottom"/>
            <w:gridSpan w:val="3"/>
          </w:tcPr>
          <w:p>
            <w:pPr>
              <w:jc w:val="right"/>
              <w:ind w:right="379"/>
              <w:spacing w:after="0"/>
              <w:rPr>
                <w:sz w:val="20"/>
                <w:szCs w:val="20"/>
                <w:color w:val="auto"/>
              </w:rPr>
            </w:pPr>
            <w:r>
              <w:rPr>
                <w:rFonts w:ascii="Arial" w:cs="Arial" w:eastAsia="Arial" w:hAnsi="Arial"/>
                <w:sz w:val="11"/>
                <w:szCs w:val="11"/>
                <w:b w:val="1"/>
                <w:bCs w:val="1"/>
                <w:color w:val="auto"/>
              </w:rPr>
              <w:t>As of January 31</w:t>
            </w:r>
          </w:p>
        </w:tc>
        <w:tc>
          <w:tcPr>
            <w:tcW w:w="0" w:type="dxa"/>
            <w:vAlign w:val="bottom"/>
          </w:tcPr>
          <w:p>
            <w:pPr>
              <w:spacing w:after="0"/>
              <w:rPr>
                <w:sz w:val="1"/>
                <w:szCs w:val="1"/>
                <w:color w:val="auto"/>
              </w:rPr>
            </w:pPr>
          </w:p>
        </w:tc>
      </w:tr>
      <w:tr>
        <w:trPr>
          <w:trHeight w:val="39"/>
        </w:trPr>
        <w:tc>
          <w:tcPr>
            <w:tcW w:w="340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jc w:val="right"/>
              <w:ind w:right="325"/>
              <w:spacing w:after="0" w:line="39" w:lineRule="exact"/>
              <w:rPr>
                <w:sz w:val="20"/>
                <w:szCs w:val="20"/>
                <w:color w:val="auto"/>
              </w:rPr>
            </w:pPr>
            <w:r>
              <w:rPr>
                <w:rFonts w:ascii="Arial" w:cs="Arial" w:eastAsia="Arial" w:hAnsi="Arial"/>
                <w:sz w:val="4"/>
                <w:szCs w:val="4"/>
                <w:b w:val="1"/>
                <w:bCs w:val="1"/>
                <w:color w:val="auto"/>
              </w:rPr>
              <w:t>,</w:t>
            </w: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3"/>
        </w:trPr>
        <w:tc>
          <w:tcPr>
            <w:tcW w:w="3400" w:type="dxa"/>
            <w:vAlign w:val="bottom"/>
          </w:tcPr>
          <w:p>
            <w:pPr>
              <w:spacing w:after="0"/>
              <w:rPr>
                <w:sz w:val="12"/>
                <w:szCs w:val="12"/>
                <w:color w:val="auto"/>
              </w:rPr>
            </w:pPr>
          </w:p>
        </w:tc>
        <w:tc>
          <w:tcPr>
            <w:tcW w:w="860" w:type="dxa"/>
            <w:vAlign w:val="bottom"/>
          </w:tcPr>
          <w:p>
            <w:pPr>
              <w:ind w:left="200"/>
              <w:spacing w:after="0"/>
              <w:rPr>
                <w:sz w:val="20"/>
                <w:szCs w:val="20"/>
                <w:color w:val="auto"/>
              </w:rPr>
            </w:pPr>
            <w:r>
              <w:rPr>
                <w:rFonts w:ascii="Arial" w:cs="Arial" w:eastAsia="Arial" w:hAnsi="Arial"/>
                <w:sz w:val="11"/>
                <w:szCs w:val="11"/>
                <w:b w:val="1"/>
                <w:bCs w:val="1"/>
                <w:color w:val="auto"/>
              </w:rPr>
              <w:t>Hierarchy</w:t>
            </w:r>
          </w:p>
        </w:tc>
        <w:tc>
          <w:tcPr>
            <w:tcW w:w="200" w:type="dxa"/>
            <w:vAlign w:val="bottom"/>
          </w:tcPr>
          <w:p>
            <w:pPr>
              <w:spacing w:after="0"/>
              <w:rPr>
                <w:sz w:val="12"/>
                <w:szCs w:val="12"/>
                <w:color w:val="auto"/>
              </w:rPr>
            </w:pPr>
          </w:p>
        </w:tc>
        <w:tc>
          <w:tcPr>
            <w:tcW w:w="640" w:type="dxa"/>
            <w:vAlign w:val="bottom"/>
          </w:tcPr>
          <w:p>
            <w:pPr>
              <w:jc w:val="right"/>
              <w:ind w:right="245"/>
              <w:spacing w:after="0"/>
              <w:rPr>
                <w:sz w:val="20"/>
                <w:szCs w:val="20"/>
                <w:color w:val="auto"/>
              </w:rPr>
            </w:pPr>
            <w:r>
              <w:rPr>
                <w:rFonts w:ascii="Arial" w:cs="Arial" w:eastAsia="Arial" w:hAnsi="Arial"/>
                <w:sz w:val="11"/>
                <w:szCs w:val="11"/>
                <w:b w:val="1"/>
                <w:bCs w:val="1"/>
                <w:color w:val="auto"/>
              </w:rPr>
              <w:t>2025</w:t>
            </w:r>
          </w:p>
        </w:tc>
        <w:tc>
          <w:tcPr>
            <w:tcW w:w="240" w:type="dxa"/>
            <w:vAlign w:val="bottom"/>
          </w:tcPr>
          <w:p>
            <w:pPr>
              <w:spacing w:after="0"/>
              <w:rPr>
                <w:sz w:val="12"/>
                <w:szCs w:val="12"/>
                <w:color w:val="auto"/>
              </w:rPr>
            </w:pPr>
          </w:p>
        </w:tc>
        <w:tc>
          <w:tcPr>
            <w:tcW w:w="640" w:type="dxa"/>
            <w:vAlign w:val="bottom"/>
          </w:tcPr>
          <w:p>
            <w:pPr>
              <w:jc w:val="right"/>
              <w:ind w:right="239"/>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48"/>
        </w:trPr>
        <w:tc>
          <w:tcPr>
            <w:tcW w:w="3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Convertiblenotes</w:t>
            </w:r>
          </w:p>
        </w:tc>
        <w:tc>
          <w:tcPr>
            <w:tcW w:w="8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Level 3</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359,200</w:t>
            </w: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314,400</w:t>
            </w:r>
          </w:p>
        </w:tc>
        <w:tc>
          <w:tcPr>
            <w:tcW w:w="0" w:type="dxa"/>
            <w:vAlign w:val="bottom"/>
          </w:tcPr>
          <w:p>
            <w:pPr>
              <w:spacing w:after="0"/>
              <w:rPr>
                <w:sz w:val="1"/>
                <w:szCs w:val="1"/>
                <w:color w:val="auto"/>
              </w:rPr>
            </w:pPr>
          </w:p>
        </w:tc>
      </w:tr>
      <w:tr>
        <w:trPr>
          <w:trHeight w:val="173"/>
        </w:trPr>
        <w:tc>
          <w:tcPr>
            <w:tcW w:w="3400" w:type="dxa"/>
            <w:vAlign w:val="bottom"/>
          </w:tcPr>
          <w:p>
            <w:pPr>
              <w:ind w:left="40"/>
              <w:spacing w:after="0"/>
              <w:rPr>
                <w:sz w:val="20"/>
                <w:szCs w:val="20"/>
                <w:color w:val="auto"/>
              </w:rPr>
            </w:pPr>
            <w:r>
              <w:rPr>
                <w:rFonts w:ascii="Arial" w:cs="Arial" w:eastAsia="Arial" w:hAnsi="Arial"/>
                <w:sz w:val="12"/>
                <w:szCs w:val="12"/>
                <w:color w:val="auto"/>
              </w:rPr>
              <w:t xml:space="preserve">Warehouse credit facility </w:t>
            </w:r>
            <w:r>
              <w:rPr>
                <w:rFonts w:ascii="Times New Roman" w:cs="Times New Roman" w:eastAsia="Times New Roman" w:hAnsi="Times New Roman"/>
                <w:sz w:val="12"/>
                <w:szCs w:val="12"/>
                <w:color w:val="B4B4B4"/>
              </w:rPr>
              <w:t>............................................................</w:t>
            </w:r>
          </w:p>
        </w:tc>
        <w:tc>
          <w:tcPr>
            <w:tcW w:w="860" w:type="dxa"/>
            <w:vAlign w:val="bottom"/>
          </w:tcPr>
          <w:p>
            <w:pPr>
              <w:ind w:left="420"/>
              <w:spacing w:after="0"/>
              <w:rPr>
                <w:sz w:val="20"/>
                <w:szCs w:val="20"/>
                <w:color w:val="auto"/>
              </w:rPr>
            </w:pPr>
            <w:r>
              <w:rPr>
                <w:rFonts w:ascii="Arial" w:cs="Arial" w:eastAsia="Arial" w:hAnsi="Arial"/>
                <w:sz w:val="12"/>
                <w:szCs w:val="12"/>
                <w:color w:val="auto"/>
              </w:rPr>
              <w:t>Level 3</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5"/>
              <w:spacing w:after="0"/>
              <w:rPr>
                <w:sz w:val="20"/>
                <w:szCs w:val="20"/>
                <w:color w:val="auto"/>
              </w:rPr>
            </w:pPr>
            <w:r>
              <w:rPr>
                <w:rFonts w:ascii="Arial" w:cs="Arial" w:eastAsia="Arial" w:hAnsi="Arial"/>
                <w:sz w:val="12"/>
                <w:szCs w:val="12"/>
                <w:color w:val="auto"/>
              </w:rPr>
              <w:t>210,995</w:t>
            </w:r>
          </w:p>
        </w:tc>
        <w:tc>
          <w:tcPr>
            <w:tcW w:w="2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200,238</w:t>
            </w:r>
          </w:p>
        </w:tc>
        <w:tc>
          <w:tcPr>
            <w:tcW w:w="0" w:type="dxa"/>
            <w:vAlign w:val="bottom"/>
          </w:tcPr>
          <w:p>
            <w:pPr>
              <w:spacing w:after="0"/>
              <w:rPr>
                <w:sz w:val="1"/>
                <w:szCs w:val="1"/>
                <w:color w:val="auto"/>
              </w:rPr>
            </w:pPr>
          </w:p>
        </w:tc>
      </w:tr>
      <w:tr>
        <w:trPr>
          <w:trHeight w:val="190"/>
        </w:trPr>
        <w:tc>
          <w:tcPr>
            <w:tcW w:w="340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Trade loan facility </w:t>
            </w:r>
            <w:r>
              <w:rPr>
                <w:rFonts w:ascii="Times New Roman" w:cs="Times New Roman" w:eastAsia="Times New Roman" w:hAnsi="Times New Roman"/>
                <w:sz w:val="12"/>
                <w:szCs w:val="12"/>
                <w:color w:val="B4B4B4"/>
              </w:rPr>
              <w:t>.........................................................................</w:t>
            </w:r>
          </w:p>
        </w:tc>
        <w:tc>
          <w:tcPr>
            <w:tcW w:w="8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Level 3</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45,000</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3400" w:type="dxa"/>
            <w:vAlign w:val="bottom"/>
          </w:tcPr>
          <w:p>
            <w:pPr>
              <w:ind w:left="40"/>
              <w:spacing w:after="0"/>
              <w:rPr>
                <w:sz w:val="20"/>
                <w:szCs w:val="20"/>
                <w:color w:val="auto"/>
              </w:rPr>
            </w:pPr>
            <w:r>
              <w:rPr>
                <w:rFonts w:ascii="Arial" w:cs="Arial" w:eastAsia="Arial" w:hAnsi="Arial"/>
                <w:sz w:val="12"/>
                <w:szCs w:val="12"/>
                <w:color w:val="auto"/>
              </w:rPr>
              <w:t xml:space="preserve">2022 promissory note </w:t>
            </w:r>
            <w:r>
              <w:rPr>
                <w:rFonts w:ascii="Times New Roman" w:cs="Times New Roman" w:eastAsia="Times New Roman" w:hAnsi="Times New Roman"/>
                <w:sz w:val="12"/>
                <w:szCs w:val="12"/>
                <w:color w:val="B4B4B4"/>
              </w:rPr>
              <w:t>.................................................................</w:t>
            </w:r>
          </w:p>
        </w:tc>
        <w:tc>
          <w:tcPr>
            <w:tcW w:w="860" w:type="dxa"/>
            <w:vAlign w:val="bottom"/>
          </w:tcPr>
          <w:p>
            <w:pPr>
              <w:ind w:left="420"/>
              <w:spacing w:after="0"/>
              <w:rPr>
                <w:sz w:val="20"/>
                <w:szCs w:val="20"/>
                <w:color w:val="auto"/>
              </w:rPr>
            </w:pPr>
            <w:r>
              <w:rPr>
                <w:rFonts w:ascii="Arial" w:cs="Arial" w:eastAsia="Arial" w:hAnsi="Arial"/>
                <w:sz w:val="12"/>
                <w:szCs w:val="12"/>
                <w:color w:val="auto"/>
              </w:rPr>
              <w:t>Level 3</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5"/>
              <w:spacing w:after="0"/>
              <w:rPr>
                <w:sz w:val="20"/>
                <w:szCs w:val="20"/>
                <w:color w:val="auto"/>
              </w:rPr>
            </w:pPr>
            <w:r>
              <w:rPr>
                <w:rFonts w:ascii="Arial" w:cs="Arial" w:eastAsia="Arial" w:hAnsi="Arial"/>
                <w:sz w:val="12"/>
                <w:szCs w:val="12"/>
                <w:color w:val="auto"/>
              </w:rPr>
              <w:t>179,932</w:t>
            </w:r>
          </w:p>
        </w:tc>
        <w:tc>
          <w:tcPr>
            <w:tcW w:w="2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161,518</w:t>
            </w:r>
          </w:p>
        </w:tc>
        <w:tc>
          <w:tcPr>
            <w:tcW w:w="0" w:type="dxa"/>
            <w:vAlign w:val="bottom"/>
          </w:tcPr>
          <w:p>
            <w:pPr>
              <w:spacing w:after="0"/>
              <w:rPr>
                <w:sz w:val="1"/>
                <w:szCs w:val="1"/>
                <w:color w:val="auto"/>
              </w:rPr>
            </w:pPr>
          </w:p>
        </w:tc>
      </w:tr>
      <w:tr>
        <w:trPr>
          <w:trHeight w:val="190"/>
        </w:trPr>
        <w:tc>
          <w:tcPr>
            <w:tcW w:w="340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Other debt </w:t>
            </w:r>
            <w:r>
              <w:rPr>
                <w:rFonts w:ascii="Times New Roman" w:cs="Times New Roman" w:eastAsia="Times New Roman" w:hAnsi="Times New Roman"/>
                <w:sz w:val="12"/>
                <w:szCs w:val="12"/>
                <w:color w:val="B4B4B4"/>
              </w:rPr>
              <w:t>.....................................................................................</w:t>
            </w:r>
          </w:p>
        </w:tc>
        <w:tc>
          <w:tcPr>
            <w:tcW w:w="8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Level 3</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933</w:t>
            </w: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-782955</wp:posOffset>
            </wp:positionV>
            <wp:extent cx="6732270" cy="99707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F-22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4 – BALANCE SHEET COMPONENTS</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Property, Equipment and Software, Net</w:t>
      </w:r>
    </w:p>
    <w:p>
      <w:pPr>
        <w:spacing w:after="0" w:line="12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Property, equipment and software, net consisted of the following (in thousands):</w:t>
      </w:r>
    </w:p>
    <w:p>
      <w:pPr>
        <w:spacing w:after="0" w:line="147"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4"/>
          </w:tcPr>
          <w:p>
            <w:pPr>
              <w:jc w:val="right"/>
              <w:ind w:right="379"/>
              <w:spacing w:after="0"/>
              <w:rPr>
                <w:sz w:val="20"/>
                <w:szCs w:val="20"/>
                <w:color w:val="auto"/>
              </w:rPr>
            </w:pPr>
            <w:r>
              <w:rPr>
                <w:rFonts w:ascii="Arial" w:cs="Arial" w:eastAsia="Arial" w:hAnsi="Arial"/>
                <w:sz w:val="11"/>
                <w:szCs w:val="11"/>
                <w:b w:val="1"/>
                <w:bCs w:val="1"/>
                <w:color w:val="auto"/>
              </w:rPr>
              <w:t>As of January 31</w:t>
            </w: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jc w:val="right"/>
              <w:ind w:right="322"/>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Capitalizedsoftware</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42,317</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44,650</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Computers and equipment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7,349</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6,738</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Fixtures and fittings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3,561</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4,252</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Leasehold improvements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2,779</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2,422</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line="190" w:lineRule="exact"/>
              <w:rPr>
                <w:sz w:val="20"/>
                <w:szCs w:val="20"/>
                <w:color w:val="auto"/>
              </w:rPr>
            </w:pPr>
            <w:r>
              <w:rPr>
                <w:rFonts w:ascii="Arial" w:cs="Arial" w:eastAsia="Arial" w:hAnsi="Arial"/>
                <w:sz w:val="12"/>
                <w:szCs w:val="12"/>
                <w:color w:val="auto"/>
              </w:rPr>
              <w:t xml:space="preserve">Construction in progress </w:t>
            </w:r>
            <w:r>
              <w:rPr>
                <w:rFonts w:ascii="Arial" w:cs="Arial" w:eastAsia="Arial" w:hAnsi="Arial"/>
                <w:sz w:val="17"/>
                <w:szCs w:val="17"/>
                <w:color w:val="auto"/>
                <w:vertAlign w:val="superscript"/>
              </w:rPr>
              <w:t>(1)</w:t>
            </w:r>
            <w:r>
              <w:rPr>
                <w:rFonts w:ascii="Times New Roman" w:cs="Times New Roman" w:eastAsia="Times New Roman" w:hAnsi="Times New Roman"/>
                <w:sz w:val="12"/>
                <w:szCs w:val="12"/>
                <w:color w:val="B4B4B4"/>
              </w:rPr>
              <w:t>.....................................................................................</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2,960</w:t>
            </w: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2,780</w:t>
            </w:r>
          </w:p>
        </w:tc>
        <w:tc>
          <w:tcPr>
            <w:tcW w:w="0" w:type="dxa"/>
            <w:vAlign w:val="bottom"/>
          </w:tcPr>
          <w:p>
            <w:pPr>
              <w:spacing w:after="0"/>
              <w:rPr>
                <w:sz w:val="1"/>
                <w:szCs w:val="1"/>
                <w:color w:val="auto"/>
              </w:rPr>
            </w:pPr>
          </w:p>
        </w:tc>
      </w:tr>
      <w:tr>
        <w:trPr>
          <w:trHeight w:val="158"/>
        </w:trPr>
        <w:tc>
          <w:tcPr>
            <w:tcW w:w="4260" w:type="dxa"/>
            <w:vAlign w:val="bottom"/>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Property,equipmentandsoftware,gross</w:t>
            </w:r>
          </w:p>
        </w:tc>
        <w:tc>
          <w:tcPr>
            <w:tcW w:w="200" w:type="dxa"/>
            <w:vAlign w:val="bottom"/>
          </w:tcPr>
          <w:p>
            <w:pPr>
              <w:spacing w:after="0"/>
              <w:rPr>
                <w:sz w:val="13"/>
                <w:szCs w:val="13"/>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58,966</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60,842</w:t>
            </w:r>
          </w:p>
        </w:tc>
        <w:tc>
          <w:tcPr>
            <w:tcW w:w="0" w:type="dxa"/>
            <w:vAlign w:val="bottom"/>
          </w:tcPr>
          <w:p>
            <w:pPr>
              <w:spacing w:after="0"/>
              <w:rPr>
                <w:sz w:val="1"/>
                <w:szCs w:val="1"/>
                <w:color w:val="auto"/>
              </w:rPr>
            </w:pPr>
          </w:p>
        </w:tc>
      </w:tr>
      <w:tr>
        <w:trPr>
          <w:trHeight w:val="186"/>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Less: accumulated depreciation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(29,428)</w:t>
            </w: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(29,659)</w:t>
            </w:r>
          </w:p>
        </w:tc>
        <w:tc>
          <w:tcPr>
            <w:tcW w:w="0" w:type="dxa"/>
            <w:vAlign w:val="bottom"/>
          </w:tcPr>
          <w:p>
            <w:pPr>
              <w:spacing w:after="0"/>
              <w:rPr>
                <w:sz w:val="1"/>
                <w:szCs w:val="1"/>
                <w:color w:val="auto"/>
              </w:rPr>
            </w:pPr>
          </w:p>
        </w:tc>
      </w:tr>
      <w:tr>
        <w:trPr>
          <w:trHeight w:val="161"/>
        </w:trPr>
        <w:tc>
          <w:tcPr>
            <w:tcW w:w="4260" w:type="dxa"/>
            <w:vAlign w:val="bottom"/>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Property,equipmentandsoftware,net</w:t>
            </w: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29,538</w:t>
            </w:r>
          </w:p>
        </w:tc>
        <w:tc>
          <w:tcPr>
            <w:tcW w:w="40" w:type="dxa"/>
            <w:vAlign w:val="bottom"/>
          </w:tcPr>
          <w:p>
            <w:pPr>
              <w:spacing w:after="0"/>
              <w:rPr>
                <w:sz w:val="13"/>
                <w:szCs w:val="13"/>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31,183</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________________</w:t>
      </w:r>
    </w:p>
    <w:p>
      <w:pPr>
        <w:spacing w:after="0" w:line="23" w:lineRule="exact"/>
        <w:rPr>
          <w:sz w:val="20"/>
          <w:szCs w:val="20"/>
          <w:color w:val="auto"/>
        </w:rPr>
      </w:pPr>
    </w:p>
    <w:p>
      <w:pPr>
        <w:ind w:left="1760" w:right="1740" w:hanging="238"/>
        <w:spacing w:after="0"/>
        <w:tabs>
          <w:tab w:leader="none" w:pos="1760" w:val="left"/>
        </w:tabs>
        <w:numPr>
          <w:ilvl w:val="0"/>
          <w:numId w:val="182"/>
        </w:numPr>
        <w:rPr>
          <w:rFonts w:ascii="Arial" w:cs="Arial" w:eastAsia="Arial" w:hAnsi="Arial"/>
          <w:sz w:val="11"/>
          <w:szCs w:val="11"/>
          <w:color w:val="auto"/>
        </w:rPr>
      </w:pPr>
      <w:r>
        <w:rPr>
          <w:rFonts w:ascii="Arial" w:cs="Arial" w:eastAsia="Arial" w:hAnsi="Arial"/>
          <w:sz w:val="11"/>
          <w:szCs w:val="11"/>
          <w:color w:val="auto"/>
        </w:rPr>
        <w:t>Construction in progress consists of leasehold improvements and capitalized software development costs tha t</w:t>
      </w:r>
    </w:p>
    <w:p>
      <w:pPr>
        <w:spacing w:after="0" w:line="11" w:lineRule="exact"/>
        <w:rPr>
          <w:rFonts w:ascii="Arial" w:cs="Arial" w:eastAsia="Arial" w:hAnsi="Arial"/>
          <w:sz w:val="11"/>
          <w:szCs w:val="11"/>
          <w:color w:val="auto"/>
        </w:rPr>
      </w:pPr>
    </w:p>
    <w:p>
      <w:pPr>
        <w:ind w:left="1760"/>
        <w:spacing w:after="0"/>
        <w:rPr>
          <w:rFonts w:ascii="Arial" w:cs="Arial" w:eastAsia="Arial" w:hAnsi="Arial"/>
          <w:sz w:val="11"/>
          <w:szCs w:val="11"/>
          <w:color w:val="auto"/>
        </w:rPr>
      </w:pPr>
      <w:r>
        <w:rPr>
          <w:rFonts w:ascii="Arial" w:cs="Arial" w:eastAsia="Arial" w:hAnsi="Arial"/>
          <w:sz w:val="11"/>
          <w:szCs w:val="11"/>
          <w:color w:val="auto"/>
        </w:rPr>
        <w:t>have not been placed into service.</w:t>
      </w:r>
    </w:p>
    <w:p>
      <w:pPr>
        <w:spacing w:after="0" w:line="111" w:lineRule="exact"/>
        <w:rPr>
          <w:sz w:val="20"/>
          <w:szCs w:val="20"/>
          <w:color w:val="auto"/>
        </w:rPr>
      </w:pPr>
    </w:p>
    <w:p>
      <w:pPr>
        <w:ind w:left="1520" w:right="1860" w:firstLine="230"/>
        <w:spacing w:after="0" w:line="281" w:lineRule="auto"/>
        <w:rPr>
          <w:sz w:val="20"/>
          <w:szCs w:val="20"/>
          <w:color w:val="auto"/>
        </w:rPr>
      </w:pPr>
      <w:r>
        <w:rPr>
          <w:rFonts w:ascii="Arial" w:cs="Arial" w:eastAsia="Arial" w:hAnsi="Arial"/>
          <w:sz w:val="12"/>
          <w:szCs w:val="12"/>
          <w:color w:val="auto"/>
        </w:rPr>
        <w:t>For the years ended January 31, 2025 and 2024, depreciation and amortization expense related to property, equipment and software was $19.7 million and $20.5 million , respectively. Included in these amounts was amortization expense for capitalized internal-use software costs of approximately $14.9 million and $13.8 million for the years ended January 31, 2025 and 2024, respectively.</w:t>
      </w:r>
    </w:p>
    <w:p>
      <w:pPr>
        <w:spacing w:after="0" w:line="81" w:lineRule="exact"/>
        <w:rPr>
          <w:sz w:val="20"/>
          <w:szCs w:val="20"/>
          <w:color w:val="auto"/>
        </w:rPr>
      </w:pPr>
    </w:p>
    <w:p>
      <w:pPr>
        <w:ind w:left="1520" w:right="1700" w:firstLine="230"/>
        <w:spacing w:after="0" w:line="289" w:lineRule="auto"/>
        <w:rPr>
          <w:sz w:val="20"/>
          <w:szCs w:val="20"/>
          <w:color w:val="auto"/>
        </w:rPr>
      </w:pPr>
      <w:r>
        <w:rPr>
          <w:rFonts w:ascii="Arial" w:cs="Arial" w:eastAsia="Arial" w:hAnsi="Arial"/>
          <w:sz w:val="12"/>
          <w:szCs w:val="12"/>
          <w:color w:val="auto"/>
        </w:rPr>
        <w:t>For the year ended January 31, 2024, accelerated depreciation of $3.4 million was recognized on certain of our leasehold improvements due to the early termination of one of our office leases. See Note 5 — Leases for further details.</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Prepaid Expenses and Other Current Assets</w:t>
      </w:r>
    </w:p>
    <w:p>
      <w:pPr>
        <w:spacing w:after="0" w:line="12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Prepaid expenses and other current assets consisted of the following (in thousands):</w:t>
      </w:r>
    </w:p>
    <w:p>
      <w:pPr>
        <w:spacing w:after="0" w:line="147"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4"/>
          </w:tcPr>
          <w:p>
            <w:pPr>
              <w:jc w:val="right"/>
              <w:ind w:right="379"/>
              <w:spacing w:after="0"/>
              <w:rPr>
                <w:sz w:val="20"/>
                <w:szCs w:val="20"/>
                <w:color w:val="auto"/>
              </w:rPr>
            </w:pPr>
            <w:r>
              <w:rPr>
                <w:rFonts w:ascii="Arial" w:cs="Arial" w:eastAsia="Arial" w:hAnsi="Arial"/>
                <w:sz w:val="11"/>
                <w:szCs w:val="11"/>
                <w:b w:val="1"/>
                <w:bCs w:val="1"/>
                <w:color w:val="auto"/>
              </w:rPr>
              <w:t>As of January 31</w:t>
            </w: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jc w:val="right"/>
              <w:ind w:right="323"/>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Prepaidexpenses</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16,965</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12,623</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Deposits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1,532</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1,897</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line="190" w:lineRule="exact"/>
              <w:rPr>
                <w:sz w:val="20"/>
                <w:szCs w:val="20"/>
                <w:color w:val="auto"/>
              </w:rPr>
            </w:pPr>
            <w:r>
              <w:rPr>
                <w:rFonts w:ascii="Arial" w:cs="Arial" w:eastAsia="Arial" w:hAnsi="Arial"/>
                <w:sz w:val="12"/>
                <w:szCs w:val="12"/>
                <w:color w:val="auto"/>
              </w:rPr>
              <w:t xml:space="preserve">Payment processor advances </w:t>
            </w:r>
            <w:r>
              <w:rPr>
                <w:rFonts w:ascii="Arial" w:cs="Arial" w:eastAsia="Arial" w:hAnsi="Arial"/>
                <w:sz w:val="17"/>
                <w:szCs w:val="17"/>
                <w:color w:val="auto"/>
                <w:vertAlign w:val="superscript"/>
              </w:rPr>
              <w:t>(1)</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6,801</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5,296</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Tax receivable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3,196</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3,920</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Other current assets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7,134</w:t>
            </w: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10,928</w:t>
            </w:r>
          </w:p>
        </w:tc>
        <w:tc>
          <w:tcPr>
            <w:tcW w:w="0" w:type="dxa"/>
            <w:vAlign w:val="bottom"/>
          </w:tcPr>
          <w:p>
            <w:pPr>
              <w:spacing w:after="0"/>
              <w:rPr>
                <w:sz w:val="1"/>
                <w:szCs w:val="1"/>
                <w:color w:val="auto"/>
              </w:rPr>
            </w:pPr>
          </w:p>
        </w:tc>
      </w:tr>
      <w:tr>
        <w:trPr>
          <w:trHeight w:val="161"/>
        </w:trPr>
        <w:tc>
          <w:tcPr>
            <w:tcW w:w="4260" w:type="dxa"/>
            <w:vAlign w:val="bottom"/>
          </w:tcPr>
          <w:p>
            <w:pPr>
              <w:ind w:left="180"/>
              <w:spacing w:after="0"/>
              <w:rPr>
                <w:sz w:val="20"/>
                <w:szCs w:val="20"/>
                <w:color w:val="auto"/>
              </w:rPr>
            </w:pPr>
            <w:r>
              <w:rPr>
                <w:rFonts w:ascii="Arial" w:cs="Arial" w:eastAsia="Arial" w:hAnsi="Arial"/>
                <w:sz w:val="12"/>
                <w:szCs w:val="12"/>
                <w:color w:val="auto"/>
              </w:rPr>
              <w:t>Total prepaid expenses and other current assets</w:t>
            </w: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35,628</w:t>
            </w:r>
          </w:p>
        </w:tc>
        <w:tc>
          <w:tcPr>
            <w:tcW w:w="40" w:type="dxa"/>
            <w:vAlign w:val="bottom"/>
          </w:tcPr>
          <w:p>
            <w:pPr>
              <w:spacing w:after="0"/>
              <w:rPr>
                <w:sz w:val="13"/>
                <w:szCs w:val="13"/>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34,664</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________________</w:t>
      </w:r>
    </w:p>
    <w:p>
      <w:pPr>
        <w:spacing w:after="0" w:line="17" w:lineRule="exact"/>
        <w:rPr>
          <w:sz w:val="20"/>
          <w:szCs w:val="20"/>
          <w:color w:val="auto"/>
        </w:rPr>
      </w:pPr>
    </w:p>
    <w:p>
      <w:pPr>
        <w:ind w:left="1760" w:right="1660" w:hanging="238"/>
        <w:spacing w:after="0"/>
        <w:tabs>
          <w:tab w:leader="none" w:pos="1760" w:val="left"/>
        </w:tabs>
        <w:numPr>
          <w:ilvl w:val="0"/>
          <w:numId w:val="183"/>
        </w:numPr>
        <w:rPr>
          <w:rFonts w:ascii="Arial" w:cs="Arial" w:eastAsia="Arial" w:hAnsi="Arial"/>
          <w:sz w:val="11"/>
          <w:szCs w:val="11"/>
          <w:color w:val="auto"/>
        </w:rPr>
      </w:pPr>
      <w:r>
        <w:rPr>
          <w:rFonts w:ascii="Arial" w:cs="Arial" w:eastAsia="Arial" w:hAnsi="Arial"/>
          <w:sz w:val="11"/>
          <w:szCs w:val="11"/>
          <w:color w:val="auto"/>
        </w:rPr>
        <w:t>Payment processor advances represent amounts prefunded to and held by payment processors in order to fun d</w:t>
      </w:r>
    </w:p>
    <w:p>
      <w:pPr>
        <w:spacing w:after="0" w:line="26" w:lineRule="exact"/>
        <w:rPr>
          <w:rFonts w:ascii="Arial" w:cs="Arial" w:eastAsia="Arial" w:hAnsi="Arial"/>
          <w:sz w:val="11"/>
          <w:szCs w:val="11"/>
          <w:color w:val="auto"/>
        </w:rPr>
      </w:pPr>
    </w:p>
    <w:p>
      <w:pPr>
        <w:ind w:left="1760"/>
        <w:spacing w:after="0"/>
        <w:rPr>
          <w:rFonts w:ascii="Arial" w:cs="Arial" w:eastAsia="Arial" w:hAnsi="Arial"/>
          <w:sz w:val="11"/>
          <w:szCs w:val="11"/>
          <w:color w:val="auto"/>
        </w:rPr>
      </w:pPr>
      <w:r>
        <w:rPr>
          <w:rFonts w:ascii="Arial" w:cs="Arial" w:eastAsia="Arial" w:hAnsi="Arial"/>
          <w:sz w:val="11"/>
          <w:szCs w:val="11"/>
          <w:color w:val="auto"/>
        </w:rPr>
        <w:t>future customer spend</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F-23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Accrued Expenses and Other Current Liabilities</w:t>
      </w:r>
    </w:p>
    <w:p>
      <w:pPr>
        <w:spacing w:after="0" w:line="12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Accrued expenses and other current liabilities consisted of the following (in thousands):</w:t>
      </w:r>
    </w:p>
    <w:p>
      <w:pPr>
        <w:sectPr>
          <w:pgSz w:w="11900" w:h="16840" w:orient="portrait"/>
          <w:cols w:equalWidth="0" w:num="1">
            <w:col w:w="9020"/>
          </w:cols>
          <w:pgMar w:left="1440" w:top="539" w:right="1440" w:bottom="87" w:gutter="0" w:footer="0" w:header="0"/>
        </w:sectPr>
      </w:pPr>
    </w:p>
    <w:p>
      <w:pPr>
        <w:spacing w:after="0" w:line="142" w:lineRule="exact"/>
        <w:rPr>
          <w:sz w:val="20"/>
          <w:szCs w:val="20"/>
          <w:color w:val="auto"/>
        </w:rPr>
      </w:pPr>
    </w:p>
    <w:p>
      <w:pPr>
        <w:ind w:left="6220"/>
        <w:spacing w:after="0"/>
        <w:rPr>
          <w:sz w:val="20"/>
          <w:szCs w:val="20"/>
          <w:color w:val="auto"/>
        </w:rPr>
      </w:pPr>
      <w:r>
        <w:rPr>
          <w:rFonts w:ascii="Arial" w:cs="Arial" w:eastAsia="Arial" w:hAnsi="Arial"/>
          <w:sz w:val="9"/>
          <w:szCs w:val="9"/>
          <w:b w:val="1"/>
          <w:bCs w:val="1"/>
          <w:color w:val="auto"/>
        </w:rPr>
        <w:t>As of January 31</w:t>
      </w:r>
    </w:p>
    <w:p>
      <w:pPr>
        <w:ind w:left="6220"/>
        <w:spacing w:after="0"/>
        <w:rPr>
          <w:sz w:val="20"/>
          <w:szCs w:val="20"/>
          <w:color w:val="auto"/>
        </w:rPr>
      </w:pPr>
      <w:r>
        <w:rPr>
          <w:rFonts w:ascii="Arial" w:cs="Arial" w:eastAsia="Arial" w:hAnsi="Arial"/>
          <w:sz w:val="11"/>
          <w:szCs w:val="11"/>
          <w:b w:val="1"/>
          <w:bCs w:val="1"/>
          <w:color w:val="auto"/>
        </w:rPr>
        <w:t>,</w:t>
      </w:r>
    </w:p>
    <w:p>
      <w:pPr>
        <w:sectPr>
          <w:pgSz w:w="11900" w:h="16840" w:orient="portrait"/>
          <w:cols w:equalWidth="0" w:num="1">
            <w:col w:w="9020"/>
          </w:cols>
          <w:pgMar w:left="1440" w:top="539" w:right="1440" w:bottom="87" w:gutter="0" w:footer="0" w:header="0"/>
          <w:type w:val="continuous"/>
        </w:sectPr>
      </w:pPr>
    </w:p>
    <w:bookmarkStart w:id="176" w:name="page177"/>
    <w:bookmarkEnd w:id="176"/>
    <w:tbl>
      <w:tblPr>
        <w:tblLayout w:type="fixed"/>
        <w:tblInd w:w="1520" w:type="dxa"/>
        <w:tblCellMar>
          <w:top w:w="0" w:type="dxa"/>
          <w:left w:w="0" w:type="dxa"/>
          <w:bottom w:w="0" w:type="dxa"/>
          <w:right w:w="0" w:type="dxa"/>
        </w:tblCellMar>
      </w:tblPr>
      <w:tr>
        <w:trPr>
          <w:trHeight w:val="126"/>
        </w:trPr>
        <w:tc>
          <w:tcPr>
            <w:tcW w:w="4260" w:type="dxa"/>
            <w:vAlign w:val="bottom"/>
            <w:vMerge w:val="restart"/>
          </w:tcPr>
          <w:p>
            <w:pPr>
              <w:ind w:left="40"/>
              <w:spacing w:after="0"/>
              <w:rPr>
                <w:sz w:val="20"/>
                <w:szCs w:val="20"/>
                <w:color w:val="auto"/>
              </w:rPr>
            </w:pPr>
            <w:r>
              <w:rPr>
                <w:rFonts w:ascii="Arial" w:cs="Arial" w:eastAsia="Arial" w:hAnsi="Arial"/>
                <w:sz w:val="12"/>
                <w:szCs w:val="12"/>
                <w:color w:val="auto"/>
              </w:rPr>
              <w:t xml:space="preserve">Accrued compensation and employee benefits </w:t>
            </w:r>
            <w:r>
              <w:rPr>
                <w:rFonts w:ascii="Times New Roman" w:cs="Times New Roman" w:eastAsia="Times New Roman" w:hAnsi="Times New Roman"/>
                <w:sz w:val="12"/>
                <w:szCs w:val="12"/>
                <w:color w:val="B4B4B4"/>
              </w:rPr>
              <w:t>.................................................</w:t>
            </w:r>
          </w:p>
        </w:tc>
        <w:tc>
          <w:tcPr>
            <w:tcW w:w="200" w:type="dxa"/>
            <w:vAlign w:val="bottom"/>
            <w:vMerge w:val="restart"/>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41"/>
              <w:spacing w:after="0"/>
              <w:rPr>
                <w:sz w:val="20"/>
                <w:szCs w:val="20"/>
                <w:color w:val="auto"/>
              </w:rPr>
            </w:pPr>
            <w:r>
              <w:rPr>
                <w:rFonts w:ascii="Arial" w:cs="Arial" w:eastAsia="Arial" w:hAnsi="Arial"/>
                <w:sz w:val="11"/>
                <w:szCs w:val="11"/>
                <w:b w:val="1"/>
                <w:bCs w:val="1"/>
                <w:color w:val="auto"/>
              </w:rPr>
              <w:t>2025</w:t>
            </w:r>
          </w:p>
        </w:tc>
        <w:tc>
          <w:tcPr>
            <w:tcW w:w="240" w:type="dxa"/>
            <w:vAlign w:val="bottom"/>
            <w:vMerge w:val="restart"/>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41"/>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67"/>
        </w:trPr>
        <w:tc>
          <w:tcPr>
            <w:tcW w:w="4260" w:type="dxa"/>
            <w:vAlign w:val="bottom"/>
            <w:vMerge w:val="continue"/>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640" w:type="dxa"/>
            <w:vAlign w:val="bottom"/>
            <w:tcBorders>
              <w:bottom w:val="single" w:sz="8" w:color="auto"/>
            </w:tcBorders>
          </w:tcPr>
          <w:p>
            <w:pPr>
              <w:jc w:val="right"/>
              <w:ind w:right="1"/>
              <w:spacing w:after="0" w:line="67" w:lineRule="exact"/>
              <w:rPr>
                <w:sz w:val="20"/>
                <w:szCs w:val="20"/>
                <w:color w:val="auto"/>
              </w:rPr>
            </w:pPr>
            <w:r>
              <w:rPr>
                <w:rFonts w:ascii="Arial" w:cs="Arial" w:eastAsia="Arial" w:hAnsi="Arial"/>
                <w:sz w:val="7"/>
                <w:szCs w:val="7"/>
                <w:color w:val="auto"/>
              </w:rPr>
              <w:t>28,970</w:t>
            </w:r>
          </w:p>
        </w:tc>
        <w:tc>
          <w:tcPr>
            <w:tcW w:w="240" w:type="dxa"/>
            <w:vAlign w:val="bottom"/>
            <w:tcBorders>
              <w:bottom w:val="single" w:sz="8" w:color="auto"/>
            </w:tcBorders>
            <w:vMerge w:val="continue"/>
          </w:tcPr>
          <w:p>
            <w:pPr>
              <w:spacing w:after="0"/>
              <w:rPr>
                <w:sz w:val="5"/>
                <w:szCs w:val="5"/>
                <w:color w:val="auto"/>
              </w:rPr>
            </w:pPr>
          </w:p>
        </w:tc>
        <w:tc>
          <w:tcPr>
            <w:tcW w:w="640" w:type="dxa"/>
            <w:vAlign w:val="bottom"/>
            <w:tcBorders>
              <w:bottom w:val="single" w:sz="8" w:color="auto"/>
            </w:tcBorders>
          </w:tcPr>
          <w:p>
            <w:pPr>
              <w:jc w:val="right"/>
              <w:ind w:right="21"/>
              <w:spacing w:after="0" w:line="67" w:lineRule="exact"/>
              <w:rPr>
                <w:sz w:val="20"/>
                <w:szCs w:val="20"/>
                <w:color w:val="auto"/>
              </w:rPr>
            </w:pPr>
            <w:r>
              <w:rPr>
                <w:rFonts w:ascii="Arial" w:cs="Arial" w:eastAsia="Arial" w:hAnsi="Arial"/>
                <w:sz w:val="7"/>
                <w:szCs w:val="7"/>
                <w:color w:val="auto"/>
              </w:rPr>
              <w:t>31,863</w:t>
            </w:r>
          </w:p>
        </w:tc>
        <w:tc>
          <w:tcPr>
            <w:tcW w:w="0" w:type="dxa"/>
            <w:vAlign w:val="bottom"/>
          </w:tcPr>
          <w:p>
            <w:pPr>
              <w:spacing w:after="0"/>
              <w:rPr>
                <w:sz w:val="1"/>
                <w:szCs w:val="1"/>
                <w:color w:val="auto"/>
              </w:rPr>
            </w:pPr>
          </w:p>
        </w:tc>
      </w:tr>
      <w:tr>
        <w:trPr>
          <w:trHeight w:val="192"/>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Accrued expenses </w:t>
            </w:r>
            <w:r>
              <w:rPr>
                <w:rFonts w:ascii="Times New Roman" w:cs="Times New Roman" w:eastAsia="Times New Roman" w:hAnsi="Times New Roman"/>
                <w:sz w:val="12"/>
                <w:szCs w:val="12"/>
                <w:color w:val="B4B4B4"/>
              </w:rPr>
              <w:t>..................................................................................................</w:t>
            </w:r>
          </w:p>
        </w:tc>
        <w:tc>
          <w:tcPr>
            <w:tcW w:w="200" w:type="dxa"/>
            <w:vAlign w:val="bottom"/>
          </w:tcPr>
          <w:p>
            <w:pPr>
              <w:spacing w:after="0"/>
              <w:rPr>
                <w:sz w:val="16"/>
                <w:szCs w:val="16"/>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37,319</w:t>
            </w:r>
          </w:p>
        </w:tc>
        <w:tc>
          <w:tcPr>
            <w:tcW w:w="240" w:type="dxa"/>
            <w:vAlign w:val="bottom"/>
          </w:tcPr>
          <w:p>
            <w:pPr>
              <w:spacing w:after="0"/>
              <w:rPr>
                <w:sz w:val="16"/>
                <w:szCs w:val="16"/>
                <w:color w:val="auto"/>
              </w:rPr>
            </w:pP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40,922</w:t>
            </w:r>
          </w:p>
        </w:tc>
        <w:tc>
          <w:tcPr>
            <w:tcW w:w="0" w:type="dxa"/>
            <w:vAlign w:val="bottom"/>
          </w:tcPr>
          <w:p>
            <w:pPr>
              <w:spacing w:after="0"/>
              <w:rPr>
                <w:sz w:val="1"/>
                <w:szCs w:val="1"/>
                <w:color w:val="auto"/>
              </w:rPr>
            </w:pPr>
          </w:p>
        </w:tc>
      </w:tr>
      <w:tr>
        <w:trPr>
          <w:trHeight w:val="199"/>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Amounts due to travel supply partners </w:t>
            </w:r>
            <w:r>
              <w:rPr>
                <w:rFonts w:ascii="Arial" w:cs="Arial" w:eastAsia="Arial" w:hAnsi="Arial"/>
                <w:sz w:val="17"/>
                <w:szCs w:val="17"/>
                <w:color w:val="auto"/>
                <w:vertAlign w:val="superscript"/>
              </w:rPr>
              <w:t>(1)</w:t>
            </w:r>
            <w:r>
              <w:rPr>
                <w:rFonts w:ascii="Times New Roman" w:cs="Times New Roman" w:eastAsia="Times New Roman" w:hAnsi="Times New Roman"/>
                <w:sz w:val="12"/>
                <w:szCs w:val="12"/>
                <w:color w:val="B4B4B4"/>
              </w:rPr>
              <w:t>.............................................................</w:t>
            </w:r>
          </w:p>
        </w:tc>
        <w:tc>
          <w:tcPr>
            <w:tcW w:w="20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31,700</w:t>
            </w:r>
          </w:p>
        </w:tc>
        <w:tc>
          <w:tcPr>
            <w:tcW w:w="240" w:type="dxa"/>
            <w:vAlign w:val="bottom"/>
          </w:tcPr>
          <w:p>
            <w:pPr>
              <w:spacing w:after="0"/>
              <w:rPr>
                <w:sz w:val="17"/>
                <w:szCs w:val="17"/>
                <w:color w:val="auto"/>
              </w:rPr>
            </w:pP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23,195</w:t>
            </w:r>
          </w:p>
        </w:tc>
        <w:tc>
          <w:tcPr>
            <w:tcW w:w="0" w:type="dxa"/>
            <w:vAlign w:val="bottom"/>
          </w:tcPr>
          <w:p>
            <w:pPr>
              <w:spacing w:after="0"/>
              <w:rPr>
                <w:sz w:val="1"/>
                <w:szCs w:val="1"/>
                <w:color w:val="auto"/>
              </w:rPr>
            </w:pPr>
          </w:p>
        </w:tc>
      </w:tr>
      <w:tr>
        <w:trPr>
          <w:trHeight w:val="182"/>
        </w:trPr>
        <w:tc>
          <w:tcPr>
            <w:tcW w:w="4260" w:type="dxa"/>
            <w:vAlign w:val="bottom"/>
          </w:tcPr>
          <w:p>
            <w:pPr>
              <w:ind w:left="40"/>
              <w:spacing w:after="0" w:line="182" w:lineRule="exact"/>
              <w:rPr>
                <w:sz w:val="20"/>
                <w:szCs w:val="20"/>
                <w:color w:val="auto"/>
              </w:rPr>
            </w:pPr>
            <w:r>
              <w:rPr>
                <w:rFonts w:ascii="Arial" w:cs="Arial" w:eastAsia="Arial" w:hAnsi="Arial"/>
                <w:sz w:val="12"/>
                <w:szCs w:val="12"/>
                <w:color w:val="auto"/>
              </w:rPr>
              <w:t xml:space="preserve">Reward liability </w:t>
            </w:r>
            <w:r>
              <w:rPr>
                <w:rFonts w:ascii="Arial" w:cs="Arial" w:eastAsia="Arial" w:hAnsi="Arial"/>
                <w:sz w:val="17"/>
                <w:szCs w:val="17"/>
                <w:color w:val="auto"/>
                <w:vertAlign w:val="superscript"/>
              </w:rPr>
              <w:t>(2)</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11,408</w:t>
            </w:r>
          </w:p>
        </w:tc>
        <w:tc>
          <w:tcPr>
            <w:tcW w:w="240" w:type="dxa"/>
            <w:vAlign w:val="bottom"/>
          </w:tcPr>
          <w:p>
            <w:pPr>
              <w:spacing w:after="0"/>
              <w:rPr>
                <w:sz w:val="15"/>
                <w:szCs w:val="15"/>
                <w:color w:val="auto"/>
              </w:rPr>
            </w:pP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12,463</w:t>
            </w:r>
          </w:p>
        </w:tc>
        <w:tc>
          <w:tcPr>
            <w:tcW w:w="0" w:type="dxa"/>
            <w:vAlign w:val="bottom"/>
          </w:tcPr>
          <w:p>
            <w:pPr>
              <w:spacing w:after="0"/>
              <w:rPr>
                <w:sz w:val="1"/>
                <w:szCs w:val="1"/>
                <w:color w:val="auto"/>
              </w:rPr>
            </w:pPr>
          </w:p>
        </w:tc>
      </w:tr>
      <w:tr>
        <w:trPr>
          <w:trHeight w:val="165"/>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Corporate tax payable </w:t>
            </w:r>
            <w:r>
              <w:rPr>
                <w:rFonts w:ascii="Times New Roman" w:cs="Times New Roman" w:eastAsia="Times New Roman" w:hAnsi="Times New Roman"/>
                <w:sz w:val="12"/>
                <w:szCs w:val="12"/>
                <w:color w:val="B4B4B4"/>
              </w:rPr>
              <w:t>............................................................................................</w:t>
            </w:r>
          </w:p>
        </w:tc>
        <w:tc>
          <w:tcPr>
            <w:tcW w:w="20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4,640</w:t>
            </w:r>
          </w:p>
        </w:tc>
        <w:tc>
          <w:tcPr>
            <w:tcW w:w="24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2,797</w:t>
            </w:r>
          </w:p>
        </w:tc>
        <w:tc>
          <w:tcPr>
            <w:tcW w:w="0" w:type="dxa"/>
            <w:vAlign w:val="bottom"/>
          </w:tcPr>
          <w:p>
            <w:pPr>
              <w:spacing w:after="0"/>
              <w:rPr>
                <w:sz w:val="1"/>
                <w:szCs w:val="1"/>
                <w:color w:val="auto"/>
              </w:rPr>
            </w:pPr>
          </w:p>
        </w:tc>
      </w:tr>
      <w:tr>
        <w:trPr>
          <w:trHeight w:val="182"/>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Indirect tax payable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3,489</w:t>
            </w:r>
          </w:p>
        </w:tc>
        <w:tc>
          <w:tcPr>
            <w:tcW w:w="24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4,148</w:t>
            </w:r>
          </w:p>
        </w:tc>
        <w:tc>
          <w:tcPr>
            <w:tcW w:w="0" w:type="dxa"/>
            <w:vAlign w:val="bottom"/>
          </w:tcPr>
          <w:p>
            <w:pPr>
              <w:spacing w:after="0"/>
              <w:rPr>
                <w:sz w:val="1"/>
                <w:szCs w:val="1"/>
                <w:color w:val="auto"/>
              </w:rPr>
            </w:pPr>
          </w:p>
        </w:tc>
      </w:tr>
      <w:tr>
        <w:trPr>
          <w:trHeight w:val="182"/>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Early exercise liability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976</w:t>
            </w:r>
          </w:p>
        </w:tc>
        <w:tc>
          <w:tcPr>
            <w:tcW w:w="24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2,625</w:t>
            </w:r>
          </w:p>
        </w:tc>
        <w:tc>
          <w:tcPr>
            <w:tcW w:w="0" w:type="dxa"/>
            <w:vAlign w:val="bottom"/>
          </w:tcPr>
          <w:p>
            <w:pPr>
              <w:spacing w:after="0"/>
              <w:rPr>
                <w:sz w:val="1"/>
                <w:szCs w:val="1"/>
                <w:color w:val="auto"/>
              </w:rPr>
            </w:pPr>
          </w:p>
        </w:tc>
      </w:tr>
      <w:tr>
        <w:trPr>
          <w:trHeight w:val="182"/>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Accrued interest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2,642</w:t>
            </w:r>
          </w:p>
        </w:tc>
        <w:tc>
          <w:tcPr>
            <w:tcW w:w="24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2,270</w:t>
            </w:r>
          </w:p>
        </w:tc>
        <w:tc>
          <w:tcPr>
            <w:tcW w:w="0" w:type="dxa"/>
            <w:vAlign w:val="bottom"/>
          </w:tcPr>
          <w:p>
            <w:pPr>
              <w:spacing w:after="0"/>
              <w:rPr>
                <w:sz w:val="1"/>
                <w:szCs w:val="1"/>
                <w:color w:val="auto"/>
              </w:rPr>
            </w:pPr>
          </w:p>
        </w:tc>
      </w:tr>
      <w:tr>
        <w:trPr>
          <w:trHeight w:val="182"/>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Other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15,654</w:t>
            </w:r>
          </w:p>
        </w:tc>
        <w:tc>
          <w:tcPr>
            <w:tcW w:w="24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6,959</w:t>
            </w:r>
          </w:p>
        </w:tc>
        <w:tc>
          <w:tcPr>
            <w:tcW w:w="0" w:type="dxa"/>
            <w:vAlign w:val="bottom"/>
          </w:tcPr>
          <w:p>
            <w:pPr>
              <w:spacing w:after="0"/>
              <w:rPr>
                <w:sz w:val="1"/>
                <w:szCs w:val="1"/>
                <w:color w:val="auto"/>
              </w:rPr>
            </w:pPr>
          </w:p>
        </w:tc>
      </w:tr>
      <w:tr>
        <w:trPr>
          <w:trHeight w:val="182"/>
        </w:trPr>
        <w:tc>
          <w:tcPr>
            <w:tcW w:w="4260" w:type="dxa"/>
            <w:vAlign w:val="bottom"/>
          </w:tcPr>
          <w:p>
            <w:pPr>
              <w:ind w:left="180"/>
              <w:spacing w:after="0"/>
              <w:rPr>
                <w:sz w:val="20"/>
                <w:szCs w:val="20"/>
                <w:color w:val="auto"/>
              </w:rPr>
            </w:pPr>
            <w:r>
              <w:rPr>
                <w:rFonts w:ascii="Arial" w:cs="Arial" w:eastAsia="Arial" w:hAnsi="Arial"/>
                <w:sz w:val="12"/>
                <w:szCs w:val="12"/>
                <w:color w:val="auto"/>
              </w:rPr>
              <w:t xml:space="preserve">Total accrued expenses and other current liabilities  </w:t>
            </w:r>
            <w:r>
              <w:rPr>
                <w:rFonts w:ascii="Times New Roman" w:cs="Times New Roman" w:eastAsia="Times New Roman" w:hAnsi="Times New Roman"/>
                <w:sz w:val="12"/>
                <w:szCs w:val="12"/>
                <w:color w:val="B4B4B4"/>
              </w:rPr>
              <w:t>....................................</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136,798</w:t>
            </w:r>
          </w:p>
        </w:tc>
        <w:tc>
          <w:tcPr>
            <w:tcW w:w="2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127,242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-1160780</wp:posOffset>
            </wp:positionV>
            <wp:extent cx="6732270" cy="99707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7"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________________</w:t>
      </w:r>
    </w:p>
    <w:p>
      <w:pPr>
        <w:spacing w:after="0" w:line="23" w:lineRule="exact"/>
        <w:rPr>
          <w:sz w:val="20"/>
          <w:szCs w:val="20"/>
          <w:color w:val="auto"/>
        </w:rPr>
      </w:pPr>
    </w:p>
    <w:p>
      <w:pPr>
        <w:ind w:left="1760" w:right="1520" w:hanging="239"/>
        <w:spacing w:after="0"/>
        <w:tabs>
          <w:tab w:leader="none" w:pos="1740" w:val="left"/>
        </w:tabs>
        <w:rPr>
          <w:sz w:val="20"/>
          <w:szCs w:val="20"/>
          <w:color w:val="auto"/>
        </w:rPr>
      </w:pPr>
      <w:r>
        <w:rPr>
          <w:rFonts w:ascii="Arial" w:cs="Arial" w:eastAsia="Arial" w:hAnsi="Arial"/>
          <w:sz w:val="9"/>
          <w:szCs w:val="9"/>
          <w:color w:val="auto"/>
        </w:rPr>
        <w:t>(1)</w:t>
        <w:tab/>
        <w:t>This balance represents the timing difference of when the Company charges cu</w:t>
      </w:r>
      <w:r>
        <w:rPr>
          <w:rFonts w:ascii="Arial" w:cs="Arial" w:eastAsia="Arial" w:hAnsi="Arial"/>
          <w:sz w:val="9"/>
          <w:szCs w:val="9"/>
          <w:u w:val="single" w:color="auto"/>
          <w:color w:val="auto"/>
        </w:rPr>
        <w:t>stomers for certa</w:t>
      </w:r>
      <w:r>
        <w:rPr>
          <w:rFonts w:ascii="Arial" w:cs="Arial" w:eastAsia="Arial" w:hAnsi="Arial"/>
          <w:sz w:val="9"/>
          <w:szCs w:val="9"/>
          <w:color w:val="auto"/>
        </w:rPr>
        <w:t xml:space="preserve">in travel bookin g </w:t>
      </w:r>
      <w:r>
        <w:rPr>
          <w:sz w:val="1"/>
          <w:szCs w:val="1"/>
          <w:color w:val="auto"/>
        </w:rPr>
        <w:drawing>
          <wp:inline distT="0" distB="0" distL="0" distR="0">
            <wp:extent cx="528320" cy="635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8320" cy="6350"/>
                    </a:xfrm>
                    <a:prstGeom prst="rect">
                      <a:avLst/>
                    </a:prstGeom>
                    <a:noFill/>
                    <a:ln>
                      <a:noFill/>
                    </a:ln>
                  </pic:spPr>
                </pic:pic>
              </a:graphicData>
            </a:graphic>
          </wp:inline>
        </w:drawing>
        <w:drawing>
          <wp:inline distT="0" distB="0" distL="0" distR="0">
            <wp:extent cx="528320" cy="2413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8320" cy="24130"/>
                    </a:xfrm>
                    <a:prstGeom prst="rect">
                      <a:avLst/>
                    </a:prstGeom>
                    <a:noFill/>
                    <a:ln>
                      <a:noFill/>
                    </a:ln>
                  </pic:spPr>
                </pic:pic>
              </a:graphicData>
            </a:graphic>
          </wp:inline>
        </w:drawing>
      </w:r>
      <w:r>
        <w:rPr>
          <w:rFonts w:ascii="Arial" w:cs="Arial" w:eastAsia="Arial" w:hAnsi="Arial"/>
          <w:sz w:val="9"/>
          <w:szCs w:val="9"/>
          <w:color w:val="auto"/>
        </w:rPr>
        <w:t xml:space="preserve"> transactions, and when the balance is remitted to travel supply partners or needs to be refunded</w:t>
      </w:r>
    </w:p>
    <w:p>
      <w:pPr>
        <w:ind w:left="1760"/>
        <w:spacing w:after="0" w:line="192" w:lineRule="auto"/>
        <w:rPr>
          <w:sz w:val="20"/>
          <w:szCs w:val="20"/>
          <w:color w:val="auto"/>
        </w:rPr>
      </w:pPr>
      <w:r>
        <w:rPr>
          <w:rFonts w:ascii="Arial" w:cs="Arial" w:eastAsia="Arial" w:hAnsi="Arial"/>
          <w:sz w:val="7"/>
          <w:szCs w:val="7"/>
          <w:color w:val="auto"/>
        </w:rPr>
        <w:t>.</w:t>
      </w:r>
    </w:p>
    <w:p>
      <w:pPr>
        <w:ind w:left="1760" w:right="1920" w:hanging="239"/>
        <w:spacing w:after="0"/>
        <w:tabs>
          <w:tab w:leader="none" w:pos="1740" w:val="left"/>
        </w:tabs>
        <w:rPr>
          <w:sz w:val="20"/>
          <w:szCs w:val="20"/>
          <w:color w:val="auto"/>
        </w:rPr>
      </w:pPr>
      <w:r>
        <w:rPr>
          <w:rFonts w:ascii="Arial" w:cs="Arial" w:eastAsia="Arial" w:hAnsi="Arial"/>
          <w:sz w:val="11"/>
          <w:szCs w:val="11"/>
          <w:color w:val="auto"/>
        </w:rPr>
        <w:t>(2)</w:t>
        <w:tab/>
        <w:t>This balance represents the vested and unpaid rewards earned by users of our platform. Refer to Revenu e</w:t>
      </w:r>
    </w:p>
    <w:p>
      <w:pPr>
        <w:spacing w:after="0" w:line="17" w:lineRule="exact"/>
        <w:rPr>
          <w:sz w:val="20"/>
          <w:szCs w:val="20"/>
          <w:color w:val="auto"/>
        </w:rPr>
      </w:pPr>
    </w:p>
    <w:p>
      <w:pPr>
        <w:ind w:left="1760" w:right="1940"/>
        <w:spacing w:after="0"/>
        <w:rPr>
          <w:sz w:val="20"/>
          <w:szCs w:val="20"/>
          <w:color w:val="auto"/>
        </w:rPr>
      </w:pPr>
      <w:r>
        <w:rPr>
          <w:rFonts w:ascii="Arial" w:cs="Arial" w:eastAsia="Arial" w:hAnsi="Arial"/>
          <w:sz w:val="11"/>
          <w:szCs w:val="11"/>
          <w:color w:val="auto"/>
        </w:rPr>
        <w:t>Recognition within Note 1 — Description of Business and Significant Accounting Policies for further detail s.</w:t>
      </w:r>
    </w:p>
    <w:p>
      <w:pPr>
        <w:spacing w:after="0" w:line="11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Other Non-Current Liabilities</w:t>
      </w:r>
    </w:p>
    <w:p>
      <w:pPr>
        <w:spacing w:after="0" w:line="12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Other non-current liabilities consisted of the following (in thousands):</w:t>
      </w:r>
    </w:p>
    <w:p>
      <w:pPr>
        <w:spacing w:after="0" w:line="147"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4"/>
          </w:tcPr>
          <w:p>
            <w:pPr>
              <w:jc w:val="right"/>
              <w:ind w:right="379"/>
              <w:spacing w:after="0"/>
              <w:rPr>
                <w:sz w:val="20"/>
                <w:szCs w:val="20"/>
                <w:color w:val="auto"/>
              </w:rPr>
            </w:pPr>
            <w:r>
              <w:rPr>
                <w:rFonts w:ascii="Arial" w:cs="Arial" w:eastAsia="Arial" w:hAnsi="Arial"/>
                <w:sz w:val="11"/>
                <w:szCs w:val="11"/>
                <w:b w:val="1"/>
                <w:bCs w:val="1"/>
                <w:color w:val="auto"/>
              </w:rPr>
              <w:t>As of January 31</w:t>
            </w: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jc w:val="right"/>
              <w:ind w:right="322"/>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ind w:left="40"/>
              <w:spacing w:after="0" w:line="166" w:lineRule="exact"/>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Losscontingencyreserves</w:t>
            </w:r>
            <w:r>
              <w:rPr>
                <w:rFonts w:ascii="Arial" w:cs="Arial" w:eastAsia="Arial" w:hAnsi="Arial"/>
                <w:sz w:val="17"/>
                <w:szCs w:val="17"/>
                <w:color w:val="000000"/>
                <w:vertAlign w:val="superscript"/>
              </w:rPr>
              <w:t>(1)</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8,120</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5,548</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Deferred tax liability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7,655</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7,028</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Taxes payable for unrecognized tax benefits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2,288</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2,743</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Redeemable convertible preferred stock warrant liability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427</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297</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line="190" w:lineRule="exact"/>
              <w:rPr>
                <w:sz w:val="20"/>
                <w:szCs w:val="20"/>
                <w:color w:val="auto"/>
              </w:rPr>
            </w:pPr>
            <w:r>
              <w:rPr>
                <w:rFonts w:ascii="Arial" w:cs="Arial" w:eastAsia="Arial" w:hAnsi="Arial"/>
                <w:sz w:val="12"/>
                <w:szCs w:val="12"/>
                <w:color w:val="auto"/>
              </w:rPr>
              <w:t xml:space="preserve">NOW Scheme contingency payable </w:t>
            </w:r>
            <w:r>
              <w:rPr>
                <w:rFonts w:ascii="Arial" w:cs="Arial" w:eastAsia="Arial" w:hAnsi="Arial"/>
                <w:sz w:val="17"/>
                <w:szCs w:val="17"/>
                <w:color w:val="auto"/>
                <w:vertAlign w:val="superscript"/>
              </w:rPr>
              <w:t>(2)</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3,806</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5,119</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Other non-current liabilities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653</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449</w:t>
            </w:r>
          </w:p>
        </w:tc>
        <w:tc>
          <w:tcPr>
            <w:tcW w:w="0" w:type="dxa"/>
            <w:vAlign w:val="bottom"/>
          </w:tcPr>
          <w:p>
            <w:pPr>
              <w:spacing w:after="0"/>
              <w:rPr>
                <w:sz w:val="1"/>
                <w:szCs w:val="1"/>
                <w:color w:val="auto"/>
              </w:rPr>
            </w:pPr>
          </w:p>
        </w:tc>
      </w:tr>
      <w:tr>
        <w:trPr>
          <w:trHeight w:val="170"/>
        </w:trPr>
        <w:tc>
          <w:tcPr>
            <w:tcW w:w="4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Totalothernon-currentliabilities</w:t>
            </w: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22,949</w:t>
            </w:r>
          </w:p>
        </w:tc>
        <w:tc>
          <w:tcPr>
            <w:tcW w:w="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21,184</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________________</w:t>
      </w:r>
    </w:p>
    <w:p>
      <w:pPr>
        <w:spacing w:after="0" w:line="17" w:lineRule="exact"/>
        <w:rPr>
          <w:sz w:val="20"/>
          <w:szCs w:val="20"/>
          <w:color w:val="auto"/>
        </w:rPr>
      </w:pPr>
    </w:p>
    <w:p>
      <w:pPr>
        <w:ind w:left="1760" w:right="3060" w:hanging="238"/>
        <w:spacing w:after="0"/>
        <w:tabs>
          <w:tab w:leader="none" w:pos="1760" w:val="left"/>
        </w:tabs>
        <w:numPr>
          <w:ilvl w:val="0"/>
          <w:numId w:val="184"/>
        </w:numPr>
        <w:rPr>
          <w:rFonts w:ascii="Arial" w:cs="Arial" w:eastAsia="Arial" w:hAnsi="Arial"/>
          <w:sz w:val="11"/>
          <w:szCs w:val="11"/>
          <w:color w:val="auto"/>
        </w:rPr>
      </w:pPr>
      <w:r>
        <w:rPr>
          <w:rFonts w:ascii="Arial" w:cs="Arial" w:eastAsia="Arial" w:hAnsi="Arial"/>
          <w:sz w:val="11"/>
          <w:szCs w:val="11"/>
          <w:color w:val="auto"/>
        </w:rPr>
        <w:t>Loss contingency reserves consist of accruals related primarily to employment taxe s.</w:t>
      </w:r>
    </w:p>
    <w:p>
      <w:pPr>
        <w:spacing w:after="0" w:line="17" w:lineRule="exact"/>
        <w:rPr>
          <w:rFonts w:ascii="Arial" w:cs="Arial" w:eastAsia="Arial" w:hAnsi="Arial"/>
          <w:sz w:val="11"/>
          <w:szCs w:val="11"/>
          <w:color w:val="auto"/>
        </w:rPr>
      </w:pPr>
    </w:p>
    <w:p>
      <w:pPr>
        <w:ind w:left="1760" w:right="2380" w:hanging="238"/>
        <w:spacing w:after="0"/>
        <w:tabs>
          <w:tab w:leader="none" w:pos="1760" w:val="left"/>
        </w:tabs>
        <w:numPr>
          <w:ilvl w:val="0"/>
          <w:numId w:val="184"/>
        </w:numPr>
        <w:rPr>
          <w:rFonts w:ascii="Arial" w:cs="Arial" w:eastAsia="Arial" w:hAnsi="Arial"/>
          <w:sz w:val="11"/>
          <w:szCs w:val="11"/>
          <w:color w:val="auto"/>
        </w:rPr>
      </w:pPr>
      <w:r>
        <w:rPr>
          <w:rFonts w:ascii="Arial" w:cs="Arial" w:eastAsia="Arial" w:hAnsi="Arial"/>
          <w:sz w:val="11"/>
          <w:szCs w:val="11"/>
          <w:color w:val="auto"/>
        </w:rPr>
        <w:t>Refer to Note 13 — Commitments and Contingencies for further information on the NOW Schem e.</w:t>
      </w:r>
    </w:p>
    <w:p>
      <w:pPr>
        <w:spacing w:after="0" w:line="11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5 – LEASES</w:t>
      </w:r>
    </w:p>
    <w:p>
      <w:pPr>
        <w:spacing w:after="0" w:line="130" w:lineRule="exact"/>
        <w:rPr>
          <w:sz w:val="20"/>
          <w:szCs w:val="20"/>
          <w:color w:val="auto"/>
        </w:rPr>
      </w:pPr>
    </w:p>
    <w:p>
      <w:pPr>
        <w:ind w:left="1520" w:right="1800" w:firstLine="230"/>
        <w:spacing w:after="0" w:line="277" w:lineRule="auto"/>
        <w:rPr>
          <w:sz w:val="20"/>
          <w:szCs w:val="20"/>
          <w:color w:val="auto"/>
        </w:rPr>
      </w:pPr>
      <w:r>
        <w:rPr>
          <w:rFonts w:ascii="Arial" w:cs="Arial" w:eastAsia="Arial" w:hAnsi="Arial"/>
          <w:sz w:val="12"/>
          <w:szCs w:val="12"/>
          <w:color w:val="auto"/>
        </w:rPr>
        <w:t>Our operating leases primarily include leases for office space in various locations around the world under non-cancellable operating lease arrangements that expire at various dates through fiscal year 2033. Certain leases contain escalation clauses and renewal options. Generally, our leases have no purchase options, residual value guarantees or material covenants. Our leases require us to pay certain operating expenses, such as taxes, repairs and insurance.</w:t>
      </w:r>
    </w:p>
    <w:p>
      <w:pPr>
        <w:spacing w:after="0" w:line="84" w:lineRule="exact"/>
        <w:rPr>
          <w:sz w:val="20"/>
          <w:szCs w:val="20"/>
          <w:color w:val="auto"/>
        </w:rPr>
      </w:pPr>
    </w:p>
    <w:p>
      <w:pPr>
        <w:ind w:left="1520" w:right="1680" w:firstLine="230"/>
        <w:spacing w:after="0" w:line="312" w:lineRule="auto"/>
        <w:rPr>
          <w:sz w:val="20"/>
          <w:szCs w:val="20"/>
          <w:color w:val="auto"/>
        </w:rPr>
      </w:pPr>
      <w:r>
        <w:rPr>
          <w:rFonts w:ascii="Arial" w:cs="Arial" w:eastAsia="Arial" w:hAnsi="Arial"/>
          <w:sz w:val="12"/>
          <w:szCs w:val="12"/>
          <w:color w:val="auto"/>
        </w:rPr>
        <w:t>The components of lease cost include fixed payments on our operating leases, fixed payments on our short-term leases and variable lease payments. Variable lease payments consist of common area</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F-24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maintenance, utilities reimbursed to the landlord, taxes and other costs and are expensed as incurred.</w:t>
      </w:r>
    </w:p>
    <w:p>
      <w:pPr>
        <w:spacing w:after="0" w:line="27"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The components of lease cost were as follows (in thousands):</w:t>
      </w:r>
    </w:p>
    <w:p>
      <w:pPr>
        <w:spacing w:after="0" w:line="157"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1"/>
                <w:szCs w:val="11"/>
                <w:b w:val="1"/>
                <w:bCs w:val="1"/>
                <w:color w:val="auto"/>
                <w:w w:val="99"/>
              </w:rPr>
              <w:t>Year Ended January 31,</w:t>
            </w:r>
          </w:p>
        </w:tc>
      </w:tr>
      <w:tr>
        <w:trPr>
          <w:trHeight w:val="147"/>
        </w:trPr>
        <w:tc>
          <w:tcPr>
            <w:tcW w:w="4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2024</w:t>
            </w:r>
          </w:p>
        </w:tc>
      </w:tr>
      <w:tr>
        <w:trPr>
          <w:trHeight w:val="167"/>
        </w:trPr>
        <w:tc>
          <w:tcPr>
            <w:tcW w:w="4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Operatingleasecosts</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15,047</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15,393</w:t>
            </w:r>
          </w:p>
        </w:tc>
      </w:tr>
      <w:tr>
        <w:trPr>
          <w:trHeight w:val="173"/>
        </w:trPr>
        <w:tc>
          <w:tcPr>
            <w:tcW w:w="4260" w:type="dxa"/>
            <w:vAlign w:val="bottom"/>
          </w:tcPr>
          <w:p>
            <w:pPr>
              <w:jc w:val="right"/>
              <w:ind w:right="38"/>
              <w:spacing w:after="0"/>
              <w:rPr>
                <w:sz w:val="20"/>
                <w:szCs w:val="20"/>
                <w:color w:val="auto"/>
              </w:rPr>
            </w:pPr>
            <w:r>
              <w:rPr>
                <w:rFonts w:ascii="Arial" w:cs="Arial" w:eastAsia="Arial" w:hAnsi="Arial"/>
                <w:sz w:val="12"/>
                <w:szCs w:val="12"/>
                <w:color w:val="auto"/>
              </w:rPr>
              <w:t xml:space="preserve">Short-term lease costs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3,234</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6,467</w:t>
            </w:r>
          </w:p>
        </w:tc>
      </w:tr>
      <w:tr>
        <w:trPr>
          <w:trHeight w:val="190"/>
        </w:trPr>
        <w:tc>
          <w:tcPr>
            <w:tcW w:w="426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 xml:space="preserve">Variable lease costs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2,139</w:t>
            </w: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1,853</w:t>
            </w:r>
          </w:p>
        </w:tc>
      </w:tr>
      <w:tr>
        <w:trPr>
          <w:trHeight w:val="143"/>
        </w:trPr>
        <w:tc>
          <w:tcPr>
            <w:tcW w:w="426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Totalleasecosts</w:t>
            </w: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20,420</w:t>
            </w:r>
          </w:p>
        </w:tc>
        <w:tc>
          <w:tcPr>
            <w:tcW w:w="40" w:type="dxa"/>
            <w:vAlign w:val="bottom"/>
          </w:tcPr>
          <w:p>
            <w:pPr>
              <w:spacing w:after="0"/>
              <w:rPr>
                <w:sz w:val="12"/>
                <w:szCs w:val="12"/>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23,713</w:t>
            </w:r>
          </w:p>
        </w:tc>
      </w:tr>
      <w:tr>
        <w:trPr>
          <w:trHeight w:val="20"/>
        </w:trPr>
        <w:tc>
          <w:tcPr>
            <w:tcW w:w="4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Supplemental cash flow information related to leases was as follows (dollars in thousands):</w:t>
      </w:r>
    </w:p>
    <w:p>
      <w:pPr>
        <w:spacing w:after="0" w:line="168"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1"/>
                <w:szCs w:val="11"/>
                <w:b w:val="1"/>
                <w:bCs w:val="1"/>
                <w:color w:val="auto"/>
                <w:w w:val="99"/>
              </w:rPr>
              <w:t>Year Ended January 31,</w:t>
            </w:r>
          </w:p>
        </w:tc>
        <w:tc>
          <w:tcPr>
            <w:tcW w:w="0" w:type="dxa"/>
            <w:vAlign w:val="bottom"/>
          </w:tcPr>
          <w:p>
            <w:pPr>
              <w:spacing w:after="0"/>
              <w:rPr>
                <w:sz w:val="1"/>
                <w:szCs w:val="1"/>
                <w:color w:val="auto"/>
              </w:rPr>
            </w:pPr>
          </w:p>
        </w:tc>
      </w:tr>
      <w:tr>
        <w:trPr>
          <w:trHeight w:val="147"/>
        </w:trPr>
        <w:tc>
          <w:tcPr>
            <w:tcW w:w="4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09"/>
        </w:trPr>
        <w:tc>
          <w:tcPr>
            <w:tcW w:w="4260" w:type="dxa"/>
            <w:vAlign w:val="bottom"/>
            <w:shd w:val="clear" w:color="auto" w:fill="CCEEFF"/>
          </w:tcPr>
          <w:p>
            <w:pPr>
              <w:ind w:left="40"/>
              <w:spacing w:after="0" w:line="110" w:lineRule="exact"/>
              <w:rPr>
                <w:sz w:val="20"/>
                <w:szCs w:val="20"/>
                <w:color w:val="auto"/>
              </w:rPr>
            </w:pPr>
            <w:r>
              <w:rPr>
                <w:rFonts w:ascii="Arial" w:cs="Arial" w:eastAsia="Arial" w:hAnsi="Arial"/>
                <w:sz w:val="12"/>
                <w:szCs w:val="12"/>
                <w:color w:val="auto"/>
              </w:rPr>
              <w:t>Cash paid for amounts included in the measurement of operating lease</w:t>
            </w:r>
          </w:p>
        </w:tc>
        <w:tc>
          <w:tcPr>
            <w:tcW w:w="200" w:type="dxa"/>
            <w:vAlign w:val="bottom"/>
            <w:vMerge w:val="restart"/>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12,864</w:t>
            </w:r>
          </w:p>
        </w:tc>
        <w:tc>
          <w:tcPr>
            <w:tcW w:w="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2"/>
                <w:szCs w:val="12"/>
                <w:color w:val="auto"/>
              </w:rPr>
              <w:t>15,518</w:t>
            </w:r>
          </w:p>
        </w:tc>
        <w:tc>
          <w:tcPr>
            <w:tcW w:w="0" w:type="dxa"/>
            <w:vAlign w:val="bottom"/>
          </w:tcPr>
          <w:p>
            <w:pPr>
              <w:spacing w:after="0"/>
              <w:rPr>
                <w:sz w:val="1"/>
                <w:szCs w:val="1"/>
                <w:color w:val="auto"/>
              </w:rPr>
            </w:pPr>
          </w:p>
        </w:tc>
      </w:tr>
      <w:tr>
        <w:trPr>
          <w:trHeight w:val="171"/>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 xml:space="preserve">liabilities </w:t>
            </w:r>
            <w:r>
              <w:rPr>
                <w:rFonts w:ascii="Times New Roman" w:cs="Times New Roman" w:eastAsia="Times New Roman" w:hAnsi="Times New Roman"/>
                <w:sz w:val="12"/>
                <w:szCs w:val="12"/>
                <w:color w:val="B4B4B4"/>
              </w:rPr>
              <w:t>................................................................................................................</w:t>
            </w:r>
          </w:p>
        </w:tc>
        <w:tc>
          <w:tcPr>
            <w:tcW w:w="200" w:type="dxa"/>
            <w:vAlign w:val="bottom"/>
            <w:tcBorders>
              <w:bottom w:val="single" w:sz="8" w:color="CCEEFF"/>
            </w:tcBorders>
            <w:vMerge w:val="continue"/>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240" w:type="dxa"/>
            <w:vAlign w:val="bottom"/>
            <w:tcBorders>
              <w:bottom w:val="single" w:sz="8" w:color="CCEEFF"/>
            </w:tcBorders>
            <w:gridSpan w:val="2"/>
            <w:vMerge w:val="continue"/>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260" w:type="dxa"/>
            <w:vAlign w:val="bottom"/>
          </w:tcPr>
          <w:p>
            <w:pPr>
              <w:ind w:left="40"/>
              <w:spacing w:after="0" w:line="125" w:lineRule="exact"/>
              <w:rPr>
                <w:sz w:val="20"/>
                <w:szCs w:val="20"/>
                <w:color w:val="auto"/>
              </w:rPr>
            </w:pPr>
            <w:r>
              <w:rPr>
                <w:rFonts w:ascii="Arial" w:cs="Arial" w:eastAsia="Arial" w:hAnsi="Arial"/>
                <w:sz w:val="12"/>
                <w:szCs w:val="12"/>
                <w:color w:val="auto"/>
              </w:rPr>
              <w:t>Operating lease right-of-use assets obtained in exchange for lease</w:t>
            </w:r>
          </w:p>
        </w:tc>
        <w:tc>
          <w:tcPr>
            <w:tcW w:w="200" w:type="dxa"/>
            <w:vAlign w:val="bottom"/>
            <w:vMerge w:val="restart"/>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9,773</w:t>
            </w:r>
          </w:p>
        </w:tc>
        <w:tc>
          <w:tcPr>
            <w:tcW w:w="2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ind w:right="19"/>
              <w:spacing w:after="0"/>
              <w:rPr>
                <w:sz w:val="20"/>
                <w:szCs w:val="20"/>
                <w:color w:val="auto"/>
              </w:rPr>
            </w:pPr>
            <w:r>
              <w:rPr>
                <w:rFonts w:ascii="Arial" w:cs="Arial" w:eastAsia="Arial" w:hAnsi="Arial"/>
                <w:sz w:val="12"/>
                <w:szCs w:val="12"/>
                <w:color w:val="auto"/>
              </w:rPr>
              <w:t>22,507</w:t>
            </w:r>
          </w:p>
        </w:tc>
        <w:tc>
          <w:tcPr>
            <w:tcW w:w="0" w:type="dxa"/>
            <w:vAlign w:val="bottom"/>
          </w:tcPr>
          <w:p>
            <w:pPr>
              <w:spacing w:after="0"/>
              <w:rPr>
                <w:sz w:val="1"/>
                <w:szCs w:val="1"/>
                <w:color w:val="auto"/>
              </w:rPr>
            </w:pPr>
          </w:p>
        </w:tc>
      </w:tr>
      <w:tr>
        <w:trPr>
          <w:trHeight w:val="165"/>
        </w:trPr>
        <w:tc>
          <w:tcPr>
            <w:tcW w:w="4260" w:type="dxa"/>
            <w:vAlign w:val="bottom"/>
          </w:tcPr>
          <w:p>
            <w:pPr>
              <w:ind w:left="140"/>
              <w:spacing w:after="0"/>
              <w:rPr>
                <w:sz w:val="20"/>
                <w:szCs w:val="20"/>
                <w:color w:val="auto"/>
              </w:rPr>
            </w:pPr>
            <w:r>
              <w:rPr>
                <w:rFonts w:ascii="Arial" w:cs="Arial" w:eastAsia="Arial" w:hAnsi="Arial"/>
                <w:sz w:val="12"/>
                <w:szCs w:val="12"/>
                <w:color w:val="auto"/>
              </w:rPr>
              <w:t xml:space="preserve">obligations </w:t>
            </w:r>
            <w:r>
              <w:rPr>
                <w:rFonts w:ascii="Times New Roman" w:cs="Times New Roman" w:eastAsia="Times New Roman" w:hAnsi="Times New Roman"/>
                <w:sz w:val="12"/>
                <w:szCs w:val="12"/>
                <w:color w:val="B4B4B4"/>
              </w:rPr>
              <w:t>............................................................................................................</w:t>
            </w:r>
          </w:p>
        </w:tc>
        <w:tc>
          <w:tcPr>
            <w:tcW w:w="2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Increase (decrease) of lease liabilities due to lease modifications  </w:t>
            </w:r>
            <w:r>
              <w:rPr>
                <w:rFonts w:ascii="Times New Roman" w:cs="Times New Roman" w:eastAsia="Times New Roman" w:hAnsi="Times New Roman"/>
                <w:sz w:val="12"/>
                <w:szCs w:val="12"/>
                <w:color w:val="B4B4B4"/>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(2,745)</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Increase (decrease) of right-of-use assets due to lease modifications  </w:t>
            </w:r>
            <w:r>
              <w:rPr>
                <w:rFonts w:ascii="Times New Roman" w:cs="Times New Roman" w:eastAsia="Times New Roman" w:hAnsi="Times New Roman"/>
                <w:sz w:val="12"/>
                <w:szCs w:val="12"/>
                <w:color w:val="B4B4B4"/>
              </w:rPr>
              <w:t>..........</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3,032</w:t>
            </w: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(2,745)</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Termination of operating lease liabilities </w:t>
            </w:r>
            <w:r>
              <w:rPr>
                <w:rFonts w:ascii="Times New Roman" w:cs="Times New Roman" w:eastAsia="Times New Roman" w:hAnsi="Times New Roman"/>
                <w:sz w:val="12"/>
                <w:szCs w:val="12"/>
                <w:color w:val="B4B4B4"/>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909</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182"/>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Termination of operating lease right-of-use assets  </w:t>
            </w:r>
            <w:r>
              <w:rPr>
                <w:rFonts w:ascii="Times New Roman" w:cs="Times New Roman" w:eastAsia="Times New Roman" w:hAnsi="Times New Roman"/>
                <w:sz w:val="12"/>
                <w:szCs w:val="12"/>
                <w:color w:val="B4B4B4"/>
              </w:rPr>
              <w:t>...........................................</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806</w:t>
            </w: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284</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1520" w:right="1960" w:firstLine="230"/>
        <w:spacing w:after="0" w:line="289" w:lineRule="auto"/>
        <w:rPr>
          <w:sz w:val="20"/>
          <w:szCs w:val="20"/>
          <w:color w:val="auto"/>
        </w:rPr>
      </w:pPr>
      <w:r>
        <w:rPr>
          <w:rFonts w:ascii="Arial" w:cs="Arial" w:eastAsia="Arial" w:hAnsi="Arial"/>
          <w:sz w:val="12"/>
          <w:szCs w:val="12"/>
          <w:color w:val="auto"/>
        </w:rPr>
        <w:t>During the year ended January 31, 2024, we agreed to an early termination of our office lease in Dallas, Texas and paid an aggregate of $5.5 million in early termination fees. The early termination is treated as a lease modification in the supplemental cash flow information included in the above table.</w:t>
      </w:r>
    </w:p>
    <w:p>
      <w:pPr>
        <w:spacing w:after="0" w:line="76"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Supplemental disclosure information related to leases was as follows:</w:t>
      </w:r>
    </w:p>
    <w:p>
      <w:pPr>
        <w:spacing w:after="0" w:line="147"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1720" w:type="dxa"/>
            <w:vAlign w:val="bottom"/>
            <w:gridSpan w:val="4"/>
          </w:tcPr>
          <w:p>
            <w:pPr>
              <w:ind w:left="440"/>
              <w:spacing w:after="0"/>
              <w:rPr>
                <w:sz w:val="20"/>
                <w:szCs w:val="20"/>
                <w:color w:val="auto"/>
              </w:rPr>
            </w:pPr>
            <w:r>
              <w:rPr>
                <w:rFonts w:ascii="Arial" w:cs="Arial" w:eastAsia="Arial" w:hAnsi="Arial"/>
                <w:sz w:val="11"/>
                <w:szCs w:val="11"/>
                <w:b w:val="1"/>
                <w:bCs w:val="1"/>
                <w:color w:val="auto"/>
              </w:rPr>
              <w:t>As of January 31</w:t>
            </w: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840" w:type="dxa"/>
            <w:vAlign w:val="bottom"/>
          </w:tcPr>
          <w:p>
            <w:pPr>
              <w:ind w:left="440"/>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Weighted-averageremainingleasetermforoperatingleases</w:t>
            </w:r>
          </w:p>
        </w:tc>
        <w:tc>
          <w:tcPr>
            <w:tcW w:w="8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5.4 years</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6.5 years</w:t>
            </w:r>
          </w:p>
        </w:tc>
        <w:tc>
          <w:tcPr>
            <w:tcW w:w="0" w:type="dxa"/>
            <w:vAlign w:val="bottom"/>
          </w:tcPr>
          <w:p>
            <w:pPr>
              <w:spacing w:after="0"/>
              <w:rPr>
                <w:sz w:val="1"/>
                <w:szCs w:val="1"/>
                <w:color w:val="auto"/>
              </w:rPr>
            </w:pPr>
          </w:p>
        </w:tc>
      </w:tr>
      <w:tr>
        <w:trPr>
          <w:trHeight w:val="182"/>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Weighted-average discount rate </w:t>
            </w:r>
            <w:r>
              <w:rPr>
                <w:rFonts w:ascii="Times New Roman" w:cs="Times New Roman" w:eastAsia="Times New Roman" w:hAnsi="Times New Roman"/>
                <w:sz w:val="12"/>
                <w:szCs w:val="12"/>
                <w:color w:val="B4B4B4"/>
              </w:rPr>
              <w:t>...........................................................................</w:t>
            </w:r>
          </w:p>
        </w:tc>
        <w:tc>
          <w:tcPr>
            <w:tcW w:w="840" w:type="dxa"/>
            <w:vAlign w:val="bottom"/>
          </w:tcPr>
          <w:p>
            <w:pPr>
              <w:ind w:left="420"/>
              <w:spacing w:after="0"/>
              <w:rPr>
                <w:sz w:val="20"/>
                <w:szCs w:val="20"/>
                <w:color w:val="auto"/>
              </w:rPr>
            </w:pPr>
            <w:r>
              <w:rPr>
                <w:rFonts w:ascii="Arial" w:cs="Arial" w:eastAsia="Arial" w:hAnsi="Arial"/>
                <w:sz w:val="12"/>
                <w:szCs w:val="12"/>
                <w:color w:val="auto"/>
              </w:rPr>
              <w:t>11.1 %</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11.2 %</w:t>
            </w:r>
          </w:p>
        </w:tc>
        <w:tc>
          <w:tcPr>
            <w:tcW w:w="0" w:type="dxa"/>
            <w:vAlign w:val="bottom"/>
          </w:tcPr>
          <w:p>
            <w:pPr>
              <w:spacing w:after="0"/>
              <w:rPr>
                <w:sz w:val="1"/>
                <w:szCs w:val="1"/>
                <w:color w:val="auto"/>
              </w:rPr>
            </w:pPr>
          </w:p>
        </w:tc>
      </w:tr>
      <w:tr>
        <w:trPr>
          <w:trHeight w:val="308"/>
        </w:trPr>
        <w:tc>
          <w:tcPr>
            <w:tcW w:w="5100" w:type="dxa"/>
            <w:vAlign w:val="bottom"/>
            <w:gridSpan w:val="2"/>
          </w:tcPr>
          <w:p>
            <w:pPr>
              <w:ind w:left="240"/>
              <w:spacing w:after="0"/>
              <w:rPr>
                <w:sz w:val="20"/>
                <w:szCs w:val="20"/>
                <w:color w:val="auto"/>
              </w:rPr>
            </w:pPr>
            <w:r>
              <w:rPr>
                <w:rFonts w:ascii="Arial" w:cs="Arial" w:eastAsia="Arial" w:hAnsi="Arial"/>
                <w:sz w:val="12"/>
                <w:szCs w:val="12"/>
                <w:color w:val="auto"/>
              </w:rPr>
              <w:t>Maturities of lease liabilities as of January 31, 2025 were as follows (in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260" w:type="dxa"/>
            <w:vAlign w:val="bottom"/>
          </w:tcPr>
          <w:p>
            <w:pPr>
              <w:ind w:left="40"/>
              <w:spacing w:after="0"/>
              <w:rPr>
                <w:sz w:val="20"/>
                <w:szCs w:val="20"/>
                <w:color w:val="auto"/>
              </w:rPr>
            </w:pPr>
            <w:r>
              <w:rPr>
                <w:rFonts w:ascii="Arial" w:cs="Arial" w:eastAsia="Arial" w:hAnsi="Arial"/>
                <w:sz w:val="11"/>
                <w:szCs w:val="11"/>
                <w:b w:val="1"/>
                <w:bCs w:val="1"/>
                <w:color w:val="auto"/>
              </w:rPr>
              <w:t>Year Ended January 31,</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ind w:right="161"/>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74"/>
        </w:trPr>
        <w:tc>
          <w:tcPr>
            <w:tcW w:w="5100" w:type="dxa"/>
            <w:vAlign w:val="bottom"/>
            <w:gridSpan w:val="2"/>
          </w:tcPr>
          <w:p>
            <w:pPr>
              <w:ind w:left="40"/>
              <w:spacing w:after="0"/>
              <w:rPr>
                <w:sz w:val="20"/>
                <w:szCs w:val="20"/>
                <w:color w:val="auto"/>
              </w:rPr>
            </w:pPr>
            <w:r>
              <w:rPr>
                <w:rFonts w:ascii="Arial" w:cs="Arial" w:eastAsia="Arial" w:hAnsi="Arial"/>
                <w:sz w:val="12"/>
                <w:szCs w:val="12"/>
                <w:color w:val="auto"/>
              </w:rPr>
              <w:t xml:space="preserve">2026 </w:t>
            </w:r>
            <w:r>
              <w:rPr>
                <w:rFonts w:ascii="Times New Roman" w:cs="Times New Roman" w:eastAsia="Times New Roman" w:hAnsi="Times New Roman"/>
                <w:sz w:val="12"/>
                <w:szCs w:val="12"/>
                <w:color w:val="B4B4B4"/>
              </w:rPr>
              <w:t>....................................................................................................................................................</w:t>
            </w: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16,562</w:t>
            </w:r>
          </w:p>
        </w:tc>
        <w:tc>
          <w:tcPr>
            <w:tcW w:w="0" w:type="dxa"/>
            <w:vAlign w:val="bottom"/>
          </w:tcPr>
          <w:p>
            <w:pPr>
              <w:spacing w:after="0"/>
              <w:rPr>
                <w:sz w:val="1"/>
                <w:szCs w:val="1"/>
                <w:color w:val="auto"/>
              </w:rPr>
            </w:pPr>
          </w:p>
        </w:tc>
      </w:tr>
      <w:tr>
        <w:trPr>
          <w:trHeight w:val="182"/>
        </w:trPr>
        <w:tc>
          <w:tcPr>
            <w:tcW w:w="5100" w:type="dxa"/>
            <w:vAlign w:val="bottom"/>
            <w:gridSpan w:val="2"/>
          </w:tcPr>
          <w:p>
            <w:pPr>
              <w:ind w:left="40"/>
              <w:spacing w:after="0"/>
              <w:rPr>
                <w:sz w:val="20"/>
                <w:szCs w:val="20"/>
                <w:color w:val="auto"/>
              </w:rPr>
            </w:pPr>
            <w:r>
              <w:rPr>
                <w:rFonts w:ascii="Arial" w:cs="Arial" w:eastAsia="Arial" w:hAnsi="Arial"/>
                <w:sz w:val="12"/>
                <w:szCs w:val="12"/>
                <w:color w:val="auto"/>
              </w:rPr>
              <w:t xml:space="preserve">2027 </w:t>
            </w:r>
            <w:r>
              <w:rPr>
                <w:rFonts w:ascii="Times New Roman" w:cs="Times New Roman" w:eastAsia="Times New Roman" w:hAnsi="Times New Roman"/>
                <w:sz w:val="12"/>
                <w:szCs w:val="12"/>
                <w:color w:val="B4B4B4"/>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12,977</w:t>
            </w:r>
          </w:p>
        </w:tc>
        <w:tc>
          <w:tcPr>
            <w:tcW w:w="0" w:type="dxa"/>
            <w:vAlign w:val="bottom"/>
          </w:tcPr>
          <w:p>
            <w:pPr>
              <w:spacing w:after="0"/>
              <w:rPr>
                <w:sz w:val="1"/>
                <w:szCs w:val="1"/>
                <w:color w:val="auto"/>
              </w:rPr>
            </w:pPr>
          </w:p>
        </w:tc>
      </w:tr>
    </w:tbl>
    <w:p>
      <w:pPr>
        <w:sectPr>
          <w:pgSz w:w="11900" w:h="16840" w:orient="portrait"/>
          <w:cols w:equalWidth="0" w:num="1">
            <w:col w:w="9020"/>
          </w:cols>
          <w:pgMar w:left="1440" w:top="539" w:right="1440" w:bottom="69" w:gutter="0" w:footer="0" w:header="0"/>
        </w:sectPr>
      </w:pPr>
    </w:p>
    <w:bookmarkStart w:id="177" w:name="page178"/>
    <w:bookmarkEnd w:id="1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tbl>
      <w:tblPr>
        <w:tblLayout w:type="fixed"/>
        <w:tblInd w:w="600" w:type="dxa"/>
        <w:tblCellMar>
          <w:top w:w="0" w:type="dxa"/>
          <w:left w:w="0" w:type="dxa"/>
          <w:bottom w:w="0" w:type="dxa"/>
          <w:right w:w="0" w:type="dxa"/>
        </w:tblCellMar>
      </w:tblPr>
      <w:tr>
        <w:trPr>
          <w:trHeight w:val="163"/>
        </w:trPr>
        <w:tc>
          <w:tcPr>
            <w:tcW w:w="6020" w:type="dxa"/>
            <w:vAlign w:val="bottom"/>
            <w:gridSpan w:val="3"/>
          </w:tcPr>
          <w:p>
            <w:pPr>
              <w:jc w:val="right"/>
              <w:ind w:right="9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2028</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8"/>
              <w:spacing w:after="0"/>
              <w:rPr>
                <w:sz w:val="20"/>
                <w:szCs w:val="20"/>
                <w:color w:val="auto"/>
              </w:rPr>
            </w:pPr>
            <w:r>
              <w:rPr>
                <w:rFonts w:ascii="Arial" w:cs="Arial" w:eastAsia="Arial" w:hAnsi="Arial"/>
                <w:sz w:val="12"/>
                <w:szCs w:val="12"/>
                <w:color w:val="auto"/>
              </w:rPr>
              <w:t>12,225</w:t>
            </w:r>
          </w:p>
        </w:tc>
        <w:tc>
          <w:tcPr>
            <w:tcW w:w="920" w:type="dxa"/>
            <w:vAlign w:val="bottom"/>
          </w:tcPr>
          <w:p>
            <w:pPr>
              <w:spacing w:after="0"/>
              <w:rPr>
                <w:sz w:val="14"/>
                <w:szCs w:val="14"/>
                <w:color w:val="auto"/>
              </w:rPr>
            </w:pPr>
          </w:p>
        </w:tc>
      </w:tr>
      <w:tr>
        <w:trPr>
          <w:trHeight w:val="162"/>
        </w:trPr>
        <w:tc>
          <w:tcPr>
            <w:tcW w:w="920" w:type="dxa"/>
            <w:vAlign w:val="bottom"/>
          </w:tcPr>
          <w:p>
            <w:pPr>
              <w:spacing w:after="0"/>
              <w:rPr>
                <w:sz w:val="14"/>
                <w:szCs w:val="14"/>
                <w:color w:val="auto"/>
              </w:rPr>
            </w:pPr>
          </w:p>
        </w:tc>
        <w:tc>
          <w:tcPr>
            <w:tcW w:w="5100" w:type="dxa"/>
            <w:vAlign w:val="bottom"/>
            <w:tcBorders>
              <w:top w:val="single" w:sz="8" w:color="auto"/>
            </w:tcBorders>
            <w:gridSpan w:val="2"/>
            <w:shd w:val="clear" w:color="auto" w:fill="CCEEFF"/>
          </w:tcPr>
          <w:p>
            <w:pPr>
              <w:jc w:val="right"/>
              <w:ind w:right="98"/>
              <w:spacing w:after="0"/>
              <w:rPr>
                <w:sz w:val="20"/>
                <w:szCs w:val="20"/>
                <w:color w:val="auto"/>
              </w:rPr>
            </w:pPr>
            <w:r>
              <w:rPr>
                <w:rFonts w:ascii="Arial" w:cs="Arial" w:eastAsia="Arial" w:hAnsi="Arial"/>
                <w:sz w:val="12"/>
                <w:szCs w:val="12"/>
                <w:color w:val="auto"/>
              </w:rPr>
              <w:t xml:space="preserve">2029 </w:t>
            </w:r>
            <w:r>
              <w:rPr>
                <w:rFonts w:ascii="Times New Roman" w:cs="Times New Roman" w:eastAsia="Times New Roman" w:hAnsi="Times New Roman"/>
                <w:sz w:val="12"/>
                <w:szCs w:val="12"/>
                <w:color w:val="B4B4B4"/>
              </w:rPr>
              <w:t>....................................................................................................................................................</w:t>
            </w: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9,306</w:t>
            </w:r>
          </w:p>
        </w:tc>
        <w:tc>
          <w:tcPr>
            <w:tcW w:w="920" w:type="dxa"/>
            <w:vAlign w:val="bottom"/>
          </w:tcPr>
          <w:p>
            <w:pPr>
              <w:spacing w:after="0"/>
              <w:rPr>
                <w:sz w:val="14"/>
                <w:szCs w:val="14"/>
                <w:color w:val="auto"/>
              </w:rPr>
            </w:pPr>
          </w:p>
        </w:tc>
      </w:tr>
      <w:tr>
        <w:trPr>
          <w:trHeight w:val="173"/>
        </w:trPr>
        <w:tc>
          <w:tcPr>
            <w:tcW w:w="920" w:type="dxa"/>
            <w:vAlign w:val="bottom"/>
          </w:tcPr>
          <w:p>
            <w:pPr>
              <w:spacing w:after="0"/>
              <w:rPr>
                <w:sz w:val="15"/>
                <w:szCs w:val="15"/>
                <w:color w:val="auto"/>
              </w:rPr>
            </w:pPr>
          </w:p>
        </w:tc>
        <w:tc>
          <w:tcPr>
            <w:tcW w:w="5100" w:type="dxa"/>
            <w:vAlign w:val="bottom"/>
            <w:gridSpan w:val="2"/>
          </w:tcPr>
          <w:p>
            <w:pPr>
              <w:jc w:val="right"/>
              <w:ind w:right="98"/>
              <w:spacing w:after="0"/>
              <w:rPr>
                <w:sz w:val="20"/>
                <w:szCs w:val="20"/>
                <w:color w:val="auto"/>
              </w:rPr>
            </w:pPr>
            <w:r>
              <w:rPr>
                <w:rFonts w:ascii="Arial" w:cs="Arial" w:eastAsia="Arial" w:hAnsi="Arial"/>
                <w:sz w:val="12"/>
                <w:szCs w:val="12"/>
                <w:color w:val="auto"/>
              </w:rPr>
              <w:t xml:space="preserve">2030 </w:t>
            </w:r>
            <w:r>
              <w:rPr>
                <w:rFonts w:ascii="Times New Roman" w:cs="Times New Roman" w:eastAsia="Times New Roman" w:hAnsi="Times New Roman"/>
                <w:sz w:val="12"/>
                <w:szCs w:val="12"/>
                <w:color w:val="B4B4B4"/>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7,782</w:t>
            </w:r>
          </w:p>
        </w:tc>
        <w:tc>
          <w:tcPr>
            <w:tcW w:w="920" w:type="dxa"/>
            <w:vAlign w:val="bottom"/>
          </w:tcPr>
          <w:p>
            <w:pPr>
              <w:spacing w:after="0"/>
              <w:rPr>
                <w:sz w:val="15"/>
                <w:szCs w:val="15"/>
                <w:color w:val="auto"/>
              </w:rPr>
            </w:pPr>
          </w:p>
        </w:tc>
      </w:tr>
      <w:tr>
        <w:trPr>
          <w:trHeight w:val="190"/>
        </w:trPr>
        <w:tc>
          <w:tcPr>
            <w:tcW w:w="920" w:type="dxa"/>
            <w:vAlign w:val="bottom"/>
          </w:tcPr>
          <w:p>
            <w:pPr>
              <w:spacing w:after="0"/>
              <w:rPr>
                <w:sz w:val="16"/>
                <w:szCs w:val="16"/>
                <w:color w:val="auto"/>
              </w:rPr>
            </w:pPr>
          </w:p>
        </w:tc>
        <w:tc>
          <w:tcPr>
            <w:tcW w:w="51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xml:space="preserve">Thereafter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13,428</w:t>
            </w:r>
          </w:p>
        </w:tc>
        <w:tc>
          <w:tcPr>
            <w:tcW w:w="920" w:type="dxa"/>
            <w:vAlign w:val="bottom"/>
          </w:tcPr>
          <w:p>
            <w:pPr>
              <w:spacing w:after="0"/>
              <w:rPr>
                <w:sz w:val="16"/>
                <w:szCs w:val="16"/>
                <w:color w:val="auto"/>
              </w:rPr>
            </w:pPr>
          </w:p>
        </w:tc>
      </w:tr>
      <w:tr>
        <w:trPr>
          <w:trHeight w:val="173"/>
        </w:trPr>
        <w:tc>
          <w:tcPr>
            <w:tcW w:w="920" w:type="dxa"/>
            <w:vAlign w:val="bottom"/>
          </w:tcPr>
          <w:p>
            <w:pPr>
              <w:spacing w:after="0"/>
              <w:rPr>
                <w:sz w:val="15"/>
                <w:szCs w:val="15"/>
                <w:color w:val="auto"/>
              </w:rPr>
            </w:pPr>
          </w:p>
        </w:tc>
        <w:tc>
          <w:tcPr>
            <w:tcW w:w="5100" w:type="dxa"/>
            <w:vAlign w:val="bottom"/>
            <w:gridSpan w:val="2"/>
          </w:tcPr>
          <w:p>
            <w:pPr>
              <w:ind w:left="40"/>
              <w:spacing w:after="0"/>
              <w:rPr>
                <w:sz w:val="20"/>
                <w:szCs w:val="20"/>
                <w:color w:val="auto"/>
              </w:rPr>
            </w:pPr>
            <w:r>
              <w:rPr>
                <w:rFonts w:ascii="Arial" w:cs="Arial" w:eastAsia="Arial" w:hAnsi="Arial"/>
                <w:sz w:val="12"/>
                <w:szCs w:val="12"/>
                <w:color w:val="auto"/>
              </w:rPr>
              <w:t xml:space="preserve">Total lease payments </w:t>
            </w:r>
            <w:r>
              <w:rPr>
                <w:rFonts w:ascii="Times New Roman" w:cs="Times New Roman" w:eastAsia="Times New Roman" w:hAnsi="Times New Roman"/>
                <w:sz w:val="12"/>
                <w:szCs w:val="12"/>
                <w:color w:val="B4B4B4"/>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18"/>
              <w:spacing w:after="0"/>
              <w:rPr>
                <w:sz w:val="20"/>
                <w:szCs w:val="20"/>
                <w:color w:val="auto"/>
              </w:rPr>
            </w:pPr>
            <w:r>
              <w:rPr>
                <w:rFonts w:ascii="Arial" w:cs="Arial" w:eastAsia="Arial" w:hAnsi="Arial"/>
                <w:sz w:val="12"/>
                <w:szCs w:val="12"/>
                <w:color w:val="auto"/>
              </w:rPr>
              <w:t>72,280</w:t>
            </w:r>
          </w:p>
        </w:tc>
        <w:tc>
          <w:tcPr>
            <w:tcW w:w="920" w:type="dxa"/>
            <w:vAlign w:val="bottom"/>
          </w:tcPr>
          <w:p>
            <w:pPr>
              <w:spacing w:after="0"/>
              <w:rPr>
                <w:sz w:val="15"/>
                <w:szCs w:val="15"/>
                <w:color w:val="auto"/>
              </w:rPr>
            </w:pPr>
          </w:p>
        </w:tc>
      </w:tr>
      <w:tr>
        <w:trPr>
          <w:trHeight w:val="190"/>
        </w:trPr>
        <w:tc>
          <w:tcPr>
            <w:tcW w:w="920" w:type="dxa"/>
            <w:vAlign w:val="bottom"/>
          </w:tcPr>
          <w:p>
            <w:pPr>
              <w:spacing w:after="0"/>
              <w:rPr>
                <w:sz w:val="16"/>
                <w:szCs w:val="16"/>
                <w:color w:val="auto"/>
              </w:rPr>
            </w:pPr>
          </w:p>
        </w:tc>
        <w:tc>
          <w:tcPr>
            <w:tcW w:w="51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xml:space="preserve">Less: imputed interest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(17,793)</w:t>
            </w:r>
          </w:p>
        </w:tc>
        <w:tc>
          <w:tcPr>
            <w:tcW w:w="920" w:type="dxa"/>
            <w:vAlign w:val="bottom"/>
          </w:tcPr>
          <w:p>
            <w:pPr>
              <w:spacing w:after="0"/>
              <w:rPr>
                <w:sz w:val="16"/>
                <w:szCs w:val="16"/>
                <w:color w:val="auto"/>
              </w:rPr>
            </w:pPr>
          </w:p>
        </w:tc>
      </w:tr>
      <w:tr>
        <w:trPr>
          <w:trHeight w:val="173"/>
        </w:trPr>
        <w:tc>
          <w:tcPr>
            <w:tcW w:w="920" w:type="dxa"/>
            <w:vAlign w:val="bottom"/>
          </w:tcPr>
          <w:p>
            <w:pPr>
              <w:spacing w:after="0"/>
              <w:rPr>
                <w:sz w:val="15"/>
                <w:szCs w:val="15"/>
                <w:color w:val="auto"/>
              </w:rPr>
            </w:pPr>
          </w:p>
        </w:tc>
        <w:tc>
          <w:tcPr>
            <w:tcW w:w="2860" w:type="dxa"/>
            <w:vAlign w:val="bottom"/>
          </w:tcPr>
          <w:p>
            <w:pPr>
              <w:ind w:left="40"/>
              <w:spacing w:after="0"/>
              <w:rPr>
                <w:sz w:val="20"/>
                <w:szCs w:val="20"/>
                <w:color w:val="auto"/>
              </w:rPr>
            </w:pPr>
            <w:r>
              <w:rPr>
                <w:rFonts w:ascii="Arial" w:cs="Arial" w:eastAsia="Arial" w:hAnsi="Arial"/>
                <w:sz w:val="10"/>
                <w:szCs w:val="10"/>
                <w:color w:val="auto"/>
                <w:w w:val="70"/>
              </w:rPr>
              <w:t xml:space="preserve">Present value of lease payments </w:t>
            </w:r>
            <w:r>
              <w:rPr>
                <w:rFonts w:ascii="Times New Roman" w:cs="Times New Roman" w:eastAsia="Times New Roman" w:hAnsi="Times New Roman"/>
                <w:sz w:val="10"/>
                <w:szCs w:val="10"/>
                <w:color w:val="B4B4B4"/>
                <w:w w:val="70"/>
              </w:rPr>
              <w:t>...................................................................................................</w:t>
            </w:r>
          </w:p>
        </w:tc>
        <w:tc>
          <w:tcPr>
            <w:tcW w:w="250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18"/>
              <w:spacing w:after="0"/>
              <w:rPr>
                <w:sz w:val="20"/>
                <w:szCs w:val="20"/>
                <w:color w:val="auto"/>
              </w:rPr>
            </w:pPr>
            <w:r>
              <w:rPr>
                <w:rFonts w:ascii="Arial" w:cs="Arial" w:eastAsia="Arial" w:hAnsi="Arial"/>
                <w:sz w:val="12"/>
                <w:szCs w:val="12"/>
                <w:color w:val="auto"/>
              </w:rPr>
              <w:t>54,487</w:t>
            </w:r>
          </w:p>
        </w:tc>
        <w:tc>
          <w:tcPr>
            <w:tcW w:w="920" w:type="dxa"/>
            <w:vAlign w:val="bottom"/>
          </w:tcPr>
          <w:p>
            <w:pPr>
              <w:spacing w:after="0"/>
              <w:rPr>
                <w:sz w:val="15"/>
                <w:szCs w:val="15"/>
                <w:color w:val="auto"/>
              </w:rPr>
            </w:pPr>
          </w:p>
        </w:tc>
      </w:tr>
      <w:tr>
        <w:trPr>
          <w:trHeight w:val="170"/>
        </w:trPr>
        <w:tc>
          <w:tcPr>
            <w:tcW w:w="920" w:type="dxa"/>
            <w:vAlign w:val="bottom"/>
          </w:tcPr>
          <w:p>
            <w:pPr>
              <w:spacing w:after="0"/>
              <w:rPr>
                <w:sz w:val="14"/>
                <w:szCs w:val="14"/>
                <w:color w:val="auto"/>
              </w:rPr>
            </w:pPr>
          </w:p>
        </w:tc>
        <w:tc>
          <w:tcPr>
            <w:tcW w:w="2860" w:type="dxa"/>
            <w:vAlign w:val="bottom"/>
            <w:tcBorders>
              <w:top w:val="single" w:sz="8" w:color="CCEEFF"/>
            </w:tcBorders>
            <w:shd w:val="clear" w:color="auto" w:fill="CCEEFF"/>
          </w:tcPr>
          <w:p>
            <w:pPr>
              <w:spacing w:after="0"/>
              <w:rPr>
                <w:sz w:val="14"/>
                <w:szCs w:val="14"/>
                <w:color w:val="auto"/>
              </w:rPr>
            </w:pPr>
          </w:p>
        </w:tc>
        <w:tc>
          <w:tcPr>
            <w:tcW w:w="22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920" w:type="dxa"/>
            <w:vAlign w:val="bottom"/>
          </w:tcPr>
          <w:p>
            <w:pPr>
              <w:spacing w:after="0"/>
              <w:rPr>
                <w:sz w:val="14"/>
                <w:szCs w:val="14"/>
                <w:color w:val="auto"/>
              </w:rPr>
            </w:pPr>
          </w:p>
        </w:tc>
      </w:tr>
      <w:tr>
        <w:trPr>
          <w:trHeight w:val="182"/>
        </w:trPr>
        <w:tc>
          <w:tcPr>
            <w:tcW w:w="920" w:type="dxa"/>
            <w:vAlign w:val="bottom"/>
          </w:tcPr>
          <w:p>
            <w:pPr>
              <w:spacing w:after="0"/>
              <w:rPr>
                <w:sz w:val="15"/>
                <w:szCs w:val="15"/>
                <w:color w:val="auto"/>
              </w:rPr>
            </w:pPr>
          </w:p>
        </w:tc>
        <w:tc>
          <w:tcPr>
            <w:tcW w:w="2860" w:type="dxa"/>
            <w:vAlign w:val="bottom"/>
            <w:tcBorders>
              <w:bottom w:val="single" w:sz="8" w:color="CCEEFF"/>
            </w:tcBorders>
          </w:tcPr>
          <w:p>
            <w:pPr>
              <w:spacing w:after="0"/>
              <w:rPr>
                <w:sz w:val="15"/>
                <w:szCs w:val="15"/>
                <w:color w:val="auto"/>
              </w:rPr>
            </w:pPr>
          </w:p>
        </w:tc>
        <w:tc>
          <w:tcPr>
            <w:tcW w:w="22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Pr>
          <w:p>
            <w:pPr>
              <w:spacing w:after="0"/>
              <w:rPr>
                <w:sz w:val="15"/>
                <w:szCs w:val="15"/>
                <w:color w:val="auto"/>
              </w:rPr>
            </w:pPr>
          </w:p>
        </w:tc>
      </w:tr>
      <w:tr>
        <w:trPr>
          <w:trHeight w:val="171"/>
        </w:trPr>
        <w:tc>
          <w:tcPr>
            <w:tcW w:w="920" w:type="dxa"/>
            <w:vAlign w:val="bottom"/>
          </w:tcPr>
          <w:p>
            <w:pPr>
              <w:spacing w:after="0"/>
              <w:rPr>
                <w:sz w:val="14"/>
                <w:szCs w:val="14"/>
                <w:color w:val="auto"/>
              </w:rPr>
            </w:pPr>
          </w:p>
        </w:tc>
        <w:tc>
          <w:tcPr>
            <w:tcW w:w="286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920" w:type="dxa"/>
            <w:vAlign w:val="bottom"/>
          </w:tcPr>
          <w:p>
            <w:pPr>
              <w:spacing w:after="0"/>
              <w:rPr>
                <w:sz w:val="14"/>
                <w:szCs w:val="14"/>
                <w:color w:val="auto"/>
              </w:rPr>
            </w:pPr>
          </w:p>
        </w:tc>
      </w:tr>
      <w:tr>
        <w:trPr>
          <w:trHeight w:val="508"/>
        </w:trPr>
        <w:tc>
          <w:tcPr>
            <w:tcW w:w="9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2"/>
                <w:szCs w:val="12"/>
                <w:color w:val="auto"/>
              </w:rPr>
              <w:t>F-25</w:t>
            </w: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r>
      <w:tr>
        <w:trPr>
          <w:trHeight w:val="525"/>
        </w:trPr>
        <w:tc>
          <w:tcPr>
            <w:tcW w:w="9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29"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6 – BUSINESS COMBINATIONS</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Shorebird Technologies Private Limited</w:t>
      </w:r>
    </w:p>
    <w:p>
      <w:pPr>
        <w:spacing w:after="0" w:line="128" w:lineRule="exact"/>
        <w:rPr>
          <w:sz w:val="20"/>
          <w:szCs w:val="20"/>
          <w:color w:val="auto"/>
        </w:rPr>
      </w:pPr>
    </w:p>
    <w:p>
      <w:pPr>
        <w:ind w:left="1520" w:right="1600" w:firstLine="230"/>
        <w:spacing w:after="0" w:line="276" w:lineRule="auto"/>
        <w:rPr>
          <w:sz w:val="20"/>
          <w:szCs w:val="20"/>
          <w:color w:val="auto"/>
        </w:rPr>
      </w:pPr>
      <w:r>
        <w:rPr>
          <w:rFonts w:ascii="Arial" w:cs="Arial" w:eastAsia="Arial" w:hAnsi="Arial"/>
          <w:sz w:val="12"/>
          <w:szCs w:val="12"/>
          <w:color w:val="auto"/>
        </w:rPr>
        <w:t>On May 17, 2023, we acquired all of the outstanding stock of Shorebird Technologies Private Limited (Tripeur), an Indian-based travel management company for an aggregate purchase price of $7.2 million paid in cash. The acquisition was accounted for as a business combination and is expected to increase our market share as a provider of travel, corporate card and expense management solutions in India. Acquisition costs related to the Tripeur acquisition were approximately $0.3 million and were expensed as incurred.</w:t>
      </w:r>
    </w:p>
    <w:p>
      <w:pPr>
        <w:spacing w:after="0" w:line="240" w:lineRule="exact"/>
        <w:rPr>
          <w:sz w:val="20"/>
          <w:szCs w:val="20"/>
          <w:color w:val="auto"/>
        </w:rPr>
      </w:pPr>
    </w:p>
    <w:p>
      <w:pPr>
        <w:ind w:left="1520" w:right="1940" w:firstLine="230"/>
        <w:spacing w:after="0" w:line="289" w:lineRule="auto"/>
        <w:rPr>
          <w:sz w:val="20"/>
          <w:szCs w:val="20"/>
          <w:color w:val="auto"/>
        </w:rPr>
      </w:pPr>
      <w:r>
        <w:rPr>
          <w:rFonts w:ascii="Arial" w:cs="Arial" w:eastAsia="Arial" w:hAnsi="Arial"/>
          <w:sz w:val="12"/>
          <w:szCs w:val="12"/>
          <w:color w:val="auto"/>
        </w:rPr>
        <w:t>The purchase price was allocated to the following assets and liabilities: $6.3 million to goodwill, $0.5 million to intangible assets for acquired developed technology, $0.8 million to current assets, $0.4 million to other assets and $0.8 million to current liabilities.</w:t>
      </w:r>
    </w:p>
    <w:p>
      <w:pPr>
        <w:spacing w:after="0" w:line="76" w:lineRule="exact"/>
        <w:rPr>
          <w:sz w:val="20"/>
          <w:szCs w:val="20"/>
          <w:color w:val="auto"/>
        </w:rPr>
      </w:pPr>
    </w:p>
    <w:p>
      <w:pPr>
        <w:ind w:left="1520" w:right="1740" w:firstLine="230"/>
        <w:spacing w:after="0" w:line="289" w:lineRule="auto"/>
        <w:rPr>
          <w:sz w:val="20"/>
          <w:szCs w:val="20"/>
          <w:color w:val="auto"/>
        </w:rPr>
      </w:pPr>
      <w:r>
        <w:rPr>
          <w:rFonts w:ascii="Arial" w:cs="Arial" w:eastAsia="Arial" w:hAnsi="Arial"/>
          <w:sz w:val="12"/>
          <w:szCs w:val="12"/>
          <w:color w:val="auto"/>
        </w:rPr>
        <w:t>Goodwill was primarily attributed to the assembled workforce and expanded market opportunities from the Tripeur acquisition. None of the goodwill is deductible for U.S. federal income tax purposes. The acquired developed technology has an estimated useful life of two years.</w:t>
      </w:r>
    </w:p>
    <w:p>
      <w:pPr>
        <w:spacing w:after="0" w:line="76" w:lineRule="exact"/>
        <w:rPr>
          <w:sz w:val="20"/>
          <w:szCs w:val="20"/>
          <w:color w:val="auto"/>
        </w:rPr>
      </w:pPr>
    </w:p>
    <w:p>
      <w:pPr>
        <w:ind w:left="1520" w:right="1680" w:firstLine="230"/>
        <w:spacing w:after="0" w:line="281" w:lineRule="auto"/>
        <w:rPr>
          <w:sz w:val="20"/>
          <w:szCs w:val="20"/>
          <w:color w:val="auto"/>
        </w:rPr>
      </w:pPr>
      <w:r>
        <w:rPr>
          <w:rFonts w:ascii="Arial" w:cs="Arial" w:eastAsia="Arial" w:hAnsi="Arial"/>
          <w:sz w:val="12"/>
          <w:szCs w:val="12"/>
          <w:color w:val="auto"/>
        </w:rPr>
        <w:t>The financial results of Tripeur are included in our consolidated financial statements from the date of acquisition. Tripeur’s financial results have not been material to date. Pro forma results of operations have not been presented because the effect of the acquisition was not material to the consolidated statements of operations.</w:t>
      </w:r>
    </w:p>
    <w:p>
      <w:pPr>
        <w:spacing w:after="0" w:line="8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Regent International S.R.L</w:t>
      </w:r>
    </w:p>
    <w:p>
      <w:pPr>
        <w:spacing w:after="0" w:line="128" w:lineRule="exact"/>
        <w:rPr>
          <w:sz w:val="20"/>
          <w:szCs w:val="20"/>
          <w:color w:val="auto"/>
        </w:rPr>
      </w:pPr>
    </w:p>
    <w:p>
      <w:pPr>
        <w:ind w:left="1520" w:right="1700" w:firstLine="230"/>
        <w:spacing w:after="0" w:line="280" w:lineRule="auto"/>
        <w:rPr>
          <w:sz w:val="20"/>
          <w:szCs w:val="20"/>
          <w:color w:val="auto"/>
        </w:rPr>
      </w:pPr>
      <w:r>
        <w:rPr>
          <w:rFonts w:ascii="Arial" w:cs="Arial" w:eastAsia="Arial" w:hAnsi="Arial"/>
          <w:sz w:val="12"/>
          <w:szCs w:val="12"/>
          <w:color w:val="auto"/>
        </w:rPr>
        <w:t>On June 4, 2024, the Company acquired all outstanding stock of Regent International S.R.L. (Regent), a travel and event management company based in Rome, Italy for an aggregate purchase price of $7.9 million in cash. Of the aggregate purchase price, $6.6 million was paid at closing and the remaining $1.3 million was deferred. As of January 31, 2025, $0.7 million of cash payments remain unpaid.</w:t>
      </w:r>
    </w:p>
    <w:p>
      <w:pPr>
        <w:spacing w:after="0" w:line="236" w:lineRule="exact"/>
        <w:rPr>
          <w:sz w:val="20"/>
          <w:szCs w:val="20"/>
          <w:color w:val="auto"/>
        </w:rPr>
      </w:pPr>
    </w:p>
    <w:p>
      <w:pPr>
        <w:ind w:left="1520" w:right="1560" w:firstLine="230"/>
        <w:spacing w:after="0" w:line="286" w:lineRule="auto"/>
        <w:rPr>
          <w:sz w:val="20"/>
          <w:szCs w:val="20"/>
          <w:color w:val="auto"/>
        </w:rPr>
      </w:pPr>
      <w:r>
        <w:rPr>
          <w:rFonts w:ascii="Arial" w:cs="Arial" w:eastAsia="Arial" w:hAnsi="Arial"/>
          <w:sz w:val="12"/>
          <w:szCs w:val="12"/>
          <w:color w:val="auto"/>
        </w:rPr>
        <w:t>The transaction is expected to increase the Company’s market share as a provider of travel, corporate card and expense management solutions in Italy and has been accounted for as a business combination. Acquisition costs related to the Regent acquisition were approximately $0.3 million and were expensed as incurred.</w:t>
      </w:r>
    </w:p>
    <w:p>
      <w:pPr>
        <w:spacing w:after="0" w:line="234" w:lineRule="exact"/>
        <w:rPr>
          <w:sz w:val="20"/>
          <w:szCs w:val="20"/>
          <w:color w:val="auto"/>
        </w:rPr>
      </w:pPr>
    </w:p>
    <w:p>
      <w:pPr>
        <w:ind w:left="1520" w:right="1600" w:firstLine="230"/>
        <w:spacing w:after="0" w:line="289" w:lineRule="auto"/>
        <w:rPr>
          <w:sz w:val="20"/>
          <w:szCs w:val="20"/>
          <w:color w:val="auto"/>
        </w:rPr>
      </w:pPr>
      <w:r>
        <w:rPr>
          <w:rFonts w:ascii="Arial" w:cs="Arial" w:eastAsia="Arial" w:hAnsi="Arial"/>
          <w:sz w:val="12"/>
          <w:szCs w:val="12"/>
          <w:color w:val="auto"/>
        </w:rPr>
        <w:t>The purchase price was allocated to the following assets and liabilities: $11.8 million to current assets, $4.0 million to goodwill, $0.9 million to intangible assets for customer relationships, $0.4 million to other assets, $8.6 million to current liabilities, and $0.6 million to other liabilities.</w:t>
      </w:r>
    </w:p>
    <w:p>
      <w:pPr>
        <w:spacing w:after="0" w:line="76" w:lineRule="exact"/>
        <w:rPr>
          <w:sz w:val="20"/>
          <w:szCs w:val="20"/>
          <w:color w:val="auto"/>
        </w:rPr>
      </w:pPr>
    </w:p>
    <w:p>
      <w:pPr>
        <w:ind w:left="1520" w:right="1740" w:firstLine="230"/>
        <w:spacing w:after="0" w:line="286" w:lineRule="auto"/>
        <w:rPr>
          <w:sz w:val="20"/>
          <w:szCs w:val="20"/>
          <w:color w:val="auto"/>
        </w:rPr>
      </w:pPr>
      <w:r>
        <w:rPr>
          <w:rFonts w:ascii="Arial" w:cs="Arial" w:eastAsia="Arial" w:hAnsi="Arial"/>
          <w:sz w:val="12"/>
          <w:szCs w:val="12"/>
          <w:color w:val="auto"/>
        </w:rPr>
        <w:t>Goodwill was primarily attributed to the assembled workforce and expanded market opportunities from the Regent acquisition. $2.9 million of the goodwill from the Regent acquisition is deductible for U.S. federal income tax purposes. The acquired customer relationships have an estimated useful life of eight years.</w:t>
      </w:r>
    </w:p>
    <w:p>
      <w:pPr>
        <w:spacing w:after="0" w:line="234" w:lineRule="exact"/>
        <w:rPr>
          <w:sz w:val="20"/>
          <w:szCs w:val="20"/>
          <w:color w:val="auto"/>
        </w:rPr>
      </w:pPr>
    </w:p>
    <w:p>
      <w:pPr>
        <w:ind w:left="1520" w:right="1760" w:firstLine="230"/>
        <w:spacing w:after="0" w:line="281" w:lineRule="auto"/>
        <w:rPr>
          <w:sz w:val="20"/>
          <w:szCs w:val="20"/>
          <w:color w:val="auto"/>
        </w:rPr>
      </w:pPr>
      <w:r>
        <w:rPr>
          <w:rFonts w:ascii="Arial" w:cs="Arial" w:eastAsia="Arial" w:hAnsi="Arial"/>
          <w:sz w:val="12"/>
          <w:szCs w:val="12"/>
          <w:color w:val="auto"/>
        </w:rPr>
        <w:t>The financial results of Regent are included in our consolidated financial statements from the date of acquisition. Regent’s financial results have not been material to date. Pro forma results of operations have not been presented because the effect of the acquisition was not material to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F-26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7 – GOODWILL AND OTHER INTANGIBLE ASSETS</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Goodwill</w:t>
      </w:r>
    </w:p>
    <w:p>
      <w:pPr>
        <w:spacing w:after="0" w:line="128" w:lineRule="exact"/>
        <w:rPr>
          <w:sz w:val="20"/>
          <w:szCs w:val="20"/>
          <w:color w:val="auto"/>
        </w:rPr>
      </w:pPr>
    </w:p>
    <w:p>
      <w:pPr>
        <w:ind w:left="1520" w:right="1760" w:firstLine="230"/>
        <w:spacing w:after="0" w:line="312" w:lineRule="auto"/>
        <w:rPr>
          <w:sz w:val="20"/>
          <w:szCs w:val="20"/>
          <w:color w:val="auto"/>
        </w:rPr>
      </w:pPr>
      <w:r>
        <w:rPr>
          <w:rFonts w:ascii="Arial" w:cs="Arial" w:eastAsia="Arial" w:hAnsi="Arial"/>
          <w:sz w:val="12"/>
          <w:szCs w:val="12"/>
          <w:color w:val="auto"/>
        </w:rPr>
        <w:t>The goodwill balances as of January 31, 2025 and 2024, and the changes in fiscal 2025 and 2024 are as follows (in thousands):</w:t>
      </w:r>
    </w:p>
    <w:p>
      <w:pPr>
        <w:spacing w:after="0" w:line="80" w:lineRule="exact"/>
        <w:rPr>
          <w:sz w:val="20"/>
          <w:szCs w:val="20"/>
          <w:color w:val="auto"/>
        </w:rPr>
      </w:pPr>
    </w:p>
    <w:p>
      <w:pPr>
        <w:ind w:left="6860"/>
        <w:spacing w:after="0"/>
        <w:rPr>
          <w:sz w:val="20"/>
          <w:szCs w:val="20"/>
          <w:color w:val="auto"/>
        </w:rPr>
      </w:pPr>
      <w:r>
        <w:rPr>
          <w:rFonts w:ascii="Arial" w:cs="Arial" w:eastAsia="Arial" w:hAnsi="Arial"/>
          <w:sz w:val="11"/>
          <w:szCs w:val="11"/>
          <w:b w:val="1"/>
          <w:bCs w:val="1"/>
          <w:color w:val="auto"/>
        </w:rPr>
        <w:t>Carrying</w:t>
      </w:r>
    </w:p>
    <w:p>
      <w:pPr>
        <w:ind w:left="6880"/>
        <w:spacing w:after="0"/>
        <w:rPr>
          <w:sz w:val="20"/>
          <w:szCs w:val="20"/>
          <w:color w:val="auto"/>
        </w:rPr>
      </w:pPr>
      <w:r>
        <w:rPr>
          <w:rFonts w:ascii="Arial" w:cs="Arial" w:eastAsia="Arial" w:hAnsi="Arial"/>
          <w:sz w:val="11"/>
          <w:szCs w:val="11"/>
          <w:b w:val="1"/>
          <w:bCs w:val="1"/>
          <w:color w:val="auto"/>
        </w:rPr>
        <w:t>Amount</w:t>
      </w:r>
    </w:p>
    <w:p>
      <w:pPr>
        <w:spacing w:after="0" w:line="16" w:lineRule="exact"/>
        <w:rPr>
          <w:sz w:val="20"/>
          <w:szCs w:val="20"/>
          <w:color w:val="auto"/>
        </w:rPr>
      </w:pPr>
    </w:p>
    <w:tbl>
      <w:tblPr>
        <w:tblLayout w:type="fixed"/>
        <w:tblInd w:w="1560" w:type="dxa"/>
        <w:tblCellMar>
          <w:top w:w="0" w:type="dxa"/>
          <w:left w:w="0" w:type="dxa"/>
          <w:bottom w:w="0" w:type="dxa"/>
          <w:right w:w="0" w:type="dxa"/>
        </w:tblCellMar>
      </w:tblPr>
      <w:tr>
        <w:trPr>
          <w:trHeight w:val="165"/>
        </w:trPr>
        <w:tc>
          <w:tcPr>
            <w:tcW w:w="5060" w:type="dxa"/>
            <w:vAlign w:val="bottom"/>
          </w:tcPr>
          <w:p>
            <w:pPr>
              <w:jc w:val="right"/>
              <w:ind w:right="18"/>
              <w:spacing w:after="0"/>
              <w:rPr>
                <w:sz w:val="20"/>
                <w:szCs w:val="20"/>
                <w:color w:val="auto"/>
              </w:rPr>
            </w:pPr>
            <w:r>
              <w:rPr>
                <w:rFonts w:ascii="Arial" w:cs="Arial" w:eastAsia="Arial" w:hAnsi="Arial"/>
                <w:sz w:val="12"/>
                <w:szCs w:val="12"/>
                <w:color w:val="auto"/>
              </w:rPr>
              <w:t xml:space="preserve">Balance as of January 31, 2023 </w:t>
            </w:r>
            <w:r>
              <w:rPr>
                <w:rFonts w:ascii="Times New Roman" w:cs="Times New Roman" w:eastAsia="Times New Roman" w:hAnsi="Times New Roman"/>
                <w:sz w:val="12"/>
                <w:szCs w:val="12"/>
                <w:color w:val="B4B4B4"/>
              </w:rPr>
              <w:t>......................................................................................................</w:t>
            </w:r>
          </w:p>
        </w:tc>
        <w:tc>
          <w:tcPr>
            <w:tcW w:w="2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209,305</w:t>
            </w:r>
          </w:p>
        </w:tc>
      </w:tr>
      <w:tr>
        <w:trPr>
          <w:trHeight w:val="182"/>
        </w:trPr>
        <w:tc>
          <w:tcPr>
            <w:tcW w:w="5060" w:type="dxa"/>
            <w:vAlign w:val="bottom"/>
          </w:tcPr>
          <w:p>
            <w:pPr>
              <w:jc w:val="right"/>
              <w:ind w:right="18"/>
              <w:spacing w:after="0"/>
              <w:rPr>
                <w:sz w:val="20"/>
                <w:szCs w:val="20"/>
                <w:color w:val="auto"/>
              </w:rPr>
            </w:pPr>
            <w:r>
              <w:rPr>
                <w:rFonts w:ascii="Arial" w:cs="Arial" w:eastAsia="Arial" w:hAnsi="Arial"/>
                <w:sz w:val="12"/>
                <w:szCs w:val="12"/>
                <w:color w:val="auto"/>
              </w:rPr>
              <w:t xml:space="preserve">Goodwill arising from acquisitions </w:t>
            </w:r>
            <w:r>
              <w:rPr>
                <w:rFonts w:ascii="Times New Roman" w:cs="Times New Roman" w:eastAsia="Times New Roman" w:hAnsi="Times New Roman"/>
                <w:sz w:val="12"/>
                <w:szCs w:val="12"/>
                <w:color w:val="B4B4B4"/>
              </w:rPr>
              <w:t>..............................................................................................</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6,288</w:t>
            </w:r>
          </w:p>
        </w:tc>
      </w:tr>
    </w:tbl>
    <w:p>
      <w:pPr>
        <w:sectPr>
          <w:pgSz w:w="11900" w:h="16840" w:orient="portrait"/>
          <w:cols w:equalWidth="0" w:num="1">
            <w:col w:w="9020"/>
          </w:cols>
          <w:pgMar w:left="1440" w:top="570" w:right="1440" w:bottom="78" w:gutter="0" w:footer="0" w:header="0"/>
        </w:sectPr>
      </w:pPr>
    </w:p>
    <w:bookmarkStart w:id="178" w:name="page179"/>
    <w:bookmarkEnd w:id="178"/>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39"/>
        </w:trPr>
        <w:tc>
          <w:tcPr>
            <w:tcW w:w="5140" w:type="dxa"/>
            <w:vAlign w:val="bottom"/>
          </w:tcPr>
          <w:p>
            <w:pPr>
              <w:jc w:val="right"/>
              <w:ind w:right="58"/>
              <w:spacing w:after="0"/>
              <w:rPr>
                <w:sz w:val="20"/>
                <w:szCs w:val="20"/>
                <w:color w:val="auto"/>
              </w:rPr>
            </w:pPr>
            <w:r>
              <w:rPr>
                <w:rFonts w:ascii="Arial" w:cs="Arial" w:eastAsia="Arial" w:hAnsi="Arial"/>
                <w:sz w:val="12"/>
                <w:szCs w:val="12"/>
                <w:color w:val="auto"/>
              </w:rPr>
              <w:t xml:space="preserve">Foreign currency translation impact </w:t>
            </w:r>
            <w:r>
              <w:rPr>
                <w:rFonts w:ascii="Times New Roman" w:cs="Times New Roman" w:eastAsia="Times New Roman" w:hAnsi="Times New Roman"/>
                <w:sz w:val="12"/>
                <w:szCs w:val="12"/>
                <w:color w:val="B4B4B4"/>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4,948</w:t>
            </w:r>
          </w:p>
        </w:tc>
      </w:tr>
      <w:tr>
        <w:trPr>
          <w:trHeight w:val="134"/>
        </w:trPr>
        <w:tc>
          <w:tcPr>
            <w:tcW w:w="5140" w:type="dxa"/>
            <w:vAlign w:val="bottom"/>
            <w:tcBorders>
              <w:bottom w:val="single" w:sz="8" w:color="CCEEFF"/>
            </w:tcBorders>
          </w:tcPr>
          <w:p>
            <w:pPr>
              <w:jc w:val="right"/>
              <w:ind w:right="58"/>
              <w:spacing w:after="0" w:line="134" w:lineRule="exact"/>
              <w:rPr>
                <w:sz w:val="20"/>
                <w:szCs w:val="20"/>
                <w:color w:val="auto"/>
              </w:rPr>
            </w:pPr>
            <w:r>
              <w:rPr>
                <w:rFonts w:ascii="Arial" w:cs="Arial" w:eastAsia="Arial" w:hAnsi="Arial"/>
                <w:sz w:val="12"/>
                <w:szCs w:val="12"/>
                <w:color w:val="auto"/>
              </w:rPr>
              <w:t xml:space="preserve">Balance as of January 31, 2024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tcPr>
          <w:p>
            <w:pPr>
              <w:ind w:left="20"/>
              <w:spacing w:after="0" w:line="134" w:lineRule="exact"/>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18"/>
              <w:spacing w:after="0" w:line="134" w:lineRule="exact"/>
              <w:rPr>
                <w:sz w:val="20"/>
                <w:szCs w:val="20"/>
                <w:color w:val="auto"/>
              </w:rPr>
            </w:pPr>
            <w:r>
              <w:rPr>
                <w:rFonts w:ascii="Arial" w:cs="Arial" w:eastAsia="Arial" w:hAnsi="Arial"/>
                <w:sz w:val="12"/>
                <w:szCs w:val="12"/>
                <w:color w:val="auto"/>
              </w:rPr>
              <w:t>220,541</w:t>
            </w:r>
          </w:p>
        </w:tc>
      </w:tr>
      <w:tr>
        <w:trPr>
          <w:trHeight w:val="162"/>
        </w:trPr>
        <w:tc>
          <w:tcPr>
            <w:tcW w:w="51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 xml:space="preserve">Goodwill arising from acquisitions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4,006</w:t>
            </w:r>
          </w:p>
        </w:tc>
      </w:tr>
      <w:tr>
        <w:trPr>
          <w:trHeight w:val="182"/>
        </w:trPr>
        <w:tc>
          <w:tcPr>
            <w:tcW w:w="5140" w:type="dxa"/>
            <w:vAlign w:val="bottom"/>
          </w:tcPr>
          <w:p>
            <w:pPr>
              <w:jc w:val="right"/>
              <w:ind w:right="58"/>
              <w:spacing w:after="0"/>
              <w:rPr>
                <w:sz w:val="20"/>
                <w:szCs w:val="20"/>
                <w:color w:val="auto"/>
              </w:rPr>
            </w:pPr>
            <w:r>
              <w:rPr>
                <w:rFonts w:ascii="Arial" w:cs="Arial" w:eastAsia="Arial" w:hAnsi="Arial"/>
                <w:sz w:val="12"/>
                <w:szCs w:val="12"/>
                <w:color w:val="auto"/>
              </w:rPr>
              <w:t xml:space="preserve">Foreign currency translation impact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(4,819)</w:t>
            </w:r>
          </w:p>
        </w:tc>
      </w:tr>
      <w:tr>
        <w:trPr>
          <w:trHeight w:val="182"/>
        </w:trPr>
        <w:tc>
          <w:tcPr>
            <w:tcW w:w="51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 xml:space="preserve">Balance as of January 31, 2025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219,728</w:t>
            </w:r>
          </w:p>
        </w:tc>
      </w:tr>
      <w:tr>
        <w:trPr>
          <w:trHeight w:val="162"/>
        </w:trPr>
        <w:tc>
          <w:tcPr>
            <w:tcW w:w="5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82"/>
        </w:trPr>
        <w:tc>
          <w:tcPr>
            <w:tcW w:w="51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There were no impairments of goodwill recognized during the years ended January 31,</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2025 and</w:t>
            </w:r>
          </w:p>
        </w:tc>
      </w:tr>
      <w:tr>
        <w:trPr>
          <w:trHeight w:val="173"/>
        </w:trPr>
        <w:tc>
          <w:tcPr>
            <w:tcW w:w="5140" w:type="dxa"/>
            <w:vAlign w:val="bottom"/>
          </w:tcPr>
          <w:p>
            <w:pPr>
              <w:jc w:val="right"/>
              <w:ind w:right="4758"/>
              <w:spacing w:after="0"/>
              <w:rPr>
                <w:sz w:val="20"/>
                <w:szCs w:val="20"/>
                <w:color w:val="auto"/>
              </w:rPr>
            </w:pPr>
            <w:r>
              <w:rPr>
                <w:rFonts w:ascii="Arial" w:cs="Arial" w:eastAsia="Arial" w:hAnsi="Arial"/>
                <w:sz w:val="12"/>
                <w:szCs w:val="12"/>
                <w:color w:val="auto"/>
                <w:w w:val="99"/>
              </w:rPr>
              <w:t>2024.</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-862330</wp:posOffset>
            </wp:positionV>
            <wp:extent cx="6732270" cy="99707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39"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Intangible Assets</w:t>
      </w:r>
    </w:p>
    <w:p>
      <w:pPr>
        <w:spacing w:after="0" w:line="12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Intangible assets consisted of the following (in thousands, except years data):</w:t>
      </w:r>
    </w:p>
    <w:p>
      <w:pPr>
        <w:spacing w:after="0" w:line="109"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2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4"/>
          </w:tcPr>
          <w:p>
            <w:pPr>
              <w:ind w:left="140"/>
              <w:spacing w:after="0"/>
              <w:rPr>
                <w:sz w:val="20"/>
                <w:szCs w:val="20"/>
                <w:color w:val="auto"/>
              </w:rPr>
            </w:pPr>
            <w:r>
              <w:rPr>
                <w:rFonts w:ascii="Arial" w:cs="Arial" w:eastAsia="Arial" w:hAnsi="Arial"/>
                <w:sz w:val="11"/>
                <w:szCs w:val="11"/>
                <w:b w:val="1"/>
                <w:bCs w:val="1"/>
                <w:color w:val="auto"/>
              </w:rPr>
              <w:t>As of January 31, 202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5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3"/>
              </w:rPr>
              <w:t>Weighted-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520" w:type="dxa"/>
            <w:vAlign w:val="bottom"/>
          </w:tcPr>
          <w:p>
            <w:pPr>
              <w:spacing w:after="0"/>
              <w:rPr>
                <w:sz w:val="9"/>
                <w:szCs w:val="9"/>
                <w:color w:val="auto"/>
              </w:rPr>
            </w:pPr>
          </w:p>
        </w:tc>
        <w:tc>
          <w:tcPr>
            <w:tcW w:w="84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6"/>
              </w:rPr>
              <w:t>Average</w:t>
            </w:r>
          </w:p>
        </w:tc>
        <w:tc>
          <w:tcPr>
            <w:tcW w:w="40" w:type="dxa"/>
            <w:vAlign w:val="bottom"/>
          </w:tcPr>
          <w:p>
            <w:pPr>
              <w:spacing w:after="0"/>
              <w:rPr>
                <w:sz w:val="9"/>
                <w:szCs w:val="9"/>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w w:val="97"/>
              </w:rPr>
              <w:t>Gross Carrying</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Accumulated</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520" w:type="dxa"/>
            <w:vAlign w:val="bottom"/>
          </w:tcPr>
          <w:p>
            <w:pPr>
              <w:spacing w:after="0"/>
              <w:rPr>
                <w:sz w:val="8"/>
                <w:szCs w:val="8"/>
                <w:color w:val="auto"/>
              </w:rPr>
            </w:pPr>
          </w:p>
        </w:tc>
        <w:tc>
          <w:tcPr>
            <w:tcW w:w="840" w:type="dxa"/>
            <w:vAlign w:val="bottom"/>
          </w:tcPr>
          <w:p>
            <w:pPr>
              <w:jc w:val="center"/>
              <w:spacing w:after="0" w:line="96" w:lineRule="exact"/>
              <w:rPr>
                <w:sz w:val="20"/>
                <w:szCs w:val="20"/>
                <w:color w:val="auto"/>
              </w:rPr>
            </w:pPr>
            <w:r>
              <w:rPr>
                <w:rFonts w:ascii="Arial" w:cs="Arial" w:eastAsia="Arial" w:hAnsi="Arial"/>
                <w:sz w:val="11"/>
                <w:szCs w:val="11"/>
                <w:b w:val="1"/>
                <w:bCs w:val="1"/>
                <w:color w:val="auto"/>
                <w:w w:val="93"/>
              </w:rPr>
              <w:t>Remaining Life</w:t>
            </w:r>
          </w:p>
        </w:tc>
        <w:tc>
          <w:tcPr>
            <w:tcW w:w="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restart"/>
          </w:tcPr>
          <w:p>
            <w:pPr>
              <w:jc w:val="right"/>
              <w:ind w:right="59"/>
              <w:spacing w:after="0"/>
              <w:rPr>
                <w:sz w:val="20"/>
                <w:szCs w:val="20"/>
                <w:color w:val="auto"/>
              </w:rPr>
            </w:pPr>
            <w:r>
              <w:rPr>
                <w:rFonts w:ascii="Arial" w:cs="Arial" w:eastAsia="Arial" w:hAnsi="Arial"/>
                <w:sz w:val="11"/>
                <w:szCs w:val="11"/>
                <w:b w:val="1"/>
                <w:bCs w:val="1"/>
                <w:color w:val="auto"/>
                <w:w w:val="92"/>
              </w:rPr>
              <w:t>Net Amount</w:t>
            </w:r>
          </w:p>
        </w:tc>
        <w:tc>
          <w:tcPr>
            <w:tcW w:w="0" w:type="dxa"/>
            <w:vAlign w:val="bottom"/>
          </w:tcPr>
          <w:p>
            <w:pPr>
              <w:spacing w:after="0"/>
              <w:rPr>
                <w:sz w:val="1"/>
                <w:szCs w:val="1"/>
                <w:color w:val="auto"/>
              </w:rPr>
            </w:pPr>
          </w:p>
        </w:tc>
      </w:tr>
      <w:tr>
        <w:trPr>
          <w:trHeight w:val="153"/>
        </w:trPr>
        <w:tc>
          <w:tcPr>
            <w:tcW w:w="25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(Years)</w:t>
            </w: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61"/>
              <w:spacing w:after="0"/>
              <w:rPr>
                <w:sz w:val="20"/>
                <w:szCs w:val="20"/>
                <w:color w:val="auto"/>
              </w:rPr>
            </w:pPr>
            <w:r>
              <w:rPr>
                <w:rFonts w:ascii="Arial" w:cs="Arial" w:eastAsia="Arial" w:hAnsi="Arial"/>
                <w:sz w:val="11"/>
                <w:szCs w:val="11"/>
                <w:b w:val="1"/>
                <w:bCs w:val="1"/>
                <w:color w:val="auto"/>
              </w:rPr>
              <w:t>Amount</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Amortization</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Tradenames</w:t>
            </w: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15.2</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43,579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(8,601)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34,978</w:t>
            </w:r>
          </w:p>
        </w:tc>
        <w:tc>
          <w:tcPr>
            <w:tcW w:w="0" w:type="dxa"/>
            <w:vAlign w:val="bottom"/>
          </w:tcPr>
          <w:p>
            <w:pPr>
              <w:spacing w:after="0"/>
              <w:rPr>
                <w:sz w:val="1"/>
                <w:szCs w:val="1"/>
                <w:color w:val="auto"/>
              </w:rPr>
            </w:pPr>
          </w:p>
        </w:tc>
      </w:tr>
      <w:tr>
        <w:trPr>
          <w:trHeight w:val="173"/>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Customer relationships </w:t>
            </w:r>
            <w:r>
              <w:rPr>
                <w:rFonts w:ascii="Times New Roman" w:cs="Times New Roman" w:eastAsia="Times New Roman" w:hAnsi="Times New Roman"/>
                <w:sz w:val="12"/>
                <w:szCs w:val="12"/>
                <w:color w:val="B4B4B4"/>
              </w:rPr>
              <w:t>....................................</w:t>
            </w:r>
          </w:p>
        </w:tc>
        <w:tc>
          <w:tcPr>
            <w:tcW w:w="840" w:type="dxa"/>
            <w:vAlign w:val="bottom"/>
          </w:tcPr>
          <w:p>
            <w:pPr>
              <w:jc w:val="center"/>
              <w:spacing w:after="0"/>
              <w:rPr>
                <w:sz w:val="20"/>
                <w:szCs w:val="20"/>
                <w:color w:val="auto"/>
              </w:rPr>
            </w:pPr>
            <w:r>
              <w:rPr>
                <w:rFonts w:ascii="Arial" w:cs="Arial" w:eastAsia="Arial" w:hAnsi="Arial"/>
                <w:sz w:val="12"/>
                <w:szCs w:val="12"/>
                <w:color w:val="auto"/>
                <w:w w:val="95"/>
              </w:rPr>
              <w:t>8.6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27,989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(7,921)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20,068</w:t>
            </w:r>
          </w:p>
        </w:tc>
        <w:tc>
          <w:tcPr>
            <w:tcW w:w="0" w:type="dxa"/>
            <w:vAlign w:val="bottom"/>
          </w:tcPr>
          <w:p>
            <w:pPr>
              <w:spacing w:after="0"/>
              <w:rPr>
                <w:sz w:val="1"/>
                <w:szCs w:val="1"/>
                <w:color w:val="auto"/>
              </w:rPr>
            </w:pPr>
          </w:p>
        </w:tc>
      </w:tr>
      <w:tr>
        <w:trPr>
          <w:trHeight w:val="190"/>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Developed technology </w:t>
            </w:r>
            <w:r>
              <w:rPr>
                <w:rFonts w:ascii="Times New Roman" w:cs="Times New Roman" w:eastAsia="Times New Roman" w:hAnsi="Times New Roman"/>
                <w:sz w:val="12"/>
                <w:szCs w:val="12"/>
                <w:color w:val="B4B4B4"/>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0.3</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(422)</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85</w:t>
            </w:r>
          </w:p>
        </w:tc>
        <w:tc>
          <w:tcPr>
            <w:tcW w:w="0" w:type="dxa"/>
            <w:vAlign w:val="bottom"/>
          </w:tcPr>
          <w:p>
            <w:pPr>
              <w:spacing w:after="0"/>
              <w:rPr>
                <w:sz w:val="1"/>
                <w:szCs w:val="1"/>
                <w:color w:val="auto"/>
              </w:rPr>
            </w:pPr>
          </w:p>
        </w:tc>
      </w:tr>
      <w:tr>
        <w:trPr>
          <w:trHeight w:val="173"/>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Domain names </w:t>
            </w:r>
            <w:r>
              <w:rPr>
                <w:rFonts w:ascii="Times New Roman" w:cs="Times New Roman" w:eastAsia="Times New Roman" w:hAnsi="Times New Roman"/>
                <w:sz w:val="12"/>
                <w:szCs w:val="12"/>
                <w:color w:val="B4B4B4"/>
              </w:rPr>
              <w:t>..................................................</w:t>
            </w:r>
          </w:p>
        </w:tc>
        <w:tc>
          <w:tcPr>
            <w:tcW w:w="84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rPr>
              <w:t>12.8</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587</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502</w:t>
            </w:r>
          </w:p>
        </w:tc>
        <w:tc>
          <w:tcPr>
            <w:tcW w:w="0" w:type="dxa"/>
            <w:vAlign w:val="bottom"/>
          </w:tcPr>
          <w:p>
            <w:pPr>
              <w:spacing w:after="0"/>
              <w:rPr>
                <w:sz w:val="1"/>
                <w:szCs w:val="1"/>
                <w:color w:val="auto"/>
              </w:rPr>
            </w:pPr>
          </w:p>
        </w:tc>
      </w:tr>
      <w:tr>
        <w:trPr>
          <w:trHeight w:val="170"/>
        </w:trPr>
        <w:tc>
          <w:tcPr>
            <w:tcW w:w="2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b w:val="1"/>
                <w:bCs w:val="1"/>
                <w:color w:val="000000"/>
              </w:rPr>
              <w:t>Totalintangibleassets</w:t>
            </w:r>
          </w:p>
        </w:tc>
        <w:tc>
          <w:tcPr>
            <w:tcW w:w="8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72,662</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(17,029)</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55,633</w:t>
            </w:r>
          </w:p>
        </w:tc>
        <w:tc>
          <w:tcPr>
            <w:tcW w:w="0" w:type="dxa"/>
            <w:vAlign w:val="bottom"/>
          </w:tcPr>
          <w:p>
            <w:pPr>
              <w:spacing w:after="0"/>
              <w:rPr>
                <w:sz w:val="1"/>
                <w:szCs w:val="1"/>
                <w:color w:val="auto"/>
              </w:rPr>
            </w:pPr>
          </w:p>
        </w:tc>
      </w:tr>
      <w:tr>
        <w:trPr>
          <w:trHeight w:val="268"/>
        </w:trPr>
        <w:tc>
          <w:tcPr>
            <w:tcW w:w="2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gridSpan w:val="4"/>
          </w:tcPr>
          <w:p>
            <w:pPr>
              <w:ind w:left="140"/>
              <w:spacing w:after="0"/>
              <w:rPr>
                <w:sz w:val="20"/>
                <w:szCs w:val="20"/>
                <w:color w:val="auto"/>
              </w:rPr>
            </w:pPr>
            <w:r>
              <w:rPr>
                <w:rFonts w:ascii="Arial" w:cs="Arial" w:eastAsia="Arial" w:hAnsi="Arial"/>
                <w:sz w:val="11"/>
                <w:szCs w:val="11"/>
                <w:b w:val="1"/>
                <w:bCs w:val="1"/>
                <w:color w:val="auto"/>
              </w:rPr>
              <w:t>As of January 31, 202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25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3"/>
              </w:rPr>
              <w:t>Weighted-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520" w:type="dxa"/>
            <w:vAlign w:val="bottom"/>
          </w:tcPr>
          <w:p>
            <w:pPr>
              <w:spacing w:after="0"/>
              <w:rPr>
                <w:sz w:val="9"/>
                <w:szCs w:val="9"/>
                <w:color w:val="auto"/>
              </w:rPr>
            </w:pPr>
          </w:p>
        </w:tc>
        <w:tc>
          <w:tcPr>
            <w:tcW w:w="84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6"/>
              </w:rPr>
              <w:t>Average</w:t>
            </w:r>
          </w:p>
        </w:tc>
        <w:tc>
          <w:tcPr>
            <w:tcW w:w="40" w:type="dxa"/>
            <w:vAlign w:val="bottom"/>
          </w:tcPr>
          <w:p>
            <w:pPr>
              <w:spacing w:after="0"/>
              <w:rPr>
                <w:sz w:val="9"/>
                <w:szCs w:val="9"/>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w w:val="97"/>
              </w:rPr>
              <w:t>Gross Carrying</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Accumulated</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520" w:type="dxa"/>
            <w:vAlign w:val="bottom"/>
          </w:tcPr>
          <w:p>
            <w:pPr>
              <w:spacing w:after="0"/>
              <w:rPr>
                <w:sz w:val="8"/>
                <w:szCs w:val="8"/>
                <w:color w:val="auto"/>
              </w:rPr>
            </w:pPr>
          </w:p>
        </w:tc>
        <w:tc>
          <w:tcPr>
            <w:tcW w:w="840" w:type="dxa"/>
            <w:vAlign w:val="bottom"/>
          </w:tcPr>
          <w:p>
            <w:pPr>
              <w:jc w:val="center"/>
              <w:spacing w:after="0" w:line="96" w:lineRule="exact"/>
              <w:rPr>
                <w:sz w:val="20"/>
                <w:szCs w:val="20"/>
                <w:color w:val="auto"/>
              </w:rPr>
            </w:pPr>
            <w:r>
              <w:rPr>
                <w:rFonts w:ascii="Arial" w:cs="Arial" w:eastAsia="Arial" w:hAnsi="Arial"/>
                <w:sz w:val="11"/>
                <w:szCs w:val="11"/>
                <w:b w:val="1"/>
                <w:bCs w:val="1"/>
                <w:color w:val="auto"/>
                <w:w w:val="93"/>
              </w:rPr>
              <w:t>Remaining Life</w:t>
            </w:r>
          </w:p>
        </w:tc>
        <w:tc>
          <w:tcPr>
            <w:tcW w:w="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restart"/>
          </w:tcPr>
          <w:p>
            <w:pPr>
              <w:jc w:val="right"/>
              <w:ind w:right="59"/>
              <w:spacing w:after="0"/>
              <w:rPr>
                <w:sz w:val="20"/>
                <w:szCs w:val="20"/>
                <w:color w:val="auto"/>
              </w:rPr>
            </w:pPr>
            <w:r>
              <w:rPr>
                <w:rFonts w:ascii="Arial" w:cs="Arial" w:eastAsia="Arial" w:hAnsi="Arial"/>
                <w:sz w:val="11"/>
                <w:szCs w:val="11"/>
                <w:b w:val="1"/>
                <w:bCs w:val="1"/>
                <w:color w:val="auto"/>
                <w:w w:val="92"/>
              </w:rPr>
              <w:t>Net Amount</w:t>
            </w:r>
          </w:p>
        </w:tc>
        <w:tc>
          <w:tcPr>
            <w:tcW w:w="0" w:type="dxa"/>
            <w:vAlign w:val="bottom"/>
          </w:tcPr>
          <w:p>
            <w:pPr>
              <w:spacing w:after="0"/>
              <w:rPr>
                <w:sz w:val="1"/>
                <w:szCs w:val="1"/>
                <w:color w:val="auto"/>
              </w:rPr>
            </w:pPr>
          </w:p>
        </w:tc>
      </w:tr>
      <w:tr>
        <w:trPr>
          <w:trHeight w:val="153"/>
        </w:trPr>
        <w:tc>
          <w:tcPr>
            <w:tcW w:w="25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(Years)</w:t>
            </w: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61"/>
              <w:spacing w:after="0"/>
              <w:rPr>
                <w:sz w:val="20"/>
                <w:szCs w:val="20"/>
                <w:color w:val="auto"/>
              </w:rPr>
            </w:pPr>
            <w:r>
              <w:rPr>
                <w:rFonts w:ascii="Arial" w:cs="Arial" w:eastAsia="Arial" w:hAnsi="Arial"/>
                <w:sz w:val="11"/>
                <w:szCs w:val="11"/>
                <w:b w:val="1"/>
                <w:bCs w:val="1"/>
                <w:color w:val="auto"/>
              </w:rPr>
              <w:t>Amount</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Amortization</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Tradenames</w:t>
            </w: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16.2</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44,627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(6,516)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38,111</w:t>
            </w:r>
          </w:p>
        </w:tc>
        <w:tc>
          <w:tcPr>
            <w:tcW w:w="0" w:type="dxa"/>
            <w:vAlign w:val="bottom"/>
          </w:tcPr>
          <w:p>
            <w:pPr>
              <w:spacing w:after="0"/>
              <w:rPr>
                <w:sz w:val="1"/>
                <w:szCs w:val="1"/>
                <w:color w:val="auto"/>
              </w:rPr>
            </w:pPr>
          </w:p>
        </w:tc>
      </w:tr>
      <w:tr>
        <w:trPr>
          <w:trHeight w:val="173"/>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Customer relationships </w:t>
            </w:r>
            <w:r>
              <w:rPr>
                <w:rFonts w:ascii="Times New Roman" w:cs="Times New Roman" w:eastAsia="Times New Roman" w:hAnsi="Times New Roman"/>
                <w:sz w:val="12"/>
                <w:szCs w:val="12"/>
                <w:color w:val="B4B4B4"/>
              </w:rPr>
              <w:t>....................................</w:t>
            </w:r>
          </w:p>
        </w:tc>
        <w:tc>
          <w:tcPr>
            <w:tcW w:w="840" w:type="dxa"/>
            <w:vAlign w:val="bottom"/>
          </w:tcPr>
          <w:p>
            <w:pPr>
              <w:jc w:val="center"/>
              <w:spacing w:after="0"/>
              <w:rPr>
                <w:sz w:val="20"/>
                <w:szCs w:val="20"/>
                <w:color w:val="auto"/>
              </w:rPr>
            </w:pPr>
            <w:r>
              <w:rPr>
                <w:rFonts w:ascii="Arial" w:cs="Arial" w:eastAsia="Arial" w:hAnsi="Arial"/>
                <w:sz w:val="12"/>
                <w:szCs w:val="12"/>
                <w:color w:val="auto"/>
              </w:rPr>
              <w:t>9.6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1"/>
              <w:spacing w:after="0"/>
              <w:rPr>
                <w:sz w:val="20"/>
                <w:szCs w:val="20"/>
                <w:color w:val="auto"/>
              </w:rPr>
            </w:pPr>
            <w:r>
              <w:rPr>
                <w:rFonts w:ascii="Arial" w:cs="Arial" w:eastAsia="Arial" w:hAnsi="Arial"/>
                <w:sz w:val="12"/>
                <w:szCs w:val="12"/>
                <w:color w:val="auto"/>
              </w:rPr>
              <w:t>27,544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(5,525)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22,019</w:t>
            </w:r>
          </w:p>
        </w:tc>
        <w:tc>
          <w:tcPr>
            <w:tcW w:w="0" w:type="dxa"/>
            <w:vAlign w:val="bottom"/>
          </w:tcPr>
          <w:p>
            <w:pPr>
              <w:spacing w:after="0"/>
              <w:rPr>
                <w:sz w:val="1"/>
                <w:szCs w:val="1"/>
                <w:color w:val="auto"/>
              </w:rPr>
            </w:pPr>
          </w:p>
        </w:tc>
      </w:tr>
      <w:tr>
        <w:trPr>
          <w:trHeight w:val="190"/>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Developed technology </w:t>
            </w:r>
            <w:r>
              <w:rPr>
                <w:rFonts w:ascii="Times New Roman" w:cs="Times New Roman" w:eastAsia="Times New Roman" w:hAnsi="Times New Roman"/>
                <w:sz w:val="12"/>
                <w:szCs w:val="12"/>
                <w:color w:val="B4B4B4"/>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1.3</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511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341</w:t>
            </w:r>
          </w:p>
        </w:tc>
        <w:tc>
          <w:tcPr>
            <w:tcW w:w="0" w:type="dxa"/>
            <w:vAlign w:val="bottom"/>
          </w:tcPr>
          <w:p>
            <w:pPr>
              <w:spacing w:after="0"/>
              <w:rPr>
                <w:sz w:val="1"/>
                <w:szCs w:val="1"/>
                <w:color w:val="auto"/>
              </w:rPr>
            </w:pPr>
          </w:p>
        </w:tc>
      </w:tr>
      <w:tr>
        <w:trPr>
          <w:trHeight w:val="173"/>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Domain names </w:t>
            </w:r>
            <w:r>
              <w:rPr>
                <w:rFonts w:ascii="Times New Roman" w:cs="Times New Roman" w:eastAsia="Times New Roman" w:hAnsi="Times New Roman"/>
                <w:sz w:val="12"/>
                <w:szCs w:val="12"/>
                <w:color w:val="B4B4B4"/>
              </w:rPr>
              <w:t>..................................................</w:t>
            </w:r>
          </w:p>
        </w:tc>
        <w:tc>
          <w:tcPr>
            <w:tcW w:w="84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rPr>
              <w:t>13.8</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587</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541</w:t>
            </w:r>
          </w:p>
        </w:tc>
        <w:tc>
          <w:tcPr>
            <w:tcW w:w="0" w:type="dxa"/>
            <w:vAlign w:val="bottom"/>
          </w:tcPr>
          <w:p>
            <w:pPr>
              <w:spacing w:after="0"/>
              <w:rPr>
                <w:sz w:val="1"/>
                <w:szCs w:val="1"/>
                <w:color w:val="auto"/>
              </w:rPr>
            </w:pPr>
          </w:p>
        </w:tc>
      </w:tr>
      <w:tr>
        <w:trPr>
          <w:trHeight w:val="170"/>
        </w:trPr>
        <w:tc>
          <w:tcPr>
            <w:tcW w:w="2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b w:val="1"/>
                <w:bCs w:val="1"/>
                <w:color w:val="000000"/>
              </w:rPr>
              <w:t>Totalintangibleassets</w:t>
            </w:r>
          </w:p>
        </w:tc>
        <w:tc>
          <w:tcPr>
            <w:tcW w:w="8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73,269</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(12,257)</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61,012</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During the year ended January 31, 2025 , amortization expense related to intangible assets of</w:t>
      </w:r>
    </w:p>
    <w:p>
      <w:pPr>
        <w:spacing w:after="0" w:line="27" w:lineRule="exact"/>
        <w:rPr>
          <w:sz w:val="20"/>
          <w:szCs w:val="20"/>
          <w:color w:val="auto"/>
        </w:rPr>
      </w:pPr>
    </w:p>
    <w:p>
      <w:pPr>
        <w:ind w:left="1520"/>
        <w:spacing w:after="0"/>
        <w:tabs>
          <w:tab w:leader="none" w:pos="5100" w:val="left"/>
        </w:tabs>
        <w:rPr>
          <w:sz w:val="20"/>
          <w:szCs w:val="20"/>
          <w:color w:val="auto"/>
        </w:rPr>
      </w:pPr>
      <w:r>
        <w:rPr>
          <w:rFonts w:ascii="Arial" w:cs="Arial" w:eastAsia="Arial" w:hAnsi="Arial"/>
          <w:sz w:val="12"/>
          <w:szCs w:val="12"/>
          <w:color w:val="auto"/>
        </w:rPr>
        <w:t>$5.0 million was recorded in sales and marketing expense, and</w:t>
        <w:tab/>
        <w:t>$0.3 million was recorded in cost of</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revenue within the consolidated statement of operations.</w:t>
      </w:r>
    </w:p>
    <w:p>
      <w:pPr>
        <w:spacing w:after="0" w:line="11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During the year ended January 31, 2024 , amortization expense related to intangible assets of</w:t>
      </w:r>
    </w:p>
    <w:p>
      <w:pPr>
        <w:spacing w:after="0" w:line="27" w:lineRule="exact"/>
        <w:rPr>
          <w:sz w:val="20"/>
          <w:szCs w:val="20"/>
          <w:color w:val="auto"/>
        </w:rPr>
      </w:pPr>
    </w:p>
    <w:p>
      <w:pPr>
        <w:ind w:left="1520"/>
        <w:spacing w:after="0"/>
        <w:tabs>
          <w:tab w:leader="none" w:pos="5100" w:val="left"/>
        </w:tabs>
        <w:rPr>
          <w:sz w:val="20"/>
          <w:szCs w:val="20"/>
          <w:color w:val="auto"/>
        </w:rPr>
      </w:pPr>
      <w:r>
        <w:rPr>
          <w:rFonts w:ascii="Arial" w:cs="Arial" w:eastAsia="Arial" w:hAnsi="Arial"/>
          <w:sz w:val="12"/>
          <w:szCs w:val="12"/>
          <w:color w:val="auto"/>
        </w:rPr>
        <w:t>$4.8 million was recorded in sales and marketing expense, and</w:t>
        <w:tab/>
        <w:t>$1.5 million was recorded in cost of</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revenue within the consolidated statement of operations.</w:t>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F-27</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500" w:type="dxa"/>
            <w:vAlign w:val="bottom"/>
            <w:gridSpan w:val="2"/>
          </w:tcPr>
          <w:p>
            <w:pPr>
              <w:ind w:left="240"/>
              <w:spacing w:after="0"/>
              <w:rPr>
                <w:sz w:val="20"/>
                <w:szCs w:val="20"/>
                <w:color w:val="auto"/>
              </w:rPr>
            </w:pPr>
            <w:r>
              <w:rPr>
                <w:rFonts w:ascii="Arial" w:cs="Arial" w:eastAsia="Arial" w:hAnsi="Arial"/>
                <w:sz w:val="12"/>
                <w:szCs w:val="12"/>
                <w:color w:val="auto"/>
              </w:rPr>
              <w:t>The expected future amortization expenses related to intangible assets as of</w:t>
            </w:r>
          </w:p>
        </w:tc>
        <w:tc>
          <w:tcPr>
            <w:tcW w:w="1480" w:type="dxa"/>
            <w:vAlign w:val="bottom"/>
            <w:gridSpan w:val="4"/>
          </w:tcPr>
          <w:p>
            <w:pPr>
              <w:jc w:val="center"/>
              <w:spacing w:after="0"/>
              <w:rPr>
                <w:sz w:val="20"/>
                <w:szCs w:val="20"/>
                <w:color w:val="auto"/>
              </w:rPr>
            </w:pPr>
            <w:r>
              <w:rPr>
                <w:rFonts w:ascii="Arial" w:cs="Arial" w:eastAsia="Arial" w:hAnsi="Arial"/>
                <w:sz w:val="12"/>
                <w:szCs w:val="12"/>
                <w:color w:val="auto"/>
              </w:rPr>
              <w:t>January 31, 2025 were</w:t>
            </w:r>
          </w:p>
        </w:tc>
        <w:tc>
          <w:tcPr>
            <w:tcW w:w="0" w:type="dxa"/>
            <w:vAlign w:val="bottom"/>
          </w:tcPr>
          <w:p>
            <w:pPr>
              <w:spacing w:after="0"/>
              <w:rPr>
                <w:sz w:val="1"/>
                <w:szCs w:val="1"/>
                <w:color w:val="auto"/>
              </w:rPr>
            </w:pPr>
          </w:p>
        </w:tc>
      </w:tr>
      <w:tr>
        <w:trPr>
          <w:trHeight w:val="165"/>
        </w:trPr>
        <w:tc>
          <w:tcPr>
            <w:tcW w:w="4260" w:type="dxa"/>
            <w:vAlign w:val="bottom"/>
          </w:tcPr>
          <w:p>
            <w:pPr>
              <w:spacing w:after="0"/>
              <w:rPr>
                <w:sz w:val="20"/>
                <w:szCs w:val="20"/>
                <w:color w:val="auto"/>
              </w:rPr>
            </w:pPr>
            <w:r>
              <w:rPr>
                <w:rFonts w:ascii="Arial" w:cs="Arial" w:eastAsia="Arial" w:hAnsi="Arial"/>
                <w:sz w:val="12"/>
                <w:szCs w:val="12"/>
                <w:color w:val="auto"/>
              </w:rPr>
              <w:t>as follows (in thousands):</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Year Ended January 31,</w:t>
            </w: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72"/>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w w:val="93"/>
              </w:rPr>
              <w:t xml:space="preserve">2026 </w:t>
            </w:r>
            <w:r>
              <w:rPr>
                <w:rFonts w:ascii="Times New Roman" w:cs="Times New Roman" w:eastAsia="Times New Roman" w:hAnsi="Times New Roman"/>
                <w:sz w:val="12"/>
                <w:szCs w:val="12"/>
                <w:color w:val="B4B4B4"/>
                <w:w w:val="93"/>
              </w:rPr>
              <w:t>....................................................................................................................................................</w:t>
            </w: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4,937</w:t>
            </w:r>
          </w:p>
        </w:tc>
        <w:tc>
          <w:tcPr>
            <w:tcW w:w="0" w:type="dxa"/>
            <w:vAlign w:val="bottom"/>
          </w:tcPr>
          <w:p>
            <w:pPr>
              <w:spacing w:after="0"/>
              <w:rPr>
                <w:sz w:val="1"/>
                <w:szCs w:val="1"/>
                <w:color w:val="auto"/>
              </w:rPr>
            </w:pPr>
          </w:p>
        </w:tc>
      </w:tr>
      <w:tr>
        <w:trPr>
          <w:trHeight w:val="173"/>
        </w:trPr>
        <w:tc>
          <w:tcPr>
            <w:tcW w:w="4500" w:type="dxa"/>
            <w:vAlign w:val="bottom"/>
            <w:gridSpan w:val="2"/>
          </w:tcPr>
          <w:p>
            <w:pPr>
              <w:ind w:left="40"/>
              <w:spacing w:after="0"/>
              <w:rPr>
                <w:sz w:val="20"/>
                <w:szCs w:val="20"/>
                <w:color w:val="auto"/>
              </w:rPr>
            </w:pPr>
            <w:r>
              <w:rPr>
                <w:rFonts w:ascii="Arial" w:cs="Arial" w:eastAsia="Arial" w:hAnsi="Arial"/>
                <w:sz w:val="12"/>
                <w:szCs w:val="12"/>
                <w:color w:val="auto"/>
                <w:w w:val="93"/>
              </w:rPr>
              <w:t xml:space="preserve">2027 </w:t>
            </w:r>
            <w:r>
              <w:rPr>
                <w:rFonts w:ascii="Times New Roman" w:cs="Times New Roman" w:eastAsia="Times New Roman" w:hAnsi="Times New Roman"/>
                <w:sz w:val="12"/>
                <w:szCs w:val="12"/>
                <w:color w:val="B4B4B4"/>
                <w:w w:val="93"/>
              </w:rPr>
              <w:t>....................................................................................................................................................</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4,855</w:t>
            </w:r>
          </w:p>
        </w:tc>
        <w:tc>
          <w:tcPr>
            <w:tcW w:w="0" w:type="dxa"/>
            <w:vAlign w:val="bottom"/>
          </w:tcPr>
          <w:p>
            <w:pPr>
              <w:spacing w:after="0"/>
              <w:rPr>
                <w:sz w:val="1"/>
                <w:szCs w:val="1"/>
                <w:color w:val="auto"/>
              </w:rPr>
            </w:pPr>
          </w:p>
        </w:tc>
      </w:tr>
      <w:tr>
        <w:trPr>
          <w:trHeight w:val="190"/>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w w:val="93"/>
              </w:rPr>
              <w:t xml:space="preserve">2028 </w:t>
            </w:r>
            <w:r>
              <w:rPr>
                <w:rFonts w:ascii="Times New Roman" w:cs="Times New Roman" w:eastAsia="Times New Roman" w:hAnsi="Times New Roman"/>
                <w:sz w:val="12"/>
                <w:szCs w:val="12"/>
                <w:color w:val="B4B4B4"/>
                <w:w w:val="93"/>
              </w:rPr>
              <w:t>....................................................................................................................................................</w:t>
            </w: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4,643</w:t>
            </w:r>
          </w:p>
        </w:tc>
        <w:tc>
          <w:tcPr>
            <w:tcW w:w="0" w:type="dxa"/>
            <w:vAlign w:val="bottom"/>
          </w:tcPr>
          <w:p>
            <w:pPr>
              <w:spacing w:after="0"/>
              <w:rPr>
                <w:sz w:val="1"/>
                <w:szCs w:val="1"/>
                <w:color w:val="auto"/>
              </w:rPr>
            </w:pPr>
          </w:p>
        </w:tc>
      </w:tr>
      <w:tr>
        <w:trPr>
          <w:trHeight w:val="173"/>
        </w:trPr>
        <w:tc>
          <w:tcPr>
            <w:tcW w:w="4500" w:type="dxa"/>
            <w:vAlign w:val="bottom"/>
            <w:gridSpan w:val="2"/>
          </w:tcPr>
          <w:p>
            <w:pPr>
              <w:ind w:left="40"/>
              <w:spacing w:after="0"/>
              <w:rPr>
                <w:sz w:val="20"/>
                <w:szCs w:val="20"/>
                <w:color w:val="auto"/>
              </w:rPr>
            </w:pPr>
            <w:r>
              <w:rPr>
                <w:rFonts w:ascii="Arial" w:cs="Arial" w:eastAsia="Arial" w:hAnsi="Arial"/>
                <w:sz w:val="12"/>
                <w:szCs w:val="12"/>
                <w:color w:val="auto"/>
                <w:w w:val="93"/>
              </w:rPr>
              <w:t xml:space="preserve">2029 </w:t>
            </w:r>
            <w:r>
              <w:rPr>
                <w:rFonts w:ascii="Times New Roman" w:cs="Times New Roman" w:eastAsia="Times New Roman" w:hAnsi="Times New Roman"/>
                <w:sz w:val="12"/>
                <w:szCs w:val="12"/>
                <w:color w:val="B4B4B4"/>
                <w:w w:val="93"/>
              </w:rPr>
              <w:t>....................................................................................................................................................</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4,624</w:t>
            </w:r>
          </w:p>
        </w:tc>
        <w:tc>
          <w:tcPr>
            <w:tcW w:w="0" w:type="dxa"/>
            <w:vAlign w:val="bottom"/>
          </w:tcPr>
          <w:p>
            <w:pPr>
              <w:spacing w:after="0"/>
              <w:rPr>
                <w:sz w:val="1"/>
                <w:szCs w:val="1"/>
                <w:color w:val="auto"/>
              </w:rPr>
            </w:pPr>
          </w:p>
        </w:tc>
      </w:tr>
      <w:tr>
        <w:trPr>
          <w:trHeight w:val="190"/>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w w:val="93"/>
              </w:rPr>
              <w:t xml:space="preserve">2030 </w:t>
            </w:r>
            <w:r>
              <w:rPr>
                <w:rFonts w:ascii="Times New Roman" w:cs="Times New Roman" w:eastAsia="Times New Roman" w:hAnsi="Times New Roman"/>
                <w:sz w:val="12"/>
                <w:szCs w:val="12"/>
                <w:color w:val="B4B4B4"/>
                <w:w w:val="93"/>
              </w:rPr>
              <w:t>....................................................................................................................................................</w:t>
            </w: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4,553</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CCEEFF"/>
            </w:tcBorders>
            <w:gridSpan w:val="2"/>
          </w:tcPr>
          <w:p>
            <w:pPr>
              <w:ind w:left="40"/>
              <w:spacing w:after="0"/>
              <w:rPr>
                <w:sz w:val="20"/>
                <w:szCs w:val="20"/>
                <w:color w:val="auto"/>
              </w:rPr>
            </w:pPr>
            <w:r>
              <w:rPr>
                <w:rFonts w:ascii="Arial" w:cs="Arial" w:eastAsia="Arial" w:hAnsi="Arial"/>
                <w:sz w:val="12"/>
                <w:szCs w:val="12"/>
                <w:color w:val="auto"/>
                <w:w w:val="93"/>
              </w:rPr>
              <w:t xml:space="preserve">Thereafter </w:t>
            </w:r>
            <w:r>
              <w:rPr>
                <w:rFonts w:ascii="Times New Roman" w:cs="Times New Roman" w:eastAsia="Times New Roman" w:hAnsi="Times New Roman"/>
                <w:sz w:val="12"/>
                <w:szCs w:val="12"/>
                <w:color w:val="B4B4B4"/>
                <w:w w:val="93"/>
              </w:rPr>
              <w:t>...........................................................................................................................................</w:t>
            </w:r>
          </w:p>
        </w:tc>
        <w:tc>
          <w:tcPr>
            <w:tcW w:w="6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32,021</w:t>
            </w:r>
          </w:p>
        </w:tc>
        <w:tc>
          <w:tcPr>
            <w:tcW w:w="0" w:type="dxa"/>
            <w:vAlign w:val="bottom"/>
          </w:tcPr>
          <w:p>
            <w:pPr>
              <w:spacing w:after="0"/>
              <w:rPr>
                <w:sz w:val="1"/>
                <w:szCs w:val="1"/>
                <w:color w:val="auto"/>
              </w:rPr>
            </w:pPr>
          </w:p>
        </w:tc>
      </w:tr>
      <w:tr>
        <w:trPr>
          <w:trHeight w:val="171"/>
        </w:trPr>
        <w:tc>
          <w:tcPr>
            <w:tcW w:w="4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B4B4B4"/>
                <w:w w:val="93"/>
              </w:rPr>
              <w:t>................................................................................................................................................</w:t>
            </w:r>
            <w:r>
              <w:rPr>
                <w:rFonts w:ascii="Arial" w:cs="Arial" w:eastAsia="Arial" w:hAnsi="Arial"/>
                <w:sz w:val="12"/>
                <w:szCs w:val="12"/>
                <w:color w:val="000000"/>
                <w:w w:val="93"/>
              </w:rPr>
              <w:t>Total</w:t>
            </w:r>
          </w:p>
        </w:tc>
        <w:tc>
          <w:tcPr>
            <w:tcW w:w="6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55,633</w:t>
            </w:r>
          </w:p>
        </w:tc>
        <w:tc>
          <w:tcPr>
            <w:tcW w:w="0" w:type="dxa"/>
            <w:vAlign w:val="bottom"/>
          </w:tcPr>
          <w:p>
            <w:pPr>
              <w:spacing w:after="0"/>
              <w:rPr>
                <w:sz w:val="1"/>
                <w:szCs w:val="1"/>
                <w:color w:val="auto"/>
              </w:rPr>
            </w:pPr>
          </w:p>
        </w:tc>
      </w:tr>
      <w:tr>
        <w:trPr>
          <w:trHeight w:val="283"/>
        </w:trPr>
        <w:tc>
          <w:tcPr>
            <w:tcW w:w="4260" w:type="dxa"/>
            <w:vAlign w:val="bottom"/>
          </w:tcPr>
          <w:p>
            <w:pPr>
              <w:spacing w:after="0"/>
              <w:rPr>
                <w:sz w:val="20"/>
                <w:szCs w:val="20"/>
                <w:color w:val="auto"/>
              </w:rPr>
            </w:pPr>
            <w:r>
              <w:rPr>
                <w:rFonts w:ascii="Arial" w:cs="Arial" w:eastAsia="Arial" w:hAnsi="Arial"/>
                <w:sz w:val="12"/>
                <w:szCs w:val="12"/>
                <w:b w:val="1"/>
                <w:bCs w:val="1"/>
                <w:color w:val="auto"/>
              </w:rPr>
              <w:t>NOTE 8 – DEBT</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260" w:type="dxa"/>
            <w:vAlign w:val="bottom"/>
          </w:tcPr>
          <w:p>
            <w:pPr>
              <w:ind w:left="240"/>
              <w:spacing w:after="0"/>
              <w:rPr>
                <w:sz w:val="20"/>
                <w:szCs w:val="20"/>
                <w:color w:val="auto"/>
              </w:rPr>
            </w:pPr>
            <w:r>
              <w:rPr>
                <w:rFonts w:ascii="Arial" w:cs="Arial" w:eastAsia="Arial" w:hAnsi="Arial"/>
                <w:sz w:val="12"/>
                <w:szCs w:val="12"/>
                <w:color w:val="auto"/>
              </w:rPr>
              <w:t>The Company had the following debt outstanding (in thousands):</w:t>
            </w: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4"/>
            <w:vMerge w:val="restart"/>
          </w:tcPr>
          <w:p>
            <w:pPr>
              <w:ind w:left="200"/>
              <w:spacing w:after="0"/>
              <w:rPr>
                <w:sz w:val="20"/>
                <w:szCs w:val="20"/>
                <w:color w:val="auto"/>
              </w:rPr>
            </w:pPr>
            <w:r>
              <w:rPr>
                <w:rFonts w:ascii="Arial" w:cs="Arial" w:eastAsia="Arial" w:hAnsi="Arial"/>
                <w:sz w:val="11"/>
                <w:szCs w:val="11"/>
                <w:b w:val="1"/>
                <w:bCs w:val="1"/>
                <w:color w:val="auto"/>
              </w:rPr>
              <w:t>As of January 31</w:t>
            </w:r>
          </w:p>
        </w:tc>
        <w:tc>
          <w:tcPr>
            <w:tcW w:w="0" w:type="dxa"/>
            <w:vAlign w:val="bottom"/>
          </w:tcPr>
          <w:p>
            <w:pPr>
              <w:spacing w:after="0"/>
              <w:rPr>
                <w:sz w:val="1"/>
                <w:szCs w:val="1"/>
                <w:color w:val="auto"/>
              </w:rPr>
            </w:pPr>
          </w:p>
        </w:tc>
      </w:tr>
      <w:tr>
        <w:trPr>
          <w:trHeight w:val="105"/>
        </w:trPr>
        <w:tc>
          <w:tcPr>
            <w:tcW w:w="4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ind w:left="200"/>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Convertiblenotes</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125,000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125,000</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Warehouse credit facility </w:t>
            </w:r>
            <w:r>
              <w:rPr>
                <w:rFonts w:ascii="Times New Roman" w:cs="Times New Roman" w:eastAsia="Times New Roman" w:hAnsi="Times New Roman"/>
                <w:sz w:val="12"/>
                <w:szCs w:val="12"/>
                <w:color w:val="B4B4B4"/>
              </w:rPr>
              <w:t>........................................................................................</w:t>
            </w:r>
          </w:p>
        </w:tc>
        <w:tc>
          <w:tcPr>
            <w:tcW w:w="240" w:type="dxa"/>
            <w:vAlign w:val="bottom"/>
          </w:tcPr>
          <w:p>
            <w:pPr>
              <w:spacing w:after="0"/>
              <w:rPr>
                <w:sz w:val="15"/>
                <w:szCs w:val="15"/>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214,238</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9"/>
              <w:spacing w:after="0"/>
              <w:rPr>
                <w:sz w:val="20"/>
                <w:szCs w:val="20"/>
                <w:color w:val="auto"/>
              </w:rPr>
            </w:pPr>
            <w:r>
              <w:rPr>
                <w:rFonts w:ascii="Arial" w:cs="Arial" w:eastAsia="Arial" w:hAnsi="Arial"/>
                <w:sz w:val="12"/>
                <w:szCs w:val="12"/>
                <w:color w:val="auto"/>
              </w:rPr>
              <w:t>206,404</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Trade loan facility </w:t>
            </w:r>
            <w:r>
              <w:rPr>
                <w:rFonts w:ascii="Times New Roman" w:cs="Times New Roman" w:eastAsia="Times New Roman" w:hAnsi="Times New Roman"/>
                <w:sz w:val="12"/>
                <w:szCs w:val="12"/>
                <w:color w:val="B4B4B4"/>
              </w:rPr>
              <w:t>....................................................................................................</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45,000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Notes payable:</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 xml:space="preserve">2022 promissory note </w:t>
            </w:r>
            <w:r>
              <w:rPr>
                <w:rFonts w:ascii="Times New Roman" w:cs="Times New Roman" w:eastAsia="Times New Roman" w:hAnsi="Times New Roman"/>
                <w:sz w:val="12"/>
                <w:szCs w:val="12"/>
                <w:color w:val="B4B4B4"/>
              </w:rPr>
              <w:t>........................................................................................</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150,000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150,000</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jc w:val="right"/>
              <w:ind w:right="58"/>
              <w:spacing w:after="0"/>
              <w:rPr>
                <w:sz w:val="20"/>
                <w:szCs w:val="20"/>
                <w:color w:val="auto"/>
              </w:rPr>
            </w:pPr>
            <w:r>
              <w:rPr>
                <w:rFonts w:ascii="Arial" w:cs="Arial" w:eastAsia="Arial" w:hAnsi="Arial"/>
                <w:sz w:val="12"/>
                <w:szCs w:val="12"/>
                <w:color w:val="auto"/>
              </w:rPr>
              <w:t xml:space="preserve">Other debt </w:t>
            </w:r>
            <w:r>
              <w:rPr>
                <w:rFonts w:ascii="Times New Roman" w:cs="Times New Roman" w:eastAsia="Times New Roman" w:hAnsi="Times New Roman"/>
                <w:sz w:val="12"/>
                <w:szCs w:val="12"/>
                <w:color w:val="B4B4B4"/>
              </w:rPr>
              <w:t>...........................................................................................................</w:t>
            </w: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968</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3,439</w:t>
            </w:r>
          </w:p>
        </w:tc>
        <w:tc>
          <w:tcPr>
            <w:tcW w:w="0" w:type="dxa"/>
            <w:vAlign w:val="bottom"/>
          </w:tcPr>
          <w:p>
            <w:pPr>
              <w:spacing w:after="0"/>
              <w:rPr>
                <w:sz w:val="1"/>
                <w:szCs w:val="1"/>
                <w:color w:val="auto"/>
              </w:rPr>
            </w:pPr>
          </w:p>
        </w:tc>
      </w:tr>
      <w:tr>
        <w:trPr>
          <w:trHeight w:val="170"/>
        </w:trPr>
        <w:tc>
          <w:tcPr>
            <w:tcW w:w="4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Totalnotespayable</w:t>
            </w:r>
          </w:p>
        </w:tc>
        <w:tc>
          <w:tcPr>
            <w:tcW w:w="2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150,968</w:t>
            </w:r>
          </w:p>
        </w:tc>
        <w:tc>
          <w:tcPr>
            <w:tcW w:w="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153,439</w:t>
            </w:r>
          </w:p>
        </w:tc>
        <w:tc>
          <w:tcPr>
            <w:tcW w:w="0" w:type="dxa"/>
            <w:vAlign w:val="bottom"/>
          </w:tcPr>
          <w:p>
            <w:pPr>
              <w:spacing w:after="0"/>
              <w:rPr>
                <w:sz w:val="1"/>
                <w:szCs w:val="1"/>
                <w:color w:val="auto"/>
              </w:rPr>
            </w:pPr>
          </w:p>
        </w:tc>
      </w:tr>
      <w:tr>
        <w:trPr>
          <w:trHeight w:val="158"/>
        </w:trPr>
        <w:tc>
          <w:tcPr>
            <w:tcW w:w="426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Totalprincipalamountofdebtandborrowings</w:t>
            </w: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535,206</w:t>
            </w: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484,843</w:t>
            </w:r>
          </w:p>
        </w:tc>
        <w:tc>
          <w:tcPr>
            <w:tcW w:w="0" w:type="dxa"/>
            <w:vAlign w:val="bottom"/>
          </w:tcPr>
          <w:p>
            <w:pPr>
              <w:spacing w:after="0"/>
              <w:rPr>
                <w:sz w:val="1"/>
                <w:szCs w:val="1"/>
                <w:color w:val="auto"/>
              </w:rPr>
            </w:pPr>
          </w:p>
        </w:tc>
      </w:tr>
      <w:tr>
        <w:trPr>
          <w:trHeight w:val="166"/>
        </w:trPr>
        <w:tc>
          <w:tcPr>
            <w:tcW w:w="4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Less:unamortizeddebtdiscountandissuancecosts</w:t>
            </w: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(11,324)</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(22,039)</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jc w:val="right"/>
              <w:ind w:right="38"/>
              <w:spacing w:after="0"/>
              <w:rPr>
                <w:sz w:val="20"/>
                <w:szCs w:val="20"/>
                <w:color w:val="auto"/>
              </w:rPr>
            </w:pPr>
            <w:r>
              <w:rPr>
                <w:rFonts w:ascii="Arial" w:cs="Arial" w:eastAsia="Arial" w:hAnsi="Arial"/>
                <w:sz w:val="12"/>
                <w:szCs w:val="12"/>
                <w:color w:val="auto"/>
              </w:rPr>
              <w:t xml:space="preserve">Plus: accrued interest </w:t>
            </w:r>
            <w:r>
              <w:rPr>
                <w:rFonts w:ascii="Times New Roman" w:cs="Times New Roman" w:eastAsia="Times New Roman" w:hAnsi="Times New Roman"/>
                <w:sz w:val="12"/>
                <w:szCs w:val="12"/>
                <w:color w:val="B4B4B4"/>
              </w:rPr>
              <w:t>......................................................................................</w:t>
            </w: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94,056</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60,051</w:t>
            </w:r>
          </w:p>
        </w:tc>
        <w:tc>
          <w:tcPr>
            <w:tcW w:w="0" w:type="dxa"/>
            <w:vAlign w:val="bottom"/>
          </w:tcPr>
          <w:p>
            <w:pPr>
              <w:spacing w:after="0"/>
              <w:rPr>
                <w:sz w:val="1"/>
                <w:szCs w:val="1"/>
                <w:color w:val="auto"/>
              </w:rPr>
            </w:pPr>
          </w:p>
        </w:tc>
      </w:tr>
      <w:tr>
        <w:trPr>
          <w:trHeight w:val="170"/>
        </w:trPr>
        <w:tc>
          <w:tcPr>
            <w:tcW w:w="4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Netcarryingvalueofdebtandborrowings</w:t>
            </w: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617,938</w:t>
            </w:r>
          </w:p>
        </w:tc>
        <w:tc>
          <w:tcPr>
            <w:tcW w:w="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522,855</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Convertible Notes</w:t>
      </w:r>
    </w:p>
    <w:p>
      <w:pPr>
        <w:spacing w:after="0" w:line="128" w:lineRule="exact"/>
        <w:rPr>
          <w:sz w:val="20"/>
          <w:szCs w:val="20"/>
          <w:color w:val="auto"/>
        </w:rPr>
      </w:pPr>
    </w:p>
    <w:p>
      <w:pPr>
        <w:ind w:left="1520" w:right="1680" w:firstLine="230"/>
        <w:spacing w:after="0" w:line="272" w:lineRule="auto"/>
        <w:rPr>
          <w:sz w:val="20"/>
          <w:szCs w:val="20"/>
          <w:color w:val="auto"/>
        </w:rPr>
      </w:pPr>
      <w:r>
        <w:rPr>
          <w:rFonts w:ascii="Arial" w:cs="Arial" w:eastAsia="Arial" w:hAnsi="Arial"/>
          <w:sz w:val="12"/>
          <w:szCs w:val="12"/>
          <w:color w:val="auto"/>
        </w:rPr>
        <w:t>In June 2020, we issued convertible notes of $125.0 million in aggregate principal amount, net of $2.9 million in debt issuance costs, with an initial maturity of June 2025. During the year ended January 31, 2025, the holders exercised their option to extend the term of the convertible notes by two years from June 2025 to June 2027. Interest accrues on the principal amount at an initial rate of 7.5% per annum and is added to the principal as payment in kind (“PIK”) interest and compounded semi-annually. Beginning in June 2022, the stated interest rate escalates 1% biannually to 12.5% per annum through maturity. The interest rate remained unchanged through the extended term. The convertible notes contain certain affirmative or negative covenants applicable to the Company, including, among other things, restrictions on repurchases of stock, dividends and other distributions.</w:t>
      </w:r>
    </w:p>
    <w:p>
      <w:pPr>
        <w:spacing w:after="0" w:line="85" w:lineRule="exact"/>
        <w:rPr>
          <w:sz w:val="20"/>
          <w:szCs w:val="20"/>
          <w:color w:val="auto"/>
        </w:rPr>
      </w:pPr>
    </w:p>
    <w:p>
      <w:pPr>
        <w:ind w:left="1520" w:right="1820" w:firstLine="230"/>
        <w:spacing w:after="0" w:line="312" w:lineRule="auto"/>
        <w:rPr>
          <w:sz w:val="20"/>
          <w:szCs w:val="20"/>
          <w:color w:val="auto"/>
        </w:rPr>
      </w:pPr>
      <w:r>
        <w:rPr>
          <w:rFonts w:ascii="Arial" w:cs="Arial" w:eastAsia="Arial" w:hAnsi="Arial"/>
          <w:sz w:val="12"/>
          <w:szCs w:val="12"/>
          <w:color w:val="auto"/>
        </w:rPr>
        <w:t>The convertible notes also contain embedded features, including conversion options that are exercisable upon the occurrence of various contingencies. The conversion options involve a discount to</w:t>
      </w:r>
    </w:p>
    <w:p>
      <w:pPr>
        <w:sectPr>
          <w:pgSz w:w="11900" w:h="16840" w:orient="portrait"/>
          <w:cols w:equalWidth="0" w:num="1">
            <w:col w:w="9020"/>
          </w:cols>
          <w:pgMar w:left="1440" w:top="555" w:right="1440" w:bottom="0" w:gutter="0" w:footer="0" w:header="0"/>
        </w:sectPr>
      </w:pPr>
    </w:p>
    <w:bookmarkStart w:id="179" w:name="page180"/>
    <w:bookmarkEnd w:id="179"/>
    <w:p>
      <w:pPr>
        <w:ind w:left="1520" w:right="1740"/>
        <w:spacing w:after="0" w:line="259" w:lineRule="auto"/>
        <w:rPr>
          <w:sz w:val="20"/>
          <w:szCs w:val="20"/>
          <w:color w:val="auto"/>
        </w:rPr>
      </w:pPr>
      <w:r>
        <w:rPr>
          <w:rFonts w:ascii="Arial" w:cs="Arial" w:eastAsia="Arial" w:hAnsi="Arial"/>
          <w:sz w:val="12"/>
          <w:szCs w:val="12"/>
          <w:color w:val="auto"/>
        </w:rPr>
        <w:t>the conversion price ranging from 20% to 35% that increases with the passage of time. The share- settled redemption features of the convertible notes represent embedded derivatives requiring bifurcation.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-182245</wp:posOffset>
            </wp:positionV>
            <wp:extent cx="6732270" cy="99707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700"/>
        <w:spacing w:after="0" w:line="275" w:lineRule="auto"/>
        <w:rPr>
          <w:sz w:val="20"/>
          <w:szCs w:val="20"/>
          <w:color w:val="auto"/>
        </w:rPr>
      </w:pPr>
      <w:r>
        <w:rPr>
          <w:rFonts w:ascii="Arial" w:cs="Arial" w:eastAsia="Arial" w:hAnsi="Arial"/>
          <w:sz w:val="12"/>
          <w:szCs w:val="12"/>
          <w:color w:val="auto"/>
        </w:rPr>
        <w:t>recorded the initial fair value of the embedded derivative liability of $43.1 million as a discount on the convertible notes’ face amount. Refer to Note 3 — Fair Value Measurements for additional detail regarding the embedded derivative liability. The debt discount is amortized to interest expense at an effective interest rate of 13.5% through the extended maturity date. If no conversion or settlement event is</w:t>
      </w: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F-28</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ind w:left="1520" w:right="1640"/>
        <w:spacing w:after="0" w:line="312" w:lineRule="auto"/>
        <w:rPr>
          <w:sz w:val="20"/>
          <w:szCs w:val="20"/>
          <w:color w:val="auto"/>
        </w:rPr>
      </w:pPr>
      <w:r>
        <w:rPr>
          <w:rFonts w:ascii="Arial" w:cs="Arial" w:eastAsia="Arial" w:hAnsi="Arial"/>
          <w:sz w:val="12"/>
          <w:szCs w:val="12"/>
          <w:color w:val="auto"/>
        </w:rPr>
        <w:t>triggered prior to the notes’ maturity, the convertible notes will be redeemed at a 12.5% internal rate of return (“IRR”). The 12.5% IRR payout at maturity is incorporated into the effective interest rate calculation.</w:t>
      </w:r>
    </w:p>
    <w:p>
      <w:pPr>
        <w:spacing w:after="0" w:line="62" w:lineRule="exact"/>
        <w:rPr>
          <w:sz w:val="20"/>
          <w:szCs w:val="20"/>
          <w:color w:val="auto"/>
        </w:rPr>
      </w:pPr>
    </w:p>
    <w:p>
      <w:pPr>
        <w:ind w:left="1520" w:right="1800" w:firstLine="230"/>
        <w:spacing w:after="0" w:line="289" w:lineRule="auto"/>
        <w:rPr>
          <w:sz w:val="20"/>
          <w:szCs w:val="20"/>
          <w:color w:val="auto"/>
        </w:rPr>
      </w:pPr>
      <w:r>
        <w:rPr>
          <w:rFonts w:ascii="Arial" w:cs="Arial" w:eastAsia="Arial" w:hAnsi="Arial"/>
          <w:sz w:val="12"/>
          <w:szCs w:val="12"/>
          <w:color w:val="auto"/>
        </w:rPr>
        <w:t>The convertible notes are presented on the consolidated balance sheets at their original issuance value plus PIK interest, net of the unamortized debt discount and issuance costs, and are not marked to fair value at each reporting period.</w:t>
      </w:r>
    </w:p>
    <w:p>
      <w:pPr>
        <w:spacing w:after="0" w:line="76"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The net carrying amount of the convertible notes was as follows (in thousands):</w:t>
      </w:r>
    </w:p>
    <w:p>
      <w:pPr>
        <w:spacing w:after="0" w:line="147"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4"/>
          </w:tcPr>
          <w:p>
            <w:pPr>
              <w:ind w:left="240"/>
              <w:spacing w:after="0"/>
              <w:rPr>
                <w:sz w:val="20"/>
                <w:szCs w:val="20"/>
                <w:color w:val="auto"/>
              </w:rPr>
            </w:pPr>
            <w:r>
              <w:rPr>
                <w:rFonts w:ascii="Arial" w:cs="Arial" w:eastAsia="Arial" w:hAnsi="Arial"/>
                <w:sz w:val="11"/>
                <w:szCs w:val="11"/>
                <w:b w:val="1"/>
                <w:bCs w:val="1"/>
                <w:color w:val="auto"/>
              </w:rPr>
              <w:t>As of January 31</w:t>
            </w: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ind w:left="240"/>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Principal</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125,000</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125,000</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Unamortized debt discount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(7,456)</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(13,581)</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Unamortized debt issuance costs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(498)</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(906)</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PIK interest added to principal balance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65,348</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44,174</w:t>
            </w:r>
          </w:p>
        </w:tc>
        <w:tc>
          <w:tcPr>
            <w:tcW w:w="0" w:type="dxa"/>
            <w:vAlign w:val="bottom"/>
          </w:tcPr>
          <w:p>
            <w:pPr>
              <w:spacing w:after="0"/>
              <w:rPr>
                <w:sz w:val="1"/>
                <w:szCs w:val="1"/>
                <w:color w:val="auto"/>
              </w:rPr>
            </w:pPr>
          </w:p>
        </w:tc>
      </w:tr>
      <w:tr>
        <w:trPr>
          <w:trHeight w:val="170"/>
        </w:trPr>
        <w:tc>
          <w:tcPr>
            <w:tcW w:w="4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Netcarryingamount</w:t>
            </w: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182,394</w:t>
            </w:r>
          </w:p>
        </w:tc>
        <w:tc>
          <w:tcPr>
            <w:tcW w:w="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154,687</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Interest expense related to the convertible notes was as follows (in thousands):</w:t>
      </w:r>
    </w:p>
    <w:p>
      <w:pPr>
        <w:spacing w:after="0" w:line="168"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1"/>
                <w:szCs w:val="11"/>
                <w:b w:val="1"/>
                <w:bCs w:val="1"/>
                <w:color w:val="auto"/>
                <w:w w:val="99"/>
              </w:rPr>
              <w:t>Year Ended January 31,</w:t>
            </w:r>
          </w:p>
        </w:tc>
      </w:tr>
      <w:tr>
        <w:trPr>
          <w:trHeight w:val="147"/>
        </w:trPr>
        <w:tc>
          <w:tcPr>
            <w:tcW w:w="4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2024</w:t>
            </w:r>
          </w:p>
        </w:tc>
      </w:tr>
      <w:tr>
        <w:trPr>
          <w:trHeight w:val="167"/>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Amortizationofdebtdiscount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6,124</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9,267</w:t>
            </w: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Amortization of debt issuance costs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409</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618</w:t>
            </w: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PIK interest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21,174</w:t>
            </w: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16,155</w:t>
            </w:r>
          </w:p>
        </w:tc>
      </w:tr>
      <w:tr>
        <w:trPr>
          <w:trHeight w:val="143"/>
        </w:trPr>
        <w:tc>
          <w:tcPr>
            <w:tcW w:w="4260" w:type="dxa"/>
            <w:vAlign w:val="bottom"/>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Totalnon-cashinterestexpense</w:t>
            </w: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27,707</w:t>
            </w:r>
          </w:p>
        </w:tc>
        <w:tc>
          <w:tcPr>
            <w:tcW w:w="40" w:type="dxa"/>
            <w:vAlign w:val="bottom"/>
          </w:tcPr>
          <w:p>
            <w:pPr>
              <w:spacing w:after="0"/>
              <w:rPr>
                <w:sz w:val="12"/>
                <w:szCs w:val="12"/>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26,040</w:t>
            </w:r>
          </w:p>
        </w:tc>
      </w:tr>
      <w:tr>
        <w:trPr>
          <w:trHeight w:val="20"/>
        </w:trPr>
        <w:tc>
          <w:tcPr>
            <w:tcW w:w="4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Warehouse Credit Facility</w:t>
      </w:r>
    </w:p>
    <w:p>
      <w:pPr>
        <w:spacing w:after="0" w:line="128" w:lineRule="exact"/>
        <w:rPr>
          <w:sz w:val="20"/>
          <w:szCs w:val="20"/>
          <w:color w:val="auto"/>
        </w:rPr>
      </w:pPr>
    </w:p>
    <w:p>
      <w:pPr>
        <w:ind w:left="1520" w:right="1760" w:firstLine="230"/>
        <w:spacing w:after="0" w:line="270" w:lineRule="auto"/>
        <w:rPr>
          <w:sz w:val="20"/>
          <w:szCs w:val="20"/>
          <w:color w:val="auto"/>
        </w:rPr>
      </w:pPr>
      <w:r>
        <w:rPr>
          <w:rFonts w:ascii="Arial" w:cs="Arial" w:eastAsia="Arial" w:hAnsi="Arial"/>
          <w:sz w:val="12"/>
          <w:szCs w:val="12"/>
          <w:color w:val="auto"/>
        </w:rPr>
        <w:t>In November 2022, Liquid Labs SPV, LLC (“Liquid Labs”), a wholly-owned subsidiary of the Company, entered into a loan agreement with a group of lenders for a revolving warehouse credit facility (“Warehouse Credit Facility”). Under the original terms of the agreement, the Warehouse Credit Facility had a maturity date of February 18, 2025, or earlier pursuant to the loan agreement, and had a total commitment amount of $200.0 million, consisting of a Class A facility and a Class B facility for $171.1 million and $28.9 million, respectively. The Warehouse Credit Facility was established to finance the Company’s expense management offering. Borrowings on the Warehouse Credit Facility bear interest at a floating rate based on SOFR plus an applicable margin, as defined by the loan agreement. The Warehouse Credit Facility has a minimum utilization of 50.0% of the committed amount, and any unused portion of the Warehouse Credit Facility will bear interest at 0.50% per annum. Borrowings under the Warehouse Credit Facility are secured by the corporate card receivables.</w:t>
      </w:r>
    </w:p>
    <w:p>
      <w:pPr>
        <w:spacing w:after="0" w:line="91" w:lineRule="exact"/>
        <w:rPr>
          <w:sz w:val="20"/>
          <w:szCs w:val="20"/>
          <w:color w:val="auto"/>
        </w:rPr>
      </w:pPr>
    </w:p>
    <w:p>
      <w:pPr>
        <w:ind w:left="1520" w:right="1580" w:firstLine="230"/>
        <w:spacing w:after="0" w:line="275" w:lineRule="auto"/>
        <w:rPr>
          <w:sz w:val="20"/>
          <w:szCs w:val="20"/>
          <w:color w:val="auto"/>
        </w:rPr>
      </w:pPr>
      <w:r>
        <w:rPr>
          <w:rFonts w:ascii="Arial" w:cs="Arial" w:eastAsia="Arial" w:hAnsi="Arial"/>
          <w:sz w:val="12"/>
          <w:szCs w:val="12"/>
          <w:color w:val="auto"/>
        </w:rPr>
        <w:t>The Warehouse Credit Facility was amended multiple times during the years ended January 31, 2025 and 2024. As of January 31, 2025, the amended terms of the Warehouse Credit Facility include total available borrowings of $275.0 million, an extended maturity date of February 2026, an expanded borrowing base to include receivables generated in foreign currency, and amendments to certain financial covenants. Subject to the amended terms, the available borrowings will decrease to $250.0 million in April 2025 through the maturity date.</w:t>
      </w:r>
    </w:p>
    <w:p>
      <w:pPr>
        <w:spacing w:after="0" w:line="85" w:lineRule="exact"/>
        <w:rPr>
          <w:sz w:val="20"/>
          <w:szCs w:val="20"/>
          <w:color w:val="auto"/>
        </w:rPr>
      </w:pPr>
    </w:p>
    <w:p>
      <w:pPr>
        <w:ind w:left="1520" w:right="1560" w:firstLine="230"/>
        <w:spacing w:after="0" w:line="277" w:lineRule="auto"/>
        <w:rPr>
          <w:sz w:val="20"/>
          <w:szCs w:val="20"/>
          <w:color w:val="auto"/>
        </w:rPr>
      </w:pPr>
      <w:r>
        <w:rPr>
          <w:rFonts w:ascii="Arial" w:cs="Arial" w:eastAsia="Arial" w:hAnsi="Arial"/>
          <w:sz w:val="12"/>
          <w:szCs w:val="12"/>
          <w:color w:val="auto"/>
        </w:rPr>
        <w:t xml:space="preserve">The Warehouse Credit Facility contains mandatory and optional redemption features upon an event of default and other potential additional interest provisions that are bifurcated and treated as embedded derivative liabilities under the accounting guidance ASC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xml:space="preserve"> . At inception of the Warehouse Credit Facility, and as of January 31, 2025 and 2024, the fair value of the embedded derivative liabilities was determined to be immaterial.</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F-29</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ind w:left="1520" w:right="1780" w:firstLine="230"/>
        <w:spacing w:after="0" w:line="281" w:lineRule="auto"/>
        <w:rPr>
          <w:sz w:val="20"/>
          <w:szCs w:val="20"/>
          <w:color w:val="auto"/>
        </w:rPr>
      </w:pPr>
      <w:r>
        <w:rPr>
          <w:rFonts w:ascii="Arial" w:cs="Arial" w:eastAsia="Arial" w:hAnsi="Arial"/>
          <w:sz w:val="12"/>
          <w:szCs w:val="12"/>
          <w:color w:val="auto"/>
        </w:rPr>
        <w:t>We incurred upfront commitment fees of $2.0 million for the Warehouse Credit Facility, which were recorded as a deferred cost asset on the balance sheet and are amortized on a straight-line basis as incremental interest expense. We incurred incremental upfront commitment fees of $1.4 million upon the renewal of the Warehouse Credit Facility during the year ended January 31, 2025 .</w:t>
      </w:r>
    </w:p>
    <w:p>
      <w:pPr>
        <w:spacing w:after="0" w:line="81" w:lineRule="exact"/>
        <w:rPr>
          <w:sz w:val="20"/>
          <w:szCs w:val="20"/>
          <w:color w:val="auto"/>
        </w:rPr>
      </w:pPr>
    </w:p>
    <w:p>
      <w:pPr>
        <w:ind w:left="1520" w:right="1560" w:firstLine="230"/>
        <w:spacing w:after="0" w:line="277" w:lineRule="auto"/>
        <w:rPr>
          <w:sz w:val="20"/>
          <w:szCs w:val="20"/>
          <w:color w:val="auto"/>
        </w:rPr>
      </w:pPr>
      <w:r>
        <w:rPr>
          <w:rFonts w:ascii="Arial" w:cs="Arial" w:eastAsia="Arial" w:hAnsi="Arial"/>
          <w:sz w:val="12"/>
          <w:szCs w:val="12"/>
          <w:color w:val="auto"/>
        </w:rPr>
        <w:t>During the years ended January 31, 2025 and 2024, we drew down an aggregate of $37.8 million and $206.4 million on the Warehouse Credit Facility. During the year ended January 31, 2025 , we repaid $30.0 million of the Warehouse Credit Facility. We did not make any repayments on the Warehouse Credit Facility during the year ended January 31, 2024. The amounts outstanding under the Warehouse Credit Facility are payable in February 2026.</w:t>
      </w:r>
    </w:p>
    <w:p>
      <w:pPr>
        <w:spacing w:after="0" w:line="84" w:lineRule="exact"/>
        <w:rPr>
          <w:sz w:val="20"/>
          <w:szCs w:val="20"/>
          <w:color w:val="auto"/>
        </w:rPr>
      </w:pPr>
    </w:p>
    <w:p>
      <w:pPr>
        <w:ind w:left="1520" w:right="1580" w:firstLine="230"/>
        <w:spacing w:after="0" w:line="281" w:lineRule="auto"/>
        <w:rPr>
          <w:sz w:val="20"/>
          <w:szCs w:val="20"/>
          <w:color w:val="auto"/>
        </w:rPr>
      </w:pPr>
      <w:r>
        <w:rPr>
          <w:rFonts w:ascii="Arial" w:cs="Arial" w:eastAsia="Arial" w:hAnsi="Arial"/>
          <w:sz w:val="12"/>
          <w:szCs w:val="12"/>
          <w:color w:val="auto"/>
        </w:rPr>
        <w:t>During the years ended January 31, 2025 and 2024, we recognized $22.9 million and $15.0 million of interest expense, respectively. Interest expense recognized during the years ended January 31, 2025 and 2024 is comprised of $21.4 million and $14.0 million of interest paid and payable, and $1.5 million and $1.0 million interest for the amortization of debt issuance costs, respectively.</w:t>
      </w:r>
    </w:p>
    <w:p>
      <w:pPr>
        <w:sectPr>
          <w:pgSz w:w="11900" w:h="16840" w:orient="portrait"/>
          <w:cols w:equalWidth="0" w:num="1">
            <w:col w:w="9020"/>
          </w:cols>
          <w:pgMar w:left="1440" w:top="560" w:right="1440" w:bottom="219" w:gutter="0" w:footer="0" w:header="0"/>
        </w:sectPr>
      </w:pPr>
    </w:p>
    <w:bookmarkStart w:id="180" w:name="page181"/>
    <w:bookmarkEnd w:id="180"/>
    <w:p>
      <w:pPr>
        <w:ind w:left="1760"/>
        <w:spacing w:after="0"/>
        <w:rPr>
          <w:sz w:val="20"/>
          <w:szCs w:val="20"/>
          <w:color w:val="auto"/>
        </w:rPr>
      </w:pPr>
      <w:r>
        <w:rPr>
          <w:rFonts w:ascii="Arial" w:cs="Arial" w:eastAsia="Arial" w:hAnsi="Arial"/>
          <w:sz w:val="12"/>
          <w:szCs w:val="12"/>
          <w:color w:val="auto"/>
        </w:rPr>
        <w:t>As of January 31, 2025 , we remain in compliance with the covenants of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760"/>
        <w:spacing w:after="0"/>
        <w:rPr>
          <w:sz w:val="20"/>
          <w:szCs w:val="20"/>
          <w:color w:val="auto"/>
        </w:rPr>
      </w:pPr>
      <w:r>
        <w:rPr>
          <w:rFonts w:ascii="Arial" w:cs="Arial" w:eastAsia="Arial" w:hAnsi="Arial"/>
          <w:sz w:val="12"/>
          <w:szCs w:val="12"/>
          <w:b w:val="1"/>
          <w:bCs w:val="1"/>
          <w:i w:val="1"/>
          <w:iCs w:val="1"/>
          <w:color w:val="auto"/>
        </w:rPr>
        <w:t>Trade Loan Facility</w:t>
      </w:r>
    </w:p>
    <w:p>
      <w:pPr>
        <w:spacing w:after="0" w:line="118" w:lineRule="exact"/>
        <w:rPr>
          <w:sz w:val="20"/>
          <w:szCs w:val="20"/>
          <w:color w:val="auto"/>
        </w:rPr>
      </w:pPr>
    </w:p>
    <w:p>
      <w:pPr>
        <w:ind w:left="1520" w:right="1700" w:firstLine="230"/>
        <w:spacing w:after="0" w:line="271" w:lineRule="auto"/>
        <w:rPr>
          <w:sz w:val="20"/>
          <w:szCs w:val="20"/>
          <w:color w:val="auto"/>
        </w:rPr>
      </w:pPr>
      <w:r>
        <w:rPr>
          <w:rFonts w:ascii="Arial" w:cs="Arial" w:eastAsia="Arial" w:hAnsi="Arial"/>
          <w:sz w:val="12"/>
          <w:szCs w:val="12"/>
          <w:color w:val="auto"/>
        </w:rPr>
        <w:t>In June 2024, the Company entered into a loan agreement with Citibank, N.A. (“Citibank”) for an uncommitted revolving line of credit facility (“Trade Loan Facility”), which was subsequently amended in July 2024 with changes to certain legal requirements. The loan agreement provides for a credit facility of up to $45.0 million and will remain effective until 30 days after the Company receives written notice from the lender, or until the date specified in a notice from the Company to the lender, the latter of which may be contingent upon the completion of another transaction. Borrowings under the facility must be repaid subject to the terms of each borrowing request, subject to a maximum term of 90 days. Borrowings on the Trade Loan Facility bear interest on a floating rate based on SOFR plus 2%. Borrowings under the Trade Loan Facility are secured by the Company’s billed accounts receivables. During the year ended January 31, 2025 , the Company drew down a total of $45.0 million on the Trade Loan Facility.</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2022 Promissory Note and Other Debt</w:t>
      </w:r>
    </w:p>
    <w:p>
      <w:pPr>
        <w:spacing w:after="0" w:line="128" w:lineRule="exact"/>
        <w:rPr>
          <w:sz w:val="20"/>
          <w:szCs w:val="20"/>
          <w:color w:val="auto"/>
        </w:rPr>
      </w:pPr>
    </w:p>
    <w:p>
      <w:pPr>
        <w:ind w:left="1520" w:right="1700" w:firstLine="230"/>
        <w:spacing w:after="0" w:line="271" w:lineRule="auto"/>
        <w:rPr>
          <w:sz w:val="20"/>
          <w:szCs w:val="20"/>
          <w:color w:val="auto"/>
        </w:rPr>
      </w:pPr>
      <w:r>
        <w:rPr>
          <w:rFonts w:ascii="Arial" w:cs="Arial" w:eastAsia="Arial" w:hAnsi="Arial"/>
          <w:sz w:val="12"/>
          <w:szCs w:val="12"/>
          <w:color w:val="auto"/>
        </w:rPr>
        <w:t>In September 2022, the Company issued a promissory note (the “2022 Promissory Note”) to a lender for $150.0 million, which matures on September 26, 2025. In conjunction with the 2022 Promissory Note, the Company issued 599,280 common stock warrants. Interest accrues on the principal amount at 11.5% per annum and is comprised of cash interest of 4% and PIK interest of 7.5%. Interest is payable quarterly in arrears and PIK interest is added to the principal balance and compounded on a quarterly basis. The Company may prepay the 2022 Promissory Note at any time. Should the Company prepay the 2022 Promissory Note, the total prepayment amount would be the greater of: (a) 1.3 times the original promissory note amount of $150.0 million, plus any unpaid interest and expenses then accrued and unpaid as of such date, and (b) the aggregate principal amount as of such date, plus any unpaid interest and expenses then accrued and unpaid as of such date.</w:t>
      </w:r>
    </w:p>
    <w:p>
      <w:pPr>
        <w:spacing w:after="0" w:line="88" w:lineRule="exact"/>
        <w:rPr>
          <w:sz w:val="20"/>
          <w:szCs w:val="20"/>
          <w:color w:val="auto"/>
        </w:rPr>
      </w:pPr>
    </w:p>
    <w:p>
      <w:pPr>
        <w:ind w:left="1520" w:right="1940" w:firstLine="230"/>
        <w:spacing w:after="0" w:line="275" w:lineRule="auto"/>
        <w:rPr>
          <w:sz w:val="20"/>
          <w:szCs w:val="20"/>
          <w:color w:val="auto"/>
        </w:rPr>
      </w:pPr>
      <w:r>
        <w:rPr>
          <w:rFonts w:ascii="Arial" w:cs="Arial" w:eastAsia="Arial" w:hAnsi="Arial"/>
          <w:sz w:val="12"/>
          <w:szCs w:val="12"/>
          <w:color w:val="auto"/>
        </w:rPr>
        <w:t>At issuance of the 2022 Promissory Note, the fair value of the common stock warrants was $11.8 million and was recorded as a debt discount. Debt issuance costs were approximately $0.1 million, consisting of advisor fees, legal fees and other related expenses. Both amounts were recorded as a reduction of the carrying amount of the debt liability. The debt discount and debt issuance costs are amortized to interest expense at an effective interest rate of 14.5% over the term of the loan. The common stock warrants were subsequently exercised during the year ended January 31, 2023.</w:t>
      </w:r>
    </w:p>
    <w:p>
      <w:pPr>
        <w:spacing w:after="0" w:line="85" w:lineRule="exact"/>
        <w:rPr>
          <w:sz w:val="20"/>
          <w:szCs w:val="20"/>
          <w:color w:val="auto"/>
        </w:rPr>
      </w:pPr>
    </w:p>
    <w:p>
      <w:pPr>
        <w:ind w:left="1520" w:right="1560" w:firstLine="230"/>
        <w:spacing w:after="0" w:line="312" w:lineRule="auto"/>
        <w:rPr>
          <w:sz w:val="20"/>
          <w:szCs w:val="20"/>
          <w:color w:val="auto"/>
        </w:rPr>
      </w:pPr>
      <w:r>
        <w:rPr>
          <w:rFonts w:ascii="Arial" w:cs="Arial" w:eastAsia="Arial" w:hAnsi="Arial"/>
          <w:sz w:val="12"/>
          <w:szCs w:val="12"/>
          <w:color w:val="auto"/>
        </w:rPr>
        <w:t>The 2022 Promissory Note contains certain affirmative or negative covenants including, among other things, restrictions on repurchases of stock, dividends and other distributions. As of January 31, 2025 and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F-30</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ind w:left="1520" w:right="1740"/>
        <w:spacing w:after="0" w:line="312" w:lineRule="auto"/>
        <w:rPr>
          <w:sz w:val="20"/>
          <w:szCs w:val="20"/>
          <w:color w:val="auto"/>
        </w:rPr>
      </w:pPr>
      <w:r>
        <w:rPr>
          <w:rFonts w:ascii="Arial" w:cs="Arial" w:eastAsia="Arial" w:hAnsi="Arial"/>
          <w:sz w:val="12"/>
          <w:szCs w:val="12"/>
          <w:color w:val="auto"/>
        </w:rPr>
        <w:t>2024, we remain in compliance with all covenants. The net carrying amount of the 2022 Promissory Note was as follows (in thousands):</w:t>
      </w:r>
    </w:p>
    <w:p>
      <w:pPr>
        <w:spacing w:after="0" w:line="79"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4"/>
          </w:tcPr>
          <w:p>
            <w:pPr>
              <w:ind w:left="240"/>
              <w:spacing w:after="0"/>
              <w:rPr>
                <w:sz w:val="20"/>
                <w:szCs w:val="20"/>
                <w:color w:val="auto"/>
              </w:rPr>
            </w:pPr>
            <w:r>
              <w:rPr>
                <w:rFonts w:ascii="Arial" w:cs="Arial" w:eastAsia="Arial" w:hAnsi="Arial"/>
                <w:sz w:val="11"/>
                <w:szCs w:val="11"/>
                <w:b w:val="1"/>
                <w:bCs w:val="1"/>
                <w:color w:val="auto"/>
              </w:rPr>
              <w:t>As of January 31</w:t>
            </w: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ind w:left="240"/>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Principal</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150,000</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150,000</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Unamortized debt discount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(3,342)</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(7,488)</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Unamortized debt issuance costs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PIK interest added to principal balance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28,708</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15,877</w:t>
            </w:r>
          </w:p>
        </w:tc>
        <w:tc>
          <w:tcPr>
            <w:tcW w:w="0" w:type="dxa"/>
            <w:vAlign w:val="bottom"/>
          </w:tcPr>
          <w:p>
            <w:pPr>
              <w:spacing w:after="0"/>
              <w:rPr>
                <w:sz w:val="1"/>
                <w:szCs w:val="1"/>
                <w:color w:val="auto"/>
              </w:rPr>
            </w:pPr>
          </w:p>
        </w:tc>
      </w:tr>
      <w:tr>
        <w:trPr>
          <w:trHeight w:val="170"/>
        </w:trPr>
        <w:tc>
          <w:tcPr>
            <w:tcW w:w="4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Netcarryingamount</w:t>
            </w: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175,338</w:t>
            </w:r>
          </w:p>
        </w:tc>
        <w:tc>
          <w:tcPr>
            <w:tcW w:w="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158,325</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Interest expense related to the 2022 Promissory Note was as follows (in thousands):</w:t>
      </w:r>
    </w:p>
    <w:p>
      <w:pPr>
        <w:spacing w:after="0" w:line="168"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1"/>
                <w:szCs w:val="11"/>
                <w:b w:val="1"/>
                <w:bCs w:val="1"/>
                <w:color w:val="auto"/>
                <w:w w:val="99"/>
              </w:rPr>
              <w:t>Year Ended January 31,</w:t>
            </w:r>
          </w:p>
        </w:tc>
      </w:tr>
      <w:tr>
        <w:trPr>
          <w:trHeight w:val="147"/>
        </w:trPr>
        <w:tc>
          <w:tcPr>
            <w:tcW w:w="4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2024</w:t>
            </w:r>
          </w:p>
        </w:tc>
      </w:tr>
      <w:tr>
        <w:trPr>
          <w:trHeight w:val="167"/>
        </w:trPr>
        <w:tc>
          <w:tcPr>
            <w:tcW w:w="4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Amortizationofdebtdiscount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4,147</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3,295</w:t>
            </w: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Amortization of debt issuance costs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35</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28</w:t>
            </w: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PIK interest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12,831</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11,910</w:t>
            </w:r>
          </w:p>
        </w:tc>
      </w:tr>
      <w:tr>
        <w:trPr>
          <w:trHeight w:val="173"/>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Cash interest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6,843</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6,335</w:t>
            </w:r>
          </w:p>
        </w:tc>
      </w:tr>
      <w:tr>
        <w:trPr>
          <w:trHeight w:val="170"/>
        </w:trPr>
        <w:tc>
          <w:tcPr>
            <w:tcW w:w="42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Totalinterestexpense</w:t>
            </w: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23,856</w:t>
            </w:r>
          </w:p>
        </w:tc>
        <w:tc>
          <w:tcPr>
            <w:tcW w:w="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21,568</w:t>
            </w:r>
          </w:p>
        </w:tc>
      </w:tr>
    </w:tbl>
    <w:p>
      <w:pPr>
        <w:spacing w:after="0" w:line="124" w:lineRule="exact"/>
        <w:rPr>
          <w:sz w:val="20"/>
          <w:szCs w:val="20"/>
          <w:color w:val="auto"/>
        </w:rPr>
      </w:pPr>
    </w:p>
    <w:p>
      <w:pPr>
        <w:ind w:left="1520" w:right="1760" w:firstLine="230"/>
        <w:spacing w:after="0" w:line="312" w:lineRule="auto"/>
        <w:rPr>
          <w:sz w:val="20"/>
          <w:szCs w:val="20"/>
          <w:color w:val="auto"/>
        </w:rPr>
      </w:pPr>
      <w:r>
        <w:rPr>
          <w:rFonts w:ascii="Arial" w:cs="Arial" w:eastAsia="Arial" w:hAnsi="Arial"/>
          <w:sz w:val="12"/>
          <w:szCs w:val="12"/>
          <w:color w:val="auto"/>
        </w:rPr>
        <w:t>Future payments of principal associated with the 2022 Promissory Note and other notes payable are as follows (in thousands):</w:t>
      </w:r>
    </w:p>
    <w:p>
      <w:pPr>
        <w:spacing w:after="0" w:line="91" w:lineRule="exact"/>
        <w:rPr>
          <w:sz w:val="20"/>
          <w:szCs w:val="20"/>
          <w:color w:val="auto"/>
        </w:rPr>
      </w:pPr>
    </w:p>
    <w:tbl>
      <w:tblPr>
        <w:tblLayout w:type="fixed"/>
        <w:tblInd w:w="1520" w:type="dxa"/>
        <w:tblCellMar>
          <w:top w:w="0" w:type="dxa"/>
          <w:left w:w="0" w:type="dxa"/>
          <w:bottom w:w="0" w:type="dxa"/>
          <w:right w:w="0" w:type="dxa"/>
        </w:tblCellMar>
      </w:tblPr>
      <w:tr>
        <w:trPr>
          <w:trHeight w:val="182"/>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Year Ended January 31,</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Amount</w:t>
            </w:r>
          </w:p>
        </w:tc>
      </w:tr>
      <w:tr>
        <w:trPr>
          <w:trHeight w:val="172"/>
        </w:trPr>
        <w:tc>
          <w:tcPr>
            <w:tcW w:w="510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2026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150,586</w:t>
            </w:r>
          </w:p>
        </w:tc>
      </w:tr>
      <w:tr>
        <w:trPr>
          <w:trHeight w:val="173"/>
        </w:trPr>
        <w:tc>
          <w:tcPr>
            <w:tcW w:w="5100" w:type="dxa"/>
            <w:vAlign w:val="bottom"/>
          </w:tcPr>
          <w:p>
            <w:pPr>
              <w:ind w:left="40"/>
              <w:spacing w:after="0"/>
              <w:rPr>
                <w:sz w:val="20"/>
                <w:szCs w:val="20"/>
                <w:color w:val="auto"/>
              </w:rPr>
            </w:pPr>
            <w:r>
              <w:rPr>
                <w:rFonts w:ascii="Arial" w:cs="Arial" w:eastAsia="Arial" w:hAnsi="Arial"/>
                <w:sz w:val="12"/>
                <w:szCs w:val="12"/>
                <w:color w:val="auto"/>
              </w:rPr>
              <w:t xml:space="preserve">2027 </w:t>
            </w:r>
            <w:r>
              <w:rPr>
                <w:rFonts w:ascii="Times New Roman" w:cs="Times New Roman" w:eastAsia="Times New Roman" w:hAnsi="Times New Roman"/>
                <w:sz w:val="12"/>
                <w:szCs w:val="12"/>
                <w:color w:val="B4B4B4"/>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302</w:t>
            </w:r>
          </w:p>
        </w:tc>
      </w:tr>
      <w:tr>
        <w:trPr>
          <w:trHeight w:val="190"/>
        </w:trPr>
        <w:tc>
          <w:tcPr>
            <w:tcW w:w="510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2028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80</w:t>
            </w:r>
          </w:p>
        </w:tc>
      </w:tr>
      <w:tr>
        <w:trPr>
          <w:trHeight w:val="173"/>
        </w:trPr>
        <w:tc>
          <w:tcPr>
            <w:tcW w:w="5100" w:type="dxa"/>
            <w:vAlign w:val="bottom"/>
          </w:tcPr>
          <w:p>
            <w:pPr>
              <w:ind w:left="40"/>
              <w:spacing w:after="0"/>
              <w:rPr>
                <w:sz w:val="20"/>
                <w:szCs w:val="20"/>
                <w:color w:val="auto"/>
              </w:rPr>
            </w:pPr>
            <w:r>
              <w:rPr>
                <w:rFonts w:ascii="Arial" w:cs="Arial" w:eastAsia="Arial" w:hAnsi="Arial"/>
                <w:sz w:val="12"/>
                <w:szCs w:val="12"/>
                <w:color w:val="auto"/>
              </w:rPr>
              <w:t xml:space="preserve">2029 </w:t>
            </w:r>
            <w:r>
              <w:rPr>
                <w:rFonts w:ascii="Times New Roman" w:cs="Times New Roman" w:eastAsia="Times New Roman" w:hAnsi="Times New Roman"/>
                <w:sz w:val="12"/>
                <w:szCs w:val="12"/>
                <w:color w:val="B4B4B4"/>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0"/>
        </w:trPr>
        <w:tc>
          <w:tcPr>
            <w:tcW w:w="510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2030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3"/>
        </w:trPr>
        <w:tc>
          <w:tcPr>
            <w:tcW w:w="510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Thereafter </w:t>
            </w:r>
            <w:r>
              <w:rPr>
                <w:rFonts w:ascii="Times New Roman" w:cs="Times New Roman" w:eastAsia="Times New Roman" w:hAnsi="Times New Roman"/>
                <w:sz w:val="12"/>
                <w:szCs w:val="12"/>
                <w:color w:val="B4B4B4"/>
              </w:rPr>
              <w:t>...........................................................................................................................................</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5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Totaldebtoutstanding</w:t>
            </w:r>
          </w:p>
        </w:tc>
        <w:tc>
          <w:tcPr>
            <w:tcW w:w="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150,968</w:t>
            </w:r>
          </w:p>
        </w:tc>
      </w:tr>
      <w:tr>
        <w:trPr>
          <w:trHeight w:val="161"/>
        </w:trPr>
        <w:tc>
          <w:tcPr>
            <w:tcW w:w="5100" w:type="dxa"/>
            <w:vAlign w:val="bottom"/>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Less:Unamortizedissuancecostsanddebtdiscounts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(3,370)</w:t>
            </w:r>
          </w:p>
        </w:tc>
      </w:tr>
      <w:tr>
        <w:trPr>
          <w:trHeight w:val="182"/>
        </w:trPr>
        <w:tc>
          <w:tcPr>
            <w:tcW w:w="510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Plus: PIK interest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28,709</w:t>
            </w:r>
          </w:p>
        </w:tc>
      </w:tr>
      <w:tr>
        <w:trPr>
          <w:trHeight w:val="173"/>
        </w:trPr>
        <w:tc>
          <w:tcPr>
            <w:tcW w:w="510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Less: Notes payable, current </w:t>
            </w:r>
            <w:r>
              <w:rPr>
                <w:rFonts w:ascii="Times New Roman" w:cs="Times New Roman" w:eastAsia="Times New Roman" w:hAnsi="Times New Roman"/>
                <w:sz w:val="12"/>
                <w:szCs w:val="12"/>
                <w:color w:val="B4B4B4"/>
              </w:rPr>
              <w:t>..........................................................................................................</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(175,913)</w:t>
            </w:r>
          </w:p>
        </w:tc>
      </w:tr>
      <w:tr>
        <w:trPr>
          <w:trHeight w:val="170"/>
        </w:trPr>
        <w:tc>
          <w:tcPr>
            <w:tcW w:w="5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Notespayable,non-current</w:t>
            </w:r>
          </w:p>
        </w:tc>
        <w:tc>
          <w:tcPr>
            <w:tcW w:w="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394</w:t>
            </w:r>
          </w:p>
        </w:tc>
      </w:tr>
    </w:tbl>
    <w:p>
      <w:pPr>
        <w:spacing w:after="0" w:line="12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The Credit Agreement</w:t>
      </w:r>
    </w:p>
    <w:p>
      <w:pPr>
        <w:spacing w:after="0" w:line="128" w:lineRule="exact"/>
        <w:rPr>
          <w:sz w:val="20"/>
          <w:szCs w:val="20"/>
          <w:color w:val="auto"/>
        </w:rPr>
      </w:pPr>
    </w:p>
    <w:p>
      <w:pPr>
        <w:ind w:left="1520" w:right="1700" w:firstLine="230"/>
        <w:spacing w:after="0" w:line="281" w:lineRule="auto"/>
        <w:rPr>
          <w:sz w:val="20"/>
          <w:szCs w:val="20"/>
          <w:color w:val="auto"/>
        </w:rPr>
      </w:pPr>
      <w:r>
        <w:rPr>
          <w:rFonts w:ascii="Arial" w:cs="Arial" w:eastAsia="Arial" w:hAnsi="Arial"/>
          <w:sz w:val="12"/>
          <w:szCs w:val="12"/>
          <w:color w:val="auto"/>
        </w:rPr>
        <w:t>In December 2019, the Company entered into a credit agreement with a group of lenders (the “Credit Agreement”). The Credit Agreement, as amended from time to time, provides for a credit facility of up to $100.0 million and includes a revolving credit facility, as well as a swingline sub-facility with borrowings of up to $20.0 million and a letter of credit sub-facility with borrowings of up to $10.0 million .</w:t>
      </w:r>
    </w:p>
    <w:p>
      <w:pPr>
        <w:spacing w:after="0" w:line="81" w:lineRule="exact"/>
        <w:rPr>
          <w:sz w:val="20"/>
          <w:szCs w:val="20"/>
          <w:color w:val="auto"/>
        </w:rPr>
      </w:pPr>
    </w:p>
    <w:p>
      <w:pPr>
        <w:ind w:left="1520" w:right="1840" w:firstLine="230"/>
        <w:spacing w:after="0" w:line="289" w:lineRule="auto"/>
        <w:rPr>
          <w:sz w:val="20"/>
          <w:szCs w:val="20"/>
          <w:color w:val="auto"/>
        </w:rPr>
      </w:pPr>
      <w:r>
        <w:rPr>
          <w:rFonts w:ascii="Arial" w:cs="Arial" w:eastAsia="Arial" w:hAnsi="Arial"/>
          <w:sz w:val="12"/>
          <w:szCs w:val="12"/>
          <w:color w:val="auto"/>
        </w:rPr>
        <w:t>From November 2021 through November 2022, the Company entered into multiple amendments to the Credit Agreement to extend the maturity date, to change the size of the facility, and to change the interest rates applicable to the borrowings.</w:t>
      </w:r>
    </w:p>
    <w:p>
      <w:pPr>
        <w:sectPr>
          <w:pgSz w:w="11900" w:h="16840" w:orient="portrait"/>
          <w:cols w:equalWidth="0" w:num="1">
            <w:col w:w="9020"/>
          </w:cols>
          <w:pgMar w:left="1440" w:top="560" w:right="1440" w:bottom="185" w:gutter="0" w:footer="0" w:header="0"/>
        </w:sectPr>
      </w:pPr>
    </w:p>
    <w:bookmarkStart w:id="181" w:name="page182"/>
    <w:bookmarkEnd w:id="181"/>
    <w:p>
      <w:pPr>
        <w:ind w:left="1520" w:right="1760" w:firstLine="230"/>
        <w:spacing w:after="0" w:line="193" w:lineRule="auto"/>
        <w:rPr>
          <w:sz w:val="20"/>
          <w:szCs w:val="20"/>
          <w:color w:val="auto"/>
        </w:rPr>
      </w:pPr>
      <w:r>
        <w:rPr>
          <w:rFonts w:ascii="Arial" w:cs="Arial" w:eastAsia="Arial" w:hAnsi="Arial"/>
          <w:sz w:val="12"/>
          <w:szCs w:val="12"/>
          <w:color w:val="auto"/>
        </w:rPr>
        <w:t>Interest expense associated with the Credit Agreement during the year ended January 31, 2024 was $0.6 million for unused commitment, amortization of debt issuance costs and stated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-133985</wp:posOffset>
            </wp:positionV>
            <wp:extent cx="6732270" cy="99707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F-31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ind w:left="1520" w:right="1780" w:firstLine="230"/>
        <w:spacing w:after="0" w:line="312" w:lineRule="auto"/>
        <w:rPr>
          <w:sz w:val="20"/>
          <w:szCs w:val="20"/>
          <w:color w:val="auto"/>
        </w:rPr>
      </w:pPr>
      <w:r>
        <w:rPr>
          <w:rFonts w:ascii="Arial" w:cs="Arial" w:eastAsia="Arial" w:hAnsi="Arial"/>
          <w:sz w:val="12"/>
          <w:szCs w:val="12"/>
          <w:color w:val="auto"/>
        </w:rPr>
        <w:t>On April 27, 2023, we entered into an agreement to terminate the Credit Agreement effective May 1, 2023. There were no outstanding balances on the Credit Agreement at the time of termination.</w:t>
      </w:r>
    </w:p>
    <w:p>
      <w:pPr>
        <w:spacing w:after="0" w:line="62"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9 – VARIABLE INTEREST ENTITIES</w:t>
      </w:r>
    </w:p>
    <w:p>
      <w:pPr>
        <w:spacing w:after="0" w:line="130" w:lineRule="exact"/>
        <w:rPr>
          <w:sz w:val="20"/>
          <w:szCs w:val="20"/>
          <w:color w:val="auto"/>
        </w:rPr>
      </w:pPr>
    </w:p>
    <w:p>
      <w:pPr>
        <w:ind w:left="1520" w:right="1700" w:firstLine="230"/>
        <w:spacing w:after="0" w:line="289" w:lineRule="auto"/>
        <w:rPr>
          <w:sz w:val="20"/>
          <w:szCs w:val="20"/>
          <w:color w:val="auto"/>
        </w:rPr>
      </w:pPr>
      <w:r>
        <w:rPr>
          <w:rFonts w:ascii="Arial" w:cs="Arial" w:eastAsia="Arial" w:hAnsi="Arial"/>
          <w:sz w:val="12"/>
          <w:szCs w:val="12"/>
          <w:color w:val="auto"/>
        </w:rPr>
        <w:t>VIEs are legal entities that lack sufficient equity to finance their activities without future subordinated financial support. We consolidate the assets and liabilities of VIEs in which we hold a variable interest and are the primary beneficiary.</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Liquid Labs</w:t>
      </w:r>
    </w:p>
    <w:p>
      <w:pPr>
        <w:spacing w:after="0" w:line="128" w:lineRule="exact"/>
        <w:rPr>
          <w:sz w:val="20"/>
          <w:szCs w:val="20"/>
          <w:color w:val="auto"/>
        </w:rPr>
      </w:pPr>
    </w:p>
    <w:p>
      <w:pPr>
        <w:jc w:val="both"/>
        <w:ind w:left="1520" w:right="1800" w:firstLine="230"/>
        <w:spacing w:after="0" w:line="281" w:lineRule="auto"/>
        <w:rPr>
          <w:sz w:val="20"/>
          <w:szCs w:val="20"/>
          <w:color w:val="auto"/>
        </w:rPr>
      </w:pPr>
      <w:r>
        <w:rPr>
          <w:rFonts w:ascii="Arial" w:cs="Arial" w:eastAsia="Arial" w:hAnsi="Arial"/>
          <w:sz w:val="12"/>
          <w:szCs w:val="12"/>
          <w:color w:val="auto"/>
        </w:rPr>
        <w:t>In August 2022, we created Liquid Labs, a Delaware limited liability company, with the Company as the sole shareholder. Liquid Labs was established to facilitate the funding of the corporate card offering by purchasing receivables from the Company using proceeds from the Warehouse Credit Facility. Refer to Note 8 — Debt for further information on the Warehouse Credit Facility.</w:t>
      </w:r>
    </w:p>
    <w:p>
      <w:pPr>
        <w:spacing w:after="0" w:line="81" w:lineRule="exact"/>
        <w:rPr>
          <w:sz w:val="20"/>
          <w:szCs w:val="20"/>
          <w:color w:val="auto"/>
        </w:rPr>
      </w:pPr>
    </w:p>
    <w:p>
      <w:pPr>
        <w:jc w:val="both"/>
        <w:ind w:left="1520" w:right="1860" w:firstLine="230"/>
        <w:spacing w:after="0" w:line="281" w:lineRule="auto"/>
        <w:rPr>
          <w:sz w:val="20"/>
          <w:szCs w:val="20"/>
          <w:color w:val="auto"/>
        </w:rPr>
      </w:pPr>
      <w:r>
        <w:rPr>
          <w:rFonts w:ascii="Arial" w:cs="Arial" w:eastAsia="Arial" w:hAnsi="Arial"/>
          <w:sz w:val="12"/>
          <w:szCs w:val="12"/>
          <w:color w:val="auto"/>
        </w:rPr>
        <w:t>The Company is a limited guarantor of certain obligations of Liquid Labs related to the Warehouse Credit Facility. During the periods presented, the Company has not provided financial support to Liquid Labs. Under the Warehouse Credit Facility, Liquid Labs pledges corporate card receivables purchased from the Company as collateral.</w:t>
      </w:r>
    </w:p>
    <w:p>
      <w:pPr>
        <w:spacing w:after="0" w:line="81" w:lineRule="exact"/>
        <w:rPr>
          <w:sz w:val="20"/>
          <w:szCs w:val="20"/>
          <w:color w:val="auto"/>
        </w:rPr>
      </w:pPr>
    </w:p>
    <w:p>
      <w:pPr>
        <w:ind w:left="1520" w:right="1780" w:firstLine="230"/>
        <w:spacing w:after="0" w:line="289" w:lineRule="auto"/>
        <w:rPr>
          <w:sz w:val="20"/>
          <w:szCs w:val="20"/>
          <w:color w:val="auto"/>
        </w:rPr>
      </w:pPr>
      <w:r>
        <w:rPr>
          <w:rFonts w:ascii="Arial" w:cs="Arial" w:eastAsia="Arial" w:hAnsi="Arial"/>
          <w:sz w:val="12"/>
          <w:szCs w:val="12"/>
          <w:color w:val="auto"/>
        </w:rPr>
        <w:t>We have determined Liquid Labs is a VIE as the equity at risk is not sufficient to finance Liquid Labs operations. As the sole shareholder and holder of 100% of the equity investment in the entity, we consolidate Liquid Labs as we are the primary beneficiary.</w:t>
      </w:r>
    </w:p>
    <w:p>
      <w:pPr>
        <w:spacing w:after="0" w:line="76" w:lineRule="exact"/>
        <w:rPr>
          <w:sz w:val="20"/>
          <w:szCs w:val="20"/>
          <w:color w:val="auto"/>
        </w:rPr>
      </w:pPr>
    </w:p>
    <w:p>
      <w:pPr>
        <w:ind w:left="1520" w:right="1780" w:firstLine="230"/>
        <w:spacing w:after="0" w:line="275" w:lineRule="auto"/>
        <w:rPr>
          <w:sz w:val="20"/>
          <w:szCs w:val="20"/>
          <w:color w:val="auto"/>
        </w:rPr>
      </w:pPr>
      <w:r>
        <w:rPr>
          <w:rFonts w:ascii="Arial" w:cs="Arial" w:eastAsia="Arial" w:hAnsi="Arial"/>
          <w:sz w:val="12"/>
          <w:szCs w:val="12"/>
          <w:color w:val="auto"/>
        </w:rPr>
        <w:t>Pursuant to the contractual arrangements with Liquid Labs, the Company has the power to direct activities of the VIE and can have assets transferred freely out of the VIE without any restrictions. Therefore, we have determined that there is no asset of the consolidated VIE that can be used only to settle obligations of the VIE. The creditors of the consolidated VIE do not have recourse to the Company other than to the assets of the consolidated VIE. As a result, the material liabilities of the VIE are separately presented within the consolidated balance sheets.</w:t>
      </w:r>
    </w:p>
    <w:p>
      <w:pPr>
        <w:spacing w:after="0" w:line="85" w:lineRule="exact"/>
        <w:rPr>
          <w:sz w:val="20"/>
          <w:szCs w:val="20"/>
          <w:color w:val="auto"/>
        </w:rPr>
      </w:pPr>
    </w:p>
    <w:p>
      <w:pPr>
        <w:ind w:left="1520" w:right="2040" w:firstLine="230"/>
        <w:spacing w:after="0" w:line="312" w:lineRule="auto"/>
        <w:rPr>
          <w:sz w:val="20"/>
          <w:szCs w:val="20"/>
          <w:color w:val="auto"/>
        </w:rPr>
      </w:pPr>
      <w:r>
        <w:rPr>
          <w:rFonts w:ascii="Arial" w:cs="Arial" w:eastAsia="Arial" w:hAnsi="Arial"/>
          <w:sz w:val="12"/>
          <w:szCs w:val="12"/>
          <w:color w:val="auto"/>
        </w:rPr>
        <w:t>The carrying amounts of Liquid Labs’ assets and liabilities included in our consolidated balance sheets are summarized below (in thousands):</w:t>
      </w:r>
    </w:p>
    <w:p>
      <w:pPr>
        <w:spacing w:after="0" w:line="79"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4"/>
          </w:tcPr>
          <w:p>
            <w:pPr>
              <w:ind w:left="240"/>
              <w:spacing w:after="0"/>
              <w:rPr>
                <w:sz w:val="20"/>
                <w:szCs w:val="20"/>
                <w:color w:val="auto"/>
              </w:rPr>
            </w:pPr>
            <w:r>
              <w:rPr>
                <w:rFonts w:ascii="Arial" w:cs="Arial" w:eastAsia="Arial" w:hAnsi="Arial"/>
                <w:sz w:val="11"/>
                <w:szCs w:val="11"/>
                <w:b w:val="1"/>
                <w:bCs w:val="1"/>
                <w:color w:val="auto"/>
              </w:rPr>
              <w:t>As of January 31</w:t>
            </w: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ind w:left="240"/>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Balance Sheet Data of Liquid Labs</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Restricted cash, current </w:t>
            </w:r>
            <w:r>
              <w:rPr>
                <w:rFonts w:ascii="Times New Roman" w:cs="Times New Roman" w:eastAsia="Times New Roman" w:hAnsi="Times New Roman"/>
                <w:sz w:val="12"/>
                <w:szCs w:val="12"/>
                <w:color w:val="B4B4B4"/>
              </w:rPr>
              <w:t>.........................................................................................</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57,535</w:t>
            </w: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30,845</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line="190" w:lineRule="exact"/>
              <w:rPr>
                <w:sz w:val="20"/>
                <w:szCs w:val="20"/>
                <w:color w:val="auto"/>
              </w:rPr>
            </w:pPr>
            <w:r>
              <w:rPr>
                <w:rFonts w:ascii="Arial" w:cs="Arial" w:eastAsia="Arial" w:hAnsi="Arial"/>
                <w:sz w:val="12"/>
                <w:szCs w:val="12"/>
                <w:color w:val="auto"/>
              </w:rPr>
              <w:t xml:space="preserve">Corporate card receivables </w:t>
            </w:r>
            <w:r>
              <w:rPr>
                <w:rFonts w:ascii="Arial" w:cs="Arial" w:eastAsia="Arial" w:hAnsi="Arial"/>
                <w:sz w:val="17"/>
                <w:szCs w:val="17"/>
                <w:color w:val="auto"/>
                <w:vertAlign w:val="superscript"/>
              </w:rPr>
              <w:t>(1)</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158,124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192,454</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Prepaid expenses and other current assets </w:t>
            </w:r>
            <w:r>
              <w:rPr>
                <w:rFonts w:ascii="Times New Roman" w:cs="Times New Roman" w:eastAsia="Times New Roman" w:hAnsi="Times New Roman"/>
                <w:sz w:val="12"/>
                <w:szCs w:val="12"/>
                <w:color w:val="B4B4B4"/>
              </w:rPr>
              <w:t>.......................................................</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1,001</w:t>
            </w: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Other non-current assets </w:t>
            </w:r>
            <w:r>
              <w:rPr>
                <w:rFonts w:ascii="Times New Roman" w:cs="Times New Roman" w:eastAsia="Times New Roman" w:hAnsi="Times New Roman"/>
                <w:sz w:val="12"/>
                <w:szCs w:val="12"/>
                <w:color w:val="B4B4B4"/>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83</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Accrued expenses and other current liabilities held by VIE  </w:t>
            </w:r>
            <w:r>
              <w:rPr>
                <w:rFonts w:ascii="Times New Roman" w:cs="Times New Roman" w:eastAsia="Times New Roman" w:hAnsi="Times New Roman"/>
                <w:sz w:val="12"/>
                <w:szCs w:val="12"/>
                <w:color w:val="B4B4B4"/>
              </w:rPr>
              <w:t>.............................</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1,552</w:t>
            </w: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1,692</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Warehouse Credit Facility </w:t>
            </w:r>
            <w:r>
              <w:rPr>
                <w:rFonts w:ascii="Times New Roman" w:cs="Times New Roman" w:eastAsia="Times New Roman" w:hAnsi="Times New Roman"/>
                <w:sz w:val="12"/>
                <w:szCs w:val="12"/>
                <w:color w:val="B4B4B4"/>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214,238</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206,404</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________________</w:t>
      </w:r>
    </w:p>
    <w:p>
      <w:pPr>
        <w:spacing w:after="0" w:line="23" w:lineRule="exact"/>
        <w:rPr>
          <w:sz w:val="20"/>
          <w:szCs w:val="20"/>
          <w:color w:val="auto"/>
        </w:rPr>
      </w:pPr>
    </w:p>
    <w:p>
      <w:pPr>
        <w:ind w:left="1760" w:right="1840" w:hanging="238"/>
        <w:spacing w:after="0" w:line="203" w:lineRule="auto"/>
        <w:tabs>
          <w:tab w:leader="none" w:pos="1760" w:val="left"/>
        </w:tabs>
        <w:numPr>
          <w:ilvl w:val="0"/>
          <w:numId w:val="185"/>
        </w:numPr>
        <w:rPr>
          <w:rFonts w:ascii="Arial" w:cs="Arial" w:eastAsia="Arial" w:hAnsi="Arial"/>
          <w:sz w:val="11"/>
          <w:szCs w:val="11"/>
          <w:color w:val="auto"/>
        </w:rPr>
      </w:pPr>
      <w:r>
        <w:rPr>
          <w:rFonts w:ascii="Arial" w:cs="Arial" w:eastAsia="Arial" w:hAnsi="Arial"/>
          <w:sz w:val="11"/>
          <w:szCs w:val="11"/>
          <w:color w:val="auto"/>
        </w:rPr>
        <w:t>Corporate card receivables as of January 31, 2025 and 2024 represent pledged customer receivables from Navan, Inc. to Liquid Labs</w:t>
      </w:r>
    </w:p>
    <w:p>
      <w:pPr>
        <w:ind w:left="1760"/>
        <w:spacing w:after="0"/>
        <w:rPr>
          <w:rFonts w:ascii="Arial" w:cs="Arial" w:eastAsia="Arial" w:hAnsi="Arial"/>
          <w:sz w:val="11"/>
          <w:szCs w:val="11"/>
          <w:color w:val="auto"/>
        </w:rPr>
      </w:pPr>
      <w:r>
        <w:rPr>
          <w:rFonts w:ascii="Arial" w:cs="Arial" w:eastAsia="Arial" w:hAnsi="Arial"/>
          <w:sz w:val="11"/>
          <w:szCs w:val="11"/>
          <w:color w:val="auto"/>
        </w:rPr>
        <w:t>.</w:t>
      </w:r>
    </w:p>
    <w:p>
      <w:pPr>
        <w:spacing w:after="0" w:line="35"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10 – EQUITY INCENTIVE PLAN</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2015 Equity Incentive Plan</w:t>
      </w:r>
    </w:p>
    <w:p>
      <w:pPr>
        <w:spacing w:after="0" w:line="128" w:lineRule="exact"/>
        <w:rPr>
          <w:sz w:val="20"/>
          <w:szCs w:val="20"/>
          <w:color w:val="auto"/>
        </w:rPr>
      </w:pPr>
    </w:p>
    <w:p>
      <w:pPr>
        <w:ind w:left="1520" w:right="1720" w:firstLine="230"/>
        <w:spacing w:after="0" w:line="289" w:lineRule="auto"/>
        <w:rPr>
          <w:sz w:val="20"/>
          <w:szCs w:val="20"/>
          <w:color w:val="auto"/>
        </w:rPr>
      </w:pPr>
      <w:r>
        <w:rPr>
          <w:rFonts w:ascii="Arial" w:cs="Arial" w:eastAsia="Arial" w:hAnsi="Arial"/>
          <w:sz w:val="12"/>
          <w:szCs w:val="12"/>
          <w:color w:val="auto"/>
        </w:rPr>
        <w:t>In 2015, the Company’s Board of Directors (the “Board of Directors”) approved the adoption of the 2015 Equity Incentive Plan (the “Plan”). The Plan provides for the grant of incentive and nonstatutory stock options and RSUs to employees, non-employee directors and consultants of the Company. Options</w:t>
      </w: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F-32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ind w:left="1520" w:right="1980"/>
        <w:spacing w:after="0" w:line="312" w:lineRule="auto"/>
        <w:rPr>
          <w:sz w:val="20"/>
          <w:szCs w:val="20"/>
          <w:color w:val="auto"/>
        </w:rPr>
      </w:pPr>
      <w:r>
        <w:rPr>
          <w:rFonts w:ascii="Arial" w:cs="Arial" w:eastAsia="Arial" w:hAnsi="Arial"/>
          <w:sz w:val="12"/>
          <w:szCs w:val="12"/>
          <w:color w:val="auto"/>
        </w:rPr>
        <w:t>granted under the Plan continue to vest until the last day of employment and generally vest over four years and expire 10 years from the date of grant.</w:t>
      </w:r>
    </w:p>
    <w:p>
      <w:pPr>
        <w:spacing w:after="0" w:line="62" w:lineRule="exact"/>
        <w:rPr>
          <w:sz w:val="20"/>
          <w:szCs w:val="20"/>
          <w:color w:val="auto"/>
        </w:rPr>
      </w:pPr>
    </w:p>
    <w:p>
      <w:pPr>
        <w:jc w:val="both"/>
        <w:ind w:left="1520" w:right="1640" w:firstLine="230"/>
        <w:spacing w:after="0" w:line="289" w:lineRule="auto"/>
        <w:rPr>
          <w:sz w:val="20"/>
          <w:szCs w:val="20"/>
          <w:color w:val="auto"/>
        </w:rPr>
      </w:pPr>
      <w:r>
        <w:rPr>
          <w:rFonts w:ascii="Arial" w:cs="Arial" w:eastAsia="Arial" w:hAnsi="Arial"/>
          <w:sz w:val="12"/>
          <w:szCs w:val="12"/>
          <w:color w:val="auto"/>
        </w:rPr>
        <w:t>During the year ended January 31, 2025 , the Board of Directors approved an increase of 4,766,666 shares reserved for issuance, for a total of 64,711,696 shares reserved under the Plan. As of January 31, 2025, 5,486,445 shares of common stock remain available for future grants under the Plan.</w:t>
      </w:r>
    </w:p>
    <w:p>
      <w:pPr>
        <w:spacing w:after="0" w:line="76" w:lineRule="exact"/>
        <w:rPr>
          <w:sz w:val="20"/>
          <w:szCs w:val="20"/>
          <w:color w:val="auto"/>
        </w:rPr>
      </w:pPr>
    </w:p>
    <w:p>
      <w:pPr>
        <w:jc w:val="both"/>
        <w:ind w:left="1520" w:right="1700" w:firstLine="230"/>
        <w:spacing w:after="0" w:line="281" w:lineRule="auto"/>
        <w:rPr>
          <w:sz w:val="20"/>
          <w:szCs w:val="20"/>
          <w:color w:val="auto"/>
        </w:rPr>
      </w:pPr>
      <w:r>
        <w:rPr>
          <w:rFonts w:ascii="Arial" w:cs="Arial" w:eastAsia="Arial" w:hAnsi="Arial"/>
          <w:sz w:val="12"/>
          <w:szCs w:val="12"/>
          <w:color w:val="auto"/>
        </w:rPr>
        <w:t>The exercise price of options granted under the Plan must be at least equal to 100% of the fair value of the Company’s common stock at the date of grant as determined by the Board of Directors. During the years ended January 31, 2025 and 2024, no options have been granted to purchase stock at a price less than its fair value as determined by the Board of Directors at the time of grant.</w:t>
      </w:r>
    </w:p>
    <w:p>
      <w:pPr>
        <w:spacing w:after="0" w:line="81" w:lineRule="exact"/>
        <w:rPr>
          <w:sz w:val="20"/>
          <w:szCs w:val="20"/>
          <w:color w:val="auto"/>
        </w:rPr>
      </w:pPr>
    </w:p>
    <w:p>
      <w:pPr>
        <w:ind w:left="1520" w:right="1740" w:firstLine="230"/>
        <w:spacing w:after="0" w:line="271" w:lineRule="auto"/>
        <w:rPr>
          <w:sz w:val="20"/>
          <w:szCs w:val="20"/>
          <w:color w:val="auto"/>
        </w:rPr>
      </w:pPr>
      <w:r>
        <w:rPr>
          <w:rFonts w:ascii="Arial" w:cs="Arial" w:eastAsia="Arial" w:hAnsi="Arial"/>
          <w:sz w:val="12"/>
          <w:szCs w:val="12"/>
          <w:b w:val="1"/>
          <w:bCs w:val="1"/>
          <w:u w:val="single" w:color="auto"/>
          <w:color w:val="auto"/>
        </w:rPr>
        <w:t>Early Exercise of Common Stock</w:t>
      </w:r>
      <w:r>
        <w:rPr>
          <w:rFonts w:ascii="Arial" w:cs="Arial" w:eastAsia="Arial" w:hAnsi="Arial"/>
          <w:sz w:val="12"/>
          <w:szCs w:val="12"/>
          <w:b w:val="1"/>
          <w:bCs w:val="1"/>
          <w:color w:val="auto"/>
        </w:rPr>
        <w:t xml:space="preserve"> — </w:t>
      </w:r>
      <w:r>
        <w:rPr>
          <w:rFonts w:ascii="Arial" w:cs="Arial" w:eastAsia="Arial" w:hAnsi="Arial"/>
          <w:sz w:val="12"/>
          <w:szCs w:val="12"/>
          <w:color w:val="auto"/>
        </w:rPr>
        <w:t>Certain stock options granted under the Plan provide option</w:t>
      </w:r>
      <w:r>
        <w:rPr>
          <w:rFonts w:ascii="Arial" w:cs="Arial" w:eastAsia="Arial" w:hAnsi="Arial"/>
          <w:sz w:val="12"/>
          <w:szCs w:val="12"/>
          <w:b w:val="1"/>
          <w:bCs w:val="1"/>
          <w:color w:val="auto"/>
        </w:rPr>
        <w:t xml:space="preserve"> </w:t>
      </w:r>
      <w:r>
        <w:rPr>
          <w:rFonts w:ascii="Arial" w:cs="Arial" w:eastAsia="Arial" w:hAnsi="Arial"/>
          <w:sz w:val="12"/>
          <w:szCs w:val="12"/>
          <w:color w:val="auto"/>
        </w:rPr>
        <w:t>holders the right to elect to exercise unvested options in exchange for shares of common stock. Such unvested shares of common stock are subject to a repurchase right held by the Company at the original issuance price in the event the optionee’s service to the Company is terminated either voluntarily or involuntarily. The repurchase right lapses as the underlying shares vest. The proceeds from the early exercise of stock options are treated as a refundable deposit and are recorded within accrued expenses and other liabilities on the consolidated balance sheets, and reclassified to additional paid-in capital as the Company’s repurchase right lapses. Common stock purchased pursuant to an early exercise of stock options is not deemed to be outstanding for accounting purposes until those shares vest. The Company includes unvested shares subject to repurchase in the number of shares of common stock outstanding in</w:t>
      </w:r>
    </w:p>
    <w:p>
      <w:pPr>
        <w:sectPr>
          <w:pgSz w:w="11900" w:h="16840" w:orient="portrait"/>
          <w:cols w:equalWidth="0" w:num="1">
            <w:col w:w="9020"/>
          </w:cols>
          <w:pgMar w:left="1440" w:top="560" w:right="1440" w:bottom="0" w:gutter="0" w:footer="0" w:header="0"/>
        </w:sectPr>
      </w:pPr>
    </w:p>
    <w:bookmarkStart w:id="182" w:name="page183"/>
    <w:bookmarkEnd w:id="182"/>
    <w:p>
      <w:pPr>
        <w:ind w:left="1520" w:right="2260"/>
        <w:spacing w:after="0" w:line="295" w:lineRule="auto"/>
        <w:rPr>
          <w:sz w:val="20"/>
          <w:szCs w:val="20"/>
          <w:color w:val="auto"/>
        </w:rPr>
      </w:pPr>
      <w:r>
        <w:rPr>
          <w:rFonts w:ascii="Arial" w:cs="Arial" w:eastAsia="Arial" w:hAnsi="Arial"/>
          <w:sz w:val="12"/>
          <w:szCs w:val="12"/>
          <w:color w:val="auto"/>
        </w:rPr>
        <w:t>the consolidated balance sheets and statements of redeemable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-208280</wp:posOffset>
            </wp:positionV>
            <wp:extent cx="6732270" cy="99707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52" w:lineRule="exact"/>
        <w:rPr>
          <w:sz w:val="20"/>
          <w:szCs w:val="20"/>
          <w:color w:val="auto"/>
        </w:rPr>
      </w:pPr>
    </w:p>
    <w:p>
      <w:pPr>
        <w:ind w:left="1520" w:right="1680" w:firstLine="230"/>
        <w:spacing w:after="0" w:line="312" w:lineRule="auto"/>
        <w:rPr>
          <w:sz w:val="20"/>
          <w:szCs w:val="20"/>
          <w:color w:val="auto"/>
        </w:rPr>
      </w:pPr>
      <w:r>
        <w:rPr>
          <w:rFonts w:ascii="Arial" w:cs="Arial" w:eastAsia="Arial" w:hAnsi="Arial"/>
          <w:sz w:val="12"/>
          <w:szCs w:val="12"/>
          <w:color w:val="auto"/>
        </w:rPr>
        <w:t>As of January 31, 2025 and 2024, there were 49,761 and 133,332 shares subject to repurchase due to early exercises and the corresponding liability was $1.0 million and $2.6 million, respectively.</w:t>
      </w:r>
    </w:p>
    <w:p>
      <w:pPr>
        <w:spacing w:after="0" w:line="62" w:lineRule="exact"/>
        <w:rPr>
          <w:sz w:val="20"/>
          <w:szCs w:val="20"/>
          <w:color w:val="auto"/>
        </w:rPr>
      </w:pPr>
    </w:p>
    <w:p>
      <w:pPr>
        <w:ind w:left="1520" w:right="1940" w:firstLine="230"/>
        <w:spacing w:after="0" w:line="312" w:lineRule="auto"/>
        <w:rPr>
          <w:sz w:val="20"/>
          <w:szCs w:val="20"/>
          <w:color w:val="auto"/>
        </w:rPr>
      </w:pPr>
      <w:r>
        <w:rPr>
          <w:rFonts w:ascii="Arial" w:cs="Arial" w:eastAsia="Arial" w:hAnsi="Arial"/>
          <w:sz w:val="12"/>
          <w:szCs w:val="12"/>
          <w:b w:val="1"/>
          <w:bCs w:val="1"/>
          <w:u w:val="single" w:color="auto"/>
          <w:color w:val="auto"/>
        </w:rPr>
        <w:t>Stock Options</w:t>
      </w:r>
      <w:r>
        <w:rPr>
          <w:rFonts w:ascii="Arial" w:cs="Arial" w:eastAsia="Arial" w:hAnsi="Arial"/>
          <w:sz w:val="12"/>
          <w:szCs w:val="12"/>
          <w:b w:val="1"/>
          <w:bCs w:val="1"/>
          <w:color w:val="auto"/>
        </w:rPr>
        <w:t xml:space="preserve"> — </w:t>
      </w:r>
      <w:r>
        <w:rPr>
          <w:rFonts w:ascii="Arial" w:cs="Arial" w:eastAsia="Arial" w:hAnsi="Arial"/>
          <w:sz w:val="12"/>
          <w:szCs w:val="12"/>
          <w:color w:val="auto"/>
        </w:rPr>
        <w:t>The fair value of the stock options granted w</w:t>
      </w:r>
      <w:r>
        <w:rPr>
          <w:rFonts w:ascii="Arial" w:cs="Arial" w:eastAsia="Arial" w:hAnsi="Arial"/>
          <w:sz w:val="12"/>
          <w:szCs w:val="12"/>
          <w:b w:val="1"/>
          <w:bCs w:val="1"/>
          <w:color w:val="auto"/>
        </w:rPr>
        <w:t xml:space="preserve"> </w:t>
      </w:r>
      <w:r>
        <w:rPr>
          <w:rFonts w:ascii="Arial" w:cs="Arial" w:eastAsia="Arial" w:hAnsi="Arial"/>
          <w:sz w:val="12"/>
          <w:szCs w:val="12"/>
          <w:color w:val="auto"/>
          <w:highlight w:val="white"/>
        </w:rPr>
        <w:t>as estimated using the following</w:t>
      </w:r>
      <w:r>
        <w:rPr>
          <w:rFonts w:ascii="Arial" w:cs="Arial" w:eastAsia="Arial" w:hAnsi="Arial"/>
          <w:sz w:val="12"/>
          <w:szCs w:val="12"/>
          <w:b w:val="1"/>
          <w:bCs w:val="1"/>
          <w:color w:val="auto"/>
        </w:rPr>
        <w:t xml:space="preserve"> </w:t>
      </w:r>
      <w:r>
        <w:rPr>
          <w:rFonts w:ascii="Arial" w:cs="Arial" w:eastAsia="Arial" w:hAnsi="Arial"/>
          <w:sz w:val="12"/>
          <w:szCs w:val="12"/>
          <w:color w:val="auto"/>
          <w:highlight w:val="white"/>
        </w:rPr>
        <w:t>assumptions in the Black-Scholes option pricing model:</w:t>
      </w:r>
    </w:p>
    <w:p>
      <w:pPr>
        <w:spacing w:after="0" w:line="62"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3780" w:type="dxa"/>
            <w:vAlign w:val="bottom"/>
          </w:tcPr>
          <w:p>
            <w:pPr>
              <w:spacing w:after="0"/>
              <w:rPr>
                <w:sz w:val="13"/>
                <w:szCs w:val="13"/>
                <w:color w:val="auto"/>
              </w:rPr>
            </w:pPr>
          </w:p>
        </w:tc>
        <w:tc>
          <w:tcPr>
            <w:tcW w:w="2200" w:type="dxa"/>
            <w:vAlign w:val="bottom"/>
            <w:tcBorders>
              <w:bottom w:val="single" w:sz="8" w:color="auto"/>
            </w:tcBorders>
            <w:gridSpan w:val="3"/>
          </w:tcPr>
          <w:p>
            <w:pPr>
              <w:jc w:val="right"/>
              <w:ind w:right="438"/>
              <w:spacing w:after="0"/>
              <w:rPr>
                <w:sz w:val="20"/>
                <w:szCs w:val="20"/>
                <w:color w:val="auto"/>
              </w:rPr>
            </w:pPr>
            <w:r>
              <w:rPr>
                <w:rFonts w:ascii="Arial" w:cs="Arial" w:eastAsia="Arial" w:hAnsi="Arial"/>
                <w:sz w:val="11"/>
                <w:szCs w:val="11"/>
                <w:b w:val="1"/>
                <w:bCs w:val="1"/>
                <w:color w:val="auto"/>
              </w:rPr>
              <w:t>Year Ended January 31,</w:t>
            </w:r>
          </w:p>
        </w:tc>
      </w:tr>
      <w:tr>
        <w:trPr>
          <w:trHeight w:val="147"/>
        </w:trPr>
        <w:tc>
          <w:tcPr>
            <w:tcW w:w="3780" w:type="dxa"/>
            <w:vAlign w:val="bottom"/>
          </w:tcPr>
          <w:p>
            <w:pPr>
              <w:spacing w:after="0"/>
              <w:rPr>
                <w:sz w:val="12"/>
                <w:szCs w:val="12"/>
                <w:color w:val="auto"/>
              </w:rPr>
            </w:pPr>
          </w:p>
        </w:tc>
        <w:tc>
          <w:tcPr>
            <w:tcW w:w="1080" w:type="dxa"/>
            <w:vAlign w:val="bottom"/>
          </w:tcPr>
          <w:p>
            <w:pPr>
              <w:jc w:val="right"/>
              <w:ind w:right="381"/>
              <w:spacing w:after="0"/>
              <w:rPr>
                <w:sz w:val="20"/>
                <w:szCs w:val="20"/>
                <w:color w:val="auto"/>
              </w:rPr>
            </w:pPr>
            <w:r>
              <w:rPr>
                <w:rFonts w:ascii="Arial" w:cs="Arial" w:eastAsia="Arial" w:hAnsi="Arial"/>
                <w:sz w:val="11"/>
                <w:szCs w:val="11"/>
                <w:b w:val="1"/>
                <w:bCs w:val="1"/>
                <w:color w:val="auto"/>
              </w:rPr>
              <w:t>2025</w:t>
            </w:r>
          </w:p>
        </w:tc>
        <w:tc>
          <w:tcPr>
            <w:tcW w:w="1120" w:type="dxa"/>
            <w:vAlign w:val="bottom"/>
            <w:gridSpan w:val="2"/>
          </w:tcPr>
          <w:p>
            <w:pPr>
              <w:jc w:val="right"/>
              <w:ind w:right="378"/>
              <w:spacing w:after="0"/>
              <w:rPr>
                <w:sz w:val="20"/>
                <w:szCs w:val="20"/>
                <w:color w:val="auto"/>
              </w:rPr>
            </w:pPr>
            <w:r>
              <w:rPr>
                <w:rFonts w:ascii="Arial" w:cs="Arial" w:eastAsia="Arial" w:hAnsi="Arial"/>
                <w:sz w:val="11"/>
                <w:szCs w:val="11"/>
                <w:b w:val="1"/>
                <w:bCs w:val="1"/>
                <w:color w:val="auto"/>
              </w:rPr>
              <w:t>2024</w:t>
            </w:r>
          </w:p>
        </w:tc>
      </w:tr>
      <w:tr>
        <w:trPr>
          <w:trHeight w:val="167"/>
        </w:trPr>
        <w:tc>
          <w:tcPr>
            <w:tcW w:w="3780" w:type="dxa"/>
            <w:vAlign w:val="bottom"/>
            <w:tcBorders>
              <w:top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B4B4B4"/>
                <w:shd w:val="clear" w:color="auto" w:fill="CCEEFF"/>
              </w:rPr>
              <w:t>....................................................................................</w:t>
            </w:r>
            <w:r>
              <w:rPr>
                <w:rFonts w:ascii="Arial" w:cs="Arial" w:eastAsia="Arial" w:hAnsi="Arial"/>
                <w:sz w:val="12"/>
                <w:szCs w:val="12"/>
                <w:color w:val="000000"/>
                <w:shd w:val="clear" w:color="auto" w:fill="CCEEFF"/>
              </w:rPr>
              <w:t>Expectedvolatility</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56.09% - 60.19%</w:t>
            </w:r>
          </w:p>
        </w:tc>
        <w:tc>
          <w:tcPr>
            <w:tcW w:w="4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59.13% - 61.13%</w:t>
            </w:r>
          </w:p>
        </w:tc>
      </w:tr>
      <w:tr>
        <w:trPr>
          <w:trHeight w:val="173"/>
        </w:trPr>
        <w:tc>
          <w:tcPr>
            <w:tcW w:w="3780" w:type="dxa"/>
            <w:vAlign w:val="bottom"/>
          </w:tcPr>
          <w:p>
            <w:pPr>
              <w:jc w:val="right"/>
              <w:ind w:right="58"/>
              <w:spacing w:after="0"/>
              <w:rPr>
                <w:sz w:val="20"/>
                <w:szCs w:val="20"/>
                <w:color w:val="auto"/>
              </w:rPr>
            </w:pPr>
            <w:r>
              <w:rPr>
                <w:rFonts w:ascii="Arial" w:cs="Arial" w:eastAsia="Arial" w:hAnsi="Arial"/>
                <w:sz w:val="12"/>
                <w:szCs w:val="12"/>
                <w:color w:val="auto"/>
              </w:rPr>
              <w:t xml:space="preserve">Risk-free interest rate </w:t>
            </w:r>
            <w:r>
              <w:rPr>
                <w:rFonts w:ascii="Times New Roman" w:cs="Times New Roman" w:eastAsia="Times New Roman" w:hAnsi="Times New Roman"/>
                <w:sz w:val="12"/>
                <w:szCs w:val="12"/>
                <w:color w:val="B4B4B4"/>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3.86% - 4.60%</w:t>
            </w:r>
          </w:p>
        </w:tc>
        <w:tc>
          <w:tcPr>
            <w:tcW w:w="1120" w:type="dxa"/>
            <w:vAlign w:val="bottom"/>
            <w:gridSpan w:val="2"/>
          </w:tcPr>
          <w:p>
            <w:pPr>
              <w:jc w:val="right"/>
              <w:spacing w:after="0"/>
              <w:rPr>
                <w:sz w:val="20"/>
                <w:szCs w:val="20"/>
                <w:color w:val="auto"/>
              </w:rPr>
            </w:pPr>
            <w:r>
              <w:rPr>
                <w:rFonts w:ascii="Arial" w:cs="Arial" w:eastAsia="Arial" w:hAnsi="Arial"/>
                <w:sz w:val="12"/>
                <w:szCs w:val="12"/>
                <w:color w:val="auto"/>
              </w:rPr>
              <w:t>3.49% - 4.71%</w:t>
            </w:r>
          </w:p>
        </w:tc>
      </w:tr>
      <w:tr>
        <w:trPr>
          <w:trHeight w:val="190"/>
        </w:trPr>
        <w:tc>
          <w:tcPr>
            <w:tcW w:w="37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 xml:space="preserve">Expected term (in years) </w:t>
            </w:r>
            <w:r>
              <w:rPr>
                <w:rFonts w:ascii="Times New Roman" w:cs="Times New Roman" w:eastAsia="Times New Roman" w:hAnsi="Times New Roman"/>
                <w:sz w:val="12"/>
                <w:szCs w:val="12"/>
                <w:color w:val="B4B4B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5.41 - 6.06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5.23 - 6.38</w:t>
            </w:r>
          </w:p>
        </w:tc>
      </w:tr>
      <w:tr>
        <w:trPr>
          <w:trHeight w:val="182"/>
        </w:trPr>
        <w:tc>
          <w:tcPr>
            <w:tcW w:w="3780" w:type="dxa"/>
            <w:vAlign w:val="bottom"/>
          </w:tcPr>
          <w:p>
            <w:pPr>
              <w:jc w:val="right"/>
              <w:ind w:right="38"/>
              <w:spacing w:after="0"/>
              <w:rPr>
                <w:sz w:val="20"/>
                <w:szCs w:val="20"/>
                <w:color w:val="auto"/>
              </w:rPr>
            </w:pPr>
            <w:r>
              <w:rPr>
                <w:rFonts w:ascii="Arial" w:cs="Arial" w:eastAsia="Arial" w:hAnsi="Arial"/>
                <w:sz w:val="12"/>
                <w:szCs w:val="12"/>
                <w:color w:val="auto"/>
              </w:rPr>
              <w:t xml:space="preserve">Expected dividend yield </w:t>
            </w:r>
            <w:r>
              <w:rPr>
                <w:rFonts w:ascii="Times New Roman" w:cs="Times New Roman" w:eastAsia="Times New Roman" w:hAnsi="Times New Roman"/>
                <w:sz w:val="12"/>
                <w:szCs w:val="12"/>
                <w:color w:val="B4B4B4"/>
              </w:rPr>
              <w:t>..........................................................................</w:t>
            </w:r>
          </w:p>
        </w:tc>
        <w:tc>
          <w:tcPr>
            <w:tcW w:w="1080" w:type="dxa"/>
            <w:vAlign w:val="bottom"/>
          </w:tcPr>
          <w:p>
            <w:pPr>
              <w:jc w:val="center"/>
              <w:spacing w:after="0"/>
              <w:rPr>
                <w:sz w:val="20"/>
                <w:szCs w:val="20"/>
                <w:color w:val="auto"/>
              </w:rPr>
            </w:pPr>
            <w:r>
              <w:rPr>
                <w:rFonts w:ascii="Arial" w:cs="Arial" w:eastAsia="Arial" w:hAnsi="Arial"/>
                <w:sz w:val="12"/>
                <w:szCs w:val="12"/>
                <w:color w:val="auto"/>
                <w:w w:val="99"/>
              </w:rPr>
              <w:t>— %</w:t>
            </w:r>
          </w:p>
        </w:tc>
        <w:tc>
          <w:tcPr>
            <w:tcW w:w="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99"/>
              </w:rPr>
              <w:t>— %</w:t>
            </w:r>
          </w:p>
        </w:tc>
      </w:tr>
    </w:tbl>
    <w:p>
      <w:pPr>
        <w:spacing w:after="0" w:line="134" w:lineRule="exact"/>
        <w:rPr>
          <w:sz w:val="20"/>
          <w:szCs w:val="20"/>
          <w:color w:val="auto"/>
        </w:rPr>
      </w:pPr>
    </w:p>
    <w:p>
      <w:pPr>
        <w:ind w:left="1520" w:right="1740" w:firstLine="230"/>
        <w:spacing w:after="0" w:line="270" w:lineRule="auto"/>
        <w:rPr>
          <w:sz w:val="20"/>
          <w:szCs w:val="20"/>
          <w:color w:val="auto"/>
        </w:rPr>
      </w:pPr>
      <w:r>
        <w:rPr>
          <w:rFonts w:ascii="Arial" w:cs="Arial" w:eastAsia="Arial" w:hAnsi="Arial"/>
          <w:sz w:val="12"/>
          <w:szCs w:val="12"/>
          <w:i w:val="1"/>
          <w:iCs w:val="1"/>
          <w:color w:val="auto"/>
        </w:rPr>
        <w:t xml:space="preserve">Fair Value of Common Stock </w:t>
      </w:r>
      <w:r>
        <w:rPr>
          <w:rFonts w:ascii="Arial" w:cs="Arial" w:eastAsia="Arial" w:hAnsi="Arial"/>
          <w:sz w:val="12"/>
          <w:szCs w:val="12"/>
          <w:b w:val="1"/>
          <w:bCs w:val="1"/>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Given the absence of a public trading market, the fair value of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Company’s common stock is determined by the Board of Directors based on a number of factors, including contemporaneous valuations of common stock performed by an unrelated valuation specialist, developments in the business and stage of development, the Company’s operational and financial performance and condition, issuances of redeemable convertible preferred stock and the rights and preferences of redeemable convertible preferred stock relative to common stock, current condition of capital markets and the likelihood of achieving a liquidity event, such as an initial public offering or sale of the Company, and the lack of marketability of the Company’s common stock. For financial reporting purposes, the Company considered the amount of time between the valuation date and the grant date to determine whether to use the latest common stock valuation or a straight-line interpolation between the two valuation dates. The determination included an evaluation of whether the subsequent valuation indicated that any significant change in valuation had occurred between the previous valuation and the grant date.</w:t>
      </w:r>
    </w:p>
    <w:p>
      <w:pPr>
        <w:spacing w:after="0" w:line="242" w:lineRule="exact"/>
        <w:rPr>
          <w:sz w:val="20"/>
          <w:szCs w:val="20"/>
          <w:color w:val="auto"/>
        </w:rPr>
      </w:pPr>
    </w:p>
    <w:p>
      <w:pPr>
        <w:ind w:left="1520" w:right="1800" w:firstLine="230"/>
        <w:spacing w:after="0" w:line="305" w:lineRule="auto"/>
        <w:rPr>
          <w:sz w:val="20"/>
          <w:szCs w:val="20"/>
          <w:color w:val="auto"/>
        </w:rPr>
      </w:pPr>
      <w:r>
        <w:rPr>
          <w:rFonts w:ascii="Arial" w:cs="Arial" w:eastAsia="Arial" w:hAnsi="Arial"/>
          <w:sz w:val="12"/>
          <w:szCs w:val="12"/>
          <w:i w:val="1"/>
          <w:iCs w:val="1"/>
          <w:color w:val="auto"/>
        </w:rPr>
        <w:t xml:space="preserve">Dividend Yield </w:t>
      </w:r>
      <w:r>
        <w:rPr>
          <w:rFonts w:ascii="Arial" w:cs="Arial" w:eastAsia="Arial" w:hAnsi="Arial"/>
          <w:sz w:val="12"/>
          <w:szCs w:val="12"/>
          <w:b w:val="1"/>
          <w:bCs w:val="1"/>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The Company has never declared or paid any cash dividends and does not</w:t>
      </w:r>
      <w:r>
        <w:rPr>
          <w:rFonts w:ascii="Arial" w:cs="Arial" w:eastAsia="Arial" w:hAnsi="Arial"/>
          <w:sz w:val="12"/>
          <w:szCs w:val="12"/>
          <w:i w:val="1"/>
          <w:iCs w:val="1"/>
          <w:color w:val="auto"/>
        </w:rPr>
        <w:t xml:space="preserve"> </w:t>
      </w:r>
      <w:r>
        <w:rPr>
          <w:rFonts w:ascii="Arial" w:cs="Arial" w:eastAsia="Arial" w:hAnsi="Arial"/>
          <w:sz w:val="12"/>
          <w:szCs w:val="12"/>
          <w:color w:val="auto"/>
        </w:rPr>
        <w:t>presently plan to pay cash dividends in the foreseeable future and applied an expected dividend yield of zero.</w:t>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F-33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ind w:left="1520" w:right="1700" w:firstLine="230"/>
        <w:spacing w:after="0" w:line="312" w:lineRule="auto"/>
        <w:rPr>
          <w:sz w:val="20"/>
          <w:szCs w:val="20"/>
          <w:color w:val="auto"/>
        </w:rPr>
      </w:pPr>
      <w:r>
        <w:rPr>
          <w:rFonts w:ascii="Arial" w:cs="Arial" w:eastAsia="Arial" w:hAnsi="Arial"/>
          <w:sz w:val="12"/>
          <w:szCs w:val="12"/>
          <w:i w:val="1"/>
          <w:iCs w:val="1"/>
          <w:color w:val="auto"/>
        </w:rPr>
        <w:t xml:space="preserve">Risk-Free Interest Rate </w:t>
      </w:r>
      <w:r>
        <w:rPr>
          <w:rFonts w:ascii="Arial" w:cs="Arial" w:eastAsia="Arial" w:hAnsi="Arial"/>
          <w:sz w:val="12"/>
          <w:szCs w:val="12"/>
          <w:color w:val="auto"/>
        </w:rPr>
        <w:t>— The risk-free interest rate is based on the yield available on U.S. Treasury</w:t>
      </w:r>
      <w:r>
        <w:rPr>
          <w:rFonts w:ascii="Arial" w:cs="Arial" w:eastAsia="Arial" w:hAnsi="Arial"/>
          <w:sz w:val="12"/>
          <w:szCs w:val="12"/>
          <w:i w:val="1"/>
          <w:iCs w:val="1"/>
          <w:color w:val="auto"/>
        </w:rPr>
        <w:t xml:space="preserve"> </w:t>
      </w:r>
      <w:r>
        <w:rPr>
          <w:rFonts w:ascii="Arial" w:cs="Arial" w:eastAsia="Arial" w:hAnsi="Arial"/>
          <w:sz w:val="12"/>
          <w:szCs w:val="12"/>
          <w:color w:val="auto"/>
        </w:rPr>
        <w:t>zero-coupon issues with a term that approximates the expected term of the option.</w:t>
      </w:r>
    </w:p>
    <w:p>
      <w:pPr>
        <w:spacing w:after="0" w:line="62" w:lineRule="exact"/>
        <w:rPr>
          <w:sz w:val="20"/>
          <w:szCs w:val="20"/>
          <w:color w:val="auto"/>
        </w:rPr>
      </w:pPr>
    </w:p>
    <w:p>
      <w:pPr>
        <w:ind w:left="1520" w:right="1960" w:firstLine="230"/>
        <w:spacing w:after="0" w:line="289" w:lineRule="auto"/>
        <w:rPr>
          <w:sz w:val="20"/>
          <w:szCs w:val="20"/>
          <w:color w:val="auto"/>
        </w:rPr>
      </w:pPr>
      <w:r>
        <w:rPr>
          <w:rFonts w:ascii="Arial" w:cs="Arial" w:eastAsia="Arial" w:hAnsi="Arial"/>
          <w:sz w:val="12"/>
          <w:szCs w:val="12"/>
          <w:i w:val="1"/>
          <w:iCs w:val="1"/>
          <w:color w:val="auto"/>
        </w:rPr>
        <w:t xml:space="preserve">Expected Volatility </w:t>
      </w:r>
      <w:r>
        <w:rPr>
          <w:rFonts w:ascii="Arial" w:cs="Arial" w:eastAsia="Arial" w:hAnsi="Arial"/>
          <w:sz w:val="12"/>
          <w:szCs w:val="12"/>
          <w:b w:val="1"/>
          <w:bCs w:val="1"/>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The volatility is derived from the average historical stock volatilities of peer</w:t>
      </w:r>
      <w:r>
        <w:rPr>
          <w:rFonts w:ascii="Arial" w:cs="Arial" w:eastAsia="Arial" w:hAnsi="Arial"/>
          <w:sz w:val="12"/>
          <w:szCs w:val="12"/>
          <w:i w:val="1"/>
          <w:iCs w:val="1"/>
          <w:color w:val="auto"/>
        </w:rPr>
        <w:t xml:space="preserve"> </w:t>
      </w:r>
      <w:r>
        <w:rPr>
          <w:rFonts w:ascii="Arial" w:cs="Arial" w:eastAsia="Arial" w:hAnsi="Arial"/>
          <w:sz w:val="12"/>
          <w:szCs w:val="12"/>
          <w:color w:val="auto"/>
        </w:rPr>
        <w:t>group public companies that the Company considers to be comparable to its business over a period equivalent to the expected term of the stock-based grants.</w:t>
      </w:r>
    </w:p>
    <w:p>
      <w:pPr>
        <w:spacing w:after="0" w:line="76" w:lineRule="exact"/>
        <w:rPr>
          <w:sz w:val="20"/>
          <w:szCs w:val="20"/>
          <w:color w:val="auto"/>
        </w:rPr>
      </w:pPr>
    </w:p>
    <w:p>
      <w:pPr>
        <w:ind w:left="1520" w:right="1680" w:firstLine="230"/>
        <w:spacing w:after="0" w:line="277" w:lineRule="auto"/>
        <w:rPr>
          <w:sz w:val="20"/>
          <w:szCs w:val="20"/>
          <w:color w:val="auto"/>
        </w:rPr>
      </w:pPr>
      <w:r>
        <w:rPr>
          <w:rFonts w:ascii="Arial" w:cs="Arial" w:eastAsia="Arial" w:hAnsi="Arial"/>
          <w:sz w:val="12"/>
          <w:szCs w:val="12"/>
          <w:i w:val="1"/>
          <w:iCs w:val="1"/>
          <w:color w:val="auto"/>
        </w:rPr>
        <w:t xml:space="preserve">Expected Term </w:t>
      </w:r>
      <w:r>
        <w:rPr>
          <w:rFonts w:ascii="Arial" w:cs="Arial" w:eastAsia="Arial" w:hAnsi="Arial"/>
          <w:sz w:val="12"/>
          <w:szCs w:val="12"/>
          <w:b w:val="1"/>
          <w:bCs w:val="1"/>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The expected term represents the period that stock-based awards are expected to</w:t>
      </w:r>
      <w:r>
        <w:rPr>
          <w:rFonts w:ascii="Arial" w:cs="Arial" w:eastAsia="Arial" w:hAnsi="Arial"/>
          <w:sz w:val="12"/>
          <w:szCs w:val="12"/>
          <w:i w:val="1"/>
          <w:iCs w:val="1"/>
          <w:color w:val="auto"/>
        </w:rPr>
        <w:t xml:space="preserve"> </w:t>
      </w:r>
      <w:r>
        <w:rPr>
          <w:rFonts w:ascii="Arial" w:cs="Arial" w:eastAsia="Arial" w:hAnsi="Arial"/>
          <w:sz w:val="12"/>
          <w:szCs w:val="12"/>
          <w:color w:val="auto"/>
        </w:rPr>
        <w:t>be outstanding. Since the Company did not have sufficient historical information to develop reasonable expectations about future exercise behavior, the expected term for options issued to employees was calculated as the mean of the option vesting period and contractual term (the “Simplified Method”). The expected term for options issued to non-employees is the contractual term.</w:t>
      </w:r>
    </w:p>
    <w:p>
      <w:pPr>
        <w:spacing w:after="0" w:line="84"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b w:val="1"/>
          <w:bCs w:val="1"/>
          <w:u w:val="single" w:color="auto"/>
          <w:color w:val="auto"/>
        </w:rPr>
        <w:t>Stock Option Modifications</w:t>
      </w:r>
      <w:r>
        <w:rPr>
          <w:rFonts w:ascii="Arial" w:cs="Arial" w:eastAsia="Arial" w:hAnsi="Arial"/>
          <w:sz w:val="12"/>
          <w:szCs w:val="12"/>
          <w:b w:val="1"/>
          <w:bCs w:val="1"/>
          <w:color w:val="auto"/>
        </w:rPr>
        <w:t xml:space="preserve"> </w:t>
      </w:r>
      <w:r>
        <w:rPr>
          <w:rFonts w:ascii="Arial" w:cs="Arial" w:eastAsia="Arial" w:hAnsi="Arial"/>
          <w:sz w:val="12"/>
          <w:szCs w:val="12"/>
          <w:color w:val="auto"/>
        </w:rPr>
        <w:t>— During the years ended January 31, 2025 and 2024, the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modified certain stock option awards in connection with the termination of select former employees. The modifications included accelerated vesting and extension of the post-termination exercise period. The Company measured the modification charge as the difference between the fair value of the modified awards and the fair value of the original awards immediately prior to the modification. The incremental fair value associated with the modified awards during the years ended January 31, 2025 and 2024 was $2.1 million and $5.0 million, respectively, which was recognized at the modification date.</w:t>
      </w:r>
    </w:p>
    <w:p>
      <w:pPr>
        <w:spacing w:after="0" w:line="88" w:lineRule="exact"/>
        <w:rPr>
          <w:sz w:val="20"/>
          <w:szCs w:val="20"/>
          <w:color w:val="auto"/>
        </w:rPr>
      </w:pPr>
    </w:p>
    <w:p>
      <w:pPr>
        <w:ind w:left="1520" w:right="1660" w:firstLine="230"/>
        <w:spacing w:after="0" w:line="275" w:lineRule="auto"/>
        <w:rPr>
          <w:sz w:val="20"/>
          <w:szCs w:val="20"/>
          <w:color w:val="auto"/>
        </w:rPr>
      </w:pPr>
      <w:r>
        <w:rPr>
          <w:rFonts w:ascii="Arial" w:cs="Arial" w:eastAsia="Arial" w:hAnsi="Arial"/>
          <w:sz w:val="12"/>
          <w:szCs w:val="12"/>
          <w:color w:val="auto"/>
        </w:rPr>
        <w:t>During the year ended January 31, 2025, the Company modified stock options f or 2,254 employees, one former employee and one member of the Board of Directors by amending the exercise price of the stock options. As a result of the modification, we recognized incremental stock-based compensation expense of $6.0 million for vested stock options on the modification date. An additional $ 7.0 million of incremental stock-based compensation expense will be recognized for unvested stock options over a weighted average period of 2.3 years as of the modification date.</w:t>
      </w:r>
    </w:p>
    <w:p>
      <w:pPr>
        <w:spacing w:after="0" w:line="85" w:lineRule="exact"/>
        <w:rPr>
          <w:sz w:val="20"/>
          <w:szCs w:val="20"/>
          <w:color w:val="auto"/>
        </w:rPr>
      </w:pPr>
    </w:p>
    <w:p>
      <w:pPr>
        <w:ind w:left="1520" w:right="2200" w:firstLine="230"/>
        <w:spacing w:after="0" w:line="312" w:lineRule="auto"/>
        <w:rPr>
          <w:sz w:val="20"/>
          <w:szCs w:val="20"/>
          <w:color w:val="auto"/>
        </w:rPr>
      </w:pPr>
      <w:r>
        <w:rPr>
          <w:rFonts w:ascii="Arial" w:cs="Arial" w:eastAsia="Arial" w:hAnsi="Arial"/>
          <w:sz w:val="12"/>
          <w:szCs w:val="12"/>
          <w:color w:val="auto"/>
          <w:highlight w:val="white"/>
        </w:rPr>
        <w:t>The following table summarizes stock option activity for the year ended January 31, 2025 (in thousands, except price per share, share and years data):</w:t>
      </w:r>
    </w:p>
    <w:p>
      <w:pPr>
        <w:spacing w:after="0" w:line="103" w:lineRule="exact"/>
        <w:rPr>
          <w:sz w:val="20"/>
          <w:szCs w:val="20"/>
          <w:color w:val="auto"/>
        </w:rPr>
      </w:pPr>
    </w:p>
    <w:tbl>
      <w:tblPr>
        <w:tblLayout w:type="fixed"/>
        <w:tblInd w:w="1520" w:type="dxa"/>
        <w:tblCellMar>
          <w:top w:w="0" w:type="dxa"/>
          <w:left w:w="0" w:type="dxa"/>
          <w:bottom w:w="0" w:type="dxa"/>
          <w:right w:w="0" w:type="dxa"/>
        </w:tblCellMar>
      </w:tblPr>
      <w:tr>
        <w:trPr>
          <w:trHeight w:val="103"/>
        </w:trPr>
        <w:tc>
          <w:tcPr>
            <w:tcW w:w="2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jc w:val="center"/>
              <w:spacing w:after="0"/>
              <w:rPr>
                <w:sz w:val="20"/>
                <w:szCs w:val="20"/>
                <w:color w:val="auto"/>
              </w:rPr>
            </w:pPr>
            <w:r>
              <w:rPr>
                <w:rFonts w:ascii="Arial" w:cs="Arial" w:eastAsia="Arial" w:hAnsi="Arial"/>
                <w:sz w:val="9"/>
                <w:szCs w:val="9"/>
                <w:b w:val="1"/>
                <w:bCs w:val="1"/>
                <w:color w:val="auto"/>
                <w:w w:val="96"/>
              </w:rPr>
              <w:t>Weighted-</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jc w:val="center"/>
              <w:spacing w:after="0" w:line="96" w:lineRule="exact"/>
              <w:rPr>
                <w:sz w:val="20"/>
                <w:szCs w:val="20"/>
                <w:color w:val="auto"/>
              </w:rPr>
            </w:pPr>
            <w:r>
              <w:rPr>
                <w:rFonts w:ascii="Arial" w:cs="Arial" w:eastAsia="Arial" w:hAnsi="Arial"/>
                <w:sz w:val="9"/>
                <w:szCs w:val="9"/>
                <w:b w:val="1"/>
                <w:bCs w:val="1"/>
                <w:color w:val="auto"/>
                <w:w w:val="95"/>
              </w:rPr>
              <w:t>Average</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520" w:type="dxa"/>
            <w:vAlign w:val="bottom"/>
          </w:tcPr>
          <w:p>
            <w:pPr>
              <w:spacing w:after="0"/>
              <w:rPr>
                <w:sz w:val="7"/>
                <w:szCs w:val="7"/>
                <w:color w:val="auto"/>
              </w:rPr>
            </w:pPr>
          </w:p>
        </w:tc>
        <w:tc>
          <w:tcPr>
            <w:tcW w:w="84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7"/>
              </w:rPr>
              <w:t>Number of Stock</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jc w:val="right"/>
              <w:ind w:right="180"/>
              <w:spacing w:after="0" w:line="86" w:lineRule="exact"/>
              <w:rPr>
                <w:sz w:val="20"/>
                <w:szCs w:val="20"/>
                <w:color w:val="auto"/>
              </w:rPr>
            </w:pPr>
            <w:r>
              <w:rPr>
                <w:rFonts w:ascii="Arial" w:cs="Arial" w:eastAsia="Arial" w:hAnsi="Arial"/>
                <w:sz w:val="9"/>
                <w:szCs w:val="9"/>
                <w:b w:val="1"/>
                <w:bCs w:val="1"/>
                <w:color w:val="auto"/>
              </w:rPr>
              <w:t>Weighted-</w:t>
            </w:r>
          </w:p>
        </w:tc>
        <w:tc>
          <w:tcPr>
            <w:tcW w:w="20" w:type="dxa"/>
            <w:vAlign w:val="bottom"/>
          </w:tcPr>
          <w:p>
            <w:pPr>
              <w:spacing w:after="0"/>
              <w:rPr>
                <w:sz w:val="7"/>
                <w:szCs w:val="7"/>
                <w:color w:val="auto"/>
              </w:rPr>
            </w:pPr>
          </w:p>
        </w:tc>
        <w:tc>
          <w:tcPr>
            <w:tcW w:w="84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5"/>
              </w:rPr>
              <w:t>Remaining</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restart"/>
          </w:tcPr>
          <w:p>
            <w:pPr>
              <w:jc w:val="right"/>
              <w:ind w:right="163"/>
              <w:spacing w:after="0"/>
              <w:rPr>
                <w:sz w:val="20"/>
                <w:szCs w:val="20"/>
                <w:color w:val="auto"/>
              </w:rPr>
            </w:pPr>
            <w:r>
              <w:rPr>
                <w:rFonts w:ascii="Arial" w:cs="Arial" w:eastAsia="Arial" w:hAnsi="Arial"/>
                <w:sz w:val="9"/>
                <w:szCs w:val="9"/>
                <w:b w:val="1"/>
                <w:bCs w:val="1"/>
                <w:color w:val="auto"/>
              </w:rPr>
              <w:t>Aggregate</w:t>
            </w:r>
          </w:p>
        </w:tc>
        <w:tc>
          <w:tcPr>
            <w:tcW w:w="0" w:type="dxa"/>
            <w:vAlign w:val="bottom"/>
          </w:tcPr>
          <w:p>
            <w:pPr>
              <w:spacing w:after="0"/>
              <w:rPr>
                <w:sz w:val="1"/>
                <w:szCs w:val="1"/>
                <w:color w:val="auto"/>
              </w:rPr>
            </w:pPr>
          </w:p>
        </w:tc>
      </w:tr>
      <w:tr>
        <w:trPr>
          <w:trHeight w:val="86"/>
        </w:trPr>
        <w:tc>
          <w:tcPr>
            <w:tcW w:w="2520" w:type="dxa"/>
            <w:vAlign w:val="bottom"/>
          </w:tcPr>
          <w:p>
            <w:pPr>
              <w:spacing w:after="0"/>
              <w:rPr>
                <w:sz w:val="7"/>
                <w:szCs w:val="7"/>
                <w:color w:val="auto"/>
              </w:rPr>
            </w:pPr>
          </w:p>
        </w:tc>
        <w:tc>
          <w:tcPr>
            <w:tcW w:w="84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9"/>
              </w:rPr>
              <w:t>Options</w:t>
            </w:r>
          </w:p>
        </w:tc>
        <w:tc>
          <w:tcPr>
            <w:tcW w:w="40" w:type="dxa"/>
            <w:vAlign w:val="bottom"/>
          </w:tcPr>
          <w:p>
            <w:pPr>
              <w:spacing w:after="0"/>
              <w:rPr>
                <w:sz w:val="7"/>
                <w:szCs w:val="7"/>
                <w:color w:val="auto"/>
              </w:rPr>
            </w:pPr>
          </w:p>
        </w:tc>
        <w:tc>
          <w:tcPr>
            <w:tcW w:w="840" w:type="dxa"/>
            <w:vAlign w:val="bottom"/>
            <w:gridSpan w:val="2"/>
          </w:tcPr>
          <w:p>
            <w:pPr>
              <w:ind w:left="40"/>
              <w:spacing w:after="0" w:line="86" w:lineRule="exact"/>
              <w:rPr>
                <w:sz w:val="20"/>
                <w:szCs w:val="20"/>
                <w:color w:val="auto"/>
              </w:rPr>
            </w:pPr>
            <w:r>
              <w:rPr>
                <w:rFonts w:ascii="Arial" w:cs="Arial" w:eastAsia="Arial" w:hAnsi="Arial"/>
                <w:sz w:val="9"/>
                <w:szCs w:val="9"/>
                <w:b w:val="1"/>
                <w:bCs w:val="1"/>
                <w:color w:val="auto"/>
              </w:rPr>
              <w:t>Average Exercise</w:t>
            </w:r>
          </w:p>
        </w:tc>
        <w:tc>
          <w:tcPr>
            <w:tcW w:w="20" w:type="dxa"/>
            <w:vAlign w:val="bottom"/>
          </w:tcPr>
          <w:p>
            <w:pPr>
              <w:spacing w:after="0"/>
              <w:rPr>
                <w:sz w:val="7"/>
                <w:szCs w:val="7"/>
                <w:color w:val="auto"/>
              </w:rPr>
            </w:pPr>
          </w:p>
        </w:tc>
        <w:tc>
          <w:tcPr>
            <w:tcW w:w="84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6"/>
              </w:rPr>
              <w:t>Contractual Life</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52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4"/>
              </w:rPr>
              <w:t>Outstanding</w:t>
            </w:r>
          </w:p>
        </w:tc>
        <w:tc>
          <w:tcPr>
            <w:tcW w:w="4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9"/>
                <w:szCs w:val="9"/>
                <w:b w:val="1"/>
                <w:bCs w:val="1"/>
                <w:color w:val="auto"/>
              </w:rPr>
              <w:t>Price per Share</w:t>
            </w:r>
          </w:p>
        </w:tc>
        <w:tc>
          <w:tcPr>
            <w:tcW w:w="2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8"/>
              </w:rPr>
              <w:t>(Years)</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9"/>
                <w:szCs w:val="9"/>
                <w:b w:val="1"/>
                <w:bCs w:val="1"/>
                <w:color w:val="auto"/>
                <w:w w:val="94"/>
              </w:rPr>
              <w:t>Intrinsic Value</w:t>
            </w:r>
          </w:p>
        </w:tc>
        <w:tc>
          <w:tcPr>
            <w:tcW w:w="0" w:type="dxa"/>
            <w:vAlign w:val="bottom"/>
          </w:tcPr>
          <w:p>
            <w:pPr>
              <w:spacing w:after="0"/>
              <w:rPr>
                <w:sz w:val="1"/>
                <w:szCs w:val="1"/>
                <w:color w:val="auto"/>
              </w:rPr>
            </w:pPr>
          </w:p>
        </w:tc>
      </w:tr>
      <w:tr>
        <w:trPr>
          <w:trHeight w:val="170"/>
        </w:trPr>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BalanceasofJanuary31,2024</w:t>
            </w: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rPr>
              <w:t>41,769,970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13.90</w:t>
            </w: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183,079</w:t>
            </w:r>
          </w:p>
        </w:tc>
        <w:tc>
          <w:tcPr>
            <w:tcW w:w="0" w:type="dxa"/>
            <w:vAlign w:val="bottom"/>
          </w:tcPr>
          <w:p>
            <w:pPr>
              <w:spacing w:after="0"/>
              <w:rPr>
                <w:sz w:val="1"/>
                <w:szCs w:val="1"/>
                <w:color w:val="auto"/>
              </w:rPr>
            </w:pPr>
          </w:p>
        </w:tc>
      </w:tr>
      <w:tr>
        <w:trPr>
          <w:trHeight w:val="173"/>
        </w:trPr>
        <w:tc>
          <w:tcPr>
            <w:tcW w:w="2520" w:type="dxa"/>
            <w:vAlign w:val="bottom"/>
          </w:tcPr>
          <w:p>
            <w:pPr>
              <w:jc w:val="right"/>
              <w:ind w:right="18"/>
              <w:spacing w:after="0"/>
              <w:rPr>
                <w:sz w:val="20"/>
                <w:szCs w:val="20"/>
                <w:color w:val="auto"/>
              </w:rPr>
            </w:pPr>
            <w:r>
              <w:rPr>
                <w:rFonts w:ascii="Arial" w:cs="Arial" w:eastAsia="Arial" w:hAnsi="Arial"/>
                <w:sz w:val="12"/>
                <w:szCs w:val="12"/>
                <w:color w:val="auto"/>
              </w:rPr>
              <w:t xml:space="preserve">Granted </w:t>
            </w:r>
            <w:r>
              <w:rPr>
                <w:rFonts w:ascii="Times New Roman" w:cs="Times New Roman" w:eastAsia="Times New Roman" w:hAnsi="Times New Roman"/>
                <w:sz w:val="12"/>
                <w:szCs w:val="12"/>
                <w:color w:val="B4B4B4"/>
              </w:rPr>
              <w:t>.........................................................</w:t>
            </w:r>
          </w:p>
        </w:tc>
        <w:tc>
          <w:tcPr>
            <w:tcW w:w="840" w:type="dxa"/>
            <w:vAlign w:val="bottom"/>
          </w:tcPr>
          <w:p>
            <w:pPr>
              <w:jc w:val="right"/>
              <w:ind w:right="4"/>
              <w:spacing w:after="0"/>
              <w:rPr>
                <w:sz w:val="20"/>
                <w:szCs w:val="20"/>
                <w:color w:val="auto"/>
              </w:rPr>
            </w:pPr>
            <w:r>
              <w:rPr>
                <w:rFonts w:ascii="Arial" w:cs="Arial" w:eastAsia="Arial" w:hAnsi="Arial"/>
                <w:sz w:val="12"/>
                <w:szCs w:val="12"/>
                <w:color w:val="auto"/>
              </w:rPr>
              <w:t>4,425,665</w:t>
            </w:r>
          </w:p>
        </w:tc>
        <w:tc>
          <w:tcPr>
            <w:tcW w:w="18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16.85</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 xml:space="preserve">Exercised </w:t>
            </w:r>
            <w:r>
              <w:rPr>
                <w:rFonts w:ascii="Times New Roman" w:cs="Times New Roman" w:eastAsia="Times New Roman" w:hAnsi="Times New Roman"/>
                <w:sz w:val="12"/>
                <w:szCs w:val="12"/>
                <w:color w:val="B4B4B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(665,863)</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6.80</w:t>
            </w:r>
          </w:p>
        </w:tc>
        <w:tc>
          <w:tcPr>
            <w:tcW w:w="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9,104</w:t>
            </w:r>
          </w:p>
        </w:tc>
        <w:tc>
          <w:tcPr>
            <w:tcW w:w="0" w:type="dxa"/>
            <w:vAlign w:val="bottom"/>
          </w:tcPr>
          <w:p>
            <w:pPr>
              <w:spacing w:after="0"/>
              <w:rPr>
                <w:sz w:val="1"/>
                <w:szCs w:val="1"/>
                <w:color w:val="auto"/>
              </w:rPr>
            </w:pPr>
          </w:p>
        </w:tc>
      </w:tr>
      <w:tr>
        <w:trPr>
          <w:trHeight w:val="173"/>
        </w:trPr>
        <w:tc>
          <w:tcPr>
            <w:tcW w:w="25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 xml:space="preserve">Cancelled/forfeited/expired </w:t>
            </w:r>
            <w:r>
              <w:rPr>
                <w:rFonts w:ascii="Times New Roman" w:cs="Times New Roman" w:eastAsia="Times New Roman" w:hAnsi="Times New Roman"/>
                <w:sz w:val="12"/>
                <w:szCs w:val="12"/>
                <w:color w:val="B4B4B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(4,558,675)</w:t>
            </w:r>
          </w:p>
        </w:tc>
        <w:tc>
          <w:tcPr>
            <w:tcW w:w="180" w:type="dxa"/>
            <w:vAlign w:val="bottom"/>
            <w:tcBorders>
              <w:bottom w:val="single" w:sz="8" w:color="CCEEFF"/>
            </w:tcBorders>
            <w:gridSpan w:val="2"/>
          </w:tcPr>
          <w:p>
            <w:pPr>
              <w:ind w:left="6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CCEEFF"/>
            </w:tcBorders>
          </w:tcPr>
          <w:p>
            <w:pPr>
              <w:jc w:val="right"/>
              <w:ind w:right="20"/>
              <w:spacing w:after="0"/>
              <w:rPr>
                <w:sz w:val="20"/>
                <w:szCs w:val="20"/>
                <w:color w:val="auto"/>
              </w:rPr>
            </w:pPr>
            <w:r>
              <w:rPr>
                <w:rFonts w:ascii="Arial" w:cs="Arial" w:eastAsia="Arial" w:hAnsi="Arial"/>
                <w:sz w:val="12"/>
                <w:szCs w:val="12"/>
                <w:color w:val="auto"/>
              </w:rPr>
              <w:t>17.36</w:t>
            </w:r>
          </w:p>
        </w:tc>
        <w:tc>
          <w:tcPr>
            <w:tcW w:w="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BalanceasofJanuary31,2025</w:t>
            </w:r>
          </w:p>
        </w:tc>
        <w:tc>
          <w:tcPr>
            <w:tcW w:w="8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2"/>
                <w:szCs w:val="12"/>
                <w:color w:val="auto"/>
              </w:rPr>
              <w:t>40,971,097</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12.80</w:t>
            </w:r>
          </w:p>
        </w:tc>
        <w:tc>
          <w:tcPr>
            <w:tcW w:w="86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2"/>
                <w:szCs w:val="12"/>
                <w:color w:val="auto"/>
              </w:rPr>
              <w:t>7.0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402,471</w:t>
            </w:r>
          </w:p>
        </w:tc>
        <w:tc>
          <w:tcPr>
            <w:tcW w:w="0" w:type="dxa"/>
            <w:vAlign w:val="bottom"/>
          </w:tcPr>
          <w:p>
            <w:pPr>
              <w:spacing w:after="0"/>
              <w:rPr>
                <w:sz w:val="1"/>
                <w:szCs w:val="1"/>
                <w:color w:val="auto"/>
              </w:rPr>
            </w:pPr>
          </w:p>
        </w:tc>
      </w:tr>
      <w:tr>
        <w:trPr>
          <w:trHeight w:val="104"/>
        </w:trPr>
        <w:tc>
          <w:tcPr>
            <w:tcW w:w="2520" w:type="dxa"/>
            <w:vAlign w:val="bottom"/>
          </w:tcPr>
          <w:p>
            <w:pPr>
              <w:jc w:val="right"/>
              <w:ind w:right="78"/>
              <w:spacing w:after="0" w:line="104" w:lineRule="exact"/>
              <w:rPr>
                <w:sz w:val="20"/>
                <w:szCs w:val="20"/>
                <w:color w:val="auto"/>
              </w:rPr>
            </w:pPr>
            <w:r>
              <w:rPr>
                <w:rFonts w:ascii="Arial" w:cs="Arial" w:eastAsia="Arial" w:hAnsi="Arial"/>
                <w:sz w:val="12"/>
                <w:szCs w:val="12"/>
                <w:color w:val="auto"/>
              </w:rPr>
              <w:t>Vested and expected to vest as of January</w:t>
            </w:r>
          </w:p>
        </w:tc>
        <w:tc>
          <w:tcPr>
            <w:tcW w:w="840" w:type="dxa"/>
            <w:vAlign w:val="bottom"/>
            <w:vMerge w:val="restart"/>
          </w:tcPr>
          <w:p>
            <w:pPr>
              <w:jc w:val="right"/>
              <w:ind w:right="24"/>
              <w:spacing w:after="0"/>
              <w:rPr>
                <w:sz w:val="20"/>
                <w:szCs w:val="20"/>
                <w:color w:val="auto"/>
              </w:rPr>
            </w:pPr>
            <w:r>
              <w:rPr>
                <w:rFonts w:ascii="Arial" w:cs="Arial" w:eastAsia="Arial" w:hAnsi="Arial"/>
                <w:sz w:val="12"/>
                <w:szCs w:val="12"/>
                <w:color w:val="auto"/>
              </w:rPr>
              <w:t>40,971,097</w:t>
            </w:r>
          </w:p>
        </w:tc>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ind w:right="20"/>
              <w:spacing w:after="0"/>
              <w:rPr>
                <w:sz w:val="20"/>
                <w:szCs w:val="20"/>
                <w:color w:val="auto"/>
              </w:rPr>
            </w:pPr>
            <w:r>
              <w:rPr>
                <w:rFonts w:ascii="Arial" w:cs="Arial" w:eastAsia="Arial" w:hAnsi="Arial"/>
                <w:sz w:val="12"/>
                <w:szCs w:val="12"/>
                <w:color w:val="auto"/>
              </w:rPr>
              <w:t>12.80</w:t>
            </w:r>
          </w:p>
        </w:tc>
        <w:tc>
          <w:tcPr>
            <w:tcW w:w="860" w:type="dxa"/>
            <w:vAlign w:val="bottom"/>
            <w:gridSpan w:val="2"/>
            <w:vMerge w:val="restart"/>
          </w:tcPr>
          <w:p>
            <w:pPr>
              <w:jc w:val="right"/>
              <w:ind w:right="14"/>
              <w:spacing w:after="0"/>
              <w:rPr>
                <w:sz w:val="20"/>
                <w:szCs w:val="20"/>
                <w:color w:val="auto"/>
              </w:rPr>
            </w:pPr>
            <w:r>
              <w:rPr>
                <w:rFonts w:ascii="Arial" w:cs="Arial" w:eastAsia="Arial" w:hAnsi="Arial"/>
                <w:sz w:val="12"/>
                <w:szCs w:val="12"/>
                <w:color w:val="auto"/>
              </w:rPr>
              <w:t>7.0</w:t>
            </w:r>
          </w:p>
        </w:tc>
        <w:tc>
          <w:tcPr>
            <w:tcW w:w="14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23"/>
              <w:spacing w:after="0"/>
              <w:rPr>
                <w:sz w:val="20"/>
                <w:szCs w:val="20"/>
                <w:color w:val="auto"/>
              </w:rPr>
            </w:pPr>
            <w:r>
              <w:rPr>
                <w:rFonts w:ascii="Arial" w:cs="Arial" w:eastAsia="Arial" w:hAnsi="Arial"/>
                <w:sz w:val="12"/>
                <w:szCs w:val="12"/>
                <w:color w:val="auto"/>
              </w:rPr>
              <w:t>402,471</w:t>
            </w:r>
          </w:p>
        </w:tc>
        <w:tc>
          <w:tcPr>
            <w:tcW w:w="0" w:type="dxa"/>
            <w:vAlign w:val="bottom"/>
          </w:tcPr>
          <w:p>
            <w:pPr>
              <w:spacing w:after="0"/>
              <w:rPr>
                <w:sz w:val="1"/>
                <w:szCs w:val="1"/>
                <w:color w:val="auto"/>
              </w:rPr>
            </w:pPr>
          </w:p>
        </w:tc>
      </w:tr>
      <w:tr>
        <w:trPr>
          <w:trHeight w:val="191"/>
        </w:trPr>
        <w:tc>
          <w:tcPr>
            <w:tcW w:w="2520" w:type="dxa"/>
            <w:vAlign w:val="bottom"/>
            <w:tcBorders>
              <w:bottom w:val="single" w:sz="8" w:color="CCEEFF"/>
            </w:tcBorders>
          </w:tcPr>
          <w:p>
            <w:pPr>
              <w:jc w:val="right"/>
              <w:ind w:right="18"/>
              <w:spacing w:after="0"/>
              <w:rPr>
                <w:sz w:val="20"/>
                <w:szCs w:val="20"/>
                <w:color w:val="auto"/>
              </w:rPr>
            </w:pPr>
            <w:r>
              <w:rPr>
                <w:rFonts w:ascii="Arial" w:cs="Arial" w:eastAsia="Arial" w:hAnsi="Arial"/>
                <w:sz w:val="12"/>
                <w:szCs w:val="12"/>
                <w:color w:val="auto"/>
              </w:rPr>
              <w:t xml:space="preserve">31, 2025 </w:t>
            </w:r>
            <w:r>
              <w:rPr>
                <w:rFonts w:ascii="Times New Roman" w:cs="Times New Roman" w:eastAsia="Times New Roman" w:hAnsi="Times New Roman"/>
                <w:sz w:val="12"/>
                <w:szCs w:val="12"/>
                <w:color w:val="B4B4B4"/>
              </w:rPr>
              <w:t>.........................................................</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gridSpan w:val="2"/>
            <w:vMerge w:val="continue"/>
          </w:tcPr>
          <w:p>
            <w:pPr>
              <w:spacing w:after="0"/>
              <w:rPr>
                <w:sz w:val="16"/>
                <w:szCs w:val="16"/>
                <w:color w:val="auto"/>
              </w:rPr>
            </w:pPr>
          </w:p>
        </w:tc>
        <w:tc>
          <w:tcPr>
            <w:tcW w:w="70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CCEEFF"/>
            </w:tcBorders>
            <w:gridSpan w:val="2"/>
            <w:vMerge w:val="continue"/>
          </w:tcPr>
          <w:p>
            <w:pPr>
              <w:spacing w:after="0"/>
              <w:rPr>
                <w:sz w:val="16"/>
                <w:szCs w:val="16"/>
                <w:color w:val="auto"/>
              </w:rPr>
            </w:pPr>
          </w:p>
        </w:tc>
        <w:tc>
          <w:tcPr>
            <w:tcW w:w="74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ExercisableasofJanuary31,2025</w:t>
            </w:r>
          </w:p>
        </w:tc>
        <w:tc>
          <w:tcPr>
            <w:tcW w:w="8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2"/>
                <w:szCs w:val="12"/>
                <w:color w:val="auto"/>
              </w:rPr>
              <w:t>32,102,738</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11.74</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349,174</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520" w:right="1600" w:firstLine="230"/>
        <w:spacing w:after="0" w:line="273" w:lineRule="auto"/>
        <w:rPr>
          <w:sz w:val="20"/>
          <w:szCs w:val="20"/>
          <w:color w:val="auto"/>
        </w:rPr>
      </w:pPr>
      <w:r>
        <w:rPr>
          <w:rFonts w:ascii="Arial" w:cs="Arial" w:eastAsia="Arial" w:hAnsi="Arial"/>
          <w:sz w:val="12"/>
          <w:szCs w:val="12"/>
          <w:color w:val="auto"/>
        </w:rPr>
        <w:t>The weighted-average grant date fair value of options granted during the years ended January 31, 2025 and 2024, were $ 11.87 and $10.78 per share, respectively. The intrinsic value of options exercised for the years ended January 31, 2025 and 2024 was $ 9.1 million and $ 6.0 million, respectively. The aggregate grant-date fair value of options that vested during the years ended January 31, 2025 and 2024 was $135.9 million and $ 73.8 million, respectively. As of January 31, 2025 , there was approximately $135.0 million of unrecognized compensation cost related to unvested stock options granted, which is expected to be recognized over a weighted-average period of 2.3 years.</w:t>
      </w:r>
    </w:p>
    <w:p>
      <w:pPr>
        <w:sectPr>
          <w:pgSz w:w="11900" w:h="16840" w:orient="portrait"/>
          <w:cols w:equalWidth="0" w:num="1">
            <w:col w:w="9020"/>
          </w:cols>
          <w:pgMar w:left="1440" w:top="560" w:right="1440" w:bottom="1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F-34</w:t>
      </w:r>
    </w:p>
    <w:p>
      <w:pPr>
        <w:sectPr>
          <w:pgSz w:w="11900" w:h="16840" w:orient="portrait"/>
          <w:cols w:equalWidth="0" w:num="1">
            <w:col w:w="9020"/>
          </w:cols>
          <w:pgMar w:left="1440" w:top="560" w:right="1440" w:bottom="116" w:gutter="0" w:footer="0" w:header="0"/>
          <w:type w:val="continuous"/>
        </w:sectPr>
      </w:pPr>
    </w:p>
    <w:bookmarkStart w:id="183" w:name="page184"/>
    <w:bookmarkEnd w:id="183"/>
    <w:p>
      <w:pPr>
        <w:ind w:left="1520"/>
        <w:spacing w:after="0"/>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Restricted Stock Units</w:t>
      </w:r>
    </w:p>
    <w:p>
      <w:pPr>
        <w:spacing w:after="0" w:line="128" w:lineRule="exact"/>
        <w:rPr>
          <w:sz w:val="20"/>
          <w:szCs w:val="20"/>
          <w:color w:val="auto"/>
        </w:rPr>
      </w:pPr>
    </w:p>
    <w:p>
      <w:pPr>
        <w:ind w:left="1520" w:right="1720" w:firstLine="230"/>
        <w:spacing w:after="0" w:line="275" w:lineRule="auto"/>
        <w:rPr>
          <w:sz w:val="20"/>
          <w:szCs w:val="20"/>
          <w:color w:val="auto"/>
        </w:rPr>
      </w:pPr>
      <w:r>
        <w:rPr>
          <w:rFonts w:ascii="Arial" w:cs="Arial" w:eastAsia="Arial" w:hAnsi="Arial"/>
          <w:sz w:val="12"/>
          <w:szCs w:val="12"/>
          <w:color w:val="auto"/>
        </w:rPr>
        <w:t>RSUs vest upon the satisfaction of both time-based service and performance-based conditions. The time-based service condition for these RSUs is generally four years. The performance-based vesting conditions are satisfied upon a liquidity event, defined as a change of control transaction or following the consummation of an initial public offering. Upon employee termination, RSUs that have satisfied the service condition remain outstanding until the earlier of a liquidity event or the expiration date, which is 10 years from the date of grant.</w:t>
      </w:r>
    </w:p>
    <w:p>
      <w:pPr>
        <w:spacing w:after="0" w:line="85"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highlight w:val="white"/>
        </w:rPr>
        <w:t>The following table summarizes the activity related to RSUs for the year ended January 31, 2025:</w:t>
      </w:r>
    </w:p>
    <w:p>
      <w:pPr>
        <w:spacing w:after="0" w:line="157"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840" w:type="dxa"/>
            <w:vAlign w:val="bottom"/>
          </w:tcPr>
          <w:p>
            <w:pPr>
              <w:jc w:val="right"/>
              <w:ind w:right="105"/>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79"/>
              <w:spacing w:after="0"/>
              <w:rPr>
                <w:sz w:val="20"/>
                <w:szCs w:val="20"/>
                <w:color w:val="auto"/>
              </w:rPr>
            </w:pPr>
            <w:r>
              <w:rPr>
                <w:rFonts w:ascii="Arial" w:cs="Arial" w:eastAsia="Arial" w:hAnsi="Arial"/>
                <w:sz w:val="11"/>
                <w:szCs w:val="11"/>
                <w:b w:val="1"/>
                <w:bCs w:val="1"/>
                <w:color w:val="auto"/>
                <w:w w:val="97"/>
              </w:rPr>
              <w:t>Weighted-</w:t>
            </w:r>
          </w:p>
        </w:tc>
        <w:tc>
          <w:tcPr>
            <w:tcW w:w="0" w:type="dxa"/>
            <w:vAlign w:val="bottom"/>
          </w:tcPr>
          <w:p>
            <w:pPr>
              <w:spacing w:after="0"/>
              <w:rPr>
                <w:sz w:val="1"/>
                <w:szCs w:val="1"/>
                <w:color w:val="auto"/>
              </w:rPr>
            </w:pPr>
          </w:p>
        </w:tc>
      </w:tr>
      <w:tr>
        <w:trPr>
          <w:trHeight w:val="96"/>
        </w:trPr>
        <w:tc>
          <w:tcPr>
            <w:tcW w:w="4260" w:type="dxa"/>
            <w:vAlign w:val="bottom"/>
          </w:tcPr>
          <w:p>
            <w:pPr>
              <w:spacing w:after="0"/>
              <w:rPr>
                <w:sz w:val="8"/>
                <w:szCs w:val="8"/>
                <w:color w:val="auto"/>
              </w:rPr>
            </w:pPr>
          </w:p>
        </w:tc>
        <w:tc>
          <w:tcPr>
            <w:tcW w:w="840" w:type="dxa"/>
            <w:vAlign w:val="bottom"/>
          </w:tcPr>
          <w:p>
            <w:pPr>
              <w:jc w:val="right"/>
              <w:spacing w:after="0" w:line="96" w:lineRule="exact"/>
              <w:rPr>
                <w:sz w:val="20"/>
                <w:szCs w:val="20"/>
                <w:color w:val="auto"/>
              </w:rPr>
            </w:pPr>
            <w:r>
              <w:rPr>
                <w:rFonts w:ascii="Arial" w:cs="Arial" w:eastAsia="Arial" w:hAnsi="Arial"/>
                <w:sz w:val="11"/>
                <w:szCs w:val="11"/>
                <w:b w:val="1"/>
                <w:bCs w:val="1"/>
                <w:color w:val="auto"/>
              </w:rPr>
              <w:t>Shares Subject</w:t>
            </w:r>
          </w:p>
        </w:tc>
        <w:tc>
          <w:tcPr>
            <w:tcW w:w="40" w:type="dxa"/>
            <w:vAlign w:val="bottom"/>
          </w:tcPr>
          <w:p>
            <w:pPr>
              <w:spacing w:after="0"/>
              <w:rPr>
                <w:sz w:val="8"/>
                <w:szCs w:val="8"/>
                <w:color w:val="auto"/>
              </w:rPr>
            </w:pPr>
          </w:p>
        </w:tc>
        <w:tc>
          <w:tcPr>
            <w:tcW w:w="840" w:type="dxa"/>
            <w:vAlign w:val="bottom"/>
            <w:gridSpan w:val="2"/>
          </w:tcPr>
          <w:p>
            <w:pPr>
              <w:jc w:val="center"/>
              <w:spacing w:after="0" w:line="96" w:lineRule="exact"/>
              <w:rPr>
                <w:sz w:val="20"/>
                <w:szCs w:val="20"/>
                <w:color w:val="auto"/>
              </w:rPr>
            </w:pPr>
            <w:r>
              <w:rPr>
                <w:rFonts w:ascii="Arial" w:cs="Arial" w:eastAsia="Arial" w:hAnsi="Arial"/>
                <w:sz w:val="11"/>
                <w:szCs w:val="11"/>
                <w:b w:val="1"/>
                <w:bCs w:val="1"/>
                <w:color w:val="auto"/>
                <w:w w:val="94"/>
              </w:rPr>
              <w:t>Average Grant</w:t>
            </w:r>
          </w:p>
        </w:tc>
        <w:tc>
          <w:tcPr>
            <w:tcW w:w="0" w:type="dxa"/>
            <w:vAlign w:val="bottom"/>
          </w:tcPr>
          <w:p>
            <w:pPr>
              <w:spacing w:after="0"/>
              <w:rPr>
                <w:sz w:val="1"/>
                <w:szCs w:val="1"/>
                <w:color w:val="auto"/>
              </w:rPr>
            </w:pPr>
          </w:p>
        </w:tc>
      </w:tr>
      <w:tr>
        <w:trPr>
          <w:trHeight w:val="105"/>
        </w:trPr>
        <w:tc>
          <w:tcPr>
            <w:tcW w:w="4260" w:type="dxa"/>
            <w:vAlign w:val="bottom"/>
          </w:tcPr>
          <w:p>
            <w:pPr>
              <w:spacing w:after="0"/>
              <w:rPr>
                <w:sz w:val="9"/>
                <w:szCs w:val="9"/>
                <w:color w:val="auto"/>
              </w:rPr>
            </w:pPr>
          </w:p>
        </w:tc>
        <w:tc>
          <w:tcPr>
            <w:tcW w:w="840" w:type="dxa"/>
            <w:vAlign w:val="bottom"/>
          </w:tcPr>
          <w:p>
            <w:pPr>
              <w:ind w:left="220"/>
              <w:spacing w:after="0" w:line="105" w:lineRule="exact"/>
              <w:rPr>
                <w:sz w:val="20"/>
                <w:szCs w:val="20"/>
                <w:color w:val="auto"/>
              </w:rPr>
            </w:pPr>
            <w:r>
              <w:rPr>
                <w:rFonts w:ascii="Arial" w:cs="Arial" w:eastAsia="Arial" w:hAnsi="Arial"/>
                <w:sz w:val="11"/>
                <w:szCs w:val="11"/>
                <w:b w:val="1"/>
                <w:bCs w:val="1"/>
                <w:color w:val="auto"/>
              </w:rPr>
              <w:t>to RSU</w:t>
            </w:r>
          </w:p>
        </w:tc>
        <w:tc>
          <w:tcPr>
            <w:tcW w:w="40" w:type="dxa"/>
            <w:vAlign w:val="bottom"/>
          </w:tcPr>
          <w:p>
            <w:pPr>
              <w:spacing w:after="0"/>
              <w:rPr>
                <w:sz w:val="9"/>
                <w:szCs w:val="9"/>
                <w:color w:val="auto"/>
              </w:rPr>
            </w:pPr>
          </w:p>
        </w:tc>
        <w:tc>
          <w:tcPr>
            <w:tcW w:w="84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auto"/>
                <w:w w:val="95"/>
              </w:rPr>
              <w:t>Date Fair Value</w:t>
            </w:r>
          </w:p>
        </w:tc>
        <w:tc>
          <w:tcPr>
            <w:tcW w:w="0" w:type="dxa"/>
            <w:vAlign w:val="bottom"/>
          </w:tcPr>
          <w:p>
            <w:pPr>
              <w:spacing w:after="0"/>
              <w:rPr>
                <w:sz w:val="1"/>
                <w:szCs w:val="1"/>
                <w:color w:val="auto"/>
              </w:rPr>
            </w:pPr>
          </w:p>
        </w:tc>
      </w:tr>
      <w:tr>
        <w:trPr>
          <w:trHeight w:val="57"/>
        </w:trPr>
        <w:tc>
          <w:tcPr>
            <w:tcW w:w="4260" w:type="dxa"/>
            <w:vAlign w:val="bottom"/>
            <w:vMerge w:val="restart"/>
          </w:tcPr>
          <w:p>
            <w:pPr>
              <w:ind w:left="40"/>
              <w:spacing w:after="0"/>
              <w:rPr>
                <w:sz w:val="20"/>
                <w:szCs w:val="20"/>
                <w:color w:val="auto"/>
              </w:rPr>
            </w:pPr>
            <w:r>
              <w:rPr>
                <w:rFonts w:ascii="Arial" w:cs="Arial" w:eastAsia="Arial" w:hAnsi="Arial"/>
                <w:sz w:val="12"/>
                <w:szCs w:val="12"/>
                <w:color w:val="auto"/>
              </w:rPr>
              <w:t>Unvested balance as of January 31, 2024</w:t>
            </w:r>
          </w:p>
        </w:tc>
        <w:tc>
          <w:tcPr>
            <w:tcW w:w="840" w:type="dxa"/>
            <w:vAlign w:val="bottom"/>
          </w:tcPr>
          <w:p>
            <w:pPr>
              <w:ind w:left="220"/>
              <w:spacing w:after="0" w:line="47" w:lineRule="exact"/>
              <w:rPr>
                <w:sz w:val="20"/>
                <w:szCs w:val="20"/>
                <w:color w:val="auto"/>
              </w:rPr>
            </w:pPr>
            <w:r>
              <w:rPr>
                <w:rFonts w:ascii="Arial" w:cs="Arial" w:eastAsia="Arial" w:hAnsi="Arial"/>
                <w:sz w:val="5"/>
                <w:szCs w:val="5"/>
                <w:b w:val="1"/>
                <w:bCs w:val="1"/>
                <w:color w:val="auto"/>
              </w:rPr>
              <w:t>s</w:t>
            </w:r>
          </w:p>
        </w:tc>
        <w:tc>
          <w:tcPr>
            <w:tcW w:w="40" w:type="dxa"/>
            <w:vAlign w:val="bottom"/>
            <w:vMerge w:val="restart"/>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4260" w:type="dxa"/>
            <w:vAlign w:val="bottom"/>
            <w:vMerge w:val="continue"/>
          </w:tcPr>
          <w:p>
            <w:pPr>
              <w:ind w:left="2420"/>
              <w:spacing w:after="0" w:line="95" w:lineRule="exact"/>
              <w:rPr>
                <w:sz w:val="20"/>
                <w:szCs w:val="20"/>
                <w:color w:val="auto"/>
              </w:rPr>
            </w:pPr>
            <w:r>
              <w:rPr>
                <w:rFonts w:ascii="Times New Roman" w:cs="Times New Roman" w:eastAsia="Times New Roman" w:hAnsi="Times New Roman"/>
                <w:sz w:val="10"/>
                <w:szCs w:val="10"/>
                <w:color w:val="B4B4B4"/>
              </w:rPr>
              <w:t>.........................................................</w:t>
            </w:r>
          </w:p>
        </w:tc>
        <w:tc>
          <w:tcPr>
            <w:tcW w:w="840" w:type="dxa"/>
            <w:vAlign w:val="bottom"/>
          </w:tcPr>
          <w:p>
            <w:pPr>
              <w:jc w:val="right"/>
              <w:ind w:right="5"/>
              <w:spacing w:after="0"/>
              <w:rPr>
                <w:sz w:val="20"/>
                <w:szCs w:val="20"/>
                <w:color w:val="auto"/>
              </w:rPr>
            </w:pPr>
            <w:r>
              <w:rPr>
                <w:rFonts w:ascii="Arial" w:cs="Arial" w:eastAsia="Arial" w:hAnsi="Arial"/>
                <w:sz w:val="12"/>
                <w:szCs w:val="12"/>
                <w:color w:val="auto"/>
              </w:rPr>
              <w:t>948,938</w:t>
            </w:r>
          </w:p>
        </w:tc>
        <w:tc>
          <w:tcPr>
            <w:tcW w:w="4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18.69</w:t>
            </w:r>
          </w:p>
        </w:tc>
        <w:tc>
          <w:tcPr>
            <w:tcW w:w="0" w:type="dxa"/>
            <w:vAlign w:val="bottom"/>
          </w:tcPr>
          <w:p>
            <w:pPr>
              <w:spacing w:after="0"/>
              <w:rPr>
                <w:sz w:val="1"/>
                <w:szCs w:val="1"/>
                <w:color w:val="auto"/>
              </w:rPr>
            </w:pPr>
          </w:p>
        </w:tc>
      </w:tr>
      <w:tr>
        <w:trPr>
          <w:trHeight w:val="177"/>
        </w:trPr>
        <w:tc>
          <w:tcPr>
            <w:tcW w:w="4260" w:type="dxa"/>
            <w:vAlign w:val="bottom"/>
          </w:tcPr>
          <w:p>
            <w:pPr>
              <w:ind w:left="200"/>
              <w:spacing w:after="0"/>
              <w:rPr>
                <w:sz w:val="20"/>
                <w:szCs w:val="20"/>
                <w:color w:val="auto"/>
              </w:rPr>
            </w:pPr>
            <w:r>
              <w:rPr>
                <w:rFonts w:ascii="Arial" w:cs="Arial" w:eastAsia="Arial" w:hAnsi="Arial"/>
                <w:sz w:val="12"/>
                <w:szCs w:val="12"/>
                <w:color w:val="auto"/>
              </w:rPr>
              <w:t xml:space="preserve">Granted </w:t>
            </w:r>
            <w:r>
              <w:rPr>
                <w:rFonts w:ascii="Times New Roman" w:cs="Times New Roman" w:eastAsia="Times New Roman" w:hAnsi="Times New Roman"/>
                <w:sz w:val="12"/>
                <w:szCs w:val="12"/>
                <w:color w:val="B4B4B4"/>
              </w:rPr>
              <w:t>...............................................................................................................</w:t>
            </w:r>
          </w:p>
        </w:tc>
        <w:tc>
          <w:tcPr>
            <w:tcW w:w="840" w:type="dxa"/>
            <w:vAlign w:val="bottom"/>
          </w:tcPr>
          <w:p>
            <w:pPr>
              <w:jc w:val="right"/>
              <w:ind w:right="5"/>
              <w:spacing w:after="0"/>
              <w:rPr>
                <w:sz w:val="20"/>
                <w:szCs w:val="20"/>
                <w:color w:val="auto"/>
              </w:rPr>
            </w:pPr>
            <w:r>
              <w:rPr>
                <w:rFonts w:ascii="Arial" w:cs="Arial" w:eastAsia="Arial" w:hAnsi="Arial"/>
                <w:sz w:val="12"/>
                <w:szCs w:val="12"/>
                <w:color w:val="auto"/>
              </w:rPr>
              <w:t>3,777,470</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20.55</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 xml:space="preserve">Forfeited </w:t>
            </w:r>
            <w:r>
              <w:rPr>
                <w:rFonts w:ascii="Times New Roman" w:cs="Times New Roman" w:eastAsia="Times New Roman" w:hAnsi="Times New Roman"/>
                <w:sz w:val="12"/>
                <w:szCs w:val="12"/>
                <w:color w:val="B4B4B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(72,561)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19.52</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 xml:space="preserve">Vested </w:t>
            </w:r>
            <w:r>
              <w:rPr>
                <w:rFonts w:ascii="Times New Roman" w:cs="Times New Roman" w:eastAsia="Times New Roman" w:hAnsi="Times New Roman"/>
                <w:sz w:val="12"/>
                <w:szCs w:val="12"/>
                <w:color w:val="B4B4B4"/>
              </w:rPr>
              <w:t>.................................................................................................................</w:t>
            </w: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0"/>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UnvestedbalanceasofJanuary31,2025</w:t>
            </w:r>
          </w:p>
        </w:tc>
        <w:tc>
          <w:tcPr>
            <w:tcW w:w="8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4,653,847</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520" w:right="1660" w:firstLine="230"/>
        <w:spacing w:after="0" w:line="271" w:lineRule="auto"/>
        <w:rPr>
          <w:sz w:val="20"/>
          <w:szCs w:val="20"/>
          <w:color w:val="auto"/>
        </w:rPr>
      </w:pPr>
      <w:r>
        <w:rPr>
          <w:rFonts w:ascii="Arial" w:cs="Arial" w:eastAsia="Arial" w:hAnsi="Arial"/>
          <w:sz w:val="12"/>
          <w:szCs w:val="12"/>
          <w:color w:val="auto"/>
        </w:rPr>
        <w:t>As of January 31, 2025 and 2024, no stock-based compensation expense had been recognized for RSUs because a liquidity event had not yet occurred. When a liquidity event occurs, the Company will record cumulative stock-based compensation expense using the accelerated attribution method for those RSUs for which the service condition has been satisfied prior to the occurrence of the liquidity event. If the liquidity event had occurred on or was probable as of January 31, 2025 , the Company would have recorded cumulative stock-based compensation expense of approximately $ 30.3 million related to RSUs that had previously satisfied the service condition. Unrecognized stock-based compensation expense related to unvested RSUs that have not met the service condition is $ 63.6 million, which would be recognized over a weighted-average period of approximately 3.7 years if the liquidity event had occurred on or was probable as of January 31, 2025.</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Stock-based Compensation Expense</w:t>
      </w:r>
    </w:p>
    <w:p>
      <w:pPr>
        <w:spacing w:after="0" w:line="128" w:lineRule="exact"/>
        <w:rPr>
          <w:sz w:val="20"/>
          <w:szCs w:val="20"/>
          <w:color w:val="auto"/>
        </w:rPr>
      </w:pPr>
    </w:p>
    <w:p>
      <w:pPr>
        <w:ind w:left="1520" w:right="2320" w:firstLine="230"/>
        <w:spacing w:after="0" w:line="312" w:lineRule="auto"/>
        <w:rPr>
          <w:sz w:val="20"/>
          <w:szCs w:val="20"/>
          <w:color w:val="auto"/>
        </w:rPr>
      </w:pPr>
      <w:r>
        <w:rPr>
          <w:rFonts w:ascii="Arial" w:cs="Arial" w:eastAsia="Arial" w:hAnsi="Arial"/>
          <w:sz w:val="12"/>
          <w:szCs w:val="12"/>
          <w:color w:val="auto"/>
        </w:rPr>
        <w:t>Stock-based compensation is included in the following components of expenses within the consolidated statements of operations (in thousands):</w:t>
      </w:r>
    </w:p>
    <w:p>
      <w:pPr>
        <w:spacing w:after="0" w:line="101"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1"/>
                <w:szCs w:val="11"/>
                <w:b w:val="1"/>
                <w:bCs w:val="1"/>
                <w:color w:val="auto"/>
                <w:w w:val="99"/>
              </w:rPr>
              <w:t>Year Ended January 31,</w:t>
            </w:r>
          </w:p>
        </w:tc>
      </w:tr>
      <w:tr>
        <w:trPr>
          <w:trHeight w:val="147"/>
        </w:trPr>
        <w:tc>
          <w:tcPr>
            <w:tcW w:w="4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2024</w:t>
            </w:r>
          </w:p>
        </w:tc>
      </w:tr>
      <w:tr>
        <w:trPr>
          <w:trHeight w:val="167"/>
        </w:trPr>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Costofrevenue</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4,577</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4,751</w:t>
            </w:r>
          </w:p>
        </w:tc>
      </w:tr>
      <w:tr>
        <w:trPr>
          <w:trHeight w:val="173"/>
        </w:trPr>
        <w:tc>
          <w:tcPr>
            <w:tcW w:w="4200" w:type="dxa"/>
            <w:vAlign w:val="bottom"/>
          </w:tcPr>
          <w:p>
            <w:pPr>
              <w:ind w:left="40"/>
              <w:spacing w:after="0"/>
              <w:rPr>
                <w:sz w:val="20"/>
                <w:szCs w:val="20"/>
                <w:color w:val="auto"/>
              </w:rPr>
            </w:pPr>
            <w:r>
              <w:rPr>
                <w:rFonts w:ascii="Arial" w:cs="Arial" w:eastAsia="Arial" w:hAnsi="Arial"/>
                <w:sz w:val="12"/>
                <w:szCs w:val="12"/>
                <w:color w:val="auto"/>
              </w:rPr>
              <w:t xml:space="preserve">Research and development </w:t>
            </w:r>
            <w:r>
              <w:rPr>
                <w:rFonts w:ascii="Times New Roman" w:cs="Times New Roman" w:eastAsia="Times New Roman" w:hAnsi="Times New Roman"/>
                <w:sz w:val="12"/>
                <w:szCs w:val="12"/>
                <w:color w:val="B4B4B4"/>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30,408</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27,039</w:t>
            </w:r>
          </w:p>
        </w:tc>
      </w:tr>
      <w:tr>
        <w:trPr>
          <w:trHeight w:val="190"/>
        </w:trPr>
        <w:tc>
          <w:tcPr>
            <w:tcW w:w="420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Sales and marketing </w:t>
            </w:r>
            <w:r>
              <w:rPr>
                <w:rFonts w:ascii="Times New Roman" w:cs="Times New Roman" w:eastAsia="Times New Roman" w:hAnsi="Times New Roman"/>
                <w:sz w:val="12"/>
                <w:szCs w:val="12"/>
                <w:color w:val="B4B4B4"/>
              </w:rPr>
              <w:t>...............................................................................................</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17,077</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15,872</w:t>
            </w:r>
          </w:p>
        </w:tc>
      </w:tr>
      <w:tr>
        <w:trPr>
          <w:trHeight w:val="173"/>
        </w:trPr>
        <w:tc>
          <w:tcPr>
            <w:tcW w:w="420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General and administrative </w:t>
            </w:r>
            <w:r>
              <w:rPr>
                <w:rFonts w:ascii="Times New Roman" w:cs="Times New Roman" w:eastAsia="Times New Roman" w:hAnsi="Times New Roman"/>
                <w:sz w:val="12"/>
                <w:szCs w:val="12"/>
                <w:color w:val="B4B4B4"/>
              </w:rPr>
              <w:t>...................................................................................</w:t>
            </w: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24,919</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28,189</w:t>
            </w:r>
          </w:p>
        </w:tc>
      </w:tr>
      <w:tr>
        <w:trPr>
          <w:trHeight w:val="170"/>
        </w:trPr>
        <w:tc>
          <w:tcPr>
            <w:tcW w:w="42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Total stock-based compensation expense, net of amounts capitalized</w:t>
            </w:r>
          </w:p>
        </w:tc>
        <w:tc>
          <w:tcPr>
            <w:tcW w:w="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
                <w:szCs w:val="1"/>
                <w:color w:val="B4B4B4"/>
                <w:w w:val="4294967276"/>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76,981</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75,851</w:t>
            </w:r>
          </w:p>
        </w:tc>
      </w:tr>
      <w:tr>
        <w:trPr>
          <w:trHeight w:val="173"/>
        </w:trPr>
        <w:tc>
          <w:tcPr>
            <w:tcW w:w="420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Capitalized stock-based compensation </w:t>
            </w:r>
            <w:r>
              <w:rPr>
                <w:rFonts w:ascii="Times New Roman" w:cs="Times New Roman" w:eastAsia="Times New Roman" w:hAnsi="Times New Roman"/>
                <w:sz w:val="12"/>
                <w:szCs w:val="12"/>
                <w:color w:val="B4B4B4"/>
              </w:rPr>
              <w:t>...............................................................</w:t>
            </w: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2,319</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1,130</w:t>
            </w:r>
          </w:p>
        </w:tc>
      </w:tr>
      <w:tr>
        <w:trPr>
          <w:trHeight w:val="170"/>
        </w:trPr>
        <w:tc>
          <w:tcPr>
            <w:tcW w:w="4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Totalstock-basedcompensationcost</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79,300</w:t>
            </w:r>
          </w:p>
        </w:tc>
        <w:tc>
          <w:tcPr>
            <w:tcW w:w="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76,981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F-35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11 – STOCKHOLDERS’ DEFICIT</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Redeemable Convertible Preferred Stock</w:t>
      </w:r>
    </w:p>
    <w:p>
      <w:pPr>
        <w:spacing w:after="0" w:line="128" w:lineRule="exact"/>
        <w:rPr>
          <w:sz w:val="20"/>
          <w:szCs w:val="20"/>
          <w:color w:val="auto"/>
        </w:rPr>
      </w:pPr>
    </w:p>
    <w:p>
      <w:pPr>
        <w:ind w:left="1520" w:right="2100" w:firstLine="230"/>
        <w:spacing w:after="0" w:line="289" w:lineRule="auto"/>
        <w:rPr>
          <w:sz w:val="20"/>
          <w:szCs w:val="20"/>
          <w:color w:val="auto"/>
        </w:rPr>
      </w:pPr>
      <w:r>
        <w:rPr>
          <w:rFonts w:ascii="Arial" w:cs="Arial" w:eastAsia="Arial" w:hAnsi="Arial"/>
          <w:sz w:val="12"/>
          <w:szCs w:val="12"/>
          <w:color w:val="auto"/>
        </w:rPr>
        <w:t>The Company’s authorized, issued and outstanding redeemable convertible preferred stock (collectively, the “Preferred Stock”) consisted of the following (in thousands, except price per share amounts and share data):</w:t>
      </w:r>
    </w:p>
    <w:p>
      <w:pPr>
        <w:spacing w:after="0" w:line="93"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2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360" w:type="dxa"/>
            <w:vAlign w:val="bottom"/>
            <w:gridSpan w:val="7"/>
          </w:tcPr>
          <w:p>
            <w:pPr>
              <w:jc w:val="center"/>
              <w:spacing w:after="0"/>
              <w:rPr>
                <w:sz w:val="20"/>
                <w:szCs w:val="20"/>
                <w:color w:val="auto"/>
              </w:rPr>
            </w:pPr>
            <w:r>
              <w:rPr>
                <w:rFonts w:ascii="Arial" w:cs="Arial" w:eastAsia="Arial" w:hAnsi="Arial"/>
                <w:sz w:val="11"/>
                <w:szCs w:val="11"/>
                <w:b w:val="1"/>
                <w:bCs w:val="1"/>
                <w:color w:val="auto"/>
                <w:w w:val="95"/>
              </w:rPr>
              <w:t>As of January 31, 2025 and 202</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gridSpan w:val="2"/>
          </w:tcPr>
          <w:p>
            <w:pPr>
              <w:jc w:val="right"/>
              <w:ind w:right="246"/>
              <w:spacing w:after="0"/>
              <w:rPr>
                <w:sz w:val="20"/>
                <w:szCs w:val="20"/>
                <w:color w:val="auto"/>
              </w:rPr>
            </w:pPr>
            <w:r>
              <w:rPr>
                <w:rFonts w:ascii="Arial" w:cs="Arial" w:eastAsia="Arial" w:hAnsi="Arial"/>
                <w:sz w:val="11"/>
                <w:szCs w:val="11"/>
                <w:b w:val="1"/>
                <w:bCs w:val="1"/>
                <w:color w:val="auto"/>
              </w:rPr>
              <w:t>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ind w:right="64"/>
              <w:spacing w:after="0"/>
              <w:rPr>
                <w:sz w:val="20"/>
                <w:szCs w:val="20"/>
                <w:color w:val="auto"/>
              </w:rPr>
            </w:pPr>
            <w:r>
              <w:rPr>
                <w:rFonts w:ascii="Arial" w:cs="Arial" w:eastAsia="Arial" w:hAnsi="Arial"/>
                <w:sz w:val="11"/>
                <w:szCs w:val="11"/>
                <w:b w:val="1"/>
                <w:bCs w:val="1"/>
                <w:color w:val="auto"/>
                <w:w w:val="96"/>
              </w:rPr>
              <w:t>Original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00" w:type="dxa"/>
            <w:vAlign w:val="bottom"/>
          </w:tcPr>
          <w:p>
            <w:pPr>
              <w:spacing w:after="0"/>
              <w:rPr>
                <w:sz w:val="9"/>
                <w:szCs w:val="9"/>
                <w:color w:val="auto"/>
              </w:rPr>
            </w:pPr>
          </w:p>
        </w:tc>
        <w:tc>
          <w:tcPr>
            <w:tcW w:w="760" w:type="dxa"/>
            <w:vAlign w:val="bottom"/>
            <w:vMerge w:val="restart"/>
          </w:tcPr>
          <w:p>
            <w:pPr>
              <w:jc w:val="right"/>
              <w:ind w:right="143"/>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9"/>
                <w:szCs w:val="9"/>
                <w:color w:val="auto"/>
              </w:rPr>
            </w:pPr>
          </w:p>
        </w:tc>
        <w:tc>
          <w:tcPr>
            <w:tcW w:w="7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6"/>
              </w:rPr>
              <w:t>Shares Issued</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center"/>
              <w:ind w:right="44"/>
              <w:spacing w:after="0" w:line="115" w:lineRule="exact"/>
              <w:rPr>
                <w:sz w:val="20"/>
                <w:szCs w:val="20"/>
                <w:color w:val="auto"/>
              </w:rPr>
            </w:pPr>
            <w:r>
              <w:rPr>
                <w:rFonts w:ascii="Arial" w:cs="Arial" w:eastAsia="Arial" w:hAnsi="Arial"/>
                <w:sz w:val="11"/>
                <w:szCs w:val="11"/>
                <w:b w:val="1"/>
                <w:bCs w:val="1"/>
                <w:color w:val="auto"/>
                <w:w w:val="97"/>
              </w:rPr>
              <w:t>Issuance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right"/>
              <w:ind w:right="23"/>
              <w:spacing w:after="0"/>
              <w:rPr>
                <w:sz w:val="20"/>
                <w:szCs w:val="20"/>
                <w:color w:val="auto"/>
              </w:rPr>
            </w:pPr>
            <w:r>
              <w:rPr>
                <w:rFonts w:ascii="Arial" w:cs="Arial" w:eastAsia="Arial" w:hAnsi="Arial"/>
                <w:sz w:val="11"/>
                <w:szCs w:val="11"/>
                <w:b w:val="1"/>
                <w:bCs w:val="1"/>
                <w:color w:val="auto"/>
                <w:w w:val="94"/>
              </w:rPr>
              <w:t>Liquidation</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ind w:right="103"/>
              <w:spacing w:after="0"/>
              <w:rPr>
                <w:sz w:val="20"/>
                <w:szCs w:val="20"/>
                <w:color w:val="auto"/>
              </w:rPr>
            </w:pPr>
            <w:r>
              <w:rPr>
                <w:rFonts w:ascii="Arial" w:cs="Arial" w:eastAsia="Arial" w:hAnsi="Arial"/>
                <w:sz w:val="11"/>
                <w:szCs w:val="11"/>
                <w:b w:val="1"/>
                <w:bCs w:val="1"/>
                <w:color w:val="auto"/>
              </w:rPr>
              <w:t>Carrying</w:t>
            </w:r>
          </w:p>
        </w:tc>
        <w:tc>
          <w:tcPr>
            <w:tcW w:w="0" w:type="dxa"/>
            <w:vAlign w:val="bottom"/>
          </w:tcPr>
          <w:p>
            <w:pPr>
              <w:spacing w:after="0"/>
              <w:rPr>
                <w:sz w:val="1"/>
                <w:szCs w:val="1"/>
                <w:color w:val="auto"/>
              </w:rPr>
            </w:pPr>
          </w:p>
        </w:tc>
      </w:tr>
      <w:tr>
        <w:trPr>
          <w:trHeight w:val="96"/>
        </w:trPr>
        <w:tc>
          <w:tcPr>
            <w:tcW w:w="20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jc w:val="center"/>
              <w:spacing w:after="0" w:line="96" w:lineRule="exact"/>
              <w:rPr>
                <w:sz w:val="20"/>
                <w:szCs w:val="20"/>
                <w:color w:val="auto"/>
              </w:rPr>
            </w:pPr>
            <w:r>
              <w:rPr>
                <w:rFonts w:ascii="Arial" w:cs="Arial" w:eastAsia="Arial" w:hAnsi="Arial"/>
                <w:sz w:val="11"/>
                <w:szCs w:val="11"/>
                <w:b w:val="1"/>
                <w:bCs w:val="1"/>
                <w:color w:val="auto"/>
                <w:w w:val="91"/>
              </w:rPr>
              <w:t>and</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center"/>
              <w:ind w:right="64"/>
              <w:spacing w:after="0" w:line="96" w:lineRule="exact"/>
              <w:rPr>
                <w:sz w:val="20"/>
                <w:szCs w:val="20"/>
                <w:color w:val="auto"/>
              </w:rPr>
            </w:pPr>
            <w:r>
              <w:rPr>
                <w:rFonts w:ascii="Arial" w:cs="Arial" w:eastAsia="Arial" w:hAnsi="Arial"/>
                <w:sz w:val="11"/>
                <w:szCs w:val="11"/>
                <w:b w:val="1"/>
                <w:bCs w:val="1"/>
                <w:color w:val="auto"/>
                <w:w w:val="92"/>
              </w:rPr>
              <w:t>Price Per</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Authorized</w:t>
            </w:r>
          </w:p>
        </w:tc>
        <w:tc>
          <w:tcPr>
            <w:tcW w:w="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Outstanding</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44"/>
              <w:spacing w:after="0"/>
              <w:rPr>
                <w:sz w:val="20"/>
                <w:szCs w:val="20"/>
                <w:color w:val="auto"/>
              </w:rPr>
            </w:pPr>
            <w:r>
              <w:rPr>
                <w:rFonts w:ascii="Arial" w:cs="Arial" w:eastAsia="Arial" w:hAnsi="Arial"/>
                <w:sz w:val="11"/>
                <w:szCs w:val="11"/>
                <w:b w:val="1"/>
                <w:bCs w:val="1"/>
                <w:color w:val="auto"/>
                <w:w w:val="97"/>
              </w:rPr>
              <w:t>Share</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Amount</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52"/>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Series Seed</w:t>
            </w:r>
            <w:r>
              <w:rPr>
                <w:rFonts w:ascii="Times New Roman" w:cs="Times New Roman" w:eastAsia="Times New Roman" w:hAnsi="Times New Roman"/>
                <w:sz w:val="11"/>
                <w:szCs w:val="11"/>
                <w:color w:val="B4B4B4"/>
              </w:rPr>
              <w:t>.............................................</w:t>
            </w: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16,934,856</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16,934,839</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0.25</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4,181</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4,729</w:t>
            </w:r>
          </w:p>
        </w:tc>
        <w:tc>
          <w:tcPr>
            <w:tcW w:w="0" w:type="dxa"/>
            <w:vAlign w:val="bottom"/>
          </w:tcPr>
          <w:p>
            <w:pPr>
              <w:spacing w:after="0"/>
              <w:rPr>
                <w:sz w:val="1"/>
                <w:szCs w:val="1"/>
                <w:color w:val="auto"/>
              </w:rPr>
            </w:pPr>
          </w:p>
        </w:tc>
      </w:tr>
      <w:tr>
        <w:trPr>
          <w:trHeight w:val="160"/>
        </w:trPr>
        <w:tc>
          <w:tcPr>
            <w:tcW w:w="2000" w:type="dxa"/>
            <w:vAlign w:val="bottom"/>
          </w:tcPr>
          <w:p>
            <w:pPr>
              <w:ind w:left="40"/>
              <w:spacing w:after="0"/>
              <w:rPr>
                <w:sz w:val="20"/>
                <w:szCs w:val="20"/>
                <w:color w:val="auto"/>
              </w:rPr>
            </w:pPr>
            <w:r>
              <w:rPr>
                <w:rFonts w:ascii="Arial" w:cs="Arial" w:eastAsia="Arial" w:hAnsi="Arial"/>
                <w:sz w:val="11"/>
                <w:szCs w:val="11"/>
                <w:color w:val="auto"/>
              </w:rPr>
              <w:t xml:space="preserve">Series A </w:t>
            </w:r>
            <w:r>
              <w:rPr>
                <w:rFonts w:ascii="Times New Roman" w:cs="Times New Roman" w:eastAsia="Times New Roman" w:hAnsi="Times New Roman"/>
                <w:sz w:val="11"/>
                <w:szCs w:val="11"/>
                <w:color w:val="B4B4B4"/>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20,382,688</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20,382,673</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0.50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10,125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10,288</w:t>
            </w: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 xml:space="preserve">Series A-1 </w:t>
            </w:r>
            <w:r>
              <w:rPr>
                <w:rFonts w:ascii="Times New Roman" w:cs="Times New Roman" w:eastAsia="Times New Roman" w:hAnsi="Times New Roman"/>
                <w:sz w:val="11"/>
                <w:szCs w:val="11"/>
                <w:color w:val="B4B4B4"/>
              </w:rPr>
              <w:t>................................................</w:t>
            </w: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21,353,147</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21,353,143</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0.59</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12,500</w:t>
            </w: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12,670</w:t>
            </w:r>
          </w:p>
        </w:tc>
        <w:tc>
          <w:tcPr>
            <w:tcW w:w="0" w:type="dxa"/>
            <w:vAlign w:val="bottom"/>
          </w:tcPr>
          <w:p>
            <w:pPr>
              <w:spacing w:after="0"/>
              <w:rPr>
                <w:sz w:val="1"/>
                <w:szCs w:val="1"/>
                <w:color w:val="auto"/>
              </w:rPr>
            </w:pPr>
          </w:p>
        </w:tc>
      </w:tr>
      <w:tr>
        <w:trPr>
          <w:trHeight w:val="160"/>
        </w:trPr>
        <w:tc>
          <w:tcPr>
            <w:tcW w:w="2000" w:type="dxa"/>
            <w:vAlign w:val="bottom"/>
          </w:tcPr>
          <w:p>
            <w:pPr>
              <w:ind w:left="40"/>
              <w:spacing w:after="0"/>
              <w:rPr>
                <w:sz w:val="20"/>
                <w:szCs w:val="20"/>
                <w:color w:val="auto"/>
              </w:rPr>
            </w:pPr>
            <w:r>
              <w:rPr>
                <w:rFonts w:ascii="Arial" w:cs="Arial" w:eastAsia="Arial" w:hAnsi="Arial"/>
                <w:sz w:val="11"/>
                <w:szCs w:val="11"/>
                <w:color w:val="auto"/>
              </w:rPr>
              <w:t xml:space="preserve">Series B </w:t>
            </w:r>
            <w:r>
              <w:rPr>
                <w:rFonts w:ascii="Times New Roman" w:cs="Times New Roman" w:eastAsia="Times New Roman" w:hAnsi="Times New Roman"/>
                <w:sz w:val="11"/>
                <w:szCs w:val="11"/>
                <w:color w:val="B4B4B4"/>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27,505,170</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27,465,006</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1.87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51,225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51,153</w:t>
            </w: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 xml:space="preserve">Series C </w:t>
            </w:r>
            <w:r>
              <w:rPr>
                <w:rFonts w:ascii="Times New Roman" w:cs="Times New Roman" w:eastAsia="Times New Roman" w:hAnsi="Times New Roman"/>
                <w:sz w:val="11"/>
                <w:szCs w:val="11"/>
                <w:color w:val="B4B4B4"/>
              </w:rPr>
              <w:t>...................................................</w:t>
            </w: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21,158,278</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19,770,427</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7.21</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142,454</w:t>
            </w: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142,398</w:t>
            </w:r>
          </w:p>
        </w:tc>
        <w:tc>
          <w:tcPr>
            <w:tcW w:w="0" w:type="dxa"/>
            <w:vAlign w:val="bottom"/>
          </w:tcPr>
          <w:p>
            <w:pPr>
              <w:spacing w:after="0"/>
              <w:rPr>
                <w:sz w:val="1"/>
                <w:szCs w:val="1"/>
                <w:color w:val="auto"/>
              </w:rPr>
            </w:pPr>
          </w:p>
        </w:tc>
      </w:tr>
      <w:tr>
        <w:trPr>
          <w:trHeight w:val="160"/>
        </w:trPr>
        <w:tc>
          <w:tcPr>
            <w:tcW w:w="2000" w:type="dxa"/>
            <w:vAlign w:val="bottom"/>
          </w:tcPr>
          <w:p>
            <w:pPr>
              <w:ind w:left="40"/>
              <w:spacing w:after="0"/>
              <w:rPr>
                <w:sz w:val="20"/>
                <w:szCs w:val="20"/>
                <w:color w:val="auto"/>
              </w:rPr>
            </w:pPr>
            <w:r>
              <w:rPr>
                <w:rFonts w:ascii="Arial" w:cs="Arial" w:eastAsia="Arial" w:hAnsi="Arial"/>
                <w:sz w:val="11"/>
                <w:szCs w:val="11"/>
                <w:color w:val="auto"/>
              </w:rPr>
              <w:t>Series C-1</w:t>
            </w:r>
            <w:r>
              <w:rPr>
                <w:rFonts w:ascii="Times New Roman" w:cs="Times New Roman" w:eastAsia="Times New Roman" w:hAnsi="Times New Roman"/>
                <w:sz w:val="11"/>
                <w:szCs w:val="11"/>
                <w:color w:val="B4B4B4"/>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1,387,848</w:t>
            </w:r>
          </w:p>
        </w:tc>
        <w:tc>
          <w:tcPr>
            <w:tcW w:w="800" w:type="dxa"/>
            <w:vAlign w:val="bottom"/>
            <w:gridSpan w:val="2"/>
          </w:tcPr>
          <w:p>
            <w:pPr>
              <w:jc w:val="right"/>
              <w:ind w:right="6"/>
              <w:spacing w:after="0"/>
              <w:rPr>
                <w:sz w:val="20"/>
                <w:szCs w:val="20"/>
                <w:color w:val="auto"/>
              </w:rPr>
            </w:pPr>
            <w:r>
              <w:rPr>
                <w:rFonts w:ascii="Arial" w:cs="Arial" w:eastAsia="Arial" w:hAnsi="Arial"/>
                <w:sz w:val="11"/>
                <w:szCs w:val="11"/>
                <w:color w:val="auto"/>
              </w:rPr>
              <w:t>1,387,848</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7.21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10,000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9,996</w:t>
            </w: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 xml:space="preserve">Series D </w:t>
            </w:r>
            <w:r>
              <w:rPr>
                <w:rFonts w:ascii="Times New Roman" w:cs="Times New Roman" w:eastAsia="Times New Roman" w:hAnsi="Times New Roman"/>
                <w:sz w:val="11"/>
                <w:szCs w:val="11"/>
                <w:color w:val="B4B4B4"/>
              </w:rPr>
              <w:t>...................................................</w:t>
            </w: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12,592,724</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12,592,720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22.23</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279,917</w:t>
            </w: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279,676</w:t>
            </w:r>
          </w:p>
        </w:tc>
        <w:tc>
          <w:tcPr>
            <w:tcW w:w="0" w:type="dxa"/>
            <w:vAlign w:val="bottom"/>
          </w:tcPr>
          <w:p>
            <w:pPr>
              <w:spacing w:after="0"/>
              <w:rPr>
                <w:sz w:val="1"/>
                <w:szCs w:val="1"/>
                <w:color w:val="auto"/>
              </w:rPr>
            </w:pPr>
          </w:p>
        </w:tc>
      </w:tr>
      <w:tr>
        <w:trPr>
          <w:trHeight w:val="160"/>
        </w:trPr>
        <w:tc>
          <w:tcPr>
            <w:tcW w:w="2000" w:type="dxa"/>
            <w:vAlign w:val="bottom"/>
          </w:tcPr>
          <w:p>
            <w:pPr>
              <w:ind w:left="40"/>
              <w:spacing w:after="0"/>
              <w:rPr>
                <w:sz w:val="20"/>
                <w:szCs w:val="20"/>
                <w:color w:val="auto"/>
              </w:rPr>
            </w:pPr>
            <w:r>
              <w:rPr>
                <w:rFonts w:ascii="Arial" w:cs="Arial" w:eastAsia="Arial" w:hAnsi="Arial"/>
                <w:sz w:val="11"/>
                <w:szCs w:val="11"/>
                <w:color w:val="auto"/>
              </w:rPr>
              <w:t xml:space="preserve">Series E </w:t>
            </w:r>
            <w:r>
              <w:rPr>
                <w:rFonts w:ascii="Times New Roman" w:cs="Times New Roman" w:eastAsia="Times New Roman" w:hAnsi="Times New Roman"/>
                <w:sz w:val="11"/>
                <w:szCs w:val="11"/>
                <w:color w:val="B4B4B4"/>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13,859,852</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13,859,845</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26.12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362,000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361,700</w:t>
            </w: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00" w:type="dxa"/>
            <w:vAlign w:val="bottom"/>
          </w:tcPr>
          <w:p>
            <w:pPr>
              <w:ind w:left="40"/>
              <w:spacing w:after="0" w:line="125" w:lineRule="exact"/>
              <w:rPr>
                <w:sz w:val="20"/>
                <w:szCs w:val="20"/>
                <w:color w:val="auto"/>
              </w:rPr>
            </w:pPr>
            <w:r>
              <w:rPr>
                <w:rFonts w:ascii="Arial" w:cs="Arial" w:eastAsia="Arial" w:hAnsi="Arial"/>
                <w:sz w:val="11"/>
                <w:szCs w:val="11"/>
                <w:color w:val="auto"/>
              </w:rPr>
              <w:t xml:space="preserve">Series  </w:t>
            </w:r>
            <w:r>
              <w:rPr>
                <w:rFonts w:ascii="Times New Roman" w:cs="Times New Roman" w:eastAsia="Times New Roman" w:hAnsi="Times New Roman"/>
                <w:sz w:val="11"/>
                <w:szCs w:val="11"/>
                <w:color w:val="B4B4B4"/>
              </w:rPr>
              <w:t>....................................................</w:t>
            </w:r>
          </w:p>
        </w:tc>
        <w:tc>
          <w:tcPr>
            <w:tcW w:w="760" w:type="dxa"/>
            <w:vAlign w:val="bottom"/>
          </w:tcPr>
          <w:p>
            <w:pPr>
              <w:jc w:val="right"/>
              <w:ind w:right="3"/>
              <w:spacing w:after="0" w:line="125" w:lineRule="exact"/>
              <w:rPr>
                <w:sz w:val="20"/>
                <w:szCs w:val="20"/>
                <w:color w:val="auto"/>
              </w:rPr>
            </w:pPr>
            <w:r>
              <w:rPr>
                <w:rFonts w:ascii="Arial" w:cs="Arial" w:eastAsia="Arial" w:hAnsi="Arial"/>
                <w:sz w:val="11"/>
                <w:szCs w:val="11"/>
                <w:color w:val="auto"/>
              </w:rPr>
              <w:t>8,501,429</w:t>
            </w:r>
          </w:p>
        </w:tc>
        <w:tc>
          <w:tcPr>
            <w:tcW w:w="800" w:type="dxa"/>
            <w:vAlign w:val="bottom"/>
            <w:gridSpan w:val="2"/>
          </w:tcPr>
          <w:p>
            <w:pPr>
              <w:jc w:val="right"/>
              <w:ind w:right="6"/>
              <w:spacing w:after="0" w:line="125" w:lineRule="exact"/>
              <w:rPr>
                <w:sz w:val="20"/>
                <w:szCs w:val="20"/>
                <w:color w:val="auto"/>
              </w:rPr>
            </w:pPr>
            <w:r>
              <w:rPr>
                <w:rFonts w:ascii="Arial" w:cs="Arial" w:eastAsia="Arial" w:hAnsi="Arial"/>
                <w:sz w:val="11"/>
                <w:szCs w:val="11"/>
                <w:color w:val="auto"/>
              </w:rPr>
              <w:t>8,501,424</w:t>
            </w:r>
          </w:p>
        </w:tc>
        <w:tc>
          <w:tcPr>
            <w:tcW w:w="160" w:type="dxa"/>
            <w:vAlign w:val="bottom"/>
            <w:gridSpan w:val="2"/>
          </w:tcPr>
          <w:p>
            <w:pPr>
              <w:jc w:val="right"/>
              <w:ind w:right="20"/>
              <w:spacing w:after="0" w:line="125" w:lineRule="exact"/>
              <w:rPr>
                <w:sz w:val="20"/>
                <w:szCs w:val="20"/>
                <w:color w:val="auto"/>
              </w:rPr>
            </w:pPr>
            <w:r>
              <w:rPr>
                <w:rFonts w:ascii="Arial" w:cs="Arial" w:eastAsia="Arial" w:hAnsi="Arial"/>
                <w:sz w:val="11"/>
                <w:szCs w:val="11"/>
                <w:color w:val="auto"/>
              </w:rPr>
              <w:t>$</w:t>
            </w: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32.35</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rPr>
              <w:t>275,000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ind w:right="3"/>
              <w:spacing w:after="0" w:line="125" w:lineRule="exact"/>
              <w:rPr>
                <w:sz w:val="20"/>
                <w:szCs w:val="20"/>
                <w:color w:val="auto"/>
              </w:rPr>
            </w:pPr>
            <w:r>
              <w:rPr>
                <w:rFonts w:ascii="Arial" w:cs="Arial" w:eastAsia="Arial" w:hAnsi="Arial"/>
                <w:sz w:val="11"/>
                <w:szCs w:val="11"/>
                <w:color w:val="auto"/>
              </w:rPr>
              <w:t>274,827</w:t>
            </w:r>
          </w:p>
        </w:tc>
        <w:tc>
          <w:tcPr>
            <w:tcW w:w="0" w:type="dxa"/>
            <w:vAlign w:val="bottom"/>
          </w:tcPr>
          <w:p>
            <w:pPr>
              <w:spacing w:after="0"/>
              <w:rPr>
                <w:sz w:val="1"/>
                <w:szCs w:val="1"/>
                <w:color w:val="auto"/>
              </w:rPr>
            </w:pPr>
          </w:p>
        </w:tc>
      </w:tr>
      <w:tr>
        <w:trPr>
          <w:trHeight w:val="77"/>
        </w:trPr>
        <w:tc>
          <w:tcPr>
            <w:tcW w:w="2000" w:type="dxa"/>
            <w:vAlign w:val="bottom"/>
          </w:tcPr>
          <w:p>
            <w:pPr>
              <w:ind w:left="40"/>
              <w:spacing w:after="0" w:line="77" w:lineRule="exact"/>
              <w:rPr>
                <w:sz w:val="20"/>
                <w:szCs w:val="20"/>
                <w:color w:val="auto"/>
              </w:rPr>
            </w:pPr>
            <w:r>
              <w:rPr>
                <w:rFonts w:ascii="Arial" w:cs="Arial" w:eastAsia="Arial" w:hAnsi="Arial"/>
                <w:sz w:val="8"/>
                <w:szCs w:val="8"/>
                <w:color w:val="auto"/>
              </w:rPr>
              <w:t>F</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8,010,956</w:t>
            </w:r>
          </w:p>
        </w:tc>
        <w:tc>
          <w:tcPr>
            <w:tcW w:w="80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2,670,319</w:t>
            </w: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37.45</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100,000</w:t>
            </w: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99,794</w:t>
            </w:r>
          </w:p>
        </w:tc>
        <w:tc>
          <w:tcPr>
            <w:tcW w:w="0" w:type="dxa"/>
            <w:vAlign w:val="bottom"/>
          </w:tcPr>
          <w:p>
            <w:pPr>
              <w:spacing w:after="0"/>
              <w:rPr>
                <w:sz w:val="1"/>
                <w:szCs w:val="1"/>
                <w:color w:val="auto"/>
              </w:rPr>
            </w:pPr>
          </w:p>
        </w:tc>
      </w:tr>
      <w:tr>
        <w:trPr>
          <w:trHeight w:val="105"/>
        </w:trPr>
        <w:tc>
          <w:tcPr>
            <w:tcW w:w="2000" w:type="dxa"/>
            <w:vAlign w:val="bottom"/>
          </w:tcPr>
          <w:p>
            <w:pPr>
              <w:ind w:left="40"/>
              <w:spacing w:after="0" w:line="105" w:lineRule="exact"/>
              <w:rPr>
                <w:sz w:val="20"/>
                <w:szCs w:val="20"/>
                <w:color w:val="auto"/>
              </w:rPr>
            </w:pPr>
            <w:r>
              <w:rPr>
                <w:rFonts w:ascii="Arial" w:cs="Arial" w:eastAsia="Arial" w:hAnsi="Arial"/>
                <w:sz w:val="11"/>
                <w:szCs w:val="11"/>
                <w:color w:val="auto"/>
              </w:rPr>
              <w:t xml:space="preserve">Series  </w:t>
            </w:r>
            <w:r>
              <w:rPr>
                <w:rFonts w:ascii="Times New Roman" w:cs="Times New Roman" w:eastAsia="Times New Roman" w:hAnsi="Times New Roman"/>
                <w:sz w:val="11"/>
                <w:szCs w:val="11"/>
                <w:color w:val="B4B4B4"/>
              </w:rPr>
              <w:t>...................................................</w:t>
            </w:r>
          </w:p>
        </w:tc>
        <w:tc>
          <w:tcPr>
            <w:tcW w:w="76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00" w:type="dxa"/>
            <w:vAlign w:val="bottom"/>
          </w:tcPr>
          <w:p>
            <w:pPr>
              <w:ind w:left="40"/>
              <w:spacing w:after="0" w:line="77" w:lineRule="exact"/>
              <w:rPr>
                <w:sz w:val="20"/>
                <w:szCs w:val="20"/>
                <w:color w:val="auto"/>
              </w:rPr>
            </w:pPr>
            <w:r>
              <w:rPr>
                <w:rFonts w:ascii="Arial" w:cs="Arial" w:eastAsia="Arial" w:hAnsi="Arial"/>
                <w:sz w:val="8"/>
                <w:szCs w:val="8"/>
                <w:color w:val="auto"/>
              </w:rPr>
              <w:t>G</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5,340,637</w:t>
            </w:r>
          </w:p>
        </w:tc>
        <w:tc>
          <w:tcPr>
            <w:tcW w:w="40" w:type="dxa"/>
            <w:vAlign w:val="bottom"/>
            <w:vMerge w:val="restart"/>
          </w:tcPr>
          <w:p>
            <w:pPr>
              <w:spacing w:after="0"/>
              <w:rPr>
                <w:sz w:val="6"/>
                <w:szCs w:val="6"/>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1,441,963</w:t>
            </w: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37.45</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54,000</w:t>
            </w: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53,890</w:t>
            </w:r>
          </w:p>
        </w:tc>
        <w:tc>
          <w:tcPr>
            <w:tcW w:w="0" w:type="dxa"/>
            <w:vAlign w:val="bottom"/>
          </w:tcPr>
          <w:p>
            <w:pPr>
              <w:spacing w:after="0"/>
              <w:rPr>
                <w:sz w:val="1"/>
                <w:szCs w:val="1"/>
                <w:color w:val="auto"/>
              </w:rPr>
            </w:pPr>
          </w:p>
        </w:tc>
      </w:tr>
      <w:tr>
        <w:trPr>
          <w:trHeight w:val="156"/>
        </w:trPr>
        <w:tc>
          <w:tcPr>
            <w:tcW w:w="2000" w:type="dxa"/>
            <w:vAlign w:val="bottom"/>
          </w:tcPr>
          <w:p>
            <w:pPr>
              <w:ind w:left="40"/>
              <w:spacing w:after="0"/>
              <w:rPr>
                <w:sz w:val="20"/>
                <w:szCs w:val="20"/>
                <w:color w:val="auto"/>
              </w:rPr>
            </w:pPr>
            <w:r>
              <w:rPr>
                <w:rFonts w:ascii="Arial" w:cs="Arial" w:eastAsia="Arial" w:hAnsi="Arial"/>
                <w:sz w:val="11"/>
                <w:szCs w:val="11"/>
                <w:color w:val="auto"/>
              </w:rPr>
              <w:t xml:space="preserve">Series G-1 </w:t>
            </w:r>
            <w:r>
              <w:rPr>
                <w:rFonts w:ascii="Times New Roman" w:cs="Times New Roman" w:eastAsia="Times New Roman" w:hAnsi="Times New Roman"/>
                <w:sz w:val="11"/>
                <w:szCs w:val="11"/>
                <w:color w:val="B4B4B4"/>
              </w:rPr>
              <w:t>...............................................</w:t>
            </w:r>
          </w:p>
        </w:tc>
        <w:tc>
          <w:tcPr>
            <w:tcW w:w="760" w:type="dxa"/>
            <w:vAlign w:val="bottom"/>
            <w:tcBorders>
              <w:bottom w:val="single" w:sz="8" w:color="auto"/>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157,027,585</w:t>
            </w:r>
          </w:p>
        </w:tc>
        <w:tc>
          <w:tcPr>
            <w:tcW w:w="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146,360,207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1,301,402</w:t>
            </w:r>
          </w:p>
        </w:tc>
        <w:tc>
          <w:tcPr>
            <w:tcW w:w="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1,301,121</w:t>
            </w:r>
          </w:p>
        </w:tc>
        <w:tc>
          <w:tcPr>
            <w:tcW w:w="0" w:type="dxa"/>
            <w:vAlign w:val="bottom"/>
          </w:tcPr>
          <w:p>
            <w:pPr>
              <w:spacing w:after="0"/>
              <w:rPr>
                <w:sz w:val="1"/>
                <w:szCs w:val="1"/>
                <w:color w:val="auto"/>
              </w:rPr>
            </w:pPr>
          </w:p>
        </w:tc>
      </w:tr>
    </w:tbl>
    <w:p>
      <w:pPr>
        <w:sectPr>
          <w:pgSz w:w="11900" w:h="16840" w:orient="portrait"/>
          <w:cols w:equalWidth="0" w:num="1">
            <w:col w:w="9020"/>
          </w:cols>
          <w:pgMar w:left="1440" w:top="1249" w:right="1440" w:bottom="99" w:gutter="0" w:footer="0" w:header="0"/>
        </w:sectPr>
      </w:pPr>
    </w:p>
    <w:bookmarkStart w:id="184" w:name="page185"/>
    <w:bookmarkEnd w:id="184"/>
    <w:p>
      <w:pPr>
        <w:ind w:left="17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The significant features of the Preferred Stock are as follows:</w:t>
      </w:r>
    </w:p>
    <w:p>
      <w:pPr>
        <w:spacing w:after="0" w:line="130" w:lineRule="exact"/>
        <w:rPr>
          <w:sz w:val="20"/>
          <w:szCs w:val="20"/>
          <w:color w:val="auto"/>
        </w:rPr>
      </w:pPr>
    </w:p>
    <w:p>
      <w:pPr>
        <w:ind w:left="1520" w:right="1580" w:firstLine="230"/>
        <w:spacing w:after="0" w:line="275" w:lineRule="auto"/>
        <w:rPr>
          <w:sz w:val="20"/>
          <w:szCs w:val="20"/>
          <w:color w:val="auto"/>
        </w:rPr>
      </w:pPr>
      <w:r>
        <w:rPr>
          <w:rFonts w:ascii="Arial" w:cs="Arial" w:eastAsia="Arial" w:hAnsi="Arial"/>
          <w:sz w:val="12"/>
          <w:szCs w:val="12"/>
          <w:b w:val="1"/>
          <w:bCs w:val="1"/>
          <w:color w:val="auto"/>
        </w:rPr>
        <w:t xml:space="preserve">Dividend Provisions </w:t>
      </w:r>
      <w:r>
        <w:rPr>
          <w:rFonts w:ascii="Arial" w:cs="Arial" w:eastAsia="Arial" w:hAnsi="Arial"/>
          <w:sz w:val="12"/>
          <w:szCs w:val="12"/>
          <w:color w:val="auto"/>
        </w:rPr>
        <w:t>- Holders of Preferred Stock shall be entitled to receive, when, and if declared</w:t>
      </w:r>
      <w:r>
        <w:rPr>
          <w:rFonts w:ascii="Arial" w:cs="Arial" w:eastAsia="Arial" w:hAnsi="Arial"/>
          <w:sz w:val="12"/>
          <w:szCs w:val="12"/>
          <w:b w:val="1"/>
          <w:bCs w:val="1"/>
          <w:color w:val="auto"/>
        </w:rPr>
        <w:t xml:space="preserve"> </w:t>
      </w:r>
      <w:r>
        <w:rPr>
          <w:rFonts w:ascii="Arial" w:cs="Arial" w:eastAsia="Arial" w:hAnsi="Arial"/>
          <w:sz w:val="12"/>
          <w:szCs w:val="12"/>
          <w:color w:val="auto"/>
        </w:rPr>
        <w:t>by the Board of Directors, but only out of funds that are legally available, cash dividends at the rate of 8% of the original issue price of each Preferred Stock series. Such dividends shall be payable on a pari passu basis and only when, and if declared by the Board of Directors and shall be non-cumulative. No dividends on Preferred Stock or common stock have been declared by the Board of Directors from inception through January 31, 2025 .</w:t>
      </w:r>
    </w:p>
    <w:p>
      <w:pPr>
        <w:spacing w:after="0" w:line="85" w:lineRule="exact"/>
        <w:rPr>
          <w:sz w:val="20"/>
          <w:szCs w:val="20"/>
          <w:color w:val="auto"/>
        </w:rPr>
      </w:pPr>
    </w:p>
    <w:p>
      <w:pPr>
        <w:ind w:left="1520" w:right="1680" w:firstLine="230"/>
        <w:spacing w:after="0" w:line="270" w:lineRule="auto"/>
        <w:rPr>
          <w:sz w:val="20"/>
          <w:szCs w:val="20"/>
          <w:color w:val="auto"/>
        </w:rPr>
      </w:pPr>
      <w:r>
        <w:rPr>
          <w:rFonts w:ascii="Arial" w:cs="Arial" w:eastAsia="Arial" w:hAnsi="Arial"/>
          <w:sz w:val="12"/>
          <w:szCs w:val="12"/>
          <w:b w:val="1"/>
          <w:bCs w:val="1"/>
          <w:color w:val="auto"/>
        </w:rPr>
        <w:t xml:space="preserve">Liquidation Preference </w:t>
      </w:r>
      <w:r>
        <w:rPr>
          <w:rFonts w:ascii="Arial" w:cs="Arial" w:eastAsia="Arial" w:hAnsi="Arial"/>
          <w:sz w:val="12"/>
          <w:szCs w:val="12"/>
          <w:color w:val="auto"/>
        </w:rPr>
        <w:t>- In the event of any liquidation, dissolution or winding-up of the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whether voluntary or involuntary or any deemed liquidation event (a “Liquidation Event”), the holders of Preferred Stock shall be entitled, on a pari passu basis among each other and before any payments to the holders of common stock, to be paid out of the assets of the Company available for distribution for each share of Preferred Stock, an amount per share of Preferred Stock equal to the greater of (a) the applicable original issuance price plus all declared but unpaid dividends on such Preferred Stock, or (b) such amount per share as would have been payable had all shares of (i) such series of Preferred Stock been converted into common stock, and (ii) each other series of Preferred Stock that would have received a greater amount per share had such other series been converted into common stock. If, upon any such Liquidation Event, the assets of the Company shall be insufficient to make payment in full to all holders of the Preferred Stock, then the assets shall be distributed among the holders of Preferred Stock on a pari passu basis, in proportion to the full amounts to which they would otherwise be respectively entitled.</w:t>
      </w:r>
    </w:p>
    <w:p>
      <w:pPr>
        <w:spacing w:after="0" w:line="89" w:lineRule="exact"/>
        <w:rPr>
          <w:sz w:val="20"/>
          <w:szCs w:val="20"/>
          <w:color w:val="auto"/>
        </w:rPr>
      </w:pPr>
    </w:p>
    <w:p>
      <w:pPr>
        <w:ind w:left="1520" w:right="1760" w:firstLine="230"/>
        <w:spacing w:after="0" w:line="289" w:lineRule="auto"/>
        <w:rPr>
          <w:sz w:val="20"/>
          <w:szCs w:val="20"/>
          <w:color w:val="auto"/>
        </w:rPr>
      </w:pPr>
      <w:r>
        <w:rPr>
          <w:rFonts w:ascii="Arial" w:cs="Arial" w:eastAsia="Arial" w:hAnsi="Arial"/>
          <w:sz w:val="12"/>
          <w:szCs w:val="12"/>
          <w:color w:val="auto"/>
        </w:rPr>
        <w:t>After the payment of the full liquidation preference to Preferred Stock above, the remaining assets of the corporation available for distribution to shareholders will be distributed ratably to the holders of common stock.</w:t>
      </w:r>
    </w:p>
    <w:p>
      <w:pPr>
        <w:spacing w:after="0" w:line="76" w:lineRule="exact"/>
        <w:rPr>
          <w:sz w:val="20"/>
          <w:szCs w:val="20"/>
          <w:color w:val="auto"/>
        </w:rPr>
      </w:pPr>
    </w:p>
    <w:p>
      <w:pPr>
        <w:ind w:left="1520" w:right="1860" w:firstLine="230"/>
        <w:spacing w:after="0" w:line="312" w:lineRule="auto"/>
        <w:rPr>
          <w:sz w:val="20"/>
          <w:szCs w:val="20"/>
          <w:color w:val="auto"/>
        </w:rPr>
      </w:pPr>
      <w:r>
        <w:rPr>
          <w:rFonts w:ascii="Arial" w:cs="Arial" w:eastAsia="Arial" w:hAnsi="Arial"/>
          <w:sz w:val="12"/>
          <w:szCs w:val="12"/>
          <w:b w:val="1"/>
          <w:bCs w:val="1"/>
          <w:color w:val="auto"/>
        </w:rPr>
        <w:t xml:space="preserve">Conversion Rights </w:t>
      </w:r>
      <w:r>
        <w:rPr>
          <w:rFonts w:ascii="Arial" w:cs="Arial" w:eastAsia="Arial" w:hAnsi="Arial"/>
          <w:sz w:val="12"/>
          <w:szCs w:val="12"/>
          <w:color w:val="auto"/>
        </w:rPr>
        <w:t>- Each share of Preferred Stock is convertible, at the option of the holder, into</w:t>
      </w:r>
      <w:r>
        <w:rPr>
          <w:rFonts w:ascii="Arial" w:cs="Arial" w:eastAsia="Arial" w:hAnsi="Arial"/>
          <w:sz w:val="12"/>
          <w:szCs w:val="12"/>
          <w:b w:val="1"/>
          <w:bCs w:val="1"/>
          <w:color w:val="auto"/>
        </w:rPr>
        <w:t xml:space="preserve"> </w:t>
      </w:r>
      <w:r>
        <w:rPr>
          <w:rFonts w:ascii="Arial" w:cs="Arial" w:eastAsia="Arial" w:hAnsi="Arial"/>
          <w:sz w:val="12"/>
          <w:szCs w:val="12"/>
          <w:color w:val="auto"/>
        </w:rPr>
        <w:t>such number of shares of common stock as is determined by dividing the applicable original issuance</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F-36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ind w:left="1520" w:right="1960"/>
        <w:spacing w:after="0" w:line="281" w:lineRule="auto"/>
        <w:rPr>
          <w:sz w:val="20"/>
          <w:szCs w:val="20"/>
          <w:color w:val="auto"/>
        </w:rPr>
      </w:pPr>
      <w:r>
        <w:rPr>
          <w:rFonts w:ascii="Arial" w:cs="Arial" w:eastAsia="Arial" w:hAnsi="Arial"/>
          <w:sz w:val="12"/>
          <w:szCs w:val="12"/>
          <w:color w:val="auto"/>
        </w:rPr>
        <w:t>price for a share by the applicable conversion price at the time in effect for such share. Each share of Preferred Stock automatically converts into the number of shares of common stock into which such shares are convertible at the then-effective conversion ratio upon the closing of a public offering of common stock with gross proceeds of at least $100.0 million as of January 31, 2025 .</w:t>
      </w:r>
    </w:p>
    <w:p>
      <w:pPr>
        <w:spacing w:after="0" w:line="81" w:lineRule="exact"/>
        <w:rPr>
          <w:sz w:val="20"/>
          <w:szCs w:val="20"/>
          <w:color w:val="auto"/>
        </w:rPr>
      </w:pPr>
    </w:p>
    <w:p>
      <w:pPr>
        <w:ind w:left="1520" w:right="1660" w:firstLine="230"/>
        <w:spacing w:after="0" w:line="281" w:lineRule="auto"/>
        <w:rPr>
          <w:sz w:val="20"/>
          <w:szCs w:val="20"/>
          <w:color w:val="auto"/>
        </w:rPr>
      </w:pPr>
      <w:r>
        <w:rPr>
          <w:rFonts w:ascii="Arial" w:cs="Arial" w:eastAsia="Arial" w:hAnsi="Arial"/>
          <w:sz w:val="12"/>
          <w:szCs w:val="12"/>
          <w:b w:val="1"/>
          <w:bCs w:val="1"/>
          <w:color w:val="auto"/>
        </w:rPr>
        <w:t xml:space="preserve">Redemption Rights </w:t>
      </w:r>
      <w:r>
        <w:rPr>
          <w:rFonts w:ascii="Arial" w:cs="Arial" w:eastAsia="Arial" w:hAnsi="Arial"/>
          <w:sz w:val="12"/>
          <w:szCs w:val="12"/>
          <w:color w:val="auto"/>
        </w:rPr>
        <w:t>- The Preferred Stock is not mandatorily redeemable. It will become redeemable</w:t>
      </w:r>
      <w:r>
        <w:rPr>
          <w:rFonts w:ascii="Arial" w:cs="Arial" w:eastAsia="Arial" w:hAnsi="Arial"/>
          <w:sz w:val="12"/>
          <w:szCs w:val="12"/>
          <w:b w:val="1"/>
          <w:bCs w:val="1"/>
          <w:color w:val="auto"/>
        </w:rPr>
        <w:t xml:space="preserve"> </w:t>
      </w:r>
      <w:r>
        <w:rPr>
          <w:rFonts w:ascii="Arial" w:cs="Arial" w:eastAsia="Arial" w:hAnsi="Arial"/>
          <w:sz w:val="12"/>
          <w:szCs w:val="12"/>
          <w:color w:val="auto"/>
        </w:rPr>
        <w:t>upon the occurrence of certain deemed liquidation events that are considered not solely within the Company’s control. Accordingly, the Preferred Stock is presented in the mezzanine section of the consolidated balance sheets.</w:t>
      </w:r>
    </w:p>
    <w:p>
      <w:pPr>
        <w:spacing w:after="0" w:line="81" w:lineRule="exact"/>
        <w:rPr>
          <w:sz w:val="20"/>
          <w:szCs w:val="20"/>
          <w:color w:val="auto"/>
        </w:rPr>
      </w:pPr>
    </w:p>
    <w:p>
      <w:pPr>
        <w:ind w:left="1520" w:right="1940" w:firstLine="230"/>
        <w:spacing w:after="0" w:line="312" w:lineRule="auto"/>
        <w:rPr>
          <w:sz w:val="20"/>
          <w:szCs w:val="20"/>
          <w:color w:val="auto"/>
        </w:rPr>
      </w:pPr>
      <w:r>
        <w:rPr>
          <w:rFonts w:ascii="Arial" w:cs="Arial" w:eastAsia="Arial" w:hAnsi="Arial"/>
          <w:sz w:val="12"/>
          <w:szCs w:val="12"/>
          <w:b w:val="1"/>
          <w:bCs w:val="1"/>
          <w:color w:val="auto"/>
        </w:rPr>
        <w:t xml:space="preserve">Voting Rights </w:t>
      </w:r>
      <w:r>
        <w:rPr>
          <w:rFonts w:ascii="Arial" w:cs="Arial" w:eastAsia="Arial" w:hAnsi="Arial"/>
          <w:sz w:val="12"/>
          <w:szCs w:val="12"/>
          <w:color w:val="auto"/>
        </w:rPr>
        <w:t>- The holders of each share of Preferred Stock are entitled to the number of votes</w:t>
      </w:r>
      <w:r>
        <w:rPr>
          <w:rFonts w:ascii="Arial" w:cs="Arial" w:eastAsia="Arial" w:hAnsi="Arial"/>
          <w:sz w:val="12"/>
          <w:szCs w:val="12"/>
          <w:b w:val="1"/>
          <w:bCs w:val="1"/>
          <w:color w:val="auto"/>
        </w:rPr>
        <w:t xml:space="preserve"> </w:t>
      </w:r>
      <w:r>
        <w:rPr>
          <w:rFonts w:ascii="Arial" w:cs="Arial" w:eastAsia="Arial" w:hAnsi="Arial"/>
          <w:sz w:val="12"/>
          <w:szCs w:val="12"/>
          <w:color w:val="auto"/>
        </w:rPr>
        <w:t>equal to the number of shares of common stock into which such shares are convertible.</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Common Stock</w:t>
      </w:r>
    </w:p>
    <w:p>
      <w:pPr>
        <w:spacing w:after="0" w:line="128" w:lineRule="exact"/>
        <w:rPr>
          <w:sz w:val="20"/>
          <w:szCs w:val="20"/>
          <w:color w:val="auto"/>
        </w:rPr>
      </w:pPr>
    </w:p>
    <w:p>
      <w:pPr>
        <w:ind w:left="1520" w:right="1740" w:firstLine="230"/>
        <w:spacing w:after="0" w:line="281" w:lineRule="auto"/>
        <w:rPr>
          <w:sz w:val="20"/>
          <w:szCs w:val="20"/>
          <w:color w:val="auto"/>
        </w:rPr>
      </w:pPr>
      <w:r>
        <w:rPr>
          <w:rFonts w:ascii="Arial" w:cs="Arial" w:eastAsia="Arial" w:hAnsi="Arial"/>
          <w:sz w:val="12"/>
          <w:szCs w:val="12"/>
          <w:color w:val="auto"/>
        </w:rPr>
        <w:t>The holders of each share of common stock are entitled to one vote for each share of common stock issued and outstanding for the holders. The holders of common stock are also entitled to receive dividends whenever funds are available and when declared by the Board of Directors, subject to the priority rights of holders of all series of Preferred Stock outstanding.</w:t>
      </w:r>
    </w:p>
    <w:p>
      <w:pPr>
        <w:spacing w:after="0" w:line="81"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Common stock reserved for issuance as of January 31, 2025 and 2024 is summarized as follows:</w:t>
      </w:r>
    </w:p>
    <w:p>
      <w:pPr>
        <w:spacing w:after="0" w:line="168"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1"/>
                <w:szCs w:val="11"/>
                <w:b w:val="1"/>
                <w:bCs w:val="1"/>
                <w:color w:val="auto"/>
              </w:rPr>
              <w:t>As of January 31,</w:t>
            </w:r>
          </w:p>
        </w:tc>
      </w:tr>
      <w:tr>
        <w:trPr>
          <w:trHeight w:val="147"/>
        </w:trPr>
        <w:tc>
          <w:tcPr>
            <w:tcW w:w="4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2024</w:t>
            </w:r>
          </w:p>
        </w:tc>
      </w:tr>
      <w:tr>
        <w:trPr>
          <w:trHeight w:val="167"/>
        </w:trPr>
        <w:tc>
          <w:tcPr>
            <w:tcW w:w="4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Redeemableconvertiblepreferredstock</w:t>
            </w: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2"/>
                <w:szCs w:val="12"/>
                <w:color w:val="auto"/>
              </w:rPr>
              <w:t>146,360,207</w:t>
            </w: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146,360,207</w:t>
            </w: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Stock options issued and outstanding </w:t>
            </w:r>
            <w:r>
              <w:rPr>
                <w:rFonts w:ascii="Times New Roman" w:cs="Times New Roman" w:eastAsia="Times New Roman" w:hAnsi="Times New Roman"/>
                <w:sz w:val="12"/>
                <w:szCs w:val="12"/>
                <w:color w:val="B4B4B4"/>
              </w:rPr>
              <w:t>.................................................................</w:t>
            </w:r>
          </w:p>
        </w:tc>
        <w:tc>
          <w:tcPr>
            <w:tcW w:w="12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Arial" w:cs="Arial" w:eastAsia="Arial" w:hAnsi="Arial"/>
                <w:sz w:val="12"/>
                <w:szCs w:val="12"/>
                <w:color w:val="auto"/>
              </w:rPr>
              <w:t>40,971,097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41,769,970</w:t>
            </w: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RSUs issued and outstanding </w:t>
            </w:r>
            <w:r>
              <w:rPr>
                <w:rFonts w:ascii="Times New Roman" w:cs="Times New Roman" w:eastAsia="Times New Roman" w:hAnsi="Times New Roman"/>
                <w:sz w:val="12"/>
                <w:szCs w:val="12"/>
                <w:color w:val="B4B4B4"/>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4,653,847</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948,938</w:t>
            </w: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Shares of common stock available for future grants  </w:t>
            </w:r>
            <w:r>
              <w:rPr>
                <w:rFonts w:ascii="Times New Roman" w:cs="Times New Roman" w:eastAsia="Times New Roman" w:hAnsi="Times New Roman"/>
                <w:sz w:val="12"/>
                <w:szCs w:val="12"/>
                <w:color w:val="B4B4B4"/>
              </w:rPr>
              <w:t>.........................................</w:t>
            </w:r>
          </w:p>
        </w:tc>
        <w:tc>
          <w:tcPr>
            <w:tcW w:w="120" w:type="dxa"/>
            <w:vAlign w:val="bottom"/>
          </w:tcPr>
          <w:p>
            <w:pPr>
              <w:spacing w:after="0"/>
              <w:rPr>
                <w:sz w:val="15"/>
                <w:szCs w:val="15"/>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5,486,445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4,291,678</w:t>
            </w: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Redeemable convertible preferred stock warrants </w:t>
            </w:r>
            <w:r>
              <w:rPr>
                <w:rFonts w:ascii="Times New Roman" w:cs="Times New Roman" w:eastAsia="Times New Roman" w:hAnsi="Times New Roman"/>
                <w:sz w:val="12"/>
                <w:szCs w:val="12"/>
                <w:color w:val="B4B4B4"/>
              </w:rPr>
              <w:t>............................................</w:t>
            </w: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40,160</w:t>
            </w: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40,160</w:t>
            </w:r>
          </w:p>
        </w:tc>
      </w:tr>
      <w:tr>
        <w:trPr>
          <w:trHeight w:val="163"/>
        </w:trPr>
        <w:tc>
          <w:tcPr>
            <w:tcW w:w="42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Totalcommonstockreservedforissuance</w:t>
            </w:r>
          </w:p>
        </w:tc>
        <w:tc>
          <w:tcPr>
            <w:tcW w:w="84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2"/>
                <w:szCs w:val="12"/>
                <w:color w:val="auto"/>
              </w:rPr>
              <w:t>197,511,756</w:t>
            </w:r>
          </w:p>
        </w:tc>
        <w:tc>
          <w:tcPr>
            <w:tcW w:w="4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193,410,953</w:t>
            </w:r>
          </w:p>
        </w:tc>
      </w:tr>
      <w:tr>
        <w:trPr>
          <w:trHeight w:val="283"/>
        </w:trPr>
        <w:tc>
          <w:tcPr>
            <w:tcW w:w="4260" w:type="dxa"/>
            <w:vAlign w:val="bottom"/>
          </w:tcPr>
          <w:p>
            <w:pPr>
              <w:spacing w:after="0"/>
              <w:rPr>
                <w:sz w:val="20"/>
                <w:szCs w:val="20"/>
                <w:color w:val="auto"/>
              </w:rPr>
            </w:pPr>
            <w:r>
              <w:rPr>
                <w:rFonts w:ascii="Arial" w:cs="Arial" w:eastAsia="Arial" w:hAnsi="Arial"/>
                <w:sz w:val="12"/>
                <w:szCs w:val="12"/>
                <w:b w:val="1"/>
                <w:bCs w:val="1"/>
                <w:color w:val="auto"/>
              </w:rPr>
              <w:t>NOTE 12 - INCOME TAXES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62"/>
        </w:trPr>
        <w:tc>
          <w:tcPr>
            <w:tcW w:w="4260" w:type="dxa"/>
            <w:vAlign w:val="bottom"/>
          </w:tcPr>
          <w:p>
            <w:pPr>
              <w:ind w:left="240"/>
              <w:spacing w:after="0"/>
              <w:rPr>
                <w:sz w:val="20"/>
                <w:szCs w:val="20"/>
                <w:color w:val="auto"/>
              </w:rPr>
            </w:pPr>
            <w:r>
              <w:rPr>
                <w:rFonts w:ascii="Arial" w:cs="Arial" w:eastAsia="Arial" w:hAnsi="Arial"/>
                <w:sz w:val="12"/>
                <w:szCs w:val="12"/>
                <w:color w:val="auto"/>
              </w:rPr>
              <w:t>Loss before income tax expense is as follows (in thousands):</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95"/>
        </w:trPr>
        <w:tc>
          <w:tcPr>
            <w:tcW w:w="4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1"/>
                <w:szCs w:val="11"/>
                <w:b w:val="1"/>
                <w:bCs w:val="1"/>
                <w:color w:val="auto"/>
              </w:rPr>
              <w:t>Year Ended January 31,</w:t>
            </w:r>
          </w:p>
        </w:tc>
      </w:tr>
      <w:tr>
        <w:trPr>
          <w:trHeight w:val="147"/>
        </w:trPr>
        <w:tc>
          <w:tcPr>
            <w:tcW w:w="4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2024</w:t>
            </w:r>
          </w:p>
        </w:tc>
      </w:tr>
      <w:tr>
        <w:trPr>
          <w:trHeight w:val="167"/>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shd w:val="clear" w:color="auto" w:fill="CCEEFF"/>
              </w:rPr>
              <w:t>...........................................................................................................</w:t>
            </w:r>
            <w:r>
              <w:rPr>
                <w:rFonts w:ascii="Arial" w:cs="Arial" w:eastAsia="Arial" w:hAnsi="Arial"/>
                <w:sz w:val="12"/>
                <w:szCs w:val="12"/>
                <w:color w:val="000000"/>
                <w:shd w:val="clear" w:color="auto" w:fill="CCEEFF"/>
              </w:rPr>
              <w:t>UnitedStates</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(206,209)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(345,485)</w:t>
            </w:r>
          </w:p>
        </w:tc>
      </w:tr>
      <w:tr>
        <w:trPr>
          <w:trHeight w:val="173"/>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Foreign </w:t>
            </w:r>
            <w:r>
              <w:rPr>
                <w:rFonts w:ascii="Times New Roman" w:cs="Times New Roman" w:eastAsia="Times New Roman" w:hAnsi="Times New Roman"/>
                <w:sz w:val="12"/>
                <w:szCs w:val="12"/>
                <w:color w:val="B4B4B4"/>
              </w:rPr>
              <w:t>......................................................................................................................</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34,701</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19,361</w:t>
            </w:r>
          </w:p>
        </w:tc>
      </w:tr>
      <w:tr>
        <w:trPr>
          <w:trHeight w:val="170"/>
        </w:trPr>
        <w:tc>
          <w:tcPr>
            <w:tcW w:w="42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shd w:val="clear" w:color="auto" w:fill="CCEEFF"/>
              </w:rPr>
              <w:t>..........................................................................</w:t>
            </w:r>
            <w:r>
              <w:rPr>
                <w:rFonts w:ascii="Arial" w:cs="Arial" w:eastAsia="Arial" w:hAnsi="Arial"/>
                <w:sz w:val="12"/>
                <w:szCs w:val="12"/>
                <w:color w:val="000000"/>
                <w:shd w:val="clear" w:color="auto" w:fill="CCEEFF"/>
              </w:rPr>
              <w:t>Lossbeforeincometaxexpense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(171,508)</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(326,124)</w:t>
            </w:r>
          </w:p>
        </w:tc>
      </w:tr>
    </w:tbl>
    <w:p>
      <w:pPr>
        <w:spacing w:after="0" w:line="200" w:lineRule="exact"/>
        <w:rPr>
          <w:sz w:val="20"/>
          <w:szCs w:val="20"/>
          <w:color w:val="auto"/>
        </w:rPr>
      </w:pPr>
    </w:p>
    <w:p>
      <w:pPr>
        <w:sectPr>
          <w:pgSz w:w="11900" w:h="16840" w:orient="portrait"/>
          <w:cols w:equalWidth="0" w:num="1">
            <w:col w:w="9020"/>
          </w:cols>
          <w:pgMar w:left="1440" w:top="588" w:right="1440" w:bottom="9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F-37</w:t>
      </w:r>
    </w:p>
    <w:p>
      <w:pPr>
        <w:sectPr>
          <w:pgSz w:w="11900" w:h="16840" w:orient="portrait"/>
          <w:cols w:equalWidth="0" w:num="1">
            <w:col w:w="9020"/>
          </w:cols>
          <w:pgMar w:left="1440" w:top="588" w:right="1440" w:bottom="920" w:gutter="0" w:footer="0" w:header="0"/>
          <w:type w:val="continuous"/>
        </w:sectPr>
      </w:pPr>
    </w:p>
    <w:bookmarkStart w:id="185" w:name="page186"/>
    <w:bookmarkEnd w:id="185"/>
    <w:tbl>
      <w:tblPr>
        <w:tblLayout w:type="fixed"/>
        <w:tblInd w:w="1520" w:type="dxa"/>
        <w:tblCellMar>
          <w:top w:w="0" w:type="dxa"/>
          <w:left w:w="0" w:type="dxa"/>
          <w:bottom w:w="0" w:type="dxa"/>
          <w:right w:w="0" w:type="dxa"/>
        </w:tblCellMar>
      </w:tblPr>
      <w:tr>
        <w:trPr>
          <w:trHeight w:val="158"/>
        </w:trPr>
        <w:tc>
          <w:tcPr>
            <w:tcW w:w="980" w:type="dxa"/>
            <w:vAlign w:val="bottom"/>
            <w:tcBorders>
              <w:bottom w:val="single" w:sz="8" w:color="0000FF"/>
            </w:tcBorders>
          </w:tcPr>
          <w:p>
            <w:pPr>
              <w:spacing w:after="0"/>
              <w:rPr>
                <w:rFonts w:ascii="Arial" w:cs="Arial" w:eastAsia="Arial" w:hAnsi="Arial"/>
                <w:sz w:val="12"/>
                <w:szCs w:val="12"/>
                <w:color w:val="0000FF"/>
              </w:rPr>
            </w:pPr>
            <w:hyperlink w:anchor="page3">
              <w:r>
                <w:rPr>
                  <w:rFonts w:ascii="Arial" w:cs="Arial" w:eastAsia="Arial" w:hAnsi="Arial"/>
                  <w:sz w:val="12"/>
                  <w:szCs w:val="12"/>
                  <w:color w:val="0000FF"/>
                </w:rPr>
                <w:t>Table of Contents</w:t>
              </w:r>
            </w:hyperlink>
          </w:p>
        </w:tc>
        <w:tc>
          <w:tcPr>
            <w:tcW w:w="480" w:type="dxa"/>
            <w:vAlign w:val="bottom"/>
            <w:vMerge w:val="restart"/>
          </w:tcPr>
          <w:p>
            <w:pPr>
              <w:spacing w:after="0"/>
              <w:rPr>
                <w:sz w:val="13"/>
                <w:szCs w:val="13"/>
                <w:color w:val="auto"/>
              </w:rPr>
            </w:pPr>
          </w:p>
        </w:tc>
        <w:tc>
          <w:tcPr>
            <w:tcW w:w="2800" w:type="dxa"/>
            <w:vAlign w:val="bottom"/>
            <w:vMerge w:val="restart"/>
          </w:tcPr>
          <w:p>
            <w:pPr>
              <w:jc w:val="right"/>
              <w:ind w:right="258"/>
              <w:spacing w:after="0"/>
              <w:rPr>
                <w:sz w:val="20"/>
                <w:szCs w:val="20"/>
                <w:color w:val="auto"/>
              </w:rPr>
            </w:pPr>
            <w:r>
              <w:rPr>
                <w:rFonts w:ascii="Arial" w:cs="Arial" w:eastAsia="Arial" w:hAnsi="Arial"/>
                <w:sz w:val="12"/>
                <w:szCs w:val="12"/>
                <w:b w:val="1"/>
                <w:bCs w:val="1"/>
                <w:color w:val="auto"/>
              </w:rPr>
              <w:t>NAVAN, INC. AND SUBSIDIARIES</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9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28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0" w:type="dxa"/>
            <w:vAlign w:val="bottom"/>
          </w:tcPr>
          <w:p>
            <w:pPr>
              <w:jc w:val="right"/>
              <w:spacing w:after="0"/>
              <w:rPr>
                <w:sz w:val="20"/>
                <w:szCs w:val="20"/>
                <w:color w:val="auto"/>
              </w:rPr>
            </w:pPr>
            <w:r>
              <w:rPr>
                <w:rFonts w:ascii="Arial" w:cs="Arial" w:eastAsia="Arial" w:hAnsi="Arial"/>
                <w:sz w:val="12"/>
                <w:szCs w:val="12"/>
                <w:b w:val="1"/>
                <w:bCs w:val="1"/>
                <w:color w:val="auto"/>
              </w:rPr>
              <w:t>Notes to Consolidated Financial Statements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4260" w:type="dxa"/>
            <w:vAlign w:val="bottom"/>
            <w:gridSpan w:val="3"/>
          </w:tcPr>
          <w:p>
            <w:pPr>
              <w:jc w:val="center"/>
              <w:spacing w:after="0"/>
              <w:rPr>
                <w:sz w:val="20"/>
                <w:szCs w:val="20"/>
                <w:color w:val="auto"/>
              </w:rPr>
            </w:pPr>
            <w:r>
              <w:rPr>
                <w:rFonts w:ascii="Arial" w:cs="Arial" w:eastAsia="Arial" w:hAnsi="Arial"/>
                <w:sz w:val="12"/>
                <w:szCs w:val="12"/>
                <w:color w:val="auto"/>
              </w:rPr>
              <w:t>The components of income tax expense are as follows (in thousands):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1"/>
                <w:szCs w:val="11"/>
                <w:b w:val="1"/>
                <w:bCs w:val="1"/>
                <w:color w:val="auto"/>
                <w:w w:val="99"/>
              </w:rPr>
              <w:t>Year Ended January 31,</w:t>
            </w:r>
          </w:p>
        </w:tc>
        <w:tc>
          <w:tcPr>
            <w:tcW w:w="0" w:type="dxa"/>
            <w:vAlign w:val="bottom"/>
          </w:tcPr>
          <w:p>
            <w:pPr>
              <w:spacing w:after="0"/>
              <w:rPr>
                <w:sz w:val="1"/>
                <w:szCs w:val="1"/>
                <w:color w:val="auto"/>
              </w:rPr>
            </w:pPr>
          </w:p>
        </w:tc>
      </w:tr>
      <w:tr>
        <w:trPr>
          <w:trHeight w:val="147"/>
        </w:trPr>
        <w:tc>
          <w:tcPr>
            <w:tcW w:w="9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67"/>
        </w:trPr>
        <w:tc>
          <w:tcPr>
            <w:tcW w:w="14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Current:</w:t>
            </w:r>
          </w:p>
        </w:tc>
        <w:tc>
          <w:tcPr>
            <w:tcW w:w="2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260" w:type="dxa"/>
            <w:vAlign w:val="bottom"/>
            <w:gridSpan w:val="3"/>
          </w:tcPr>
          <w:p>
            <w:pPr>
              <w:jc w:val="center"/>
              <w:spacing w:after="0"/>
              <w:rPr>
                <w:sz w:val="20"/>
                <w:szCs w:val="20"/>
                <w:color w:val="auto"/>
              </w:rPr>
            </w:pPr>
            <w:r>
              <w:rPr>
                <w:rFonts w:ascii="Arial" w:cs="Arial" w:eastAsia="Arial" w:hAnsi="Arial"/>
                <w:sz w:val="12"/>
                <w:szCs w:val="12"/>
                <w:color w:val="auto"/>
              </w:rPr>
              <w:t xml:space="preserve">Federal </w:t>
            </w:r>
            <w:r>
              <w:rPr>
                <w:rFonts w:ascii="Times New Roman" w:cs="Times New Roman" w:eastAsia="Times New Roman" w:hAnsi="Times New Roman"/>
                <w:sz w:val="12"/>
                <w:szCs w:val="12"/>
                <w:color w:val="B4B4B4"/>
              </w:rPr>
              <w:t>.................................................................................................................</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(259)</w:t>
            </w:r>
          </w:p>
        </w:tc>
        <w:tc>
          <w:tcPr>
            <w:tcW w:w="240" w:type="dxa"/>
            <w:vAlign w:val="bottom"/>
            <w:gridSpan w:val="2"/>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90"/>
        </w:trPr>
        <w:tc>
          <w:tcPr>
            <w:tcW w:w="4260" w:type="dxa"/>
            <w:vAlign w:val="bottom"/>
            <w:gridSpan w:val="3"/>
            <w:shd w:val="clear" w:color="auto" w:fill="CCEEFF"/>
          </w:tcPr>
          <w:p>
            <w:pPr>
              <w:jc w:val="center"/>
              <w:spacing w:after="0"/>
              <w:rPr>
                <w:sz w:val="20"/>
                <w:szCs w:val="20"/>
                <w:color w:val="auto"/>
              </w:rPr>
            </w:pPr>
            <w:r>
              <w:rPr>
                <w:rFonts w:ascii="Arial" w:cs="Arial" w:eastAsia="Arial" w:hAnsi="Arial"/>
                <w:sz w:val="12"/>
                <w:szCs w:val="12"/>
                <w:color w:val="auto"/>
              </w:rPr>
              <w:t xml:space="preserve">State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gridSpan w:val="3"/>
          </w:tcPr>
          <w:p>
            <w:pPr>
              <w:jc w:val="center"/>
              <w:spacing w:after="0"/>
              <w:rPr>
                <w:sz w:val="20"/>
                <w:szCs w:val="20"/>
                <w:color w:val="auto"/>
              </w:rPr>
            </w:pPr>
            <w:r>
              <w:rPr>
                <w:rFonts w:ascii="Arial" w:cs="Arial" w:eastAsia="Arial" w:hAnsi="Arial"/>
                <w:sz w:val="12"/>
                <w:szCs w:val="12"/>
                <w:color w:val="auto"/>
              </w:rPr>
              <w:t xml:space="preserve">Foreign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9,700</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8,751</w:t>
            </w:r>
          </w:p>
        </w:tc>
        <w:tc>
          <w:tcPr>
            <w:tcW w:w="0" w:type="dxa"/>
            <w:vAlign w:val="bottom"/>
          </w:tcPr>
          <w:p>
            <w:pPr>
              <w:spacing w:after="0"/>
              <w:rPr>
                <w:sz w:val="1"/>
                <w:szCs w:val="1"/>
                <w:color w:val="auto"/>
              </w:rPr>
            </w:pPr>
          </w:p>
        </w:tc>
      </w:tr>
      <w:tr>
        <w:trPr>
          <w:trHeight w:val="170"/>
        </w:trPr>
        <w:tc>
          <w:tcPr>
            <w:tcW w:w="14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Total current tax expense</w:t>
            </w:r>
          </w:p>
        </w:tc>
        <w:tc>
          <w:tcPr>
            <w:tcW w:w="28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9,569</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8,652</w:t>
            </w:r>
          </w:p>
        </w:tc>
        <w:tc>
          <w:tcPr>
            <w:tcW w:w="0" w:type="dxa"/>
            <w:vAlign w:val="bottom"/>
          </w:tcPr>
          <w:p>
            <w:pPr>
              <w:spacing w:after="0"/>
              <w:rPr>
                <w:sz w:val="1"/>
                <w:szCs w:val="1"/>
                <w:color w:val="auto"/>
              </w:rPr>
            </w:pPr>
          </w:p>
        </w:tc>
      </w:tr>
      <w:tr>
        <w:trPr>
          <w:trHeight w:val="173"/>
        </w:trPr>
        <w:tc>
          <w:tcPr>
            <w:tcW w:w="1460" w:type="dxa"/>
            <w:vAlign w:val="bottom"/>
            <w:gridSpan w:val="2"/>
          </w:tcPr>
          <w:p>
            <w:pPr>
              <w:ind w:left="40"/>
              <w:spacing w:after="0"/>
              <w:rPr>
                <w:sz w:val="20"/>
                <w:szCs w:val="20"/>
                <w:color w:val="auto"/>
              </w:rPr>
            </w:pPr>
            <w:r>
              <w:rPr>
                <w:rFonts w:ascii="Arial" w:cs="Arial" w:eastAsia="Arial" w:hAnsi="Arial"/>
                <w:sz w:val="12"/>
                <w:szCs w:val="12"/>
                <w:color w:val="auto"/>
              </w:rPr>
              <w:t>Deferred:</w:t>
            </w:r>
          </w:p>
        </w:tc>
        <w:tc>
          <w:tcPr>
            <w:tcW w:w="2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60" w:type="dxa"/>
            <w:vAlign w:val="bottom"/>
            <w:gridSpan w:val="3"/>
            <w:shd w:val="clear" w:color="auto" w:fill="CCEEFF"/>
          </w:tcPr>
          <w:p>
            <w:pPr>
              <w:jc w:val="center"/>
              <w:spacing w:after="0"/>
              <w:rPr>
                <w:sz w:val="20"/>
                <w:szCs w:val="20"/>
                <w:color w:val="auto"/>
              </w:rPr>
            </w:pPr>
            <w:r>
              <w:rPr>
                <w:rFonts w:ascii="Arial" w:cs="Arial" w:eastAsia="Arial" w:hAnsi="Arial"/>
                <w:sz w:val="12"/>
                <w:szCs w:val="12"/>
                <w:color w:val="auto"/>
              </w:rPr>
              <w:t xml:space="preserve">Federal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4260" w:type="dxa"/>
            <w:vAlign w:val="bottom"/>
            <w:gridSpan w:val="3"/>
          </w:tcPr>
          <w:p>
            <w:pPr>
              <w:jc w:val="center"/>
              <w:spacing w:after="0"/>
              <w:rPr>
                <w:sz w:val="20"/>
                <w:szCs w:val="20"/>
                <w:color w:val="auto"/>
              </w:rPr>
            </w:pPr>
            <w:r>
              <w:rPr>
                <w:rFonts w:ascii="Arial" w:cs="Arial" w:eastAsia="Arial" w:hAnsi="Arial"/>
                <w:sz w:val="12"/>
                <w:szCs w:val="12"/>
                <w:color w:val="auto"/>
              </w:rPr>
              <w:t xml:space="preserve">State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90"/>
        </w:trPr>
        <w:tc>
          <w:tcPr>
            <w:tcW w:w="4260" w:type="dxa"/>
            <w:vAlign w:val="bottom"/>
            <w:gridSpan w:val="3"/>
            <w:shd w:val="clear" w:color="auto" w:fill="CCEEFF"/>
          </w:tcPr>
          <w:p>
            <w:pPr>
              <w:jc w:val="center"/>
              <w:spacing w:after="0"/>
              <w:rPr>
                <w:sz w:val="20"/>
                <w:szCs w:val="20"/>
                <w:color w:val="auto"/>
              </w:rPr>
            </w:pPr>
            <w:r>
              <w:rPr>
                <w:rFonts w:ascii="Arial" w:cs="Arial" w:eastAsia="Arial" w:hAnsi="Arial"/>
                <w:sz w:val="12"/>
                <w:szCs w:val="12"/>
                <w:color w:val="auto"/>
              </w:rPr>
              <w:t xml:space="preserve">Foreign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(3,172)</w:t>
            </w:r>
          </w:p>
        </w:tc>
        <w:tc>
          <w:tcPr>
            <w:tcW w:w="0" w:type="dxa"/>
            <w:vAlign w:val="bottom"/>
          </w:tcPr>
          <w:p>
            <w:pPr>
              <w:spacing w:after="0"/>
              <w:rPr>
                <w:sz w:val="1"/>
                <w:szCs w:val="1"/>
                <w:color w:val="auto"/>
              </w:rPr>
            </w:pPr>
          </w:p>
        </w:tc>
      </w:tr>
      <w:tr>
        <w:trPr>
          <w:trHeight w:val="158"/>
        </w:trPr>
        <w:tc>
          <w:tcPr>
            <w:tcW w:w="426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Totaldeferredtaxexpense(benefit)</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(3,224)</w:t>
            </w:r>
          </w:p>
        </w:tc>
        <w:tc>
          <w:tcPr>
            <w:tcW w:w="0" w:type="dxa"/>
            <w:vAlign w:val="bottom"/>
          </w:tcPr>
          <w:p>
            <w:pPr>
              <w:spacing w:after="0"/>
              <w:rPr>
                <w:sz w:val="1"/>
                <w:szCs w:val="1"/>
                <w:color w:val="auto"/>
              </w:rPr>
            </w:pPr>
          </w:p>
        </w:tc>
      </w:tr>
      <w:tr>
        <w:trPr>
          <w:trHeight w:val="165"/>
        </w:trPr>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Total income tax expense</w:t>
            </w:r>
          </w:p>
        </w:tc>
        <w:tc>
          <w:tcPr>
            <w:tcW w:w="28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rPr>
              <w:t>......................................................................................</w:t>
            </w: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9,570</w:t>
            </w:r>
          </w:p>
        </w:tc>
        <w:tc>
          <w:tcPr>
            <w:tcW w:w="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-2077085</wp:posOffset>
            </wp:positionV>
            <wp:extent cx="6732270" cy="99707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95" w:lineRule="exact"/>
        <w:rPr>
          <w:sz w:val="20"/>
          <w:szCs w:val="20"/>
          <w:color w:val="auto"/>
        </w:rPr>
      </w:pPr>
    </w:p>
    <w:p>
      <w:pPr>
        <w:ind w:left="1520" w:right="1700" w:firstLine="230"/>
        <w:spacing w:after="0" w:line="275" w:lineRule="auto"/>
        <w:rPr>
          <w:sz w:val="20"/>
          <w:szCs w:val="20"/>
          <w:color w:val="auto"/>
        </w:rPr>
      </w:pPr>
      <w:r>
        <w:rPr>
          <w:rFonts w:ascii="Arial" w:cs="Arial" w:eastAsia="Arial" w:hAnsi="Arial"/>
          <w:sz w:val="12"/>
          <w:szCs w:val="12"/>
          <w:color w:val="auto"/>
        </w:rPr>
        <w:t>Historically, it has been the practice and intention of the Company to indefinitely reinvest the earnings of its non-U.S. subsidiaries. During the fiscal year ended January 31, 202 4, the Company altered its capital allocation strategy and determined that certain non-US earnings, which can be distributed tax efficiently, are no longer permanently reinvested where earned. As of January 31, 2025 and 2024, the Company recognized a deferred tax liability of $0.3 million and $0.2 million, respectively, for additional taxes that would be incurred upon repatriation of the earnings that are no longer permanently reinvested.</w:t>
      </w:r>
    </w:p>
    <w:p>
      <w:pPr>
        <w:spacing w:after="0" w:line="85" w:lineRule="exact"/>
        <w:rPr>
          <w:sz w:val="20"/>
          <w:szCs w:val="20"/>
          <w:color w:val="auto"/>
        </w:rPr>
      </w:pPr>
    </w:p>
    <w:p>
      <w:pPr>
        <w:ind w:left="1520" w:right="1800" w:firstLine="230"/>
        <w:spacing w:after="0" w:line="312" w:lineRule="auto"/>
        <w:rPr>
          <w:sz w:val="20"/>
          <w:szCs w:val="20"/>
          <w:color w:val="auto"/>
        </w:rPr>
      </w:pPr>
      <w:r>
        <w:rPr>
          <w:rFonts w:ascii="Arial" w:cs="Arial" w:eastAsia="Arial" w:hAnsi="Arial"/>
          <w:sz w:val="12"/>
          <w:szCs w:val="12"/>
          <w:color w:val="auto"/>
        </w:rPr>
        <w:t>The income tax expense differs from the amount computed by applying the federal statutory income tax rate to income before taxes as follows (in thousands):</w:t>
      </w:r>
    </w:p>
    <w:p>
      <w:pPr>
        <w:spacing w:after="0" w:line="101"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1"/>
                <w:szCs w:val="11"/>
                <w:b w:val="1"/>
                <w:bCs w:val="1"/>
                <w:color w:val="auto"/>
                <w:w w:val="99"/>
              </w:rPr>
              <w:t>Year Ended January 31,</w:t>
            </w:r>
          </w:p>
        </w:tc>
      </w:tr>
      <w:tr>
        <w:trPr>
          <w:trHeight w:val="147"/>
        </w:trPr>
        <w:tc>
          <w:tcPr>
            <w:tcW w:w="4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2024</w:t>
            </w:r>
          </w:p>
        </w:tc>
      </w:tr>
      <w:tr>
        <w:trPr>
          <w:trHeight w:val="167"/>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shd w:val="clear" w:color="auto" w:fill="CCEEFF"/>
              </w:rPr>
              <w:t>..........................................................................</w:t>
            </w:r>
            <w:r>
              <w:rPr>
                <w:rFonts w:ascii="Arial" w:cs="Arial" w:eastAsia="Arial" w:hAnsi="Arial"/>
                <w:sz w:val="12"/>
                <w:szCs w:val="12"/>
                <w:color w:val="000000"/>
                <w:shd w:val="clear" w:color="auto" w:fill="CCEEFF"/>
              </w:rPr>
              <w:t>Lossbeforeincometaxexpense</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shd w:val="clear" w:color="auto" w:fill="CCEEFF"/>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(171,508)</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(326,124)</w:t>
            </w: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Expected tax benefit at federal rate of 21%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(36,017)</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(68,486)</w:t>
            </w: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State taxes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Taxes on foreign earnings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2,412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1,513</w:t>
            </w: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Stock-based compensation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4,943</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4,811</w:t>
            </w: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Disallowed interest on convertible debt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3,229</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11,082</w:t>
            </w: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Research and development credits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(3,912)</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(4,102)</w:t>
            </w: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Effects of cross-border tax laws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3,476</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343</w:t>
            </w: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Other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1,484</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w:t>
            </w:r>
          </w:p>
        </w:tc>
      </w:tr>
      <w:tr>
        <w:trPr>
          <w:trHeight w:val="173"/>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Change in valuation allowance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33,825</w:t>
            </w: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60,430</w:t>
            </w:r>
          </w:p>
        </w:tc>
      </w:tr>
      <w:tr>
        <w:trPr>
          <w:trHeight w:val="170"/>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Totalincometaxexpense</w:t>
            </w: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9,570</w:t>
            </w:r>
          </w:p>
        </w:tc>
        <w:tc>
          <w:tcPr>
            <w:tcW w:w="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F-38</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tbl>
      <w:tblPr>
        <w:tblLayout w:type="fixed"/>
        <w:tblInd w:w="1520" w:type="dxa"/>
        <w:tblCellMar>
          <w:top w:w="0" w:type="dxa"/>
          <w:left w:w="0" w:type="dxa"/>
          <w:bottom w:w="0" w:type="dxa"/>
          <w:right w:w="0" w:type="dxa"/>
        </w:tblCellMar>
      </w:tblPr>
      <w:tr>
        <w:trPr>
          <w:trHeight w:val="165"/>
        </w:trPr>
        <w:tc>
          <w:tcPr>
            <w:tcW w:w="5080" w:type="dxa"/>
            <w:vAlign w:val="bottom"/>
            <w:gridSpan w:val="3"/>
          </w:tcPr>
          <w:p>
            <w:pPr>
              <w:jc w:val="right"/>
              <w:ind w:right="79"/>
              <w:spacing w:after="0"/>
              <w:rPr>
                <w:sz w:val="20"/>
                <w:szCs w:val="20"/>
                <w:color w:val="auto"/>
              </w:rPr>
            </w:pPr>
            <w:r>
              <w:rPr>
                <w:rFonts w:ascii="Arial" w:cs="Arial" w:eastAsia="Arial" w:hAnsi="Arial"/>
                <w:sz w:val="12"/>
                <w:szCs w:val="12"/>
                <w:color w:val="auto"/>
              </w:rPr>
              <w:t>The components of net deferred tax assets and liabilities consisted of the following (in</w:t>
            </w:r>
          </w:p>
        </w:tc>
        <w:tc>
          <w:tcPr>
            <w:tcW w:w="900" w:type="dxa"/>
            <w:vAlign w:val="bottom"/>
            <w:gridSpan w:val="4"/>
          </w:tcPr>
          <w:p>
            <w:pPr>
              <w:jc w:val="right"/>
              <w:ind w:right="178"/>
              <w:spacing w:after="0"/>
              <w:rPr>
                <w:sz w:val="20"/>
                <w:szCs w:val="20"/>
                <w:color w:val="auto"/>
              </w:rPr>
            </w:pPr>
            <w:r>
              <w:rPr>
                <w:rFonts w:ascii="Arial" w:cs="Arial" w:eastAsia="Arial" w:hAnsi="Arial"/>
                <w:sz w:val="12"/>
                <w:szCs w:val="12"/>
                <w:color w:val="auto"/>
              </w:rPr>
              <w:t>thousands):</w:t>
            </w:r>
          </w:p>
        </w:tc>
      </w:tr>
      <w:tr>
        <w:trPr>
          <w:trHeight w:val="295"/>
        </w:trPr>
        <w:tc>
          <w:tcPr>
            <w:tcW w:w="4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right"/>
              <w:ind w:right="198"/>
              <w:spacing w:after="0"/>
              <w:rPr>
                <w:sz w:val="20"/>
                <w:szCs w:val="20"/>
                <w:color w:val="auto"/>
              </w:rPr>
            </w:pPr>
            <w:r>
              <w:rPr>
                <w:rFonts w:ascii="Arial" w:cs="Arial" w:eastAsia="Arial" w:hAnsi="Arial"/>
                <w:sz w:val="11"/>
                <w:szCs w:val="11"/>
                <w:b w:val="1"/>
                <w:bCs w:val="1"/>
                <w:color w:val="auto"/>
                <w:w w:val="99"/>
              </w:rPr>
              <w:t>Year Ended January 31,</w:t>
            </w:r>
          </w:p>
        </w:tc>
      </w:tr>
      <w:tr>
        <w:trPr>
          <w:trHeight w:val="147"/>
        </w:trPr>
        <w:tc>
          <w:tcPr>
            <w:tcW w:w="4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1"/>
                <w:szCs w:val="11"/>
                <w:b w:val="1"/>
                <w:bCs w:val="1"/>
                <w:color w:val="auto"/>
              </w:rPr>
              <w:t>2025</w:t>
            </w: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8"/>
              <w:spacing w:after="0"/>
              <w:rPr>
                <w:sz w:val="20"/>
                <w:szCs w:val="20"/>
                <w:color w:val="auto"/>
              </w:rPr>
            </w:pPr>
            <w:r>
              <w:rPr>
                <w:rFonts w:ascii="Arial" w:cs="Arial" w:eastAsia="Arial" w:hAnsi="Arial"/>
                <w:sz w:val="11"/>
                <w:szCs w:val="11"/>
                <w:b w:val="1"/>
                <w:bCs w:val="1"/>
                <w:color w:val="auto"/>
              </w:rPr>
              <w:t>2024</w:t>
            </w:r>
          </w:p>
        </w:tc>
      </w:tr>
      <w:tr>
        <w:trPr>
          <w:trHeight w:val="167"/>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Deferred tax assets:</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73"/>
        </w:trPr>
        <w:tc>
          <w:tcPr>
            <w:tcW w:w="4260" w:type="dxa"/>
            <w:vAlign w:val="bottom"/>
          </w:tcPr>
          <w:p>
            <w:pPr>
              <w:ind w:left="180"/>
              <w:spacing w:after="0"/>
              <w:rPr>
                <w:sz w:val="20"/>
                <w:szCs w:val="20"/>
                <w:color w:val="auto"/>
              </w:rPr>
            </w:pPr>
            <w:r>
              <w:rPr>
                <w:rFonts w:ascii="Arial" w:cs="Arial" w:eastAsia="Arial" w:hAnsi="Arial"/>
                <w:sz w:val="12"/>
                <w:szCs w:val="12"/>
                <w:color w:val="auto"/>
              </w:rPr>
              <w:t xml:space="preserve">Net operating loss carryforwards </w:t>
            </w:r>
            <w:r>
              <w:rPr>
                <w:rFonts w:ascii="Times New Roman" w:cs="Times New Roman" w:eastAsia="Times New Roman" w:hAnsi="Times New Roman"/>
                <w:sz w:val="12"/>
                <w:szCs w:val="12"/>
                <w:color w:val="B4B4B4"/>
              </w:rPr>
              <w:t>.....................................................................</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211,217</w:t>
            </w:r>
          </w:p>
        </w:tc>
        <w:tc>
          <w:tcPr>
            <w:tcW w:w="240" w:type="dxa"/>
            <w:vAlign w:val="bottom"/>
            <w:gridSpan w:val="3"/>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8"/>
              <w:spacing w:after="0"/>
              <w:rPr>
                <w:sz w:val="20"/>
                <w:szCs w:val="20"/>
                <w:color w:val="auto"/>
              </w:rPr>
            </w:pPr>
            <w:r>
              <w:rPr>
                <w:rFonts w:ascii="Arial" w:cs="Arial" w:eastAsia="Arial" w:hAnsi="Arial"/>
                <w:sz w:val="12"/>
                <w:szCs w:val="12"/>
                <w:color w:val="auto"/>
              </w:rPr>
              <w:t>209,724</w:t>
            </w:r>
          </w:p>
        </w:tc>
      </w:tr>
      <w:tr>
        <w:trPr>
          <w:trHeight w:val="190"/>
        </w:trPr>
        <w:tc>
          <w:tcPr>
            <w:tcW w:w="4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Research and development credits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18,156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14,031</w:t>
            </w:r>
          </w:p>
        </w:tc>
      </w:tr>
      <w:tr>
        <w:trPr>
          <w:trHeight w:val="173"/>
        </w:trPr>
        <w:tc>
          <w:tcPr>
            <w:tcW w:w="4260" w:type="dxa"/>
            <w:vAlign w:val="bottom"/>
          </w:tcPr>
          <w:p>
            <w:pPr>
              <w:ind w:left="180"/>
              <w:spacing w:after="0"/>
              <w:rPr>
                <w:sz w:val="20"/>
                <w:szCs w:val="20"/>
                <w:color w:val="auto"/>
              </w:rPr>
            </w:pPr>
            <w:r>
              <w:rPr>
                <w:rFonts w:ascii="Arial" w:cs="Arial" w:eastAsia="Arial" w:hAnsi="Arial"/>
                <w:sz w:val="12"/>
                <w:szCs w:val="12"/>
                <w:color w:val="auto"/>
              </w:rPr>
              <w:t xml:space="preserve">Reserves and accruals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23,841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8"/>
              <w:spacing w:after="0"/>
              <w:rPr>
                <w:sz w:val="20"/>
                <w:szCs w:val="20"/>
                <w:color w:val="auto"/>
              </w:rPr>
            </w:pPr>
            <w:r>
              <w:rPr>
                <w:rFonts w:ascii="Arial" w:cs="Arial" w:eastAsia="Arial" w:hAnsi="Arial"/>
                <w:sz w:val="12"/>
                <w:szCs w:val="12"/>
                <w:color w:val="auto"/>
              </w:rPr>
              <w:t>14,378</w:t>
            </w:r>
          </w:p>
        </w:tc>
      </w:tr>
      <w:tr>
        <w:trPr>
          <w:trHeight w:val="190"/>
        </w:trPr>
        <w:tc>
          <w:tcPr>
            <w:tcW w:w="4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Depreciation and amortization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611</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674</w:t>
            </w:r>
          </w:p>
        </w:tc>
      </w:tr>
      <w:tr>
        <w:trPr>
          <w:trHeight w:val="173"/>
        </w:trPr>
        <w:tc>
          <w:tcPr>
            <w:tcW w:w="4260" w:type="dxa"/>
            <w:vAlign w:val="bottom"/>
          </w:tcPr>
          <w:p>
            <w:pPr>
              <w:ind w:left="180"/>
              <w:spacing w:after="0"/>
              <w:rPr>
                <w:sz w:val="20"/>
                <w:szCs w:val="20"/>
                <w:color w:val="auto"/>
              </w:rPr>
            </w:pPr>
            <w:r>
              <w:rPr>
                <w:rFonts w:ascii="Arial" w:cs="Arial" w:eastAsia="Arial" w:hAnsi="Arial"/>
                <w:sz w:val="12"/>
                <w:szCs w:val="12"/>
                <w:color w:val="auto"/>
              </w:rPr>
              <w:t xml:space="preserve">Capitalized research and development costs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52,012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8"/>
              <w:spacing w:after="0"/>
              <w:rPr>
                <w:sz w:val="20"/>
                <w:szCs w:val="20"/>
                <w:color w:val="auto"/>
              </w:rPr>
            </w:pPr>
            <w:r>
              <w:rPr>
                <w:rFonts w:ascii="Arial" w:cs="Arial" w:eastAsia="Arial" w:hAnsi="Arial"/>
                <w:sz w:val="12"/>
                <w:szCs w:val="12"/>
                <w:color w:val="auto"/>
              </w:rPr>
              <w:t>38,764</w:t>
            </w:r>
          </w:p>
        </w:tc>
      </w:tr>
      <w:tr>
        <w:trPr>
          <w:trHeight w:val="190"/>
        </w:trPr>
        <w:tc>
          <w:tcPr>
            <w:tcW w:w="4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Operating lease liabilities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12,100</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12,271</w:t>
            </w:r>
          </w:p>
        </w:tc>
      </w:tr>
      <w:tr>
        <w:trPr>
          <w:trHeight w:val="173"/>
        </w:trPr>
        <w:tc>
          <w:tcPr>
            <w:tcW w:w="42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 xml:space="preserve">Stock-based compensation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41,834</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31,597</w:t>
            </w:r>
          </w:p>
        </w:tc>
      </w:tr>
      <w:tr>
        <w:trPr>
          <w:trHeight w:val="170"/>
        </w:trPr>
        <w:tc>
          <w:tcPr>
            <w:tcW w:w="4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Totaldeferredtaxassets</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359,771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321,439</w:t>
            </w:r>
          </w:p>
        </w:tc>
      </w:tr>
      <w:tr>
        <w:trPr>
          <w:trHeight w:val="173"/>
        </w:trPr>
        <w:tc>
          <w:tcPr>
            <w:tcW w:w="4260" w:type="dxa"/>
            <w:vAlign w:val="bottom"/>
            <w:tcBorders>
              <w:bottom w:val="single" w:sz="8" w:color="CCEEFF"/>
            </w:tcBorders>
          </w:tcPr>
          <w:p>
            <w:pPr>
              <w:jc w:val="right"/>
              <w:ind w:right="38"/>
              <w:spacing w:after="0"/>
              <w:rPr>
                <w:sz w:val="20"/>
                <w:szCs w:val="20"/>
                <w:color w:val="auto"/>
              </w:rPr>
            </w:pPr>
            <w:r>
              <w:rPr>
                <w:rFonts w:ascii="Arial" w:cs="Arial" w:eastAsia="Arial" w:hAnsi="Arial"/>
                <w:sz w:val="12"/>
                <w:szCs w:val="12"/>
                <w:color w:val="auto"/>
              </w:rPr>
              <w:t xml:space="preserve">Less: Valuation allowance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(336,627)</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(297,643)</w:t>
            </w:r>
          </w:p>
        </w:tc>
      </w:tr>
      <w:tr>
        <w:trPr>
          <w:trHeight w:val="170"/>
        </w:trPr>
        <w:tc>
          <w:tcPr>
            <w:tcW w:w="4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Netdeferredtaxassets</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23,144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23,796</w:t>
            </w: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Deferred tax liabilities:</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0"/>
        </w:trPr>
        <w:tc>
          <w:tcPr>
            <w:tcW w:w="4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Operating lease right-of-use asset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(10,499)</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(11,023)</w:t>
            </w:r>
          </w:p>
        </w:tc>
      </w:tr>
      <w:tr>
        <w:trPr>
          <w:trHeight w:val="173"/>
        </w:trPr>
        <w:tc>
          <w:tcPr>
            <w:tcW w:w="4260" w:type="dxa"/>
            <w:vAlign w:val="bottom"/>
          </w:tcPr>
          <w:p>
            <w:pPr>
              <w:ind w:left="180"/>
              <w:spacing w:after="0"/>
              <w:rPr>
                <w:sz w:val="20"/>
                <w:szCs w:val="20"/>
                <w:color w:val="auto"/>
              </w:rPr>
            </w:pPr>
            <w:r>
              <w:rPr>
                <w:rFonts w:ascii="Arial" w:cs="Arial" w:eastAsia="Arial" w:hAnsi="Arial"/>
                <w:sz w:val="12"/>
                <w:szCs w:val="12"/>
                <w:color w:val="auto"/>
              </w:rPr>
              <w:t xml:space="preserve">Reserves and accruals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0"/>
        </w:trPr>
        <w:tc>
          <w:tcPr>
            <w:tcW w:w="4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Depreciation and amortization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(13,164)</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(13,902)</w:t>
            </w:r>
          </w:p>
        </w:tc>
      </w:tr>
      <w:tr>
        <w:trPr>
          <w:trHeight w:val="173"/>
        </w:trPr>
        <w:tc>
          <w:tcPr>
            <w:tcW w:w="42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 xml:space="preserve">Stock-based compensation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(621)</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70"/>
        </w:trPr>
        <w:tc>
          <w:tcPr>
            <w:tcW w:w="4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Totaldeferredtaxliabilities</w:t>
            </w:r>
          </w:p>
        </w:tc>
        <w:tc>
          <w:tcPr>
            <w:tcW w:w="2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(24,329)</w:t>
            </w: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(24,925)</w:t>
            </w:r>
          </w:p>
        </w:tc>
      </w:tr>
      <w:tr>
        <w:trPr>
          <w:trHeight w:val="161"/>
        </w:trPr>
        <w:tc>
          <w:tcPr>
            <w:tcW w:w="4260" w:type="dxa"/>
            <w:vAlign w:val="bottom"/>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Totalnetdeferredtaxassets(liabilities)</w:t>
            </w: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(1,185)</w:t>
            </w:r>
          </w:p>
        </w:tc>
        <w:tc>
          <w:tcPr>
            <w:tcW w:w="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(1,129)</w:t>
            </w:r>
          </w:p>
        </w:tc>
      </w:tr>
    </w:tbl>
    <w:p>
      <w:pPr>
        <w:spacing w:after="0" w:line="115" w:lineRule="exact"/>
        <w:rPr>
          <w:sz w:val="20"/>
          <w:szCs w:val="20"/>
          <w:color w:val="auto"/>
        </w:rPr>
      </w:pPr>
    </w:p>
    <w:p>
      <w:pPr>
        <w:ind w:left="1520" w:right="1860" w:firstLine="230"/>
        <w:spacing w:after="0" w:line="277" w:lineRule="auto"/>
        <w:rPr>
          <w:sz w:val="20"/>
          <w:szCs w:val="20"/>
          <w:color w:val="auto"/>
        </w:rPr>
      </w:pPr>
      <w:r>
        <w:rPr>
          <w:rFonts w:ascii="Arial" w:cs="Arial" w:eastAsia="Arial" w:hAnsi="Arial"/>
          <w:sz w:val="12"/>
          <w:szCs w:val="12"/>
          <w:color w:val="auto"/>
        </w:rPr>
        <w:t>In assessing the realization of deferred tax assets, management considers whether it is more likely than not that some portion or all of the deferred assets will be realized. The ultimate realization of deferred tax assets is dependent upon the generation of future taxable income during the periods in which those temporary differences become deductible. Based on the available objective evidence, the Company believes it is more likely than not that a portion of its net deferred tax assets may not be</w:t>
      </w:r>
    </w:p>
    <w:p>
      <w:pPr>
        <w:sectPr>
          <w:pgSz w:w="11900" w:h="16840" w:orient="portrait"/>
          <w:cols w:equalWidth="0" w:num="1">
            <w:col w:w="9020"/>
          </w:cols>
          <w:pgMar w:left="1440" w:top="536" w:right="1440" w:bottom="49" w:gutter="0" w:footer="0" w:header="0"/>
        </w:sectPr>
      </w:pPr>
    </w:p>
    <w:bookmarkStart w:id="186" w:name="page187"/>
    <w:bookmarkEnd w:id="186"/>
    <w:p>
      <w:pPr>
        <w:ind w:left="1520"/>
        <w:spacing w:after="0"/>
        <w:rPr>
          <w:sz w:val="20"/>
          <w:szCs w:val="20"/>
          <w:color w:val="auto"/>
        </w:rPr>
      </w:pPr>
      <w:r>
        <w:rPr>
          <w:rFonts w:ascii="Arial" w:cs="Arial" w:eastAsia="Arial" w:hAnsi="Arial"/>
          <w:sz w:val="12"/>
          <w:szCs w:val="12"/>
          <w:color w:val="auto"/>
        </w:rPr>
        <w:t>realized in the future. Accordingly, the Company established a full valuation allowance against its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-55245</wp:posOffset>
            </wp:positionV>
            <wp:extent cx="6732270" cy="99707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2"/>
          <w:szCs w:val="12"/>
          <w:color w:val="auto"/>
        </w:rPr>
        <w:t>federal, certain states, and certain foreign deferred tax assets. The net change in the total valuation</w:t>
      </w:r>
    </w:p>
    <w:p>
      <w:pPr>
        <w:spacing w:after="0" w:line="15" w:lineRule="exact"/>
        <w:rPr>
          <w:sz w:val="20"/>
          <w:szCs w:val="20"/>
          <w:color w:val="auto"/>
        </w:rPr>
      </w:pPr>
    </w:p>
    <w:p>
      <w:pPr>
        <w:ind w:left="1520" w:right="2420"/>
        <w:spacing w:after="0" w:line="292" w:lineRule="auto"/>
        <w:rPr>
          <w:sz w:val="20"/>
          <w:szCs w:val="20"/>
          <w:color w:val="auto"/>
        </w:rPr>
      </w:pPr>
      <w:r>
        <w:rPr>
          <w:rFonts w:ascii="Arial" w:cs="Arial" w:eastAsia="Arial" w:hAnsi="Arial"/>
          <w:sz w:val="12"/>
          <w:szCs w:val="12"/>
          <w:color w:val="auto"/>
        </w:rPr>
        <w:t>allowance for the years ended January 31, 2025 and 2024 was an increase of approximately $39.1 million and $70.0 million, respectively.</w:t>
      </w:r>
    </w:p>
    <w:p>
      <w:pPr>
        <w:spacing w:after="0" w:line="74" w:lineRule="exact"/>
        <w:rPr>
          <w:sz w:val="20"/>
          <w:szCs w:val="20"/>
          <w:color w:val="auto"/>
        </w:rPr>
      </w:pPr>
    </w:p>
    <w:p>
      <w:pPr>
        <w:ind w:left="1520" w:right="1700" w:firstLine="230"/>
        <w:spacing w:after="0" w:line="271" w:lineRule="auto"/>
        <w:rPr>
          <w:sz w:val="20"/>
          <w:szCs w:val="20"/>
          <w:color w:val="auto"/>
        </w:rPr>
      </w:pPr>
      <w:r>
        <w:rPr>
          <w:rFonts w:ascii="Arial" w:cs="Arial" w:eastAsia="Arial" w:hAnsi="Arial"/>
          <w:sz w:val="12"/>
          <w:szCs w:val="12"/>
          <w:color w:val="auto"/>
        </w:rPr>
        <w:t>As of January 31, 2025, the Company had approximately $805.0 million of federal, $628.6 million of state, and $20.0 million of foreign net operating loss carryforwards as reported on our tax returns available to reduce future taxable income. Of the $805.0 million federal net operating loss carryforwards, $789.9 million may be carried forward indefinitely with utilization limited to 80% of taxable income, and the remaining $15.1 million will begin to expire in 2036. State NOL carryforwards will begin to expire in 2027, unless utilized. The foreign net operating loss carryforwards will carryforward indefinitely. As of January 31, 2025, the Company also had federal and state research and development tax credit carryforwards as reported on our tax returns of approximately $15.5 million and $11.1 million, respectively. The federal tax credits will expire at various dates beginning in 2036, unless utilized. The state tax credits do not expire and will carry forward indefinitely until utilized.</w:t>
      </w:r>
    </w:p>
    <w:p>
      <w:pPr>
        <w:spacing w:after="0" w:line="88"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color w:val="auto"/>
        </w:rPr>
        <w:t>As of January 31, 2024, the Company had approximately $789.6 million of federal, $568.1 million of state, and $30.7 million of foreign net operating loss carryforwards as reported on our tax returns available to reduce future taxable income. Of the $789.6 million federal net operating loss carryforwards, $774.5 million may be carried forward indefinitely with utilization limited to 80% of taxable income, and the remaining $15.1 million will begin to expire in 2036. State NOL carryforwards will begin to expire in 2027, unless utilized. The foreign net operating loss carryforwards will carryforward indefinitely. As of January 31, 2024, the Company also had federal and state research and development tax credit carryforwards as</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F-39</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jc w:val="both"/>
        <w:ind w:left="1520" w:right="1820"/>
        <w:spacing w:after="0" w:line="289" w:lineRule="auto"/>
        <w:rPr>
          <w:sz w:val="20"/>
          <w:szCs w:val="20"/>
          <w:color w:val="auto"/>
        </w:rPr>
      </w:pPr>
      <w:r>
        <w:rPr>
          <w:rFonts w:ascii="Arial" w:cs="Arial" w:eastAsia="Arial" w:hAnsi="Arial"/>
          <w:sz w:val="12"/>
          <w:szCs w:val="12"/>
          <w:color w:val="auto"/>
        </w:rPr>
        <w:t>reported on our tax returns of approximately $12.0 million and $8.5 million, respectively. The federal tax credits will expire at various dates beginning in 2036, unless utilized. The state tax credits do not expire and will carry forward indefinitely until utilized.</w:t>
      </w:r>
    </w:p>
    <w:p>
      <w:pPr>
        <w:spacing w:after="0" w:line="76" w:lineRule="exact"/>
        <w:rPr>
          <w:sz w:val="20"/>
          <w:szCs w:val="20"/>
          <w:color w:val="auto"/>
        </w:rPr>
      </w:pPr>
    </w:p>
    <w:p>
      <w:pPr>
        <w:ind w:left="1520" w:right="1800" w:firstLine="230"/>
        <w:spacing w:after="0" w:line="272" w:lineRule="auto"/>
        <w:rPr>
          <w:sz w:val="20"/>
          <w:szCs w:val="20"/>
          <w:color w:val="auto"/>
        </w:rPr>
      </w:pPr>
      <w:r>
        <w:rPr>
          <w:rFonts w:ascii="Arial" w:cs="Arial" w:eastAsia="Arial" w:hAnsi="Arial"/>
          <w:sz w:val="12"/>
          <w:szCs w:val="12"/>
          <w:color w:val="auto"/>
        </w:rPr>
        <w:t>Federal and state tax laws impose substantial restrictions on the utilization of the net operating loss and credit carryforwards in the event of an ownership change as defined in Section 382 of the Internal Revenue Code. Accordingly, the Company’s ability to utilize these carryforwards may be limited as a result of such ownership change. The Company has determined that it has experienced multiple ownership changes and, as a result, the annual utilization of its net operating loss carryforwards and other pre-change attributes will be subject to limitation. However, the Company does not expect that the annual limitations will significantly impact its ability to utilize its net operating loss or tax credit carryforwards prior to expiration. Subsequent ownership changes in respect to these tax attributes may further affect the limitation in future years.</w:t>
      </w:r>
    </w:p>
    <w:p>
      <w:pPr>
        <w:spacing w:after="0" w:line="85" w:lineRule="exact"/>
        <w:rPr>
          <w:sz w:val="20"/>
          <w:szCs w:val="20"/>
          <w:color w:val="auto"/>
        </w:rPr>
      </w:pPr>
    </w:p>
    <w:p>
      <w:pPr>
        <w:ind w:left="1520" w:right="1740" w:firstLine="230"/>
        <w:spacing w:after="0" w:line="272" w:lineRule="auto"/>
        <w:rPr>
          <w:sz w:val="20"/>
          <w:szCs w:val="20"/>
          <w:color w:val="auto"/>
        </w:rPr>
      </w:pPr>
      <w:r>
        <w:rPr>
          <w:rFonts w:ascii="Arial" w:cs="Arial" w:eastAsia="Arial" w:hAnsi="Arial"/>
          <w:sz w:val="12"/>
          <w:szCs w:val="12"/>
          <w:color w:val="auto"/>
        </w:rPr>
        <w:t>The Company recognizes uncertain tax positions in the consolidated financial statements if that position is more likely than not to be sustained upon audit, based on the technical merits of the position. In the preparation of income tax returns in federal, foreign, and state jurisdictions, the Company asserts certain tax positions based on its understanding and interpretation of income tax laws. The taxing authorities may challenge such positions, and the resolution of such matters could result in recognition of income tax expense in the Company’s consolidated financial statements. As of January 31, 2025, the Company had unrecognized tax benefits of $9.5 million, of which $1.9 million, if recognized, would favorably impact the effective tax rate. As of January 31, 2024, the Company had unrecognized tax benefits of $8.8 million, of which $2.4 million, if recognized, would favorably impact the effective tax rate.</w:t>
      </w:r>
    </w:p>
    <w:p>
      <w:pPr>
        <w:spacing w:after="0" w:line="85" w:lineRule="exact"/>
        <w:rPr>
          <w:sz w:val="20"/>
          <w:szCs w:val="20"/>
          <w:color w:val="auto"/>
        </w:rPr>
      </w:pPr>
    </w:p>
    <w:p>
      <w:pPr>
        <w:ind w:left="1520" w:right="2100" w:firstLine="230"/>
        <w:spacing w:after="0" w:line="312" w:lineRule="auto"/>
        <w:rPr>
          <w:sz w:val="20"/>
          <w:szCs w:val="20"/>
          <w:color w:val="auto"/>
        </w:rPr>
      </w:pPr>
      <w:r>
        <w:rPr>
          <w:rFonts w:ascii="Arial" w:cs="Arial" w:eastAsia="Arial" w:hAnsi="Arial"/>
          <w:sz w:val="12"/>
          <w:szCs w:val="12"/>
          <w:color w:val="auto"/>
        </w:rPr>
        <w:t>The aggregate changes in the Company’s total gross amount of unrecognized tax benefits are summarized as follows (in thousands):</w:t>
      </w:r>
    </w:p>
    <w:p>
      <w:pPr>
        <w:spacing w:after="0" w:line="101"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1"/>
                <w:szCs w:val="11"/>
                <w:b w:val="1"/>
                <w:bCs w:val="1"/>
                <w:color w:val="auto"/>
                <w:w w:val="99"/>
              </w:rPr>
              <w:t>Year Ended January 31,</w:t>
            </w:r>
          </w:p>
        </w:tc>
      </w:tr>
      <w:tr>
        <w:trPr>
          <w:trHeight w:val="147"/>
        </w:trPr>
        <w:tc>
          <w:tcPr>
            <w:tcW w:w="4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2024</w:t>
            </w:r>
          </w:p>
        </w:tc>
      </w:tr>
      <w:tr>
        <w:trPr>
          <w:trHeight w:val="167"/>
        </w:trPr>
        <w:tc>
          <w:tcPr>
            <w:tcW w:w="42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Beginningbalance</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8,783</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7,477</w:t>
            </w: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Additions based on tax position related to the current year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1,641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1,521</w:t>
            </w: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Additions for tax positions for the prior year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w:t>
            </w: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Decrease related to prior year tax positions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(241)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(386)</w:t>
            </w: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Decrease related to expiration of statute of limitations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(794)</w:t>
            </w: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(190)</w:t>
            </w:r>
          </w:p>
        </w:tc>
      </w:tr>
      <w:tr>
        <w:trPr>
          <w:trHeight w:val="161"/>
        </w:trPr>
        <w:tc>
          <w:tcPr>
            <w:tcW w:w="426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Endingbalance</w:t>
            </w: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9,457</w:t>
            </w:r>
          </w:p>
        </w:tc>
        <w:tc>
          <w:tcPr>
            <w:tcW w:w="40" w:type="dxa"/>
            <w:vAlign w:val="bottom"/>
          </w:tcPr>
          <w:p>
            <w:pPr>
              <w:spacing w:after="0"/>
              <w:rPr>
                <w:sz w:val="13"/>
                <w:szCs w:val="13"/>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8,783</w:t>
            </w:r>
          </w:p>
        </w:tc>
      </w:tr>
    </w:tbl>
    <w:p>
      <w:pPr>
        <w:spacing w:after="0" w:line="115" w:lineRule="exact"/>
        <w:rPr>
          <w:sz w:val="20"/>
          <w:szCs w:val="20"/>
          <w:color w:val="auto"/>
        </w:rPr>
      </w:pPr>
    </w:p>
    <w:p>
      <w:pPr>
        <w:ind w:left="1520" w:right="1680" w:firstLine="230"/>
        <w:spacing w:after="0" w:line="289" w:lineRule="auto"/>
        <w:rPr>
          <w:sz w:val="20"/>
          <w:szCs w:val="20"/>
          <w:color w:val="auto"/>
        </w:rPr>
      </w:pPr>
      <w:r>
        <w:rPr>
          <w:rFonts w:ascii="Arial" w:cs="Arial" w:eastAsia="Arial" w:hAnsi="Arial"/>
          <w:sz w:val="12"/>
          <w:szCs w:val="12"/>
          <w:color w:val="auto"/>
        </w:rPr>
        <w:t>The Company includes interest and penalties related to unrecognized tax benefits through income tax expense. As of January 31, 2025 and 2024, the amount of accrued interest and penalties related to uncertain tax positions was $0.4 million.</w:t>
      </w:r>
    </w:p>
    <w:p>
      <w:pPr>
        <w:spacing w:after="0" w:line="76" w:lineRule="exact"/>
        <w:rPr>
          <w:sz w:val="20"/>
          <w:szCs w:val="20"/>
          <w:color w:val="auto"/>
        </w:rPr>
      </w:pPr>
    </w:p>
    <w:p>
      <w:pPr>
        <w:ind w:left="1520" w:right="1740" w:firstLine="230"/>
        <w:spacing w:after="0" w:line="280" w:lineRule="auto"/>
        <w:rPr>
          <w:sz w:val="20"/>
          <w:szCs w:val="20"/>
          <w:color w:val="auto"/>
        </w:rPr>
      </w:pPr>
      <w:r>
        <w:rPr>
          <w:rFonts w:ascii="Arial" w:cs="Arial" w:eastAsia="Arial" w:hAnsi="Arial"/>
          <w:sz w:val="12"/>
          <w:szCs w:val="12"/>
          <w:color w:val="auto"/>
        </w:rPr>
        <w:t>Although it is reasonably possible that certain unrecognized tax benefits may increase or decrease within the next 12 months due to tax examination changes, settlement activities, or the impact on recognition and measurement considerations related to the results of published tax cases or other similar activities, the Company does not anticipate any significant changes to unrecognized tax benefits over the next 12 months.</w:t>
      </w:r>
    </w:p>
    <w:p>
      <w:pPr>
        <w:spacing w:after="0" w:line="236" w:lineRule="exact"/>
        <w:rPr>
          <w:sz w:val="20"/>
          <w:szCs w:val="20"/>
          <w:color w:val="auto"/>
        </w:rPr>
      </w:pPr>
    </w:p>
    <w:p>
      <w:pPr>
        <w:ind w:left="1520" w:right="1700" w:firstLine="230"/>
        <w:spacing w:after="0" w:line="289" w:lineRule="auto"/>
        <w:rPr>
          <w:sz w:val="20"/>
          <w:szCs w:val="20"/>
          <w:color w:val="auto"/>
        </w:rPr>
      </w:pPr>
      <w:r>
        <w:rPr>
          <w:rFonts w:ascii="Arial" w:cs="Arial" w:eastAsia="Arial" w:hAnsi="Arial"/>
          <w:sz w:val="12"/>
          <w:szCs w:val="12"/>
          <w:color w:val="auto"/>
        </w:rPr>
        <w:t>The Company files federal, state, and foreign tax returns with varying statutes of limitations. The tax years since inception of the Company in 2015 remain open to examination due to the carryover of unused net operating losses and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F-40</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ectPr>
          <w:pgSz w:w="11900" w:h="16840" w:orient="portrait"/>
          <w:cols w:equalWidth="0" w:num="1">
            <w:col w:w="9020"/>
          </w:cols>
          <w:pgMar w:left="1440" w:top="520" w:right="1440" w:bottom="48" w:gutter="0" w:footer="0" w:header="0"/>
        </w:sectPr>
      </w:pPr>
    </w:p>
    <w:p>
      <w:pPr>
        <w:spacing w:after="0" w:line="290"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13 - COMMITMENTS AND CONTINGENCIES</w:t>
      </w:r>
    </w:p>
    <w:p>
      <w:pPr>
        <w:sectPr>
          <w:pgSz w:w="11900" w:h="16840" w:orient="portrait"/>
          <w:cols w:equalWidth="0" w:num="1">
            <w:col w:w="9020"/>
          </w:cols>
          <w:pgMar w:left="1440" w:top="520" w:right="1440" w:bottom="48" w:gutter="0" w:footer="0" w:header="0"/>
          <w:type w:val="continuous"/>
        </w:sectPr>
      </w:pPr>
    </w:p>
    <w:bookmarkStart w:id="187" w:name="page188"/>
    <w:bookmarkEnd w:id="187"/>
    <w:p>
      <w:pPr>
        <w:ind w:left="1760"/>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Purchase Obligation</w:t>
      </w:r>
    </w:p>
    <w:p>
      <w:pPr>
        <w:ind w:left="1760"/>
        <w:spacing w:after="0"/>
        <w:rPr>
          <w:sz w:val="20"/>
          <w:szCs w:val="20"/>
          <w:color w:val="auto"/>
        </w:rPr>
      </w:pPr>
      <w:r>
        <w:rPr>
          <w:rFonts w:ascii="Arial" w:cs="Arial" w:eastAsia="Arial" w:hAnsi="Arial"/>
          <w:sz w:val="12"/>
          <w:szCs w:val="12"/>
          <w:b w:val="1"/>
          <w:bCs w:val="1"/>
          <w:i w:val="1"/>
          <w:iCs w:val="1"/>
          <w:color w:val="auto"/>
        </w:rPr>
        <w:t>s</w:t>
      </w:r>
    </w:p>
    <w:p>
      <w:pPr>
        <w:spacing w:after="0" w:line="32" w:lineRule="exact"/>
        <w:rPr>
          <w:sz w:val="20"/>
          <w:szCs w:val="20"/>
          <w:color w:val="auto"/>
        </w:rPr>
      </w:pPr>
    </w:p>
    <w:p>
      <w:pPr>
        <w:ind w:left="1520" w:right="1600" w:firstLine="230"/>
        <w:spacing w:after="0" w:line="286" w:lineRule="auto"/>
        <w:rPr>
          <w:sz w:val="20"/>
          <w:szCs w:val="20"/>
          <w:color w:val="auto"/>
        </w:rPr>
      </w:pPr>
      <w:r>
        <w:rPr>
          <w:rFonts w:ascii="Arial" w:cs="Arial" w:eastAsia="Arial" w:hAnsi="Arial"/>
          <w:sz w:val="12"/>
          <w:szCs w:val="12"/>
          <w:color w:val="auto"/>
        </w:rPr>
        <w:t>In the normal course of business, the Company enters into non-cancelable purchase commitments with various parties primarily related to the purchase of cloud hosting arrangements and software subscriptions. The table below presents the summarized purchase obligations as of January 31, 2025 (in thousands):</w:t>
      </w:r>
    </w:p>
    <w:p>
      <w:pPr>
        <w:spacing w:after="0" w:line="251"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10"/>
          </w:tcPr>
          <w:p>
            <w:pPr>
              <w:ind w:left="20"/>
              <w:spacing w:after="0"/>
              <w:rPr>
                <w:sz w:val="20"/>
                <w:szCs w:val="20"/>
                <w:color w:val="auto"/>
              </w:rPr>
            </w:pPr>
            <w:r>
              <w:rPr>
                <w:rFonts w:ascii="Arial" w:cs="Arial" w:eastAsia="Arial" w:hAnsi="Arial"/>
                <w:sz w:val="11"/>
                <w:szCs w:val="11"/>
                <w:b w:val="1"/>
                <w:bCs w:val="1"/>
                <w:color w:val="auto"/>
              </w:rPr>
              <w:t>Payments Due By Period as of January 31, 202</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gridSpan w:val="3"/>
          </w:tcPr>
          <w:p>
            <w:pPr>
              <w:ind w:left="60"/>
              <w:spacing w:after="0" w:line="67" w:lineRule="exact"/>
              <w:rPr>
                <w:sz w:val="20"/>
                <w:szCs w:val="20"/>
                <w:color w:val="auto"/>
              </w:rPr>
            </w:pPr>
            <w:r>
              <w:rPr>
                <w:rFonts w:ascii="Arial" w:cs="Arial" w:eastAsia="Arial" w:hAnsi="Arial"/>
                <w:sz w:val="7"/>
                <w:szCs w:val="7"/>
                <w:b w:val="1"/>
                <w:bCs w:val="1"/>
                <w:color w:val="auto"/>
              </w:rPr>
              <w:t>5</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restart"/>
          </w:tcPr>
          <w:p>
            <w:pPr>
              <w:jc w:val="center"/>
              <w:ind w:right="24"/>
              <w:spacing w:after="0"/>
              <w:rPr>
                <w:sz w:val="20"/>
                <w:szCs w:val="20"/>
                <w:color w:val="auto"/>
              </w:rPr>
            </w:pPr>
            <w:r>
              <w:rPr>
                <w:rFonts w:ascii="Arial" w:cs="Arial" w:eastAsia="Arial" w:hAnsi="Arial"/>
                <w:sz w:val="11"/>
                <w:szCs w:val="11"/>
                <w:b w:val="1"/>
                <w:bCs w:val="1"/>
                <w:color w:val="auto"/>
                <w:w w:val="97"/>
              </w:rPr>
              <w:t>More than 5</w:t>
            </w:r>
          </w:p>
        </w:tc>
        <w:tc>
          <w:tcPr>
            <w:tcW w:w="0" w:type="dxa"/>
            <w:vAlign w:val="bottom"/>
          </w:tcPr>
          <w:p>
            <w:pPr>
              <w:spacing w:after="0"/>
              <w:rPr>
                <w:sz w:val="1"/>
                <w:szCs w:val="1"/>
                <w:color w:val="auto"/>
              </w:rPr>
            </w:pPr>
          </w:p>
        </w:tc>
      </w:tr>
      <w:tr>
        <w:trPr>
          <w:trHeight w:val="86"/>
        </w:trPr>
        <w:tc>
          <w:tcPr>
            <w:tcW w:w="2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restart"/>
          </w:tcPr>
          <w:p>
            <w:pPr>
              <w:jc w:val="right"/>
              <w:ind w:right="203"/>
              <w:spacing w:after="0"/>
              <w:rPr>
                <w:sz w:val="20"/>
                <w:szCs w:val="20"/>
                <w:color w:val="auto"/>
              </w:rPr>
            </w:pPr>
            <w:r>
              <w:rPr>
                <w:rFonts w:ascii="Arial" w:cs="Arial" w:eastAsia="Arial" w:hAnsi="Arial"/>
                <w:sz w:val="11"/>
                <w:szCs w:val="11"/>
                <w:b w:val="1"/>
                <w:bCs w:val="1"/>
                <w:color w:val="auto"/>
              </w:rPr>
              <w:t>Total</w:t>
            </w:r>
          </w:p>
        </w:tc>
        <w:tc>
          <w:tcPr>
            <w:tcW w:w="40" w:type="dxa"/>
            <w:vAlign w:val="bottom"/>
          </w:tcPr>
          <w:p>
            <w:pPr>
              <w:spacing w:after="0"/>
              <w:rPr>
                <w:sz w:val="7"/>
                <w:szCs w:val="7"/>
                <w:color w:val="auto"/>
              </w:rPr>
            </w:pPr>
          </w:p>
        </w:tc>
        <w:tc>
          <w:tcPr>
            <w:tcW w:w="760" w:type="dxa"/>
            <w:vAlign w:val="bottom"/>
            <w:gridSpan w:val="2"/>
          </w:tcPr>
          <w:p>
            <w:pPr>
              <w:jc w:val="center"/>
              <w:spacing w:after="0" w:line="86" w:lineRule="exact"/>
              <w:rPr>
                <w:sz w:val="20"/>
                <w:szCs w:val="20"/>
                <w:color w:val="auto"/>
              </w:rPr>
            </w:pPr>
            <w:r>
              <w:rPr>
                <w:rFonts w:ascii="Arial" w:cs="Arial" w:eastAsia="Arial" w:hAnsi="Arial"/>
                <w:sz w:val="9"/>
                <w:szCs w:val="9"/>
                <w:b w:val="1"/>
                <w:bCs w:val="1"/>
                <w:color w:val="auto"/>
              </w:rPr>
              <w:t>Less than 1</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restart"/>
          </w:tcPr>
          <w:p>
            <w:pPr>
              <w:jc w:val="right"/>
              <w:ind w:right="63"/>
              <w:spacing w:after="0"/>
              <w:rPr>
                <w:sz w:val="20"/>
                <w:szCs w:val="20"/>
                <w:color w:val="auto"/>
              </w:rPr>
            </w:pPr>
            <w:r>
              <w:rPr>
                <w:rFonts w:ascii="Arial" w:cs="Arial" w:eastAsia="Arial" w:hAnsi="Arial"/>
                <w:sz w:val="11"/>
                <w:szCs w:val="11"/>
                <w:b w:val="1"/>
                <w:bCs w:val="1"/>
                <w:color w:val="auto"/>
                <w:w w:val="90"/>
              </w:rPr>
              <w:t>1 - 3 Years</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3"/>
            <w:vMerge w:val="restart"/>
          </w:tcPr>
          <w:p>
            <w:pPr>
              <w:jc w:val="right"/>
              <w:ind w:right="178"/>
              <w:spacing w:after="0"/>
              <w:rPr>
                <w:sz w:val="20"/>
                <w:szCs w:val="20"/>
                <w:color w:val="auto"/>
              </w:rPr>
            </w:pPr>
            <w:r>
              <w:rPr>
                <w:rFonts w:ascii="Arial" w:cs="Arial" w:eastAsia="Arial" w:hAnsi="Arial"/>
                <w:sz w:val="11"/>
                <w:szCs w:val="11"/>
                <w:b w:val="1"/>
                <w:bCs w:val="1"/>
                <w:color w:val="auto"/>
                <w:w w:val="94"/>
              </w:rPr>
              <w:t>3 - 5 Years</w:t>
            </w: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center"/>
              <w:ind w:right="123"/>
              <w:spacing w:after="0"/>
              <w:rPr>
                <w:sz w:val="20"/>
                <w:szCs w:val="20"/>
                <w:color w:val="auto"/>
              </w:rPr>
            </w:pPr>
            <w:r>
              <w:rPr>
                <w:rFonts w:ascii="Arial" w:cs="Arial" w:eastAsia="Arial" w:hAnsi="Arial"/>
                <w:sz w:val="11"/>
                <w:szCs w:val="11"/>
                <w:b w:val="1"/>
                <w:bCs w:val="1"/>
                <w:color w:val="auto"/>
              </w:rPr>
              <w:t>Year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680" w:type="dxa"/>
            <w:vAlign w:val="bottom"/>
          </w:tcPr>
          <w:p>
            <w:pPr>
              <w:jc w:val="center"/>
              <w:ind w:right="44"/>
              <w:spacing w:after="0"/>
              <w:rPr>
                <w:sz w:val="20"/>
                <w:szCs w:val="20"/>
                <w:color w:val="auto"/>
              </w:rPr>
            </w:pPr>
            <w:r>
              <w:rPr>
                <w:rFonts w:ascii="Arial" w:cs="Arial" w:eastAsia="Arial" w:hAnsi="Arial"/>
                <w:sz w:val="11"/>
                <w:szCs w:val="11"/>
                <w:b w:val="1"/>
                <w:bCs w:val="1"/>
                <w:color w:val="auto"/>
                <w:w w:val="99"/>
              </w:rPr>
              <w:t>Years</w:t>
            </w:r>
          </w:p>
        </w:tc>
        <w:tc>
          <w:tcPr>
            <w:tcW w:w="0" w:type="dxa"/>
            <w:vAlign w:val="bottom"/>
          </w:tcPr>
          <w:p>
            <w:pPr>
              <w:spacing w:after="0"/>
              <w:rPr>
                <w:sz w:val="1"/>
                <w:szCs w:val="1"/>
                <w:color w:val="auto"/>
              </w:rPr>
            </w:pPr>
          </w:p>
        </w:tc>
      </w:tr>
      <w:tr>
        <w:trPr>
          <w:trHeight w:val="172"/>
        </w:trPr>
        <w:tc>
          <w:tcPr>
            <w:tcW w:w="20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Purchaseobligations</w:t>
            </w:r>
          </w:p>
        </w:tc>
        <w:tc>
          <w:tcPr>
            <w:tcW w:w="1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31,032</w:t>
            </w: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21,556</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9,476</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Litigation</w:t>
      </w:r>
    </w:p>
    <w:p>
      <w:pPr>
        <w:spacing w:after="0" w:line="128"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In the ordinary course of business, the Company may be subject from time to time to various litigation and administrative proceedings, disputes or claims. In the event that the Company becomes a party to litigation in the future, the Company will record a liability when a loss is considered probable and the amount can be reasonably estimated. For legal proceedings for which there is a reasonable possibility of loss (meaning those losses for which the likelihood is more than remote but less than probable), the Company has determined it does not have material exposure on an aggregate basis. As of January 31, 2025, the Company is not subject to any currently pending legal matters or claims that could have a material adverse effect on its financial position, results of operations, or cash flows should such litigation be resolved unfavorably.</w:t>
      </w:r>
    </w:p>
    <w:p>
      <w:pPr>
        <w:spacing w:after="0" w:line="87"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Repayment of Government Grants</w:t>
      </w:r>
    </w:p>
    <w:p>
      <w:pPr>
        <w:spacing w:after="0" w:line="128" w:lineRule="exact"/>
        <w:rPr>
          <w:sz w:val="20"/>
          <w:szCs w:val="20"/>
          <w:color w:val="auto"/>
        </w:rPr>
      </w:pPr>
    </w:p>
    <w:p>
      <w:pPr>
        <w:ind w:left="1520" w:right="1800" w:firstLine="230"/>
        <w:spacing w:after="0" w:line="275" w:lineRule="auto"/>
        <w:rPr>
          <w:sz w:val="20"/>
          <w:szCs w:val="20"/>
          <w:color w:val="auto"/>
        </w:rPr>
      </w:pPr>
      <w:r>
        <w:rPr>
          <w:rFonts w:ascii="Arial" w:cs="Arial" w:eastAsia="Arial" w:hAnsi="Arial"/>
          <w:sz w:val="12"/>
          <w:szCs w:val="12"/>
          <w:color w:val="auto"/>
        </w:rPr>
        <w:t>During the years ended January 31, 2022 and 2021, the Company received $6.0 million in grants from the Dutch government under the NOW Scheme. The Company’s application for relief under the NOW Scheme is currently under review. If the Dutch government concludes that the Company does not qualify under the conditions stipulated for the government grants, the Company may have to repay the Dutch government for grants provided. We recognized the $6.0 million in grants received as a liability in the period received.</w:t>
      </w:r>
    </w:p>
    <w:p>
      <w:pPr>
        <w:spacing w:after="0" w:line="85" w:lineRule="exact"/>
        <w:rPr>
          <w:sz w:val="20"/>
          <w:szCs w:val="20"/>
          <w:color w:val="auto"/>
        </w:rPr>
      </w:pPr>
    </w:p>
    <w:p>
      <w:pPr>
        <w:jc w:val="both"/>
        <w:ind w:left="1520" w:right="1780" w:firstLine="230"/>
        <w:spacing w:after="0" w:line="289" w:lineRule="auto"/>
        <w:rPr>
          <w:sz w:val="20"/>
          <w:szCs w:val="20"/>
          <w:color w:val="auto"/>
        </w:rPr>
      </w:pPr>
      <w:r>
        <w:rPr>
          <w:rFonts w:ascii="Arial" w:cs="Arial" w:eastAsia="Arial" w:hAnsi="Arial"/>
          <w:sz w:val="12"/>
          <w:szCs w:val="12"/>
          <w:color w:val="auto"/>
        </w:rPr>
        <w:t>During the year ended January 31, 2023, the Company received a tentative payment schedule from the Dutch government. The NOW Scheme liability balances as of January 31, 2025 and 2024, and the changes in fiscal 2025 and 2024 are as follows (in thousands):</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63"/>
        </w:trPr>
        <w:tc>
          <w:tcPr>
            <w:tcW w:w="4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1"/>
                <w:szCs w:val="11"/>
                <w:b w:val="1"/>
                <w:bCs w:val="1"/>
                <w:color w:val="auto"/>
              </w:rPr>
              <w:t>Year Ended January 31,</w:t>
            </w:r>
          </w:p>
        </w:tc>
      </w:tr>
      <w:tr>
        <w:trPr>
          <w:trHeight w:val="138"/>
        </w:trPr>
        <w:tc>
          <w:tcPr>
            <w:tcW w:w="42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60"/>
              <w:spacing w:after="0"/>
              <w:rPr>
                <w:sz w:val="20"/>
                <w:szCs w:val="20"/>
                <w:color w:val="auto"/>
              </w:rPr>
            </w:pPr>
            <w:r>
              <w:rPr>
                <w:rFonts w:ascii="Arial" w:cs="Arial" w:eastAsia="Arial" w:hAnsi="Arial"/>
                <w:sz w:val="11"/>
                <w:szCs w:val="11"/>
                <w:b w:val="1"/>
                <w:bCs w:val="1"/>
                <w:color w:val="auto"/>
              </w:rPr>
              <w:t>2025</w:t>
            </w: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2024</w:t>
            </w:r>
          </w:p>
        </w:tc>
      </w:tr>
      <w:tr>
        <w:trPr>
          <w:trHeight w:val="167"/>
        </w:trPr>
        <w:tc>
          <w:tcPr>
            <w:tcW w:w="4280" w:type="dxa"/>
            <w:vAlign w:val="bottom"/>
            <w:shd w:val="clear" w:color="auto" w:fill="CCEEFF"/>
          </w:tcPr>
          <w:p>
            <w:pPr>
              <w:ind w:left="40"/>
              <w:spacing w:after="0" w:line="166" w:lineRule="exact"/>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Balanceatbeginningofperiod</w:t>
            </w:r>
            <w:r>
              <w:rPr>
                <w:rFonts w:ascii="Arial" w:cs="Arial" w:eastAsia="Arial" w:hAnsi="Arial"/>
                <w:sz w:val="17"/>
                <w:szCs w:val="17"/>
                <w:color w:val="000000"/>
                <w:vertAlign w:val="superscript"/>
              </w:rPr>
              <w:t>(1)</w:t>
            </w: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5,648</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5,803</w:t>
            </w:r>
          </w:p>
        </w:tc>
      </w:tr>
      <w:tr>
        <w:trPr>
          <w:trHeight w:val="173"/>
        </w:trPr>
        <w:tc>
          <w:tcPr>
            <w:tcW w:w="4280" w:type="dxa"/>
            <w:vAlign w:val="bottom"/>
          </w:tcPr>
          <w:p>
            <w:pPr>
              <w:ind w:left="180"/>
              <w:spacing w:after="0"/>
              <w:rPr>
                <w:sz w:val="20"/>
                <w:szCs w:val="20"/>
                <w:color w:val="auto"/>
              </w:rPr>
            </w:pPr>
            <w:r>
              <w:rPr>
                <w:rFonts w:ascii="Arial" w:cs="Arial" w:eastAsia="Arial" w:hAnsi="Arial"/>
                <w:sz w:val="12"/>
                <w:szCs w:val="12"/>
                <w:color w:val="auto"/>
              </w:rPr>
              <w:t xml:space="preserve">Repayments </w:t>
            </w:r>
            <w:r>
              <w:rPr>
                <w:rFonts w:ascii="Times New Roman" w:cs="Times New Roman" w:eastAsia="Times New Roman" w:hAnsi="Times New Roman"/>
                <w:sz w:val="12"/>
                <w:szCs w:val="12"/>
                <w:color w:val="B4B4B4"/>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(1,118)</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(140)</w:t>
            </w:r>
          </w:p>
        </w:tc>
      </w:tr>
      <w:tr>
        <w:trPr>
          <w:trHeight w:val="190"/>
        </w:trPr>
        <w:tc>
          <w:tcPr>
            <w:tcW w:w="42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Foreign currency translation impact </w:t>
            </w:r>
            <w:r>
              <w:rPr>
                <w:rFonts w:ascii="Times New Roman" w:cs="Times New Roman" w:eastAsia="Times New Roman" w:hAnsi="Times New Roman"/>
                <w:sz w:val="12"/>
                <w:szCs w:val="12"/>
                <w:color w:val="B4B4B4"/>
              </w:rPr>
              <w:t>................................................................</w:t>
            </w: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(215)</w:t>
            </w: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r>
      <w:tr>
        <w:trPr>
          <w:trHeight w:val="158"/>
        </w:trPr>
        <w:tc>
          <w:tcPr>
            <w:tcW w:w="4280" w:type="dxa"/>
            <w:vAlign w:val="bottom"/>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Balanceatendofperiod</w:t>
            </w:r>
          </w:p>
        </w:tc>
        <w:tc>
          <w:tcPr>
            <w:tcW w:w="1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0"/>
              <w:spacing w:after="0"/>
              <w:rPr>
                <w:sz w:val="20"/>
                <w:szCs w:val="20"/>
                <w:color w:val="auto"/>
              </w:rPr>
            </w:pPr>
            <w:r>
              <w:rPr>
                <w:rFonts w:ascii="Arial" w:cs="Arial" w:eastAsia="Arial" w:hAnsi="Arial"/>
                <w:sz w:val="12"/>
                <w:szCs w:val="12"/>
                <w:color w:val="auto"/>
              </w:rPr>
              <w:t>4,315</w:t>
            </w:r>
          </w:p>
        </w:tc>
        <w:tc>
          <w:tcPr>
            <w:tcW w:w="20" w:type="dxa"/>
            <w:vAlign w:val="bottom"/>
          </w:tcPr>
          <w:p>
            <w:pPr>
              <w:spacing w:after="0"/>
              <w:rPr>
                <w:sz w:val="13"/>
                <w:szCs w:val="13"/>
                <w:color w:val="auto"/>
              </w:rPr>
            </w:pP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5,648</w:t>
            </w:r>
          </w:p>
        </w:tc>
      </w:tr>
      <w:tr>
        <w:trPr>
          <w:trHeight w:val="186"/>
        </w:trPr>
        <w:tc>
          <w:tcPr>
            <w:tcW w:w="42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Less: balance in Accrued expenses and other current liabilities  </w:t>
            </w:r>
            <w:r>
              <w:rPr>
                <w:rFonts w:ascii="Times New Roman" w:cs="Times New Roman" w:eastAsia="Times New Roman" w:hAnsi="Times New Roman"/>
                <w:sz w:val="12"/>
                <w:szCs w:val="12"/>
                <w:color w:val="B4B4B4"/>
              </w:rPr>
              <w:t>................</w:t>
            </w: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(509)</w:t>
            </w: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(529)</w:t>
            </w:r>
          </w:p>
        </w:tc>
      </w:tr>
      <w:tr>
        <w:trPr>
          <w:trHeight w:val="161"/>
        </w:trPr>
        <w:tc>
          <w:tcPr>
            <w:tcW w:w="4280" w:type="dxa"/>
            <w:vAlign w:val="bottom"/>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BalanceinOthernon-currentliabilities</w:t>
            </w:r>
          </w:p>
        </w:tc>
        <w:tc>
          <w:tcPr>
            <w:tcW w:w="1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3,806</w:t>
            </w:r>
          </w:p>
        </w:tc>
        <w:tc>
          <w:tcPr>
            <w:tcW w:w="20" w:type="dxa"/>
            <w:vAlign w:val="bottom"/>
          </w:tcPr>
          <w:p>
            <w:pPr>
              <w:spacing w:after="0"/>
              <w:rPr>
                <w:sz w:val="13"/>
                <w:szCs w:val="13"/>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5,119</w:t>
            </w:r>
          </w:p>
        </w:tc>
      </w:tr>
    </w:tbl>
    <w:p>
      <w:pPr>
        <w:spacing w:after="0" w:line="10"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________________</w:t>
      </w:r>
    </w:p>
    <w:p>
      <w:pPr>
        <w:spacing w:after="0" w:line="17" w:lineRule="exact"/>
        <w:rPr>
          <w:sz w:val="20"/>
          <w:szCs w:val="20"/>
          <w:color w:val="auto"/>
        </w:rPr>
      </w:pPr>
    </w:p>
    <w:p>
      <w:pPr>
        <w:ind w:left="1760" w:right="1660" w:hanging="238"/>
        <w:spacing w:after="0"/>
        <w:tabs>
          <w:tab w:leader="none" w:pos="1760" w:val="left"/>
        </w:tabs>
        <w:numPr>
          <w:ilvl w:val="0"/>
          <w:numId w:val="186"/>
        </w:numPr>
        <w:rPr>
          <w:rFonts w:ascii="Arial" w:cs="Arial" w:eastAsia="Arial" w:hAnsi="Arial"/>
          <w:sz w:val="11"/>
          <w:szCs w:val="11"/>
          <w:color w:val="auto"/>
        </w:rPr>
      </w:pPr>
      <w:r>
        <w:rPr>
          <w:rFonts w:ascii="Arial" w:cs="Arial" w:eastAsia="Arial" w:hAnsi="Arial"/>
          <w:sz w:val="11"/>
          <w:szCs w:val="11"/>
          <w:color w:val="auto"/>
        </w:rPr>
        <w:t>During the year ended January 31, 2023, the NOW Scheme liability had a foreign currency translation impact o f</w:t>
      </w:r>
    </w:p>
    <w:p>
      <w:pPr>
        <w:spacing w:after="0" w:line="17" w:lineRule="exact"/>
        <w:rPr>
          <w:rFonts w:ascii="Arial" w:cs="Arial" w:eastAsia="Arial" w:hAnsi="Arial"/>
          <w:sz w:val="11"/>
          <w:szCs w:val="11"/>
          <w:color w:val="auto"/>
        </w:rPr>
      </w:pPr>
    </w:p>
    <w:p>
      <w:pPr>
        <w:ind w:left="1760" w:right="3280"/>
        <w:spacing w:after="0"/>
        <w:rPr>
          <w:rFonts w:ascii="Arial" w:cs="Arial" w:eastAsia="Arial" w:hAnsi="Arial"/>
          <w:sz w:val="11"/>
          <w:szCs w:val="11"/>
          <w:color w:val="auto"/>
        </w:rPr>
      </w:pPr>
      <w:r>
        <w:rPr>
          <w:rFonts w:ascii="Arial" w:cs="Arial" w:eastAsia="Arial" w:hAnsi="Arial"/>
          <w:sz w:val="11"/>
          <w:szCs w:val="11"/>
          <w:color w:val="auto"/>
        </w:rPr>
        <w:t>$0.2 million, leading to a decrease of the liability from $6.0 million to $5.8 millio n.</w:t>
      </w:r>
    </w:p>
    <w:p>
      <w:pPr>
        <w:spacing w:after="0" w:line="111" w:lineRule="exact"/>
        <w:rPr>
          <w:sz w:val="20"/>
          <w:szCs w:val="20"/>
          <w:color w:val="auto"/>
        </w:rPr>
      </w:pPr>
    </w:p>
    <w:p>
      <w:pPr>
        <w:ind w:left="1520" w:right="2440" w:firstLine="230"/>
        <w:spacing w:after="0" w:line="312" w:lineRule="auto"/>
        <w:rPr>
          <w:sz w:val="20"/>
          <w:szCs w:val="20"/>
          <w:color w:val="auto"/>
        </w:rPr>
      </w:pPr>
      <w:r>
        <w:rPr>
          <w:rFonts w:ascii="Arial" w:cs="Arial" w:eastAsia="Arial" w:hAnsi="Arial"/>
          <w:sz w:val="12"/>
          <w:szCs w:val="12"/>
          <w:color w:val="auto"/>
        </w:rPr>
        <w:t>As of January 31, 2025, the Company’s application for relief is still under review with the governmental authorities.</w:t>
      </w: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F-41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14 – EMPLOYEE BENEFIT PLAN</w:t>
      </w:r>
    </w:p>
    <w:p>
      <w:pPr>
        <w:spacing w:after="0" w:line="130"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The Company sponsors a 401(k) defined contribution retirement plan (the “401(k) Plan”) covering certain U.S. employees. Participants may contribute a portion of their compensation to the Plan, subject to limitations under the Internal Revenue Code. During the year ended January 31, 2024, the Company paused 401(k) Plan matching contributions for employees . The Company also maintains certain other defined contribution plans outside of the United States for which it provides contributions for participating employees in the regions in which matching contributions are applicable. The Company’s contributions for all defined contribution retirement plans were $6.1 million and $7.4 million for the years ended January 31, 2025 and 2024, respectively.</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15 – NET LOSS PER SHARE</w:t>
      </w:r>
    </w:p>
    <w:p>
      <w:pPr>
        <w:spacing w:after="0" w:line="130" w:lineRule="exact"/>
        <w:rPr>
          <w:sz w:val="20"/>
          <w:szCs w:val="20"/>
          <w:color w:val="auto"/>
        </w:rPr>
      </w:pPr>
    </w:p>
    <w:p>
      <w:pPr>
        <w:ind w:left="1520" w:right="1860" w:firstLine="230"/>
        <w:spacing w:after="0" w:line="312" w:lineRule="auto"/>
        <w:rPr>
          <w:sz w:val="20"/>
          <w:szCs w:val="20"/>
          <w:color w:val="auto"/>
        </w:rPr>
      </w:pPr>
      <w:r>
        <w:rPr>
          <w:rFonts w:ascii="Arial" w:cs="Arial" w:eastAsia="Arial" w:hAnsi="Arial"/>
          <w:sz w:val="12"/>
          <w:szCs w:val="12"/>
          <w:color w:val="auto"/>
        </w:rPr>
        <w:t>The following table sets forth the computation of basic and diluted net loss per share attributable to common stockholders (in thousands, except share and per share data):</w:t>
      </w:r>
    </w:p>
    <w:p>
      <w:pPr>
        <w:spacing w:after="0" w:line="101"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1"/>
                <w:szCs w:val="11"/>
                <w:b w:val="1"/>
                <w:bCs w:val="1"/>
                <w:color w:val="auto"/>
              </w:rPr>
              <w:t>Year Ended January 31,</w:t>
            </w:r>
          </w:p>
        </w:tc>
        <w:tc>
          <w:tcPr>
            <w:tcW w:w="0" w:type="dxa"/>
            <w:vAlign w:val="bottom"/>
          </w:tcPr>
          <w:p>
            <w:pPr>
              <w:spacing w:after="0"/>
              <w:rPr>
                <w:sz w:val="1"/>
                <w:szCs w:val="1"/>
                <w:color w:val="auto"/>
              </w:rPr>
            </w:pPr>
          </w:p>
        </w:tc>
      </w:tr>
      <w:tr>
        <w:trPr>
          <w:trHeight w:val="147"/>
        </w:trPr>
        <w:tc>
          <w:tcPr>
            <w:tcW w:w="4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67"/>
        </w:trPr>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shd w:val="clear" w:color="auto" w:fill="CCEEFF"/>
              </w:rPr>
              <w:t>.....................................................................................................................</w:t>
            </w:r>
            <w:r>
              <w:rPr>
                <w:rFonts w:ascii="Arial" w:cs="Arial" w:eastAsia="Arial" w:hAnsi="Arial"/>
                <w:sz w:val="12"/>
                <w:szCs w:val="12"/>
                <w:color w:val="000000"/>
                <w:shd w:val="clear" w:color="auto" w:fill="CCEEFF"/>
              </w:rPr>
              <w:t>Netloss</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(181,078)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(331,552)</w:t>
            </w:r>
          </w:p>
        </w:tc>
        <w:tc>
          <w:tcPr>
            <w:tcW w:w="0" w:type="dxa"/>
            <w:vAlign w:val="bottom"/>
          </w:tcPr>
          <w:p>
            <w:pPr>
              <w:spacing w:after="0"/>
              <w:rPr>
                <w:sz w:val="1"/>
                <w:szCs w:val="1"/>
                <w:color w:val="auto"/>
              </w:rPr>
            </w:pPr>
          </w:p>
        </w:tc>
      </w:tr>
      <w:tr>
        <w:trPr>
          <w:trHeight w:val="124"/>
        </w:trPr>
        <w:tc>
          <w:tcPr>
            <w:tcW w:w="4200" w:type="dxa"/>
            <w:vAlign w:val="bottom"/>
          </w:tcPr>
          <w:p>
            <w:pPr>
              <w:ind w:left="40"/>
              <w:spacing w:after="0" w:line="125" w:lineRule="exact"/>
              <w:rPr>
                <w:sz w:val="20"/>
                <w:szCs w:val="20"/>
                <w:color w:val="auto"/>
              </w:rPr>
            </w:pPr>
            <w:r>
              <w:rPr>
                <w:rFonts w:ascii="Arial" w:cs="Arial" w:eastAsia="Arial" w:hAnsi="Arial"/>
                <w:sz w:val="12"/>
                <w:szCs w:val="12"/>
                <w:color w:val="auto"/>
              </w:rPr>
              <w:t>Weighted-average shares outstanding used to compute net loss per share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2"/>
                <w:szCs w:val="12"/>
                <w:color w:val="auto"/>
              </w:rPr>
              <w:t>45,271,666</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20"/>
              <w:spacing w:after="0"/>
              <w:rPr>
                <w:sz w:val="20"/>
                <w:szCs w:val="20"/>
                <w:color w:val="auto"/>
              </w:rPr>
            </w:pPr>
            <w:r>
              <w:rPr>
                <w:rFonts w:ascii="Arial" w:cs="Arial" w:eastAsia="Arial" w:hAnsi="Arial"/>
                <w:sz w:val="12"/>
                <w:szCs w:val="12"/>
                <w:color w:val="auto"/>
              </w:rPr>
              <w:t>44,583,919</w:t>
            </w:r>
          </w:p>
        </w:tc>
        <w:tc>
          <w:tcPr>
            <w:tcW w:w="0" w:type="dxa"/>
            <w:vAlign w:val="bottom"/>
          </w:tcPr>
          <w:p>
            <w:pPr>
              <w:spacing w:after="0"/>
              <w:rPr>
                <w:sz w:val="1"/>
                <w:szCs w:val="1"/>
                <w:color w:val="auto"/>
              </w:rPr>
            </w:pPr>
          </w:p>
        </w:tc>
      </w:tr>
      <w:tr>
        <w:trPr>
          <w:trHeight w:val="165"/>
        </w:trPr>
        <w:tc>
          <w:tcPr>
            <w:tcW w:w="4260" w:type="dxa"/>
            <w:vAlign w:val="bottom"/>
            <w:gridSpan w:val="2"/>
          </w:tcPr>
          <w:p>
            <w:pPr>
              <w:ind w:left="140"/>
              <w:spacing w:after="0"/>
              <w:rPr>
                <w:sz w:val="20"/>
                <w:szCs w:val="20"/>
                <w:color w:val="auto"/>
              </w:rPr>
            </w:pPr>
            <w:r>
              <w:rPr>
                <w:rFonts w:ascii="Arial" w:cs="Arial" w:eastAsia="Arial" w:hAnsi="Arial"/>
                <w:sz w:val="12"/>
                <w:szCs w:val="12"/>
                <w:color w:val="auto"/>
              </w:rPr>
              <w:t xml:space="preserve">attributable to common stockholders, basic and diluted  </w:t>
            </w:r>
            <w:r>
              <w:rPr>
                <w:rFonts w:ascii="Times New Roman" w:cs="Times New Roman" w:eastAsia="Times New Roman" w:hAnsi="Times New Roman"/>
                <w:sz w:val="12"/>
                <w:szCs w:val="12"/>
                <w:color w:val="B4B4B4"/>
              </w:rPr>
              <w:t>...............................</w:t>
            </w: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Net loss per share attributable to common stockholders, basic and diluted</w:t>
            </w:r>
          </w:p>
        </w:tc>
        <w:tc>
          <w:tcPr>
            <w:tcW w:w="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
                <w:szCs w:val="1"/>
                <w:color w:val="B4B4B4"/>
                <w:w w:val="4294967276"/>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(4.00)</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(7.44)</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520" w:right="1720" w:firstLine="230"/>
        <w:spacing w:after="0" w:line="276" w:lineRule="auto"/>
        <w:rPr>
          <w:sz w:val="20"/>
          <w:szCs w:val="20"/>
          <w:color w:val="auto"/>
        </w:rPr>
      </w:pPr>
      <w:r>
        <w:rPr>
          <w:rFonts w:ascii="Arial" w:cs="Arial" w:eastAsia="Arial" w:hAnsi="Arial"/>
          <w:sz w:val="12"/>
          <w:szCs w:val="12"/>
          <w:color w:val="auto"/>
        </w:rPr>
        <w:t>During the years ended January 31, 2025 and 2024, the Company was in a net loss position. As a result, basic net loss per share is the same as diluted net loss per share, as the inclusion of all potential shares of common stock outstanding would have been antidilutive. The potential shares of common stock that were excluded from the computation of diluted net loss per share attributable to common stockholders for the periods presented because including them would have been antidilutive are as follows:</w:t>
      </w:r>
    </w:p>
    <w:p>
      <w:pPr>
        <w:spacing w:after="0" w:line="257" w:lineRule="exact"/>
        <w:rPr>
          <w:sz w:val="20"/>
          <w:szCs w:val="20"/>
          <w:color w:val="auto"/>
        </w:rPr>
      </w:pPr>
    </w:p>
    <w:tbl>
      <w:tblPr>
        <w:tblLayout w:type="fixed"/>
        <w:tblInd w:w="1560" w:type="dxa"/>
        <w:tblCellMar>
          <w:top w:w="0" w:type="dxa"/>
          <w:left w:w="0" w:type="dxa"/>
          <w:bottom w:w="0" w:type="dxa"/>
          <w:right w:w="0" w:type="dxa"/>
        </w:tblCellMar>
      </w:tblPr>
      <w:tr>
        <w:trPr>
          <w:trHeight w:val="126"/>
        </w:trPr>
        <w:tc>
          <w:tcPr>
            <w:tcW w:w="4240" w:type="dxa"/>
            <w:vAlign w:val="bottom"/>
          </w:tcPr>
          <w:p>
            <w:pPr>
              <w:spacing w:after="0"/>
              <w:rPr>
                <w:sz w:val="10"/>
                <w:szCs w:val="10"/>
                <w:color w:val="auto"/>
              </w:rPr>
            </w:pPr>
          </w:p>
        </w:tc>
        <w:tc>
          <w:tcPr>
            <w:tcW w:w="1620" w:type="dxa"/>
            <w:vAlign w:val="bottom"/>
            <w:gridSpan w:val="2"/>
          </w:tcPr>
          <w:p>
            <w:pPr>
              <w:ind w:left="420"/>
              <w:spacing w:after="0"/>
              <w:rPr>
                <w:sz w:val="20"/>
                <w:szCs w:val="20"/>
                <w:color w:val="auto"/>
              </w:rPr>
            </w:pPr>
            <w:r>
              <w:rPr>
                <w:rFonts w:ascii="Arial" w:cs="Arial" w:eastAsia="Arial" w:hAnsi="Arial"/>
                <w:sz w:val="11"/>
                <w:szCs w:val="11"/>
                <w:b w:val="1"/>
                <w:bCs w:val="1"/>
                <w:color w:val="auto"/>
              </w:rPr>
              <w:t>As of January 31</w:t>
            </w:r>
          </w:p>
        </w:tc>
        <w:tc>
          <w:tcPr>
            <w:tcW w:w="0" w:type="dxa"/>
            <w:vAlign w:val="bottom"/>
          </w:tcPr>
          <w:p>
            <w:pPr>
              <w:spacing w:after="0"/>
              <w:rPr>
                <w:sz w:val="1"/>
                <w:szCs w:val="1"/>
                <w:color w:val="auto"/>
              </w:rPr>
            </w:pPr>
          </w:p>
        </w:tc>
      </w:tr>
      <w:tr>
        <w:trPr>
          <w:trHeight w:val="67"/>
        </w:trPr>
        <w:tc>
          <w:tcPr>
            <w:tcW w:w="4240" w:type="dxa"/>
            <w:vAlign w:val="bottom"/>
          </w:tcPr>
          <w:p>
            <w:pPr>
              <w:spacing w:after="0"/>
              <w:rPr>
                <w:sz w:val="5"/>
                <w:szCs w:val="5"/>
                <w:color w:val="auto"/>
              </w:rPr>
            </w:pPr>
          </w:p>
        </w:tc>
        <w:tc>
          <w:tcPr>
            <w:tcW w:w="840" w:type="dxa"/>
            <w:vAlign w:val="bottom"/>
          </w:tcPr>
          <w:p>
            <w:pPr>
              <w:ind w:left="420"/>
              <w:spacing w:after="0" w:line="67" w:lineRule="exact"/>
              <w:rPr>
                <w:sz w:val="20"/>
                <w:szCs w:val="20"/>
                <w:color w:val="auto"/>
              </w:rPr>
            </w:pPr>
            <w:r>
              <w:rPr>
                <w:rFonts w:ascii="Arial" w:cs="Arial" w:eastAsia="Arial" w:hAnsi="Arial"/>
                <w:sz w:val="7"/>
                <w:szCs w:val="7"/>
                <w:b w:val="1"/>
                <w:bCs w:val="1"/>
                <w:color w:val="auto"/>
              </w:rPr>
              <w:t>,</w:t>
            </w:r>
          </w:p>
        </w:tc>
        <w:tc>
          <w:tcPr>
            <w:tcW w:w="780" w:type="dxa"/>
            <w:vAlign w:val="bottom"/>
            <w:vMerge w:val="restart"/>
          </w:tcPr>
          <w:p>
            <w:pPr>
              <w:jc w:val="right"/>
              <w:ind w:right="16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3"/>
        </w:trPr>
        <w:tc>
          <w:tcPr>
            <w:tcW w:w="4240" w:type="dxa"/>
            <w:vAlign w:val="bottom"/>
          </w:tcPr>
          <w:p>
            <w:pPr>
              <w:spacing w:after="0"/>
              <w:rPr>
                <w:sz w:val="12"/>
                <w:szCs w:val="12"/>
                <w:color w:val="auto"/>
              </w:rPr>
            </w:pPr>
          </w:p>
        </w:tc>
        <w:tc>
          <w:tcPr>
            <w:tcW w:w="840" w:type="dxa"/>
            <w:vAlign w:val="bottom"/>
          </w:tcPr>
          <w:p>
            <w:pPr>
              <w:jc w:val="right"/>
              <w:ind w:right="264"/>
              <w:spacing w:after="0"/>
              <w:rPr>
                <w:sz w:val="20"/>
                <w:szCs w:val="20"/>
                <w:color w:val="auto"/>
              </w:rPr>
            </w:pPr>
            <w:r>
              <w:rPr>
                <w:rFonts w:ascii="Arial" w:cs="Arial" w:eastAsia="Arial" w:hAnsi="Arial"/>
                <w:sz w:val="11"/>
                <w:szCs w:val="11"/>
                <w:b w:val="1"/>
                <w:bCs w:val="1"/>
                <w:color w:val="auto"/>
              </w:rPr>
              <w:t>2025</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240" w:type="dxa"/>
            <w:vAlign w:val="bottom"/>
          </w:tcPr>
          <w:p>
            <w:pPr>
              <w:spacing w:after="0"/>
              <w:rPr>
                <w:sz w:val="20"/>
                <w:szCs w:val="20"/>
                <w:color w:val="auto"/>
              </w:rPr>
            </w:pPr>
            <w:r>
              <w:rPr>
                <w:rFonts w:ascii="Arial" w:cs="Arial" w:eastAsia="Arial" w:hAnsi="Arial"/>
                <w:sz w:val="12"/>
                <w:szCs w:val="12"/>
                <w:color w:val="auto"/>
              </w:rPr>
              <w:t xml:space="preserve">Redeemable convertible preferred shares </w:t>
            </w:r>
            <w:r>
              <w:rPr>
                <w:rFonts w:ascii="Times New Roman" w:cs="Times New Roman" w:eastAsia="Times New Roman" w:hAnsi="Times New Roman"/>
                <w:sz w:val="12"/>
                <w:szCs w:val="12"/>
                <w:color w:val="B4B4B4"/>
              </w:rPr>
              <w:t>..........................................................</w:t>
            </w:r>
          </w:p>
        </w:tc>
        <w:tc>
          <w:tcPr>
            <w:tcW w:w="840" w:type="dxa"/>
            <w:vAlign w:val="bottom"/>
          </w:tcPr>
          <w:p>
            <w:pPr>
              <w:jc w:val="right"/>
              <w:ind w:right="44"/>
              <w:spacing w:after="0"/>
              <w:rPr>
                <w:sz w:val="20"/>
                <w:szCs w:val="20"/>
                <w:color w:val="auto"/>
              </w:rPr>
            </w:pPr>
            <w:r>
              <w:rPr>
                <w:rFonts w:ascii="Arial" w:cs="Arial" w:eastAsia="Arial" w:hAnsi="Arial"/>
                <w:sz w:val="12"/>
                <w:szCs w:val="12"/>
                <w:color w:val="auto"/>
              </w:rPr>
              <w:t>146,360,207</w:t>
            </w:r>
          </w:p>
        </w:tc>
        <w:tc>
          <w:tcPr>
            <w:tcW w:w="780" w:type="dxa"/>
            <w:vAlign w:val="bottom"/>
          </w:tcPr>
          <w:p>
            <w:pPr>
              <w:jc w:val="right"/>
              <w:spacing w:after="0"/>
              <w:rPr>
                <w:sz w:val="20"/>
                <w:szCs w:val="20"/>
                <w:color w:val="auto"/>
              </w:rPr>
            </w:pPr>
            <w:r>
              <w:rPr>
                <w:rFonts w:ascii="Arial" w:cs="Arial" w:eastAsia="Arial" w:hAnsi="Arial"/>
                <w:sz w:val="12"/>
                <w:szCs w:val="12"/>
                <w:color w:val="auto"/>
              </w:rPr>
              <w:t>146,360,207</w:t>
            </w:r>
          </w:p>
        </w:tc>
        <w:tc>
          <w:tcPr>
            <w:tcW w:w="0" w:type="dxa"/>
            <w:vAlign w:val="bottom"/>
          </w:tcPr>
          <w:p>
            <w:pPr>
              <w:spacing w:after="0"/>
              <w:rPr>
                <w:sz w:val="1"/>
                <w:szCs w:val="1"/>
                <w:color w:val="auto"/>
              </w:rPr>
            </w:pPr>
          </w:p>
        </w:tc>
      </w:tr>
      <w:tr>
        <w:trPr>
          <w:trHeight w:val="182"/>
        </w:trPr>
        <w:tc>
          <w:tcPr>
            <w:tcW w:w="4240" w:type="dxa"/>
            <w:vAlign w:val="bottom"/>
          </w:tcPr>
          <w:p>
            <w:pPr>
              <w:spacing w:after="0"/>
              <w:rPr>
                <w:sz w:val="20"/>
                <w:szCs w:val="20"/>
                <w:color w:val="auto"/>
              </w:rPr>
            </w:pPr>
            <w:r>
              <w:rPr>
                <w:rFonts w:ascii="Arial" w:cs="Arial" w:eastAsia="Arial" w:hAnsi="Arial"/>
                <w:sz w:val="12"/>
                <w:szCs w:val="12"/>
                <w:color w:val="auto"/>
              </w:rPr>
              <w:t xml:space="preserve">Stock options issued and outstanding </w:t>
            </w:r>
            <w:r>
              <w:rPr>
                <w:rFonts w:ascii="Times New Roman" w:cs="Times New Roman" w:eastAsia="Times New Roman" w:hAnsi="Times New Roman"/>
                <w:sz w:val="12"/>
                <w:szCs w:val="12"/>
                <w:color w:val="B4B4B4"/>
              </w:rPr>
              <w:t>.................................................................</w:t>
            </w:r>
          </w:p>
        </w:tc>
        <w:tc>
          <w:tcPr>
            <w:tcW w:w="840" w:type="dxa"/>
            <w:vAlign w:val="bottom"/>
          </w:tcPr>
          <w:p>
            <w:pPr>
              <w:jc w:val="right"/>
              <w:ind w:right="44"/>
              <w:spacing w:after="0"/>
              <w:rPr>
                <w:sz w:val="20"/>
                <w:szCs w:val="20"/>
                <w:color w:val="auto"/>
              </w:rPr>
            </w:pPr>
            <w:r>
              <w:rPr>
                <w:rFonts w:ascii="Arial" w:cs="Arial" w:eastAsia="Arial" w:hAnsi="Arial"/>
                <w:sz w:val="12"/>
                <w:szCs w:val="12"/>
                <w:color w:val="auto"/>
              </w:rPr>
              <w:t>40,971,097</w:t>
            </w:r>
          </w:p>
        </w:tc>
        <w:tc>
          <w:tcPr>
            <w:tcW w:w="780" w:type="dxa"/>
            <w:vAlign w:val="bottom"/>
          </w:tcPr>
          <w:p>
            <w:pPr>
              <w:jc w:val="right"/>
              <w:spacing w:after="0"/>
              <w:rPr>
                <w:sz w:val="20"/>
                <w:szCs w:val="20"/>
                <w:color w:val="auto"/>
              </w:rPr>
            </w:pPr>
            <w:r>
              <w:rPr>
                <w:rFonts w:ascii="Arial" w:cs="Arial" w:eastAsia="Arial" w:hAnsi="Arial"/>
                <w:sz w:val="12"/>
                <w:szCs w:val="12"/>
                <w:color w:val="auto"/>
              </w:rPr>
              <w:t>41,769,970</w:t>
            </w:r>
          </w:p>
        </w:tc>
        <w:tc>
          <w:tcPr>
            <w:tcW w:w="0" w:type="dxa"/>
            <w:vAlign w:val="bottom"/>
          </w:tcPr>
          <w:p>
            <w:pPr>
              <w:spacing w:after="0"/>
              <w:rPr>
                <w:sz w:val="1"/>
                <w:szCs w:val="1"/>
                <w:color w:val="auto"/>
              </w:rPr>
            </w:pPr>
          </w:p>
        </w:tc>
      </w:tr>
      <w:tr>
        <w:trPr>
          <w:trHeight w:val="182"/>
        </w:trPr>
        <w:tc>
          <w:tcPr>
            <w:tcW w:w="4240" w:type="dxa"/>
            <w:vAlign w:val="bottom"/>
          </w:tcPr>
          <w:p>
            <w:pPr>
              <w:spacing w:after="0"/>
              <w:rPr>
                <w:sz w:val="20"/>
                <w:szCs w:val="20"/>
                <w:color w:val="auto"/>
              </w:rPr>
            </w:pPr>
            <w:r>
              <w:rPr>
                <w:rFonts w:ascii="Arial" w:cs="Arial" w:eastAsia="Arial" w:hAnsi="Arial"/>
                <w:sz w:val="12"/>
                <w:szCs w:val="12"/>
                <w:color w:val="auto"/>
              </w:rPr>
              <w:t xml:space="preserve">RSUs issued and outstanding </w:t>
            </w:r>
            <w:r>
              <w:rPr>
                <w:rFonts w:ascii="Times New Roman" w:cs="Times New Roman" w:eastAsia="Times New Roman" w:hAnsi="Times New Roman"/>
                <w:sz w:val="12"/>
                <w:szCs w:val="12"/>
                <w:color w:val="B4B4B4"/>
              </w:rPr>
              <w:t>...............................................................................</w:t>
            </w:r>
          </w:p>
        </w:tc>
        <w:tc>
          <w:tcPr>
            <w:tcW w:w="840" w:type="dxa"/>
            <w:vAlign w:val="bottom"/>
          </w:tcPr>
          <w:p>
            <w:pPr>
              <w:jc w:val="right"/>
              <w:ind w:right="24"/>
              <w:spacing w:after="0"/>
              <w:rPr>
                <w:sz w:val="20"/>
                <w:szCs w:val="20"/>
                <w:color w:val="auto"/>
              </w:rPr>
            </w:pPr>
            <w:r>
              <w:rPr>
                <w:rFonts w:ascii="Arial" w:cs="Arial" w:eastAsia="Arial" w:hAnsi="Arial"/>
                <w:sz w:val="12"/>
                <w:szCs w:val="12"/>
                <w:color w:val="auto"/>
              </w:rPr>
              <w:t>4,653,847</w:t>
            </w:r>
          </w:p>
        </w:tc>
        <w:tc>
          <w:tcPr>
            <w:tcW w:w="780" w:type="dxa"/>
            <w:vAlign w:val="bottom"/>
          </w:tcPr>
          <w:p>
            <w:pPr>
              <w:jc w:val="right"/>
              <w:spacing w:after="0"/>
              <w:rPr>
                <w:sz w:val="20"/>
                <w:szCs w:val="20"/>
                <w:color w:val="auto"/>
              </w:rPr>
            </w:pPr>
            <w:r>
              <w:rPr>
                <w:rFonts w:ascii="Arial" w:cs="Arial" w:eastAsia="Arial" w:hAnsi="Arial"/>
                <w:sz w:val="12"/>
                <w:szCs w:val="12"/>
                <w:color w:val="auto"/>
              </w:rPr>
              <w:t>948,938</w:t>
            </w:r>
          </w:p>
        </w:tc>
        <w:tc>
          <w:tcPr>
            <w:tcW w:w="0" w:type="dxa"/>
            <w:vAlign w:val="bottom"/>
          </w:tcPr>
          <w:p>
            <w:pPr>
              <w:spacing w:after="0"/>
              <w:rPr>
                <w:sz w:val="1"/>
                <w:szCs w:val="1"/>
                <w:color w:val="auto"/>
              </w:rPr>
            </w:pPr>
          </w:p>
        </w:tc>
      </w:tr>
      <w:tr>
        <w:trPr>
          <w:trHeight w:val="182"/>
        </w:trPr>
        <w:tc>
          <w:tcPr>
            <w:tcW w:w="4240" w:type="dxa"/>
            <w:vAlign w:val="bottom"/>
          </w:tcPr>
          <w:p>
            <w:pPr>
              <w:spacing w:after="0"/>
              <w:rPr>
                <w:sz w:val="20"/>
                <w:szCs w:val="20"/>
                <w:color w:val="auto"/>
              </w:rPr>
            </w:pPr>
            <w:r>
              <w:rPr>
                <w:rFonts w:ascii="Arial" w:cs="Arial" w:eastAsia="Arial" w:hAnsi="Arial"/>
                <w:sz w:val="12"/>
                <w:szCs w:val="12"/>
                <w:color w:val="auto"/>
              </w:rPr>
              <w:t xml:space="preserve">Warrants to purchase redeemable convertible preferred stock  </w:t>
            </w:r>
            <w:r>
              <w:rPr>
                <w:rFonts w:ascii="Times New Roman" w:cs="Times New Roman" w:eastAsia="Times New Roman" w:hAnsi="Times New Roman"/>
                <w:sz w:val="12"/>
                <w:szCs w:val="12"/>
                <w:color w:val="B4B4B4"/>
              </w:rPr>
              <w:t>......................</w:t>
            </w:r>
          </w:p>
        </w:tc>
        <w:tc>
          <w:tcPr>
            <w:tcW w:w="840" w:type="dxa"/>
            <w:vAlign w:val="bottom"/>
          </w:tcPr>
          <w:p>
            <w:pPr>
              <w:jc w:val="right"/>
              <w:ind w:right="24"/>
              <w:spacing w:after="0"/>
              <w:rPr>
                <w:sz w:val="20"/>
                <w:szCs w:val="20"/>
                <w:color w:val="auto"/>
              </w:rPr>
            </w:pPr>
            <w:r>
              <w:rPr>
                <w:rFonts w:ascii="Arial" w:cs="Arial" w:eastAsia="Arial" w:hAnsi="Arial"/>
                <w:sz w:val="12"/>
                <w:szCs w:val="12"/>
                <w:color w:val="auto"/>
              </w:rPr>
              <w:t>40,160</w:t>
            </w:r>
          </w:p>
        </w:tc>
        <w:tc>
          <w:tcPr>
            <w:tcW w:w="780" w:type="dxa"/>
            <w:vAlign w:val="bottom"/>
          </w:tcPr>
          <w:p>
            <w:pPr>
              <w:jc w:val="right"/>
              <w:spacing w:after="0"/>
              <w:rPr>
                <w:sz w:val="20"/>
                <w:szCs w:val="20"/>
                <w:color w:val="auto"/>
              </w:rPr>
            </w:pPr>
            <w:r>
              <w:rPr>
                <w:rFonts w:ascii="Arial" w:cs="Arial" w:eastAsia="Arial" w:hAnsi="Arial"/>
                <w:sz w:val="12"/>
                <w:szCs w:val="12"/>
                <w:color w:val="auto"/>
              </w:rPr>
              <w:t>40,160</w:t>
            </w:r>
          </w:p>
        </w:tc>
        <w:tc>
          <w:tcPr>
            <w:tcW w:w="0" w:type="dxa"/>
            <w:vAlign w:val="bottom"/>
          </w:tcPr>
          <w:p>
            <w:pPr>
              <w:spacing w:after="0"/>
              <w:rPr>
                <w:sz w:val="1"/>
                <w:szCs w:val="1"/>
                <w:color w:val="auto"/>
              </w:rPr>
            </w:pPr>
          </w:p>
        </w:tc>
      </w:tr>
    </w:tbl>
    <w:p>
      <w:pPr>
        <w:sectPr>
          <w:pgSz w:w="11900" w:h="16840" w:orient="portrait"/>
          <w:cols w:equalWidth="0" w:num="1">
            <w:col w:w="9020"/>
          </w:cols>
          <w:pgMar w:left="1440" w:top="616" w:right="1440" w:bottom="117" w:gutter="0" w:footer="0" w:header="0"/>
        </w:sectPr>
      </w:pPr>
    </w:p>
    <w:bookmarkStart w:id="188" w:name="page189"/>
    <w:bookmarkEnd w:id="188"/>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39"/>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Shares of common stock subject to repurchase </w:t>
            </w:r>
            <w:r>
              <w:rPr>
                <w:rFonts w:ascii="Times New Roman" w:cs="Times New Roman" w:eastAsia="Times New Roman" w:hAnsi="Times New Roman"/>
                <w:sz w:val="12"/>
                <w:szCs w:val="12"/>
                <w:color w:val="B4B4B4"/>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49,761</w:t>
            </w:r>
          </w:p>
        </w:tc>
        <w:tc>
          <w:tcPr>
            <w:tcW w:w="880" w:type="dxa"/>
            <w:vAlign w:val="bottom"/>
          </w:tcPr>
          <w:p>
            <w:pPr>
              <w:jc w:val="right"/>
              <w:ind w:right="18"/>
              <w:spacing w:after="0"/>
              <w:rPr>
                <w:sz w:val="20"/>
                <w:szCs w:val="20"/>
                <w:color w:val="auto"/>
              </w:rPr>
            </w:pPr>
            <w:r>
              <w:rPr>
                <w:rFonts w:ascii="Arial" w:cs="Arial" w:eastAsia="Arial" w:hAnsi="Arial"/>
                <w:sz w:val="12"/>
                <w:szCs w:val="12"/>
                <w:color w:val="auto"/>
              </w:rPr>
              <w:t>133,332</w:t>
            </w:r>
          </w:p>
        </w:tc>
      </w:tr>
      <w:tr>
        <w:trPr>
          <w:trHeight w:val="15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Convertible notes </w:t>
            </w:r>
            <w:r>
              <w:rPr>
                <w:rFonts w:ascii="Times New Roman" w:cs="Times New Roman" w:eastAsia="Times New Roman" w:hAnsi="Times New Roman"/>
                <w:sz w:val="12"/>
                <w:szCs w:val="12"/>
                <w:color w:val="B4B4B4"/>
              </w:rPr>
              <w:t>....................................................................................................</w:t>
            </w: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12,946,170</w:t>
            </w:r>
          </w:p>
        </w:tc>
        <w:tc>
          <w:tcPr>
            <w:tcW w:w="880" w:type="dxa"/>
            <w:vAlign w:val="bottom"/>
          </w:tcPr>
          <w:p>
            <w:pPr>
              <w:jc w:val="right"/>
              <w:ind w:right="18"/>
              <w:spacing w:after="0"/>
              <w:rPr>
                <w:sz w:val="20"/>
                <w:szCs w:val="20"/>
                <w:color w:val="auto"/>
              </w:rPr>
            </w:pPr>
            <w:r>
              <w:rPr>
                <w:rFonts w:ascii="Arial" w:cs="Arial" w:eastAsia="Arial" w:hAnsi="Arial"/>
                <w:sz w:val="12"/>
                <w:szCs w:val="12"/>
                <w:color w:val="auto"/>
              </w:rPr>
              <w:t>13,980,833</w:t>
            </w:r>
          </w:p>
        </w:tc>
      </w:tr>
      <w:tr>
        <w:trPr>
          <w:trHeight w:val="165"/>
        </w:trPr>
        <w:tc>
          <w:tcPr>
            <w:tcW w:w="4260" w:type="dxa"/>
            <w:vAlign w:val="bottom"/>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Totalantidilutivesecurities</w:t>
            </w: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205,021,242</w:t>
            </w:r>
          </w:p>
        </w:tc>
        <w:tc>
          <w:tcPr>
            <w:tcW w:w="880" w:type="dxa"/>
            <w:vAlign w:val="bottom"/>
          </w:tcPr>
          <w:p>
            <w:pPr>
              <w:jc w:val="right"/>
              <w:ind w:right="18"/>
              <w:spacing w:after="0"/>
              <w:rPr>
                <w:sz w:val="20"/>
                <w:szCs w:val="20"/>
                <w:color w:val="auto"/>
              </w:rPr>
            </w:pPr>
            <w:r>
              <w:rPr>
                <w:rFonts w:ascii="Arial" w:cs="Arial" w:eastAsia="Arial" w:hAnsi="Arial"/>
                <w:sz w:val="12"/>
                <w:szCs w:val="12"/>
                <w:color w:val="auto"/>
              </w:rPr>
              <w:t>203,233,440</w:t>
            </w:r>
          </w:p>
        </w:tc>
      </w:tr>
      <w:tr>
        <w:trPr>
          <w:trHeight w:val="75"/>
        </w:trPr>
        <w:tc>
          <w:tcPr>
            <w:tcW w:w="4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182"/>
        </w:trPr>
        <w:tc>
          <w:tcPr>
            <w:tcW w:w="4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-436880</wp:posOffset>
            </wp:positionV>
            <wp:extent cx="6732270" cy="99707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2"/>
          <w:szCs w:val="12"/>
          <w:b w:val="1"/>
          <w:bCs w:val="1"/>
          <w:color w:val="auto"/>
        </w:rPr>
        <w:t>NOTE 16 – SUBSEQUENT EVENTS</w:t>
      </w:r>
    </w:p>
    <w:p>
      <w:pPr>
        <w:spacing w:after="0" w:line="130" w:lineRule="exact"/>
        <w:rPr>
          <w:sz w:val="20"/>
          <w:szCs w:val="20"/>
          <w:color w:val="auto"/>
        </w:rPr>
      </w:pPr>
    </w:p>
    <w:p>
      <w:pPr>
        <w:ind w:left="1520" w:right="1520" w:firstLine="230"/>
        <w:spacing w:after="0" w:line="277" w:lineRule="auto"/>
        <w:rPr>
          <w:sz w:val="20"/>
          <w:szCs w:val="20"/>
          <w:color w:val="auto"/>
        </w:rPr>
      </w:pPr>
      <w:r>
        <w:rPr>
          <w:rFonts w:ascii="Arial" w:cs="Arial" w:eastAsia="Arial" w:hAnsi="Arial"/>
          <w:sz w:val="12"/>
          <w:szCs w:val="12"/>
          <w:color w:val="auto"/>
        </w:rPr>
        <w:t xml:space="preserve">During the three months ended April 30, 2025, we issued a term loan and common stock warrants in exchange for cash proceeds of $130.0 million, and also executed Simple Agreements for Future Equity (“SAFEs”) and common stock warrants in exchange for total proceeds of $155.0 million. We also settled the 2022 Promissory Note for a cash payment of $198.1 million. We are in the </w:t>
      </w:r>
      <w:r>
        <w:rPr>
          <w:rFonts w:ascii="Arial" w:cs="Arial" w:eastAsia="Arial" w:hAnsi="Arial"/>
          <w:sz w:val="12"/>
          <w:szCs w:val="12"/>
          <w:u w:val="single" w:color="auto"/>
          <w:color w:val="auto"/>
        </w:rPr>
        <w:t>process of eva</w:t>
      </w:r>
      <w:r>
        <w:rPr>
          <w:rFonts w:ascii="Arial" w:cs="Arial" w:eastAsia="Arial" w:hAnsi="Arial"/>
          <w:sz w:val="12"/>
          <w:szCs w:val="12"/>
          <w:color w:val="auto"/>
        </w:rPr>
        <w:t xml:space="preserve">luating the accounting impact of these transactions. </w:t>
      </w:r>
      <w:r>
        <w:rPr>
          <w:sz w:val="1"/>
          <w:szCs w:val="1"/>
          <w:color w:val="auto"/>
        </w:rPr>
        <w:drawing>
          <wp:inline distT="0" distB="0" distL="0" distR="0">
            <wp:extent cx="528320" cy="63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8320" cy="6350"/>
                    </a:xfrm>
                    <a:prstGeom prst="rect">
                      <a:avLst/>
                    </a:prstGeom>
                    <a:noFill/>
                    <a:ln>
                      <a:noFill/>
                    </a:ln>
                  </pic:spPr>
                </pic:pic>
              </a:graphicData>
            </a:graphic>
          </wp:inline>
        </w:drawing>
        <w:drawing>
          <wp:inline distT="0" distB="0" distL="0" distR="0">
            <wp:extent cx="528320" cy="2413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8320" cy="24130"/>
                    </a:xfrm>
                    <a:prstGeom prst="rect">
                      <a:avLst/>
                    </a:prstGeom>
                    <a:noFill/>
                    <a:ln>
                      <a:noFill/>
                    </a:ln>
                  </pic:spPr>
                </pic:pic>
              </a:graphicData>
            </a:graphic>
          </wp:inline>
        </w:drawing>
      </w:r>
    </w:p>
    <w:p>
      <w:pPr>
        <w:spacing w:after="0" w:line="84" w:lineRule="exact"/>
        <w:rPr>
          <w:sz w:val="20"/>
          <w:szCs w:val="20"/>
          <w:color w:val="auto"/>
        </w:rPr>
      </w:pPr>
    </w:p>
    <w:p>
      <w:pPr>
        <w:ind w:left="1520" w:right="1760" w:firstLine="230"/>
        <w:spacing w:after="0" w:line="289" w:lineRule="auto"/>
        <w:rPr>
          <w:sz w:val="20"/>
          <w:szCs w:val="20"/>
          <w:color w:val="auto"/>
        </w:rPr>
      </w:pPr>
      <w:r>
        <w:rPr>
          <w:rFonts w:ascii="Arial" w:cs="Arial" w:eastAsia="Arial" w:hAnsi="Arial"/>
          <w:sz w:val="12"/>
          <w:szCs w:val="12"/>
          <w:color w:val="auto"/>
        </w:rPr>
        <w:t>During the three months ended April 30, 2025, we amended the Warehouse Credit Facility to extend the maturity date to February 2028. We also repaid the Trade Loan Facility, and executed a new revolving line of credit with Citibank. The new revolving line of credit has a borrowing limit of $100.0</w:t>
      </w: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F-42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0" w:lineRule="exact"/>
        <w:rPr>
          <w:sz w:val="20"/>
          <w:szCs w:val="20"/>
          <w:color w:val="auto"/>
        </w:rPr>
      </w:pPr>
    </w:p>
    <w:p>
      <w:pPr>
        <w:ind w:left="1520" w:right="1940"/>
        <w:spacing w:after="0" w:line="312" w:lineRule="auto"/>
        <w:rPr>
          <w:sz w:val="20"/>
          <w:szCs w:val="20"/>
          <w:color w:val="auto"/>
        </w:rPr>
      </w:pPr>
      <w:r>
        <w:rPr>
          <w:rFonts w:ascii="Arial" w:cs="Arial" w:eastAsia="Arial" w:hAnsi="Arial"/>
          <w:sz w:val="12"/>
          <w:szCs w:val="12"/>
          <w:color w:val="auto"/>
        </w:rPr>
        <w:t>million, and a term through March 2028. We are in the process of evaluating the accounting impact of these transactions.</w:t>
      </w:r>
    </w:p>
    <w:p>
      <w:pPr>
        <w:spacing w:after="0" w:line="62" w:lineRule="exact"/>
        <w:rPr>
          <w:sz w:val="20"/>
          <w:szCs w:val="20"/>
          <w:color w:val="auto"/>
        </w:rPr>
      </w:pPr>
    </w:p>
    <w:p>
      <w:pPr>
        <w:ind w:left="1520" w:right="1820" w:firstLine="230"/>
        <w:spacing w:after="0" w:line="312" w:lineRule="auto"/>
        <w:rPr>
          <w:sz w:val="20"/>
          <w:szCs w:val="20"/>
          <w:color w:val="auto"/>
        </w:rPr>
      </w:pPr>
      <w:r>
        <w:rPr>
          <w:rFonts w:ascii="Arial" w:cs="Arial" w:eastAsia="Arial" w:hAnsi="Arial"/>
          <w:sz w:val="12"/>
          <w:szCs w:val="12"/>
          <w:color w:val="auto"/>
        </w:rPr>
        <w:t>Subsequent events have been evaluated through April 30, 2025, the date the consolidated financial statements were available to be issued.</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Events Subsequent to Original Issuance of Financial Statements (Unaudited)</w:t>
      </w:r>
    </w:p>
    <w:p>
      <w:pPr>
        <w:spacing w:after="0" w:line="128" w:lineRule="exact"/>
        <w:rPr>
          <w:sz w:val="20"/>
          <w:szCs w:val="20"/>
          <w:color w:val="auto"/>
        </w:rPr>
      </w:pPr>
    </w:p>
    <w:p>
      <w:pPr>
        <w:ind w:left="1520" w:right="2020" w:firstLine="230"/>
        <w:spacing w:after="0" w:line="312" w:lineRule="auto"/>
        <w:rPr>
          <w:sz w:val="20"/>
          <w:szCs w:val="20"/>
          <w:color w:val="auto"/>
        </w:rPr>
      </w:pPr>
      <w:r>
        <w:rPr>
          <w:rFonts w:ascii="Arial" w:cs="Arial" w:eastAsia="Arial" w:hAnsi="Arial"/>
          <w:sz w:val="12"/>
          <w:szCs w:val="12"/>
          <w:color w:val="auto"/>
        </w:rPr>
        <w:t>The Company evaluated subsequent events through July 25, 2025, the date these consolidated financial statements were available to be reissued.</w:t>
      </w:r>
    </w:p>
    <w:p>
      <w:pPr>
        <w:spacing w:after="0" w:line="62" w:lineRule="exact"/>
        <w:rPr>
          <w:sz w:val="20"/>
          <w:szCs w:val="20"/>
          <w:color w:val="auto"/>
        </w:rPr>
      </w:pPr>
    </w:p>
    <w:p>
      <w:pPr>
        <w:ind w:left="1520" w:right="1720" w:firstLine="230"/>
        <w:spacing w:after="0" w:line="273" w:lineRule="auto"/>
        <w:rPr>
          <w:sz w:val="20"/>
          <w:szCs w:val="20"/>
          <w:color w:val="auto"/>
        </w:rPr>
      </w:pPr>
      <w:r>
        <w:rPr>
          <w:rFonts w:ascii="Arial" w:cs="Arial" w:eastAsia="Arial" w:hAnsi="Arial"/>
          <w:sz w:val="12"/>
          <w:szCs w:val="12"/>
          <w:color w:val="auto"/>
        </w:rPr>
        <w:t>Since February 1, 2025 and through the date these consolidated financial statements were available to be reissued, we granted 2,574,917 stock option s that vest over four years based on service-only conditions. We also granted 2,744,173 RSUs that vest upon the satisfaction of both a performance and a service condition, where the performance condition is satisfied by either a sale of the Company or following the effective date of an initial public offering, and the service condition is satisfied generally over a period of four years. In addition, we granted 527,117 RSUs which vest over four years based solely on service-only conditions.</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i w:val="1"/>
          <w:iCs w:val="1"/>
          <w:u w:val="single" w:color="auto"/>
          <w:color w:val="auto"/>
        </w:rPr>
        <w:t>Vista Facility</w:t>
      </w:r>
    </w:p>
    <w:p>
      <w:pPr>
        <w:spacing w:after="0" w:line="128" w:lineRule="exact"/>
        <w:rPr>
          <w:sz w:val="20"/>
          <w:szCs w:val="20"/>
          <w:color w:val="auto"/>
        </w:rPr>
      </w:pPr>
    </w:p>
    <w:p>
      <w:pPr>
        <w:ind w:left="1520" w:right="1660" w:firstLine="230"/>
        <w:spacing w:after="0" w:line="281" w:lineRule="auto"/>
        <w:rPr>
          <w:sz w:val="20"/>
          <w:szCs w:val="20"/>
          <w:color w:val="auto"/>
        </w:rPr>
      </w:pPr>
      <w:r>
        <w:rPr>
          <w:rFonts w:ascii="Arial" w:cs="Arial" w:eastAsia="Arial" w:hAnsi="Arial"/>
          <w:sz w:val="12"/>
          <w:szCs w:val="12"/>
          <w:color w:val="auto"/>
        </w:rPr>
        <w:t>In February 2025, we entered into a credit agreement with VCP Capital Markets, LLC, under which we issued term loans to lenders in exchange for proceeds of $130.0 million, which mature on February 24, 2030 (the “Vista Facility”). In connection with the Vista Facility, we issued warrants covering 486,588 shares of common stock.</w:t>
      </w:r>
    </w:p>
    <w:p>
      <w:pPr>
        <w:spacing w:after="0" w:line="81" w:lineRule="exact"/>
        <w:rPr>
          <w:sz w:val="20"/>
          <w:szCs w:val="20"/>
          <w:color w:val="auto"/>
        </w:rPr>
      </w:pPr>
    </w:p>
    <w:p>
      <w:pPr>
        <w:ind w:left="1520" w:right="1820" w:firstLine="230"/>
        <w:spacing w:after="0" w:line="277" w:lineRule="auto"/>
        <w:rPr>
          <w:sz w:val="20"/>
          <w:szCs w:val="20"/>
          <w:color w:val="auto"/>
        </w:rPr>
      </w:pPr>
      <w:r>
        <w:rPr>
          <w:rFonts w:ascii="Arial" w:cs="Arial" w:eastAsia="Arial" w:hAnsi="Arial"/>
          <w:sz w:val="12"/>
          <w:szCs w:val="12"/>
          <w:color w:val="auto"/>
        </w:rPr>
        <w:t>Upon issuance of the Vista Facility, the common stock warrants had a fair value of $11.0 million which was recorded as a debt discount. Debt issuance costs were recorded as a reduction to the debt liability. The debt discount and debt issuance costs are amortized to interest expense at an effective interest rate of 12.8% over the term of the loan. The common stock warrants are equity classified within additional paid-in capital.</w:t>
      </w:r>
    </w:p>
    <w:p>
      <w:pPr>
        <w:spacing w:after="0" w:line="86" w:lineRule="exact"/>
        <w:rPr>
          <w:sz w:val="20"/>
          <w:szCs w:val="20"/>
          <w:color w:val="auto"/>
        </w:rPr>
      </w:pPr>
    </w:p>
    <w:p>
      <w:pPr>
        <w:ind w:left="1760"/>
        <w:spacing w:after="0"/>
        <w:rPr>
          <w:sz w:val="20"/>
          <w:szCs w:val="20"/>
          <w:color w:val="auto"/>
        </w:rPr>
      </w:pPr>
      <w:r>
        <w:rPr>
          <w:rFonts w:ascii="Arial" w:cs="Arial" w:eastAsia="Arial" w:hAnsi="Arial"/>
          <w:sz w:val="12"/>
          <w:szCs w:val="12"/>
          <w:i w:val="1"/>
          <w:iCs w:val="1"/>
          <w:u w:val="single" w:color="auto"/>
          <w:color w:val="auto"/>
        </w:rPr>
        <w:t>Simple Agreements for Future Equity (SAFEs) and Common Stock Warrants</w:t>
      </w:r>
    </w:p>
    <w:p>
      <w:pPr>
        <w:spacing w:after="0" w:line="128" w:lineRule="exact"/>
        <w:rPr>
          <w:sz w:val="20"/>
          <w:szCs w:val="20"/>
          <w:color w:val="auto"/>
        </w:rPr>
      </w:pPr>
    </w:p>
    <w:p>
      <w:pPr>
        <w:jc w:val="both"/>
        <w:ind w:left="1520" w:right="2040" w:firstLine="230"/>
        <w:spacing w:after="0" w:line="289" w:lineRule="auto"/>
        <w:rPr>
          <w:sz w:val="20"/>
          <w:szCs w:val="20"/>
          <w:color w:val="auto"/>
        </w:rPr>
      </w:pPr>
      <w:r>
        <w:rPr>
          <w:rFonts w:ascii="Arial" w:cs="Arial" w:eastAsia="Arial" w:hAnsi="Arial"/>
          <w:sz w:val="12"/>
          <w:szCs w:val="12"/>
          <w:color w:val="auto"/>
        </w:rPr>
        <w:t>During the three months ended April 30, 2025, we entered into SAFEs with multiple investors in exchange for cash proceeds of $155.0 million, with an interest rate of 12% per annum. The SAFEs contain various conversion features.</w:t>
      </w:r>
    </w:p>
    <w:p>
      <w:pPr>
        <w:spacing w:after="0" w:line="76" w:lineRule="exact"/>
        <w:rPr>
          <w:sz w:val="20"/>
          <w:szCs w:val="20"/>
          <w:color w:val="auto"/>
        </w:rPr>
      </w:pPr>
    </w:p>
    <w:p>
      <w:pPr>
        <w:jc w:val="both"/>
        <w:ind w:left="1520" w:right="1720" w:firstLine="230"/>
        <w:spacing w:after="0" w:line="281" w:lineRule="auto"/>
        <w:rPr>
          <w:sz w:val="20"/>
          <w:szCs w:val="20"/>
          <w:color w:val="auto"/>
        </w:rPr>
      </w:pPr>
      <w:r>
        <w:rPr>
          <w:rFonts w:ascii="Arial" w:cs="Arial" w:eastAsia="Arial" w:hAnsi="Arial"/>
          <w:sz w:val="12"/>
          <w:szCs w:val="12"/>
          <w:color w:val="auto"/>
        </w:rPr>
        <w:t>We issued common stock warrants to investors together with the SAFEs. The number of shares that can be issued upon exercise of the common stock warrants is determined based on a fixed percentage of the fully diluted capitalization prior to the earliest to occur of (a) a deemed liquidation event, (b) a liquidity event, and (c) the date of exercise.</w:t>
      </w:r>
    </w:p>
    <w:p>
      <w:pPr>
        <w:spacing w:after="0" w:line="81" w:lineRule="exact"/>
        <w:rPr>
          <w:sz w:val="20"/>
          <w:szCs w:val="20"/>
          <w:color w:val="auto"/>
        </w:rPr>
      </w:pPr>
    </w:p>
    <w:p>
      <w:pPr>
        <w:ind w:left="1520" w:right="1820" w:firstLine="230"/>
        <w:spacing w:after="0" w:line="289" w:lineRule="auto"/>
        <w:rPr>
          <w:sz w:val="20"/>
          <w:szCs w:val="20"/>
          <w:color w:val="auto"/>
        </w:rPr>
      </w:pPr>
      <w:r>
        <w:rPr>
          <w:rFonts w:ascii="Arial" w:cs="Arial" w:eastAsia="Arial" w:hAnsi="Arial"/>
          <w:sz w:val="12"/>
          <w:szCs w:val="12"/>
          <w:color w:val="auto"/>
        </w:rPr>
        <w:t>We incurred debt issuance costs of $2.9 million in connection with the issuance of the SAFEs and common stock warrants, which were expensed when incurred. The SAFEs and common stock warrants are classified as liabilities and are measured at fair value on a recurring basis.</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i w:val="1"/>
          <w:iCs w:val="1"/>
          <w:u w:val="single" w:color="auto"/>
          <w:color w:val="auto"/>
        </w:rPr>
        <w:t>2022 Promissory Note</w:t>
      </w:r>
    </w:p>
    <w:p>
      <w:pPr>
        <w:spacing w:after="0" w:line="128" w:lineRule="exact"/>
        <w:rPr>
          <w:sz w:val="20"/>
          <w:szCs w:val="20"/>
          <w:color w:val="auto"/>
        </w:rPr>
      </w:pPr>
    </w:p>
    <w:p>
      <w:pPr>
        <w:ind w:left="1520" w:right="1760" w:firstLine="230"/>
        <w:spacing w:after="0" w:line="312" w:lineRule="auto"/>
        <w:rPr>
          <w:sz w:val="20"/>
          <w:szCs w:val="20"/>
          <w:color w:val="auto"/>
        </w:rPr>
      </w:pPr>
      <w:r>
        <w:rPr>
          <w:rFonts w:ascii="Arial" w:cs="Arial" w:eastAsia="Arial" w:hAnsi="Arial"/>
          <w:sz w:val="12"/>
          <w:szCs w:val="12"/>
          <w:color w:val="auto"/>
        </w:rPr>
        <w:t>In February 2025, we paid $198.1 million to settle the 2022 Promissory Note and recognized a $20.5 million loss on the debt extinguishment.</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i w:val="1"/>
          <w:iCs w:val="1"/>
          <w:u w:val="single" w:color="auto"/>
          <w:color w:val="auto"/>
        </w:rPr>
        <w:t>Warehouse Credit Facility</w:t>
      </w:r>
    </w:p>
    <w:p>
      <w:pPr>
        <w:spacing w:after="0" w:line="128" w:lineRule="exact"/>
        <w:rPr>
          <w:sz w:val="20"/>
          <w:szCs w:val="20"/>
          <w:color w:val="auto"/>
        </w:rPr>
      </w:pPr>
    </w:p>
    <w:p>
      <w:pPr>
        <w:jc w:val="both"/>
        <w:ind w:left="1520" w:right="1820" w:firstLine="230"/>
        <w:spacing w:after="0" w:line="289" w:lineRule="auto"/>
        <w:rPr>
          <w:sz w:val="20"/>
          <w:szCs w:val="20"/>
          <w:color w:val="auto"/>
        </w:rPr>
      </w:pPr>
      <w:r>
        <w:rPr>
          <w:rFonts w:ascii="Arial" w:cs="Arial" w:eastAsia="Arial" w:hAnsi="Arial"/>
          <w:sz w:val="12"/>
          <w:szCs w:val="12"/>
          <w:color w:val="auto"/>
        </w:rPr>
        <w:t>We incurred incremental upfront commitment fees in connection with extending the maturity date of the Warehouse Credit Facility through February 18, 2028. The upfront commitment fees are capitalized and amortized over the remaining term.</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F-43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2" w:lineRule="exact"/>
        <w:rPr>
          <w:sz w:val="20"/>
          <w:szCs w:val="20"/>
          <w:color w:val="auto"/>
        </w:rPr>
      </w:pPr>
    </w:p>
    <w:p>
      <w:pPr>
        <w:ind w:left="1760"/>
        <w:spacing w:after="0"/>
        <w:rPr>
          <w:sz w:val="20"/>
          <w:szCs w:val="20"/>
          <w:color w:val="auto"/>
        </w:rPr>
      </w:pPr>
      <w:r>
        <w:rPr>
          <w:rFonts w:ascii="Arial" w:cs="Arial" w:eastAsia="Arial" w:hAnsi="Arial"/>
          <w:sz w:val="12"/>
          <w:szCs w:val="12"/>
          <w:i w:val="1"/>
          <w:iCs w:val="1"/>
          <w:u w:val="single" w:color="auto"/>
          <w:color w:val="auto"/>
        </w:rPr>
        <w:t>ABL Facility</w:t>
      </w:r>
    </w:p>
    <w:p>
      <w:pPr>
        <w:spacing w:after="0" w:line="128" w:lineRule="exact"/>
        <w:rPr>
          <w:sz w:val="20"/>
          <w:szCs w:val="20"/>
          <w:color w:val="auto"/>
        </w:rPr>
      </w:pPr>
    </w:p>
    <w:p>
      <w:pPr>
        <w:ind w:left="1520" w:right="1940" w:firstLine="230"/>
        <w:spacing w:after="0" w:line="281" w:lineRule="auto"/>
        <w:rPr>
          <w:sz w:val="20"/>
          <w:szCs w:val="20"/>
          <w:color w:val="auto"/>
        </w:rPr>
      </w:pPr>
      <w:r>
        <w:rPr>
          <w:rFonts w:ascii="Arial" w:cs="Arial" w:eastAsia="Arial" w:hAnsi="Arial"/>
          <w:sz w:val="12"/>
          <w:szCs w:val="12"/>
          <w:color w:val="auto"/>
        </w:rPr>
        <w:t>In March 2025, we executed an asset-based lending revolving line of credit with Citibank (“ABL Facility”) for a term through March 2028. The ABL Facility has a borrowing limit of $100.0 million. The available borrowings are based on eligible U.S. and UK travel receivables. Issuance fees incurred in connection with the ABL Facility are capitalized and amortized over the term.</w:t>
      </w:r>
    </w:p>
    <w:p>
      <w:pPr>
        <w:sectPr>
          <w:pgSz w:w="11900" w:h="16840" w:orient="portrait"/>
          <w:cols w:equalWidth="0" w:num="1">
            <w:col w:w="9020"/>
          </w:cols>
          <w:pgMar w:left="1440" w:top="546" w:right="1440" w:bottom="75" w:gutter="0" w:footer="0" w:header="0"/>
        </w:sectPr>
      </w:pPr>
    </w:p>
    <w:bookmarkStart w:id="189" w:name="page190"/>
    <w:bookmarkEnd w:id="1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F-44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(in thousands, except par value and share amounts)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1560" w:type="dxa"/>
        <w:tblCellMar>
          <w:top w:w="0" w:type="dxa"/>
          <w:left w:w="0" w:type="dxa"/>
          <w:bottom w:w="0" w:type="dxa"/>
          <w:right w:w="0" w:type="dxa"/>
        </w:tblCellMar>
      </w:tblPr>
      <w:tr>
        <w:trPr>
          <w:trHeight w:val="143"/>
        </w:trPr>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b w:val="1"/>
                <w:bCs w:val="1"/>
                <w:color w:val="auto"/>
              </w:rPr>
              <w:t>As of</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18"/>
              <w:spacing w:after="0"/>
              <w:rPr>
                <w:sz w:val="20"/>
                <w:szCs w:val="20"/>
                <w:color w:val="auto"/>
              </w:rPr>
            </w:pPr>
            <w:r>
              <w:rPr>
                <w:rFonts w:ascii="Arial" w:cs="Arial" w:eastAsia="Arial" w:hAnsi="Arial"/>
                <w:sz w:val="11"/>
                <w:szCs w:val="11"/>
                <w:b w:val="1"/>
                <w:bCs w:val="1"/>
                <w:color w:val="auto"/>
                <w:w w:val="94"/>
              </w:rPr>
              <w:t>July 31, 2025</w:t>
            </w:r>
          </w:p>
        </w:tc>
        <w:tc>
          <w:tcPr>
            <w:tcW w:w="160" w:type="dxa"/>
            <w:vAlign w:val="bottom"/>
          </w:tcPr>
          <w:p>
            <w:pPr>
              <w:spacing w:after="0"/>
              <w:rPr>
                <w:sz w:val="10"/>
                <w:szCs w:val="10"/>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95"/>
              </w:rPr>
              <w:t>January 31,</w:t>
            </w:r>
          </w:p>
        </w:tc>
        <w:tc>
          <w:tcPr>
            <w:tcW w:w="0" w:type="dxa"/>
            <w:vAlign w:val="bottom"/>
          </w:tcPr>
          <w:p>
            <w:pPr>
              <w:spacing w:after="0"/>
              <w:rPr>
                <w:sz w:val="1"/>
                <w:szCs w:val="1"/>
                <w:color w:val="auto"/>
              </w:rPr>
            </w:pPr>
          </w:p>
        </w:tc>
      </w:tr>
      <w:tr>
        <w:trPr>
          <w:trHeight w:val="143"/>
        </w:trPr>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78"/>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20" w:type="dxa"/>
            <w:vAlign w:val="bottom"/>
          </w:tcPr>
          <w:p>
            <w:pPr>
              <w:spacing w:after="0"/>
              <w:rPr>
                <w:sz w:val="20"/>
                <w:szCs w:val="20"/>
                <w:color w:val="auto"/>
              </w:rPr>
            </w:pPr>
            <w:r>
              <w:rPr>
                <w:rFonts w:ascii="Arial" w:cs="Arial" w:eastAsia="Arial" w:hAnsi="Arial"/>
                <w:sz w:val="12"/>
                <w:szCs w:val="12"/>
                <w:color w:val="auto"/>
              </w:rPr>
              <w:t>Current assets: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20" w:type="dxa"/>
            <w:vAlign w:val="bottom"/>
          </w:tcPr>
          <w:p>
            <w:pPr>
              <w:ind w:left="140"/>
              <w:spacing w:after="0"/>
              <w:rPr>
                <w:sz w:val="20"/>
                <w:szCs w:val="20"/>
                <w:color w:val="auto"/>
              </w:rPr>
            </w:pPr>
            <w:r>
              <w:rPr>
                <w:rFonts w:ascii="Arial" w:cs="Arial" w:eastAsia="Arial" w:hAnsi="Arial"/>
                <w:sz w:val="12"/>
                <w:szCs w:val="12"/>
                <w:color w:val="auto"/>
              </w:rPr>
              <w:t xml:space="preserve">Cash and cash equivalents </w:t>
            </w:r>
            <w:r>
              <w:rPr>
                <w:rFonts w:ascii="Times New Roman" w:cs="Times New Roman" w:eastAsia="Times New Roman" w:hAnsi="Times New Roman"/>
                <w:sz w:val="12"/>
                <w:szCs w:val="12"/>
                <w:color w:val="B4B4B4"/>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223,229</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157,672</w:t>
            </w:r>
          </w:p>
        </w:tc>
        <w:tc>
          <w:tcPr>
            <w:tcW w:w="0" w:type="dxa"/>
            <w:vAlign w:val="bottom"/>
          </w:tcPr>
          <w:p>
            <w:pPr>
              <w:spacing w:after="0"/>
              <w:rPr>
                <w:sz w:val="1"/>
                <w:szCs w:val="1"/>
                <w:color w:val="auto"/>
              </w:rPr>
            </w:pPr>
          </w:p>
        </w:tc>
      </w:tr>
      <w:tr>
        <w:trPr>
          <w:trHeight w:val="182"/>
        </w:trPr>
        <w:tc>
          <w:tcPr>
            <w:tcW w:w="4220" w:type="dxa"/>
            <w:vAlign w:val="bottom"/>
          </w:tcPr>
          <w:p>
            <w:pPr>
              <w:ind w:left="140"/>
              <w:spacing w:after="0"/>
              <w:rPr>
                <w:sz w:val="20"/>
                <w:szCs w:val="20"/>
                <w:color w:val="auto"/>
              </w:rPr>
            </w:pPr>
            <w:r>
              <w:rPr>
                <w:rFonts w:ascii="Arial" w:cs="Arial" w:eastAsia="Arial" w:hAnsi="Arial"/>
                <w:sz w:val="12"/>
                <w:szCs w:val="12"/>
                <w:color w:val="auto"/>
              </w:rPr>
              <w:t xml:space="preserve">Restricted cash, current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87,218</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148,157</w:t>
            </w:r>
          </w:p>
        </w:tc>
        <w:tc>
          <w:tcPr>
            <w:tcW w:w="0" w:type="dxa"/>
            <w:vAlign w:val="bottom"/>
          </w:tcPr>
          <w:p>
            <w:pPr>
              <w:spacing w:after="0"/>
              <w:rPr>
                <w:sz w:val="1"/>
                <w:szCs w:val="1"/>
                <w:color w:val="auto"/>
              </w:rPr>
            </w:pPr>
          </w:p>
        </w:tc>
      </w:tr>
      <w:tr>
        <w:trPr>
          <w:trHeight w:val="182"/>
        </w:trPr>
        <w:tc>
          <w:tcPr>
            <w:tcW w:w="4220" w:type="dxa"/>
            <w:vAlign w:val="bottom"/>
          </w:tcPr>
          <w:p>
            <w:pPr>
              <w:ind w:left="140"/>
              <w:spacing w:after="0"/>
              <w:rPr>
                <w:sz w:val="20"/>
                <w:szCs w:val="20"/>
                <w:color w:val="auto"/>
              </w:rPr>
            </w:pPr>
            <w:r>
              <w:rPr>
                <w:rFonts w:ascii="Arial" w:cs="Arial" w:eastAsia="Arial" w:hAnsi="Arial"/>
                <w:sz w:val="12"/>
                <w:szCs w:val="12"/>
                <w:color w:val="auto"/>
              </w:rPr>
              <w:t xml:space="preserve">Accounts receivable, net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191,080</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184,856</w:t>
            </w:r>
          </w:p>
        </w:tc>
        <w:tc>
          <w:tcPr>
            <w:tcW w:w="0" w:type="dxa"/>
            <w:vAlign w:val="bottom"/>
          </w:tcPr>
          <w:p>
            <w:pPr>
              <w:spacing w:after="0"/>
              <w:rPr>
                <w:sz w:val="1"/>
                <w:szCs w:val="1"/>
                <w:color w:val="auto"/>
              </w:rPr>
            </w:pPr>
          </w:p>
        </w:tc>
      </w:tr>
      <w:tr>
        <w:trPr>
          <w:trHeight w:val="182"/>
        </w:trPr>
        <w:tc>
          <w:tcPr>
            <w:tcW w:w="4220" w:type="dxa"/>
            <w:vAlign w:val="bottom"/>
          </w:tcPr>
          <w:p>
            <w:pPr>
              <w:ind w:left="140"/>
              <w:spacing w:after="0"/>
              <w:rPr>
                <w:sz w:val="20"/>
                <w:szCs w:val="20"/>
                <w:color w:val="auto"/>
              </w:rPr>
            </w:pPr>
            <w:r>
              <w:rPr>
                <w:rFonts w:ascii="Arial" w:cs="Arial" w:eastAsia="Arial" w:hAnsi="Arial"/>
                <w:sz w:val="12"/>
                <w:szCs w:val="12"/>
                <w:color w:val="auto"/>
              </w:rPr>
              <w:t xml:space="preserve">Corporate card receivables, net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158,421</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157,755</w:t>
            </w:r>
          </w:p>
        </w:tc>
        <w:tc>
          <w:tcPr>
            <w:tcW w:w="0" w:type="dxa"/>
            <w:vAlign w:val="bottom"/>
          </w:tcPr>
          <w:p>
            <w:pPr>
              <w:spacing w:after="0"/>
              <w:rPr>
                <w:sz w:val="1"/>
                <w:szCs w:val="1"/>
                <w:color w:val="auto"/>
              </w:rPr>
            </w:pPr>
          </w:p>
        </w:tc>
      </w:tr>
      <w:tr>
        <w:trPr>
          <w:trHeight w:val="182"/>
        </w:trPr>
        <w:tc>
          <w:tcPr>
            <w:tcW w:w="4220" w:type="dxa"/>
            <w:vAlign w:val="bottom"/>
          </w:tcPr>
          <w:p>
            <w:pPr>
              <w:ind w:left="140"/>
              <w:spacing w:after="0"/>
              <w:rPr>
                <w:sz w:val="20"/>
                <w:szCs w:val="20"/>
                <w:color w:val="auto"/>
              </w:rPr>
            </w:pPr>
            <w:r>
              <w:rPr>
                <w:rFonts w:ascii="Arial" w:cs="Arial" w:eastAsia="Arial" w:hAnsi="Arial"/>
                <w:sz w:val="12"/>
                <w:szCs w:val="12"/>
                <w:color w:val="auto"/>
              </w:rPr>
              <w:t xml:space="preserve">Contract acquisition costs, current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6,586</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4,784</w:t>
            </w:r>
          </w:p>
        </w:tc>
        <w:tc>
          <w:tcPr>
            <w:tcW w:w="0" w:type="dxa"/>
            <w:vAlign w:val="bottom"/>
          </w:tcPr>
          <w:p>
            <w:pPr>
              <w:spacing w:after="0"/>
              <w:rPr>
                <w:sz w:val="1"/>
                <w:szCs w:val="1"/>
                <w:color w:val="auto"/>
              </w:rPr>
            </w:pPr>
          </w:p>
        </w:tc>
      </w:tr>
      <w:tr>
        <w:trPr>
          <w:trHeight w:val="182"/>
        </w:trPr>
        <w:tc>
          <w:tcPr>
            <w:tcW w:w="4220" w:type="dxa"/>
            <w:vAlign w:val="bottom"/>
          </w:tcPr>
          <w:p>
            <w:pPr>
              <w:ind w:left="140"/>
              <w:spacing w:after="0"/>
              <w:rPr>
                <w:sz w:val="20"/>
                <w:szCs w:val="20"/>
                <w:color w:val="auto"/>
              </w:rPr>
            </w:pPr>
            <w:r>
              <w:rPr>
                <w:rFonts w:ascii="Arial" w:cs="Arial" w:eastAsia="Arial" w:hAnsi="Arial"/>
                <w:sz w:val="12"/>
                <w:szCs w:val="12"/>
                <w:color w:val="auto"/>
              </w:rPr>
              <w:t xml:space="preserve">Prepaid expenses and other current assets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52,353</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35,628</w:t>
            </w:r>
          </w:p>
        </w:tc>
        <w:tc>
          <w:tcPr>
            <w:tcW w:w="0" w:type="dxa"/>
            <w:vAlign w:val="bottom"/>
          </w:tcPr>
          <w:p>
            <w:pPr>
              <w:spacing w:after="0"/>
              <w:rPr>
                <w:sz w:val="1"/>
                <w:szCs w:val="1"/>
                <w:color w:val="auto"/>
              </w:rPr>
            </w:pPr>
          </w:p>
        </w:tc>
      </w:tr>
      <w:tr>
        <w:trPr>
          <w:trHeight w:val="182"/>
        </w:trPr>
        <w:tc>
          <w:tcPr>
            <w:tcW w:w="4220" w:type="dxa"/>
            <w:vAlign w:val="bottom"/>
          </w:tcPr>
          <w:p>
            <w:pPr>
              <w:spacing w:after="0"/>
              <w:rPr>
                <w:sz w:val="20"/>
                <w:szCs w:val="20"/>
                <w:color w:val="auto"/>
              </w:rPr>
            </w:pPr>
            <w:r>
              <w:rPr>
                <w:rFonts w:ascii="Arial" w:cs="Arial" w:eastAsia="Arial" w:hAnsi="Arial"/>
                <w:sz w:val="12"/>
                <w:szCs w:val="12"/>
                <w:color w:val="auto"/>
              </w:rPr>
              <w:t xml:space="preserve">Total current assets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718,887</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688,852</w:t>
            </w:r>
          </w:p>
        </w:tc>
        <w:tc>
          <w:tcPr>
            <w:tcW w:w="0" w:type="dxa"/>
            <w:vAlign w:val="bottom"/>
          </w:tcPr>
          <w:p>
            <w:pPr>
              <w:spacing w:after="0"/>
              <w:rPr>
                <w:sz w:val="1"/>
                <w:szCs w:val="1"/>
                <w:color w:val="auto"/>
              </w:rPr>
            </w:pPr>
          </w:p>
        </w:tc>
      </w:tr>
      <w:tr>
        <w:trPr>
          <w:trHeight w:val="182"/>
        </w:trPr>
        <w:tc>
          <w:tcPr>
            <w:tcW w:w="4220" w:type="dxa"/>
            <w:vAlign w:val="bottom"/>
          </w:tcPr>
          <w:p>
            <w:pPr>
              <w:spacing w:after="0"/>
              <w:rPr>
                <w:sz w:val="20"/>
                <w:szCs w:val="20"/>
                <w:color w:val="auto"/>
              </w:rPr>
            </w:pPr>
            <w:r>
              <w:rPr>
                <w:rFonts w:ascii="Arial" w:cs="Arial" w:eastAsia="Arial" w:hAnsi="Arial"/>
                <w:sz w:val="12"/>
                <w:szCs w:val="12"/>
                <w:color w:val="auto"/>
              </w:rPr>
              <w:t xml:space="preserve">Restricted cash, non-current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5,091</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4,766</w:t>
            </w:r>
          </w:p>
        </w:tc>
        <w:tc>
          <w:tcPr>
            <w:tcW w:w="0" w:type="dxa"/>
            <w:vAlign w:val="bottom"/>
          </w:tcPr>
          <w:p>
            <w:pPr>
              <w:spacing w:after="0"/>
              <w:rPr>
                <w:sz w:val="1"/>
                <w:szCs w:val="1"/>
                <w:color w:val="auto"/>
              </w:rPr>
            </w:pPr>
          </w:p>
        </w:tc>
      </w:tr>
      <w:tr>
        <w:trPr>
          <w:trHeight w:val="182"/>
        </w:trPr>
        <w:tc>
          <w:tcPr>
            <w:tcW w:w="4220" w:type="dxa"/>
            <w:vAlign w:val="bottom"/>
          </w:tcPr>
          <w:p>
            <w:pPr>
              <w:spacing w:after="0"/>
              <w:rPr>
                <w:sz w:val="20"/>
                <w:szCs w:val="20"/>
                <w:color w:val="auto"/>
              </w:rPr>
            </w:pPr>
            <w:r>
              <w:rPr>
                <w:rFonts w:ascii="Arial" w:cs="Arial" w:eastAsia="Arial" w:hAnsi="Arial"/>
                <w:sz w:val="12"/>
                <w:szCs w:val="12"/>
                <w:color w:val="auto"/>
              </w:rPr>
              <w:t xml:space="preserve">Contract acquisition costs, non-current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21,089</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16,185</w:t>
            </w:r>
          </w:p>
        </w:tc>
        <w:tc>
          <w:tcPr>
            <w:tcW w:w="0" w:type="dxa"/>
            <w:vAlign w:val="bottom"/>
          </w:tcPr>
          <w:p>
            <w:pPr>
              <w:spacing w:after="0"/>
              <w:rPr>
                <w:sz w:val="1"/>
                <w:szCs w:val="1"/>
                <w:color w:val="auto"/>
              </w:rPr>
            </w:pPr>
          </w:p>
        </w:tc>
      </w:tr>
      <w:tr>
        <w:trPr>
          <w:trHeight w:val="182"/>
        </w:trPr>
        <w:tc>
          <w:tcPr>
            <w:tcW w:w="4220" w:type="dxa"/>
            <w:vAlign w:val="bottom"/>
          </w:tcPr>
          <w:p>
            <w:pPr>
              <w:spacing w:after="0"/>
              <w:rPr>
                <w:sz w:val="20"/>
                <w:szCs w:val="20"/>
                <w:color w:val="auto"/>
              </w:rPr>
            </w:pPr>
            <w:r>
              <w:rPr>
                <w:rFonts w:ascii="Arial" w:cs="Arial" w:eastAsia="Arial" w:hAnsi="Arial"/>
                <w:sz w:val="12"/>
                <w:szCs w:val="12"/>
                <w:color w:val="auto"/>
              </w:rPr>
              <w:t xml:space="preserve">Operating lease right-of-use assets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44,364</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48,006</w:t>
            </w:r>
          </w:p>
        </w:tc>
        <w:tc>
          <w:tcPr>
            <w:tcW w:w="0" w:type="dxa"/>
            <w:vAlign w:val="bottom"/>
          </w:tcPr>
          <w:p>
            <w:pPr>
              <w:spacing w:after="0"/>
              <w:rPr>
                <w:sz w:val="1"/>
                <w:szCs w:val="1"/>
                <w:color w:val="auto"/>
              </w:rPr>
            </w:pPr>
          </w:p>
        </w:tc>
      </w:tr>
      <w:tr>
        <w:trPr>
          <w:trHeight w:val="182"/>
        </w:trPr>
        <w:tc>
          <w:tcPr>
            <w:tcW w:w="4220" w:type="dxa"/>
            <w:vAlign w:val="bottom"/>
          </w:tcPr>
          <w:p>
            <w:pPr>
              <w:spacing w:after="0"/>
              <w:rPr>
                <w:sz w:val="20"/>
                <w:szCs w:val="20"/>
                <w:color w:val="auto"/>
              </w:rPr>
            </w:pPr>
            <w:r>
              <w:rPr>
                <w:rFonts w:ascii="Arial" w:cs="Arial" w:eastAsia="Arial" w:hAnsi="Arial"/>
                <w:sz w:val="12"/>
                <w:szCs w:val="12"/>
                <w:color w:val="auto"/>
              </w:rPr>
              <w:t xml:space="preserve">Property, equipment, and software, net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30,092</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29,538</w:t>
            </w:r>
          </w:p>
        </w:tc>
        <w:tc>
          <w:tcPr>
            <w:tcW w:w="0" w:type="dxa"/>
            <w:vAlign w:val="bottom"/>
          </w:tcPr>
          <w:p>
            <w:pPr>
              <w:spacing w:after="0"/>
              <w:rPr>
                <w:sz w:val="1"/>
                <w:szCs w:val="1"/>
                <w:color w:val="auto"/>
              </w:rPr>
            </w:pPr>
          </w:p>
        </w:tc>
      </w:tr>
      <w:tr>
        <w:trPr>
          <w:trHeight w:val="182"/>
        </w:trPr>
        <w:tc>
          <w:tcPr>
            <w:tcW w:w="4220" w:type="dxa"/>
            <w:vAlign w:val="bottom"/>
          </w:tcPr>
          <w:p>
            <w:pPr>
              <w:spacing w:after="0"/>
              <w:rPr>
                <w:sz w:val="20"/>
                <w:szCs w:val="20"/>
                <w:color w:val="auto"/>
              </w:rPr>
            </w:pPr>
            <w:r>
              <w:rPr>
                <w:rFonts w:ascii="Arial" w:cs="Arial" w:eastAsia="Arial" w:hAnsi="Arial"/>
                <w:sz w:val="12"/>
                <w:szCs w:val="12"/>
                <w:color w:val="auto"/>
              </w:rPr>
              <w:t xml:space="preserve">Intangible assets, net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56,346</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55,633</w:t>
            </w:r>
          </w:p>
        </w:tc>
        <w:tc>
          <w:tcPr>
            <w:tcW w:w="0" w:type="dxa"/>
            <w:vAlign w:val="bottom"/>
          </w:tcPr>
          <w:p>
            <w:pPr>
              <w:spacing w:after="0"/>
              <w:rPr>
                <w:sz w:val="1"/>
                <w:szCs w:val="1"/>
                <w:color w:val="auto"/>
              </w:rPr>
            </w:pPr>
          </w:p>
        </w:tc>
      </w:tr>
      <w:tr>
        <w:trPr>
          <w:trHeight w:val="182"/>
        </w:trPr>
        <w:tc>
          <w:tcPr>
            <w:tcW w:w="4220" w:type="dxa"/>
            <w:vAlign w:val="bottom"/>
          </w:tcPr>
          <w:p>
            <w:pPr>
              <w:spacing w:after="0"/>
              <w:rPr>
                <w:sz w:val="20"/>
                <w:szCs w:val="20"/>
                <w:color w:val="auto"/>
              </w:rPr>
            </w:pPr>
            <w:r>
              <w:rPr>
                <w:rFonts w:ascii="Arial" w:cs="Arial" w:eastAsia="Arial" w:hAnsi="Arial"/>
                <w:sz w:val="12"/>
                <w:szCs w:val="12"/>
                <w:color w:val="auto"/>
              </w:rPr>
              <w:t xml:space="preserve">Goodwill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234,656</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219,728</w:t>
            </w:r>
          </w:p>
        </w:tc>
        <w:tc>
          <w:tcPr>
            <w:tcW w:w="0" w:type="dxa"/>
            <w:vAlign w:val="bottom"/>
          </w:tcPr>
          <w:p>
            <w:pPr>
              <w:spacing w:after="0"/>
              <w:rPr>
                <w:sz w:val="1"/>
                <w:szCs w:val="1"/>
                <w:color w:val="auto"/>
              </w:rPr>
            </w:pPr>
          </w:p>
        </w:tc>
      </w:tr>
      <w:tr>
        <w:trPr>
          <w:trHeight w:val="182"/>
        </w:trPr>
        <w:tc>
          <w:tcPr>
            <w:tcW w:w="4220" w:type="dxa"/>
            <w:vAlign w:val="bottom"/>
          </w:tcPr>
          <w:p>
            <w:pPr>
              <w:spacing w:after="0"/>
              <w:rPr>
                <w:sz w:val="20"/>
                <w:szCs w:val="20"/>
                <w:color w:val="auto"/>
              </w:rPr>
            </w:pPr>
            <w:r>
              <w:rPr>
                <w:rFonts w:ascii="Arial" w:cs="Arial" w:eastAsia="Arial" w:hAnsi="Arial"/>
                <w:sz w:val="12"/>
                <w:szCs w:val="12"/>
                <w:color w:val="auto"/>
              </w:rPr>
              <w:t xml:space="preserve">Other non-current assets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23,866</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21,246</w:t>
            </w:r>
          </w:p>
        </w:tc>
        <w:tc>
          <w:tcPr>
            <w:tcW w:w="0" w:type="dxa"/>
            <w:vAlign w:val="bottom"/>
          </w:tcPr>
          <w:p>
            <w:pPr>
              <w:spacing w:after="0"/>
              <w:rPr>
                <w:sz w:val="1"/>
                <w:szCs w:val="1"/>
                <w:color w:val="auto"/>
              </w:rPr>
            </w:pPr>
          </w:p>
        </w:tc>
      </w:tr>
      <w:tr>
        <w:trPr>
          <w:trHeight w:val="182"/>
        </w:trPr>
        <w:tc>
          <w:tcPr>
            <w:tcW w:w="4220" w:type="dxa"/>
            <w:vAlign w:val="bottom"/>
          </w:tcPr>
          <w:p>
            <w:pPr>
              <w:spacing w:after="0"/>
              <w:rPr>
                <w:sz w:val="20"/>
                <w:szCs w:val="20"/>
                <w:color w:val="auto"/>
              </w:rPr>
            </w:pPr>
            <w:r>
              <w:rPr>
                <w:rFonts w:ascii="Arial" w:cs="Arial" w:eastAsia="Arial" w:hAnsi="Arial"/>
                <w:sz w:val="12"/>
                <w:szCs w:val="12"/>
                <w:color w:val="auto"/>
              </w:rPr>
              <w:t xml:space="preserve">Total assets </w:t>
            </w:r>
            <w:r>
              <w:rPr>
                <w:rFonts w:ascii="Times New Roman" w:cs="Times New Roman" w:eastAsia="Times New Roman" w:hAnsi="Times New Roman"/>
                <w:sz w:val="12"/>
                <w:szCs w:val="12"/>
                <w:color w:val="B4B4B4"/>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1,134,391</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1,083,954</w:t>
            </w:r>
          </w:p>
        </w:tc>
        <w:tc>
          <w:tcPr>
            <w:tcW w:w="0" w:type="dxa"/>
            <w:vAlign w:val="bottom"/>
          </w:tcPr>
          <w:p>
            <w:pPr>
              <w:spacing w:after="0"/>
              <w:rPr>
                <w:sz w:val="1"/>
                <w:szCs w:val="1"/>
                <w:color w:val="auto"/>
              </w:rPr>
            </w:pPr>
          </w:p>
        </w:tc>
      </w:tr>
      <w:tr>
        <w:trPr>
          <w:trHeight w:val="151"/>
        </w:trPr>
        <w:tc>
          <w:tcPr>
            <w:tcW w:w="4220" w:type="dxa"/>
            <w:vAlign w:val="bottom"/>
          </w:tcPr>
          <w:p>
            <w:pPr>
              <w:spacing w:after="0"/>
              <w:rPr>
                <w:sz w:val="20"/>
                <w:szCs w:val="20"/>
                <w:color w:val="auto"/>
              </w:rPr>
            </w:pPr>
            <w:r>
              <w:rPr>
                <w:rFonts w:ascii="Arial" w:cs="Arial" w:eastAsia="Arial" w:hAnsi="Arial"/>
                <w:sz w:val="12"/>
                <w:szCs w:val="12"/>
                <w:b w:val="1"/>
                <w:bCs w:val="1"/>
                <w:color w:val="auto"/>
              </w:rPr>
              <w:t>Liabilities, redeemable convertible preferred stock and stockholders’</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220" w:type="dxa"/>
            <w:vAlign w:val="bottom"/>
          </w:tcPr>
          <w:p>
            <w:pPr>
              <w:ind w:left="100"/>
              <w:spacing w:after="0"/>
              <w:rPr>
                <w:sz w:val="20"/>
                <w:szCs w:val="20"/>
                <w:color w:val="auto"/>
              </w:rPr>
            </w:pPr>
            <w:r>
              <w:rPr>
                <w:rFonts w:ascii="Arial" w:cs="Arial" w:eastAsia="Arial" w:hAnsi="Arial"/>
                <w:sz w:val="12"/>
                <w:szCs w:val="12"/>
                <w:b w:val="1"/>
                <w:bCs w:val="1"/>
                <w:color w:val="auto"/>
              </w:rPr>
              <w:t>deficit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20" w:type="dxa"/>
            <w:vAlign w:val="bottom"/>
          </w:tcPr>
          <w:p>
            <w:pPr>
              <w:spacing w:after="0"/>
              <w:rPr>
                <w:sz w:val="20"/>
                <w:szCs w:val="20"/>
                <w:color w:val="auto"/>
              </w:rPr>
            </w:pPr>
            <w:r>
              <w:rPr>
                <w:rFonts w:ascii="Arial" w:cs="Arial" w:eastAsia="Arial" w:hAnsi="Arial"/>
                <w:sz w:val="12"/>
                <w:szCs w:val="12"/>
                <w:color w:val="auto"/>
              </w:rPr>
              <w:t>Current liabilities: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20" w:type="dxa"/>
            <w:vAlign w:val="bottom"/>
          </w:tcPr>
          <w:p>
            <w:pPr>
              <w:ind w:left="140"/>
              <w:spacing w:after="0"/>
              <w:rPr>
                <w:sz w:val="20"/>
                <w:szCs w:val="20"/>
                <w:color w:val="auto"/>
              </w:rPr>
            </w:pPr>
            <w:r>
              <w:rPr>
                <w:rFonts w:ascii="Arial" w:cs="Arial" w:eastAsia="Arial" w:hAnsi="Arial"/>
                <w:sz w:val="12"/>
                <w:szCs w:val="12"/>
                <w:color w:val="auto"/>
              </w:rPr>
              <w:t xml:space="preserve">Accounts payabl  </w:t>
            </w:r>
            <w:r>
              <w:rPr>
                <w:rFonts w:ascii="Times New Roman" w:cs="Times New Roman" w:eastAsia="Times New Roman" w:hAnsi="Times New Roman"/>
                <w:sz w:val="12"/>
                <w:szCs w:val="12"/>
                <w:color w:val="B4B4B4"/>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48,209</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42,829</w:t>
            </w:r>
          </w:p>
        </w:tc>
        <w:tc>
          <w:tcPr>
            <w:tcW w:w="0" w:type="dxa"/>
            <w:vAlign w:val="bottom"/>
          </w:tcPr>
          <w:p>
            <w:pPr>
              <w:spacing w:after="0"/>
              <w:rPr>
                <w:sz w:val="1"/>
                <w:szCs w:val="1"/>
                <w:color w:val="auto"/>
              </w:rPr>
            </w:pPr>
          </w:p>
        </w:tc>
      </w:tr>
      <w:tr>
        <w:trPr>
          <w:trHeight w:val="86"/>
        </w:trPr>
        <w:tc>
          <w:tcPr>
            <w:tcW w:w="4220" w:type="dxa"/>
            <w:vAlign w:val="bottom"/>
          </w:tcPr>
          <w:p>
            <w:pPr>
              <w:ind w:left="140"/>
              <w:spacing w:after="0" w:line="86" w:lineRule="exact"/>
              <w:rPr>
                <w:sz w:val="20"/>
                <w:szCs w:val="20"/>
                <w:color w:val="auto"/>
              </w:rPr>
            </w:pPr>
            <w:r>
              <w:rPr>
                <w:rFonts w:ascii="Arial" w:cs="Arial" w:eastAsia="Arial" w:hAnsi="Arial"/>
                <w:sz w:val="9"/>
                <w:szCs w:val="9"/>
                <w:color w:val="auto"/>
              </w:rPr>
              <w:t>e</w:t>
            </w:r>
          </w:p>
        </w:tc>
        <w:tc>
          <w:tcPr>
            <w:tcW w:w="10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148,787</w:t>
            </w:r>
          </w:p>
        </w:tc>
        <w:tc>
          <w:tcPr>
            <w:tcW w:w="16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136,798</w:t>
            </w:r>
          </w:p>
        </w:tc>
        <w:tc>
          <w:tcPr>
            <w:tcW w:w="0" w:type="dxa"/>
            <w:vAlign w:val="bottom"/>
          </w:tcPr>
          <w:p>
            <w:pPr>
              <w:spacing w:after="0"/>
              <w:rPr>
                <w:sz w:val="1"/>
                <w:szCs w:val="1"/>
                <w:color w:val="auto"/>
              </w:rPr>
            </w:pPr>
          </w:p>
        </w:tc>
      </w:tr>
      <w:tr>
        <w:trPr>
          <w:trHeight w:val="153"/>
        </w:trPr>
        <w:tc>
          <w:tcPr>
            <w:tcW w:w="4220" w:type="dxa"/>
            <w:vAlign w:val="bottom"/>
          </w:tcPr>
          <w:p>
            <w:pPr>
              <w:ind w:left="140"/>
              <w:spacing w:after="0"/>
              <w:rPr>
                <w:sz w:val="20"/>
                <w:szCs w:val="20"/>
                <w:color w:val="auto"/>
              </w:rPr>
            </w:pPr>
            <w:r>
              <w:rPr>
                <w:rFonts w:ascii="Arial" w:cs="Arial" w:eastAsia="Arial" w:hAnsi="Arial"/>
                <w:sz w:val="12"/>
                <w:szCs w:val="12"/>
                <w:color w:val="auto"/>
              </w:rPr>
              <w:t xml:space="preserve">Accrued expenses and other current liabilities </w:t>
            </w:r>
            <w:r>
              <w:rPr>
                <w:rFonts w:ascii="Times New Roman" w:cs="Times New Roman" w:eastAsia="Times New Roman" w:hAnsi="Times New Roman"/>
                <w:sz w:val="12"/>
                <w:szCs w:val="12"/>
                <w:color w:val="B4B4B4"/>
              </w:rPr>
              <w:t>..............................................</w:t>
            </w: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220" w:type="dxa"/>
            <w:vAlign w:val="bottom"/>
          </w:tcPr>
          <w:p>
            <w:pPr>
              <w:ind w:left="140"/>
              <w:spacing w:after="0"/>
              <w:rPr>
                <w:sz w:val="20"/>
                <w:szCs w:val="20"/>
                <w:color w:val="auto"/>
              </w:rPr>
            </w:pPr>
            <w:r>
              <w:rPr>
                <w:rFonts w:ascii="Arial" w:cs="Arial" w:eastAsia="Arial" w:hAnsi="Arial"/>
                <w:sz w:val="12"/>
                <w:szCs w:val="12"/>
                <w:color w:val="auto"/>
              </w:rPr>
              <w:t xml:space="preserve">Notes payable, current </w:t>
            </w:r>
            <w:r>
              <w:rPr>
                <w:rFonts w:ascii="Times New Roman" w:cs="Times New Roman" w:eastAsia="Times New Roman" w:hAnsi="Times New Roman"/>
                <w:sz w:val="12"/>
                <w:szCs w:val="12"/>
                <w:color w:val="B4B4B4"/>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1,602</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175,913</w:t>
            </w:r>
          </w:p>
        </w:tc>
        <w:tc>
          <w:tcPr>
            <w:tcW w:w="0" w:type="dxa"/>
            <w:vAlign w:val="bottom"/>
          </w:tcPr>
          <w:p>
            <w:pPr>
              <w:spacing w:after="0"/>
              <w:rPr>
                <w:sz w:val="1"/>
                <w:szCs w:val="1"/>
                <w:color w:val="auto"/>
              </w:rPr>
            </w:pPr>
          </w:p>
        </w:tc>
      </w:tr>
      <w:tr>
        <w:trPr>
          <w:trHeight w:val="182"/>
        </w:trPr>
        <w:tc>
          <w:tcPr>
            <w:tcW w:w="4220" w:type="dxa"/>
            <w:vAlign w:val="bottom"/>
          </w:tcPr>
          <w:p>
            <w:pPr>
              <w:ind w:left="140"/>
              <w:spacing w:after="0"/>
              <w:rPr>
                <w:sz w:val="20"/>
                <w:szCs w:val="20"/>
                <w:color w:val="auto"/>
              </w:rPr>
            </w:pPr>
            <w:r>
              <w:rPr>
                <w:rFonts w:ascii="Arial" w:cs="Arial" w:eastAsia="Arial" w:hAnsi="Arial"/>
                <w:sz w:val="12"/>
                <w:szCs w:val="12"/>
                <w:color w:val="auto"/>
              </w:rPr>
              <w:t xml:space="preserve">Trade loan facility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45,000</w:t>
            </w:r>
          </w:p>
        </w:tc>
        <w:tc>
          <w:tcPr>
            <w:tcW w:w="0" w:type="dxa"/>
            <w:vAlign w:val="bottom"/>
          </w:tcPr>
          <w:p>
            <w:pPr>
              <w:spacing w:after="0"/>
              <w:rPr>
                <w:sz w:val="1"/>
                <w:szCs w:val="1"/>
                <w:color w:val="auto"/>
              </w:rPr>
            </w:pPr>
          </w:p>
        </w:tc>
      </w:tr>
      <w:tr>
        <w:trPr>
          <w:trHeight w:val="182"/>
        </w:trPr>
        <w:tc>
          <w:tcPr>
            <w:tcW w:w="4220" w:type="dxa"/>
            <w:vAlign w:val="bottom"/>
          </w:tcPr>
          <w:p>
            <w:pPr>
              <w:ind w:left="140"/>
              <w:spacing w:after="0"/>
              <w:rPr>
                <w:sz w:val="20"/>
                <w:szCs w:val="20"/>
                <w:color w:val="auto"/>
              </w:rPr>
            </w:pPr>
            <w:r>
              <w:rPr>
                <w:rFonts w:ascii="Arial" w:cs="Arial" w:eastAsia="Arial" w:hAnsi="Arial"/>
                <w:sz w:val="12"/>
                <w:szCs w:val="12"/>
                <w:color w:val="auto"/>
              </w:rPr>
              <w:t xml:space="preserve">Operating lease liabilities, current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11,056</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11,389</w:t>
            </w:r>
          </w:p>
        </w:tc>
        <w:tc>
          <w:tcPr>
            <w:tcW w:w="0" w:type="dxa"/>
            <w:vAlign w:val="bottom"/>
          </w:tcPr>
          <w:p>
            <w:pPr>
              <w:spacing w:after="0"/>
              <w:rPr>
                <w:sz w:val="1"/>
                <w:szCs w:val="1"/>
                <w:color w:val="auto"/>
              </w:rPr>
            </w:pPr>
          </w:p>
        </w:tc>
      </w:tr>
      <w:tr>
        <w:trPr>
          <w:trHeight w:val="182"/>
        </w:trPr>
        <w:tc>
          <w:tcPr>
            <w:tcW w:w="4220" w:type="dxa"/>
            <w:vAlign w:val="bottom"/>
          </w:tcPr>
          <w:p>
            <w:pPr>
              <w:spacing w:after="0"/>
              <w:rPr>
                <w:sz w:val="20"/>
                <w:szCs w:val="20"/>
                <w:color w:val="auto"/>
              </w:rPr>
            </w:pPr>
            <w:r>
              <w:rPr>
                <w:rFonts w:ascii="Arial" w:cs="Arial" w:eastAsia="Arial" w:hAnsi="Arial"/>
                <w:sz w:val="12"/>
                <w:szCs w:val="12"/>
                <w:color w:val="auto"/>
              </w:rPr>
              <w:t xml:space="preserve">Deferred revenue, current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39,589</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34,097</w:t>
            </w:r>
          </w:p>
        </w:tc>
        <w:tc>
          <w:tcPr>
            <w:tcW w:w="0" w:type="dxa"/>
            <w:vAlign w:val="bottom"/>
          </w:tcPr>
          <w:p>
            <w:pPr>
              <w:spacing w:after="0"/>
              <w:rPr>
                <w:sz w:val="1"/>
                <w:szCs w:val="1"/>
                <w:color w:val="auto"/>
              </w:rPr>
            </w:pPr>
          </w:p>
        </w:tc>
      </w:tr>
      <w:tr>
        <w:trPr>
          <w:trHeight w:val="182"/>
        </w:trPr>
        <w:tc>
          <w:tcPr>
            <w:tcW w:w="4220" w:type="dxa"/>
            <w:vAlign w:val="bottom"/>
          </w:tcPr>
          <w:p>
            <w:pPr>
              <w:spacing w:after="0"/>
              <w:rPr>
                <w:sz w:val="20"/>
                <w:szCs w:val="20"/>
                <w:color w:val="auto"/>
              </w:rPr>
            </w:pPr>
            <w:r>
              <w:rPr>
                <w:rFonts w:ascii="Arial" w:cs="Arial" w:eastAsia="Arial" w:hAnsi="Arial"/>
                <w:sz w:val="12"/>
                <w:szCs w:val="12"/>
                <w:color w:val="auto"/>
              </w:rPr>
              <w:t xml:space="preserve">Total current liabilities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249,243</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446,026</w:t>
            </w:r>
          </w:p>
        </w:tc>
        <w:tc>
          <w:tcPr>
            <w:tcW w:w="0" w:type="dxa"/>
            <w:vAlign w:val="bottom"/>
          </w:tcPr>
          <w:p>
            <w:pPr>
              <w:spacing w:after="0"/>
              <w:rPr>
                <w:sz w:val="1"/>
                <w:szCs w:val="1"/>
                <w:color w:val="auto"/>
              </w:rPr>
            </w:pPr>
          </w:p>
        </w:tc>
      </w:tr>
      <w:tr>
        <w:trPr>
          <w:trHeight w:val="182"/>
        </w:trPr>
        <w:tc>
          <w:tcPr>
            <w:tcW w:w="4220" w:type="dxa"/>
            <w:vAlign w:val="bottom"/>
          </w:tcPr>
          <w:p>
            <w:pPr>
              <w:spacing w:after="0"/>
              <w:rPr>
                <w:sz w:val="20"/>
                <w:szCs w:val="20"/>
                <w:color w:val="auto"/>
              </w:rPr>
            </w:pPr>
            <w:r>
              <w:rPr>
                <w:rFonts w:ascii="Arial" w:cs="Arial" w:eastAsia="Arial" w:hAnsi="Arial"/>
                <w:sz w:val="12"/>
                <w:szCs w:val="12"/>
                <w:color w:val="auto"/>
              </w:rPr>
              <w:t xml:space="preserve">Operating lease liabilities, non-current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39,718</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43,098</w:t>
            </w:r>
          </w:p>
        </w:tc>
        <w:tc>
          <w:tcPr>
            <w:tcW w:w="0" w:type="dxa"/>
            <w:vAlign w:val="bottom"/>
          </w:tcPr>
          <w:p>
            <w:pPr>
              <w:spacing w:after="0"/>
              <w:rPr>
                <w:sz w:val="1"/>
                <w:szCs w:val="1"/>
                <w:color w:val="auto"/>
              </w:rPr>
            </w:pPr>
          </w:p>
        </w:tc>
      </w:tr>
      <w:tr>
        <w:trPr>
          <w:trHeight w:val="182"/>
        </w:trPr>
        <w:tc>
          <w:tcPr>
            <w:tcW w:w="4220" w:type="dxa"/>
            <w:vAlign w:val="bottom"/>
          </w:tcPr>
          <w:p>
            <w:pPr>
              <w:spacing w:after="0"/>
              <w:rPr>
                <w:sz w:val="20"/>
                <w:szCs w:val="20"/>
                <w:color w:val="auto"/>
              </w:rPr>
            </w:pPr>
            <w:r>
              <w:rPr>
                <w:rFonts w:ascii="Arial" w:cs="Arial" w:eastAsia="Arial" w:hAnsi="Arial"/>
                <w:sz w:val="12"/>
                <w:szCs w:val="12"/>
                <w:color w:val="auto"/>
              </w:rPr>
              <w:t xml:space="preserve">Convertible notes and SAFEs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358,163</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182,394</w:t>
            </w:r>
          </w:p>
        </w:tc>
        <w:tc>
          <w:tcPr>
            <w:tcW w:w="0" w:type="dxa"/>
            <w:vAlign w:val="bottom"/>
          </w:tcPr>
          <w:p>
            <w:pPr>
              <w:spacing w:after="0"/>
              <w:rPr>
                <w:sz w:val="1"/>
                <w:szCs w:val="1"/>
                <w:color w:val="auto"/>
              </w:rPr>
            </w:pPr>
          </w:p>
        </w:tc>
      </w:tr>
      <w:tr>
        <w:trPr>
          <w:trHeight w:val="182"/>
        </w:trPr>
        <w:tc>
          <w:tcPr>
            <w:tcW w:w="4220" w:type="dxa"/>
            <w:vAlign w:val="bottom"/>
          </w:tcPr>
          <w:p>
            <w:pPr>
              <w:spacing w:after="0"/>
              <w:rPr>
                <w:sz w:val="20"/>
                <w:szCs w:val="20"/>
                <w:color w:val="auto"/>
              </w:rPr>
            </w:pPr>
            <w:r>
              <w:rPr>
                <w:rFonts w:ascii="Arial" w:cs="Arial" w:eastAsia="Arial" w:hAnsi="Arial"/>
                <w:sz w:val="12"/>
                <w:szCs w:val="12"/>
                <w:color w:val="auto"/>
              </w:rPr>
              <w:t xml:space="preserve">Embedded derivative and common stock warrant liabilities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69,700</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59,820</w:t>
            </w:r>
          </w:p>
        </w:tc>
        <w:tc>
          <w:tcPr>
            <w:tcW w:w="0" w:type="dxa"/>
            <w:vAlign w:val="bottom"/>
          </w:tcPr>
          <w:p>
            <w:pPr>
              <w:spacing w:after="0"/>
              <w:rPr>
                <w:sz w:val="1"/>
                <w:szCs w:val="1"/>
                <w:color w:val="auto"/>
              </w:rPr>
            </w:pPr>
          </w:p>
        </w:tc>
      </w:tr>
      <w:tr>
        <w:trPr>
          <w:trHeight w:val="182"/>
        </w:trPr>
        <w:tc>
          <w:tcPr>
            <w:tcW w:w="4220" w:type="dxa"/>
            <w:vAlign w:val="bottom"/>
          </w:tcPr>
          <w:p>
            <w:pPr>
              <w:spacing w:after="0"/>
              <w:rPr>
                <w:sz w:val="20"/>
                <w:szCs w:val="20"/>
                <w:color w:val="auto"/>
              </w:rPr>
            </w:pPr>
            <w:r>
              <w:rPr>
                <w:rFonts w:ascii="Arial" w:cs="Arial" w:eastAsia="Arial" w:hAnsi="Arial"/>
                <w:sz w:val="12"/>
                <w:szCs w:val="12"/>
                <w:color w:val="auto"/>
              </w:rPr>
              <w:t xml:space="preserve">ABL facility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34,500</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2"/>
        </w:trPr>
        <w:tc>
          <w:tcPr>
            <w:tcW w:w="4220" w:type="dxa"/>
            <w:vAlign w:val="bottom"/>
          </w:tcPr>
          <w:p>
            <w:pPr>
              <w:spacing w:after="0"/>
              <w:rPr>
                <w:sz w:val="20"/>
                <w:szCs w:val="20"/>
                <w:color w:val="auto"/>
              </w:rPr>
            </w:pPr>
            <w:r>
              <w:rPr>
                <w:rFonts w:ascii="Arial" w:cs="Arial" w:eastAsia="Arial" w:hAnsi="Arial"/>
                <w:sz w:val="12"/>
                <w:szCs w:val="12"/>
                <w:color w:val="auto"/>
              </w:rPr>
              <w:t xml:space="preserve">Warehouse credit facility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148,174</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214,238</w:t>
            </w:r>
          </w:p>
        </w:tc>
        <w:tc>
          <w:tcPr>
            <w:tcW w:w="0" w:type="dxa"/>
            <w:vAlign w:val="bottom"/>
          </w:tcPr>
          <w:p>
            <w:pPr>
              <w:spacing w:after="0"/>
              <w:rPr>
                <w:sz w:val="1"/>
                <w:szCs w:val="1"/>
                <w:color w:val="auto"/>
              </w:rPr>
            </w:pPr>
          </w:p>
        </w:tc>
      </w:tr>
    </w:tbl>
    <w:p>
      <w:pPr>
        <w:sectPr>
          <w:pgSz w:w="11900" w:h="16840" w:orient="portrait"/>
          <w:cols w:equalWidth="0" w:num="1">
            <w:col w:w="9020"/>
          </w:cols>
          <w:pgMar w:left="1440" w:top="1440" w:right="1440" w:bottom="50" w:gutter="0" w:footer="0" w:header="0"/>
        </w:sectPr>
      </w:pPr>
    </w:p>
    <w:bookmarkStart w:id="190" w:name="page191"/>
    <w:bookmarkEnd w:id="19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tbl>
      <w:tblPr>
        <w:tblLayout w:type="fixed"/>
        <w:tblInd w:w="600" w:type="dxa"/>
        <w:tblCellMar>
          <w:top w:w="0" w:type="dxa"/>
          <w:left w:w="0" w:type="dxa"/>
          <w:bottom w:w="0" w:type="dxa"/>
          <w:right w:w="0" w:type="dxa"/>
        </w:tblCellMar>
      </w:tblPr>
      <w:tr>
        <w:trPr>
          <w:trHeight w:val="163"/>
        </w:trPr>
        <w:tc>
          <w:tcPr>
            <w:tcW w:w="920" w:type="dxa"/>
            <w:vAlign w:val="bottom"/>
          </w:tcPr>
          <w:p>
            <w:pPr>
              <w:spacing w:after="0"/>
              <w:rPr>
                <w:sz w:val="14"/>
                <w:szCs w:val="14"/>
                <w:color w:val="auto"/>
              </w:rPr>
            </w:pPr>
          </w:p>
        </w:tc>
        <w:tc>
          <w:tcPr>
            <w:tcW w:w="4260" w:type="dxa"/>
            <w:vAlign w:val="bottom"/>
          </w:tcPr>
          <w:p>
            <w:pPr>
              <w:ind w:left="40"/>
              <w:spacing w:after="0"/>
              <w:rPr>
                <w:sz w:val="20"/>
                <w:szCs w:val="20"/>
                <w:color w:val="auto"/>
              </w:rPr>
            </w:pPr>
            <w:r>
              <w:rPr>
                <w:rFonts w:ascii="Arial" w:cs="Arial" w:eastAsia="Arial" w:hAnsi="Arial"/>
                <w:sz w:val="12"/>
                <w:szCs w:val="12"/>
                <w:color w:val="auto"/>
              </w:rPr>
              <w:t xml:space="preserve">Notes payable, non-current </w:t>
            </w:r>
            <w:r>
              <w:rPr>
                <w:rFonts w:ascii="Times New Roman" w:cs="Times New Roman" w:eastAsia="Times New Roman" w:hAnsi="Times New Roman"/>
                <w:sz w:val="12"/>
                <w:szCs w:val="12"/>
                <w:color w:val="B4B4B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117,321</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394</w:t>
            </w:r>
          </w:p>
        </w:tc>
        <w:tc>
          <w:tcPr>
            <w:tcW w:w="920" w:type="dxa"/>
            <w:vAlign w:val="bottom"/>
          </w:tcPr>
          <w:p>
            <w:pPr>
              <w:spacing w:after="0"/>
              <w:rPr>
                <w:sz w:val="14"/>
                <w:szCs w:val="14"/>
                <w:color w:val="auto"/>
              </w:rPr>
            </w:pPr>
          </w:p>
        </w:tc>
      </w:tr>
      <w:tr>
        <w:trPr>
          <w:trHeight w:val="152"/>
        </w:trPr>
        <w:tc>
          <w:tcPr>
            <w:tcW w:w="920" w:type="dxa"/>
            <w:vAlign w:val="bottom"/>
          </w:tcPr>
          <w:p>
            <w:pPr>
              <w:spacing w:after="0"/>
              <w:rPr>
                <w:sz w:val="13"/>
                <w:szCs w:val="13"/>
                <w:color w:val="auto"/>
              </w:rPr>
            </w:pPr>
          </w:p>
        </w:tc>
        <w:tc>
          <w:tcPr>
            <w:tcW w:w="4260" w:type="dxa"/>
            <w:vAlign w:val="bottom"/>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Deferredrevenue,non-current</w:t>
            </w:r>
          </w:p>
        </w:tc>
        <w:tc>
          <w:tcPr>
            <w:tcW w:w="840" w:type="dxa"/>
            <w:vAlign w:val="bottom"/>
          </w:tcPr>
          <w:p>
            <w:pPr>
              <w:jc w:val="right"/>
              <w:spacing w:after="0"/>
              <w:rPr>
                <w:sz w:val="20"/>
                <w:szCs w:val="20"/>
                <w:color w:val="auto"/>
              </w:rPr>
            </w:pPr>
            <w:r>
              <w:rPr>
                <w:rFonts w:ascii="Arial" w:cs="Arial" w:eastAsia="Arial" w:hAnsi="Arial"/>
                <w:sz w:val="12"/>
                <w:szCs w:val="12"/>
                <w:color w:val="auto"/>
              </w:rPr>
              <w:t>1,224</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813</w:t>
            </w:r>
          </w:p>
        </w:tc>
        <w:tc>
          <w:tcPr>
            <w:tcW w:w="920" w:type="dxa"/>
            <w:vAlign w:val="bottom"/>
          </w:tcPr>
          <w:p>
            <w:pPr>
              <w:spacing w:after="0"/>
              <w:rPr>
                <w:sz w:val="13"/>
                <w:szCs w:val="13"/>
                <w:color w:val="auto"/>
              </w:rPr>
            </w:pPr>
          </w:p>
        </w:tc>
      </w:tr>
      <w:tr>
        <w:trPr>
          <w:trHeight w:val="165"/>
        </w:trPr>
        <w:tc>
          <w:tcPr>
            <w:tcW w:w="920" w:type="dxa"/>
            <w:vAlign w:val="bottom"/>
          </w:tcPr>
          <w:p>
            <w:pPr>
              <w:spacing w:after="0"/>
              <w:rPr>
                <w:sz w:val="14"/>
                <w:szCs w:val="14"/>
                <w:color w:val="auto"/>
              </w:rPr>
            </w:pPr>
          </w:p>
        </w:tc>
        <w:tc>
          <w:tcPr>
            <w:tcW w:w="4260" w:type="dxa"/>
            <w:vAlign w:val="bottom"/>
          </w:tcPr>
          <w:p>
            <w:pPr>
              <w:ind w:left="40"/>
              <w:spacing w:after="0"/>
              <w:rPr>
                <w:sz w:val="20"/>
                <w:szCs w:val="20"/>
                <w:color w:val="auto"/>
              </w:rPr>
            </w:pPr>
            <w:r>
              <w:rPr>
                <w:rFonts w:ascii="Arial" w:cs="Arial" w:eastAsia="Arial" w:hAnsi="Arial"/>
                <w:sz w:val="12"/>
                <w:szCs w:val="12"/>
                <w:color w:val="auto"/>
              </w:rPr>
              <w:t xml:space="preserve">Other non-current liabilities </w:t>
            </w:r>
            <w:r>
              <w:rPr>
                <w:rFonts w:ascii="Times New Roman" w:cs="Times New Roman" w:eastAsia="Times New Roman" w:hAnsi="Times New Roman"/>
                <w:sz w:val="12"/>
                <w:szCs w:val="12"/>
                <w:color w:val="B4B4B4"/>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23,678</w:t>
            </w:r>
          </w:p>
        </w:tc>
        <w:tc>
          <w:tcPr>
            <w:tcW w:w="40" w:type="dxa"/>
            <w:vAlign w:val="bottom"/>
          </w:tcPr>
          <w:p>
            <w:pPr>
              <w:spacing w:after="0"/>
              <w:rPr>
                <w:sz w:val="14"/>
                <w:szCs w:val="14"/>
                <w:color w:val="auto"/>
              </w:rPr>
            </w:pP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22,949</w:t>
            </w:r>
          </w:p>
        </w:tc>
        <w:tc>
          <w:tcPr>
            <w:tcW w:w="920" w:type="dxa"/>
            <w:vAlign w:val="bottom"/>
          </w:tcPr>
          <w:p>
            <w:pPr>
              <w:spacing w:after="0"/>
              <w:rPr>
                <w:sz w:val="14"/>
                <w:szCs w:val="14"/>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40"/>
              <w:spacing w:after="0"/>
              <w:rPr>
                <w:sz w:val="20"/>
                <w:szCs w:val="20"/>
                <w:color w:val="auto"/>
              </w:rPr>
            </w:pPr>
            <w:r>
              <w:rPr>
                <w:rFonts w:ascii="Arial" w:cs="Arial" w:eastAsia="Arial" w:hAnsi="Arial"/>
                <w:sz w:val="12"/>
                <w:szCs w:val="12"/>
                <w:color w:val="auto"/>
              </w:rPr>
              <w:t xml:space="preserve">Total liabilities </w:t>
            </w:r>
            <w:r>
              <w:rPr>
                <w:rFonts w:ascii="Times New Roman" w:cs="Times New Roman" w:eastAsia="Times New Roman" w:hAnsi="Times New Roman"/>
                <w:sz w:val="12"/>
                <w:szCs w:val="12"/>
                <w:color w:val="B4B4B4"/>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1,041,721</w:t>
            </w:r>
          </w:p>
        </w:tc>
        <w:tc>
          <w:tcPr>
            <w:tcW w:w="880" w:type="dxa"/>
            <w:vAlign w:val="bottom"/>
            <w:gridSpan w:val="2"/>
          </w:tcPr>
          <w:p>
            <w:pPr>
              <w:jc w:val="right"/>
              <w:ind w:right="18"/>
              <w:spacing w:after="0"/>
              <w:rPr>
                <w:sz w:val="20"/>
                <w:szCs w:val="20"/>
                <w:color w:val="auto"/>
              </w:rPr>
            </w:pPr>
            <w:r>
              <w:rPr>
                <w:rFonts w:ascii="Arial" w:cs="Arial" w:eastAsia="Arial" w:hAnsi="Arial"/>
                <w:sz w:val="12"/>
                <w:szCs w:val="12"/>
                <w:color w:val="auto"/>
              </w:rPr>
              <w:t>969,732</w:t>
            </w:r>
          </w:p>
        </w:tc>
        <w:tc>
          <w:tcPr>
            <w:tcW w:w="920" w:type="dxa"/>
            <w:vAlign w:val="bottom"/>
          </w:tcPr>
          <w:p>
            <w:pPr>
              <w:spacing w:after="0"/>
              <w:rPr>
                <w:sz w:val="15"/>
                <w:szCs w:val="15"/>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40"/>
              <w:spacing w:after="0"/>
              <w:rPr>
                <w:sz w:val="20"/>
                <w:szCs w:val="20"/>
                <w:color w:val="auto"/>
              </w:rPr>
            </w:pPr>
            <w:r>
              <w:rPr>
                <w:rFonts w:ascii="Arial" w:cs="Arial" w:eastAsia="Arial" w:hAnsi="Arial"/>
                <w:sz w:val="12"/>
                <w:szCs w:val="12"/>
                <w:color w:val="auto"/>
              </w:rPr>
              <w:t>Commitments and contingencies (Note 12)</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61"/>
        </w:trPr>
        <w:tc>
          <w:tcPr>
            <w:tcW w:w="920" w:type="dxa"/>
            <w:vAlign w:val="bottom"/>
          </w:tcPr>
          <w:p>
            <w:pPr>
              <w:spacing w:after="0"/>
              <w:rPr>
                <w:sz w:val="13"/>
                <w:szCs w:val="13"/>
                <w:color w:val="auto"/>
              </w:rPr>
            </w:pPr>
          </w:p>
        </w:tc>
        <w:tc>
          <w:tcPr>
            <w:tcW w:w="4260" w:type="dxa"/>
            <w:vAlign w:val="bottom"/>
          </w:tcPr>
          <w:p>
            <w:pPr>
              <w:ind w:left="40"/>
              <w:spacing w:after="0"/>
              <w:rPr>
                <w:sz w:val="20"/>
                <w:szCs w:val="20"/>
                <w:color w:val="auto"/>
              </w:rPr>
            </w:pPr>
            <w:r>
              <w:rPr>
                <w:rFonts w:ascii="Arial" w:cs="Arial" w:eastAsia="Arial" w:hAnsi="Arial"/>
                <w:sz w:val="12"/>
                <w:szCs w:val="12"/>
                <w:color w:val="auto"/>
              </w:rPr>
              <w:t>Redeemable convertible preferred stock, par value $0.00000625;</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24"/>
        </w:trPr>
        <w:tc>
          <w:tcPr>
            <w:tcW w:w="920" w:type="dxa"/>
            <w:vAlign w:val="bottom"/>
          </w:tcPr>
          <w:p>
            <w:pPr>
              <w:spacing w:after="0"/>
              <w:rPr>
                <w:sz w:val="10"/>
                <w:szCs w:val="10"/>
                <w:color w:val="auto"/>
              </w:rPr>
            </w:pPr>
          </w:p>
        </w:tc>
        <w:tc>
          <w:tcPr>
            <w:tcW w:w="4260" w:type="dxa"/>
            <w:vAlign w:val="bottom"/>
          </w:tcPr>
          <w:p>
            <w:pPr>
              <w:ind w:left="140"/>
              <w:spacing w:after="0" w:line="105" w:lineRule="exact"/>
              <w:rPr>
                <w:sz w:val="20"/>
                <w:szCs w:val="20"/>
                <w:color w:val="auto"/>
              </w:rPr>
            </w:pPr>
            <w:r>
              <w:rPr>
                <w:rFonts w:ascii="Arial" w:cs="Arial" w:eastAsia="Arial" w:hAnsi="Arial"/>
                <w:sz w:val="12"/>
                <w:szCs w:val="12"/>
                <w:color w:val="auto"/>
              </w:rPr>
              <w:t>157,027,585 shares authorized; 146,360,207 issued and outstanding</w:t>
            </w: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82"/>
        </w:trPr>
        <w:tc>
          <w:tcPr>
            <w:tcW w:w="920" w:type="dxa"/>
            <w:vAlign w:val="bottom"/>
          </w:tcPr>
          <w:p>
            <w:pPr>
              <w:spacing w:after="0"/>
              <w:rPr>
                <w:sz w:val="15"/>
                <w:szCs w:val="15"/>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 xml:space="preserve">(aggregate liquidation preference of $1,301,402)  </w:t>
            </w:r>
            <w:r>
              <w:rPr>
                <w:rFonts w:ascii="Times New Roman" w:cs="Times New Roman" w:eastAsia="Times New Roman" w:hAnsi="Times New Roman"/>
                <w:sz w:val="12"/>
                <w:szCs w:val="12"/>
                <w:color w:val="B4B4B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1,301,121</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2"/>
                <w:szCs w:val="12"/>
                <w:color w:val="auto"/>
              </w:rPr>
              <w:t>1,301,121</w:t>
            </w:r>
          </w:p>
        </w:tc>
        <w:tc>
          <w:tcPr>
            <w:tcW w:w="920" w:type="dxa"/>
            <w:vAlign w:val="bottom"/>
          </w:tcPr>
          <w:p>
            <w:pPr>
              <w:spacing w:after="0"/>
              <w:rPr>
                <w:sz w:val="15"/>
                <w:szCs w:val="15"/>
                <w:color w:val="auto"/>
              </w:rPr>
            </w:pPr>
          </w:p>
        </w:tc>
      </w:tr>
      <w:tr>
        <w:trPr>
          <w:trHeight w:val="182"/>
        </w:trPr>
        <w:tc>
          <w:tcPr>
            <w:tcW w:w="9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2"/>
        </w:trPr>
        <w:tc>
          <w:tcPr>
            <w:tcW w:w="920" w:type="dxa"/>
            <w:vAlign w:val="bottom"/>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20" w:type="dxa"/>
            <w:vAlign w:val="bottom"/>
          </w:tcPr>
          <w:p>
            <w:pPr>
              <w:spacing w:after="0"/>
              <w:rPr>
                <w:sz w:val="15"/>
                <w:szCs w:val="15"/>
                <w:color w:val="auto"/>
              </w:rPr>
            </w:pPr>
          </w:p>
        </w:tc>
      </w:tr>
      <w:tr>
        <w:trPr>
          <w:trHeight w:val="182"/>
        </w:trPr>
        <w:tc>
          <w:tcPr>
            <w:tcW w:w="920" w:type="dxa"/>
            <w:vAlign w:val="bottom"/>
          </w:tcPr>
          <w:p>
            <w:pPr>
              <w:spacing w:after="0"/>
              <w:rPr>
                <w:sz w:val="15"/>
                <w:szCs w:val="15"/>
                <w:color w:val="auto"/>
              </w:rPr>
            </w:pPr>
          </w:p>
        </w:tc>
        <w:tc>
          <w:tcPr>
            <w:tcW w:w="42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920" w:type="dxa"/>
            <w:vAlign w:val="bottom"/>
          </w:tcPr>
          <w:p>
            <w:pPr>
              <w:spacing w:after="0"/>
              <w:rPr>
                <w:sz w:val="15"/>
                <w:szCs w:val="15"/>
                <w:color w:val="auto"/>
              </w:rPr>
            </w:pPr>
          </w:p>
        </w:tc>
      </w:tr>
      <w:tr>
        <w:trPr>
          <w:trHeight w:val="162"/>
        </w:trPr>
        <w:tc>
          <w:tcPr>
            <w:tcW w:w="920" w:type="dxa"/>
            <w:vAlign w:val="bottom"/>
          </w:tcPr>
          <w:p>
            <w:pPr>
              <w:spacing w:after="0"/>
              <w:rPr>
                <w:sz w:val="14"/>
                <w:szCs w:val="14"/>
                <w:color w:val="auto"/>
              </w:rPr>
            </w:pPr>
          </w:p>
        </w:tc>
        <w:tc>
          <w:tcPr>
            <w:tcW w:w="4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tcPr>
          <w:p>
            <w:pPr>
              <w:spacing w:after="0"/>
              <w:rPr>
                <w:sz w:val="14"/>
                <w:szCs w:val="14"/>
                <w:color w:val="auto"/>
              </w:rPr>
            </w:pPr>
          </w:p>
        </w:tc>
      </w:tr>
      <w:tr>
        <w:trPr>
          <w:trHeight w:val="173"/>
        </w:trPr>
        <w:tc>
          <w:tcPr>
            <w:tcW w:w="920" w:type="dxa"/>
            <w:vAlign w:val="bottom"/>
          </w:tcPr>
          <w:p>
            <w:pPr>
              <w:spacing w:after="0"/>
              <w:rPr>
                <w:sz w:val="15"/>
                <w:szCs w:val="15"/>
                <w:color w:val="auto"/>
              </w:rPr>
            </w:pPr>
          </w:p>
        </w:tc>
        <w:tc>
          <w:tcPr>
            <w:tcW w:w="4260" w:type="dxa"/>
            <w:vAlign w:val="bottom"/>
          </w:tcPr>
          <w:p>
            <w:pPr>
              <w:ind w:left="2860"/>
              <w:spacing w:after="0"/>
              <w:rPr>
                <w:sz w:val="20"/>
                <w:szCs w:val="20"/>
                <w:color w:val="auto"/>
              </w:rPr>
            </w:pPr>
            <w:r>
              <w:rPr>
                <w:rFonts w:ascii="Arial" w:cs="Arial" w:eastAsia="Arial" w:hAnsi="Arial"/>
                <w:sz w:val="12"/>
                <w:szCs w:val="12"/>
                <w:color w:val="auto"/>
              </w:rPr>
              <w:t>F-45</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0"/>
        </w:trPr>
        <w:tc>
          <w:tcPr>
            <w:tcW w:w="920" w:type="dxa"/>
            <w:vAlign w:val="bottom"/>
          </w:tcPr>
          <w:p>
            <w:pPr>
              <w:spacing w:after="0"/>
              <w:rPr>
                <w:sz w:val="16"/>
                <w:szCs w:val="16"/>
                <w:color w:val="auto"/>
              </w:rPr>
            </w:pPr>
          </w:p>
        </w:tc>
        <w:tc>
          <w:tcPr>
            <w:tcW w:w="4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20" w:type="dxa"/>
            <w:vAlign w:val="bottom"/>
          </w:tcPr>
          <w:p>
            <w:pPr>
              <w:spacing w:after="0"/>
              <w:rPr>
                <w:sz w:val="16"/>
                <w:szCs w:val="16"/>
                <w:color w:val="auto"/>
              </w:rPr>
            </w:pPr>
          </w:p>
        </w:tc>
      </w:tr>
      <w:tr>
        <w:trPr>
          <w:trHeight w:val="182"/>
        </w:trPr>
        <w:tc>
          <w:tcPr>
            <w:tcW w:w="9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34"/>
        </w:trPr>
        <w:tc>
          <w:tcPr>
            <w:tcW w:w="920" w:type="dxa"/>
            <w:vAlign w:val="bottom"/>
          </w:tcPr>
          <w:p>
            <w:pPr>
              <w:spacing w:after="0"/>
              <w:rPr>
                <w:sz w:val="11"/>
                <w:szCs w:val="11"/>
                <w:color w:val="auto"/>
              </w:rPr>
            </w:pPr>
          </w:p>
        </w:tc>
        <w:tc>
          <w:tcPr>
            <w:tcW w:w="4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20" w:type="dxa"/>
            <w:vAlign w:val="bottom"/>
          </w:tcPr>
          <w:p>
            <w:pPr>
              <w:spacing w:after="0"/>
              <w:rPr>
                <w:sz w:val="11"/>
                <w:szCs w:val="11"/>
                <w:color w:val="auto"/>
              </w:rPr>
            </w:pPr>
          </w:p>
        </w:tc>
      </w:tr>
    </w:tbl>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(in thousands, except par value and share amounts)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76"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4260" w:type="dxa"/>
            <w:vAlign w:val="bottom"/>
          </w:tcPr>
          <w:p>
            <w:pPr>
              <w:spacing w:after="0"/>
              <w:rPr>
                <w:sz w:val="7"/>
                <w:szCs w:val="7"/>
                <w:color w:val="auto"/>
              </w:rPr>
            </w:pPr>
          </w:p>
        </w:tc>
        <w:tc>
          <w:tcPr>
            <w:tcW w:w="840" w:type="dxa"/>
            <w:vAlign w:val="bottom"/>
            <w:vMerge w:val="restart"/>
          </w:tcPr>
          <w:p>
            <w:pPr>
              <w:jc w:val="right"/>
              <w:ind w:right="20"/>
              <w:spacing w:after="0"/>
              <w:rPr>
                <w:sz w:val="20"/>
                <w:szCs w:val="20"/>
                <w:color w:val="auto"/>
              </w:rPr>
            </w:pPr>
            <w:r>
              <w:rPr>
                <w:rFonts w:ascii="Arial" w:cs="Arial" w:eastAsia="Arial" w:hAnsi="Arial"/>
                <w:sz w:val="11"/>
                <w:szCs w:val="11"/>
                <w:b w:val="1"/>
                <w:bCs w:val="1"/>
                <w:color w:val="auto"/>
              </w:rPr>
              <w:t>July 31, 2025</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jc w:val="right"/>
              <w:ind w:right="61"/>
              <w:spacing w:after="0" w:line="86" w:lineRule="exact"/>
              <w:rPr>
                <w:sz w:val="20"/>
                <w:szCs w:val="20"/>
                <w:color w:val="auto"/>
              </w:rPr>
            </w:pPr>
            <w:r>
              <w:rPr>
                <w:rFonts w:ascii="Arial" w:cs="Arial" w:eastAsia="Arial" w:hAnsi="Arial"/>
                <w:sz w:val="9"/>
                <w:szCs w:val="9"/>
                <w:b w:val="1"/>
                <w:bCs w:val="1"/>
                <w:color w:val="auto"/>
              </w:rPr>
              <w:t>January 31,</w:t>
            </w:r>
          </w:p>
        </w:tc>
        <w:tc>
          <w:tcPr>
            <w:tcW w:w="0" w:type="dxa"/>
            <w:vAlign w:val="bottom"/>
          </w:tcPr>
          <w:p>
            <w:pPr>
              <w:spacing w:after="0"/>
              <w:rPr>
                <w:sz w:val="1"/>
                <w:szCs w:val="1"/>
                <w:color w:val="auto"/>
              </w:rPr>
            </w:pPr>
          </w:p>
        </w:tc>
      </w:tr>
      <w:tr>
        <w:trPr>
          <w:trHeight w:val="153"/>
        </w:trPr>
        <w:tc>
          <w:tcPr>
            <w:tcW w:w="426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66"/>
        </w:trPr>
        <w:tc>
          <w:tcPr>
            <w:tcW w:w="4260" w:type="dxa"/>
            <w:vAlign w:val="bottom"/>
          </w:tcPr>
          <w:p>
            <w:pPr>
              <w:ind w:left="40"/>
              <w:spacing w:after="0"/>
              <w:rPr>
                <w:sz w:val="20"/>
                <w:szCs w:val="20"/>
                <w:color w:val="auto"/>
              </w:rPr>
            </w:pPr>
            <w:r>
              <w:rPr>
                <w:rFonts w:ascii="Arial" w:cs="Arial" w:eastAsia="Arial" w:hAnsi="Arial"/>
                <w:sz w:val="12"/>
                <w:szCs w:val="12"/>
                <w:b w:val="1"/>
                <w:bCs w:val="1"/>
                <w:color w:val="auto"/>
              </w:rPr>
              <w:t>Stockholders’ deficit</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Common stock, par value $0.00000625 per share; 253,919,000 shares</w:t>
            </w: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260" w:type="dxa"/>
            <w:vAlign w:val="bottom"/>
            <w:shd w:val="clear" w:color="auto" w:fill="CCEEFF"/>
          </w:tcPr>
          <w:p>
            <w:pPr>
              <w:ind w:left="140"/>
              <w:spacing w:after="0" w:line="125" w:lineRule="exact"/>
              <w:rPr>
                <w:sz w:val="20"/>
                <w:szCs w:val="20"/>
                <w:color w:val="auto"/>
              </w:rPr>
            </w:pPr>
            <w:r>
              <w:rPr>
                <w:rFonts w:ascii="Arial" w:cs="Arial" w:eastAsia="Arial" w:hAnsi="Arial"/>
                <w:sz w:val="12"/>
                <w:szCs w:val="12"/>
                <w:color w:val="auto"/>
              </w:rPr>
              <w:t>authorized, 46,331,272 and 45,782,871 shares issued and outstanding</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71"/>
        </w:trPr>
        <w:tc>
          <w:tcPr>
            <w:tcW w:w="4260" w:type="dxa"/>
            <w:vAlign w:val="bottom"/>
            <w:tcBorders>
              <w:bottom w:val="single" w:sz="8" w:color="CCEEFF"/>
            </w:tcBorders>
            <w:shd w:val="clear" w:color="auto" w:fill="CCEEFF"/>
          </w:tcPr>
          <w:p>
            <w:pPr>
              <w:jc w:val="center"/>
              <w:ind w:left="18"/>
              <w:spacing w:after="0"/>
              <w:rPr>
                <w:sz w:val="20"/>
                <w:szCs w:val="20"/>
                <w:color w:val="auto"/>
              </w:rPr>
            </w:pPr>
            <w:r>
              <w:rPr>
                <w:rFonts w:ascii="Arial" w:cs="Arial" w:eastAsia="Arial" w:hAnsi="Arial"/>
                <w:sz w:val="12"/>
                <w:szCs w:val="12"/>
                <w:color w:val="auto"/>
              </w:rPr>
              <w:t xml:space="preserve">as of July 31, 2025 and January 31, 2025, respectively  </w:t>
            </w:r>
            <w:r>
              <w:rPr>
                <w:rFonts w:ascii="Times New Roman" w:cs="Times New Roman" w:eastAsia="Times New Roman" w:hAnsi="Times New Roman"/>
                <w:sz w:val="12"/>
                <w:szCs w:val="12"/>
                <w:color w:val="B4B4B4"/>
              </w:rPr>
              <w:t>...............................</w:t>
            </w:r>
          </w:p>
        </w:tc>
        <w:tc>
          <w:tcPr>
            <w:tcW w:w="840" w:type="dxa"/>
            <w:vAlign w:val="bottom"/>
            <w:tcBorders>
              <w:bottom w:val="single" w:sz="8" w:color="CCEEFF"/>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260" w:type="dxa"/>
            <w:vAlign w:val="bottom"/>
          </w:tcPr>
          <w:p>
            <w:pPr>
              <w:jc w:val="center"/>
              <w:ind w:left="18"/>
              <w:spacing w:after="0"/>
              <w:rPr>
                <w:sz w:val="20"/>
                <w:szCs w:val="20"/>
                <w:color w:val="auto"/>
              </w:rPr>
            </w:pPr>
            <w:r>
              <w:rPr>
                <w:rFonts w:ascii="Arial" w:cs="Arial" w:eastAsia="Arial" w:hAnsi="Arial"/>
                <w:sz w:val="12"/>
                <w:szCs w:val="12"/>
                <w:color w:val="auto"/>
              </w:rPr>
              <w:t xml:space="preserve">Additional paid-in capital </w:t>
            </w:r>
            <w:r>
              <w:rPr>
                <w:rFonts w:ascii="Times New Roman" w:cs="Times New Roman" w:eastAsia="Times New Roman" w:hAnsi="Times New Roman"/>
                <w:sz w:val="12"/>
                <w:szCs w:val="12"/>
                <w:color w:val="B4B4B4"/>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522,555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Arial" w:cs="Arial" w:eastAsia="Arial" w:hAnsi="Arial"/>
                <w:sz w:val="12"/>
                <w:szCs w:val="12"/>
                <w:color w:val="auto"/>
              </w:rPr>
              <w:t>467,835</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jc w:val="center"/>
              <w:ind w:left="18"/>
              <w:spacing w:after="0"/>
              <w:rPr>
                <w:sz w:val="20"/>
                <w:szCs w:val="20"/>
                <w:color w:val="auto"/>
              </w:rPr>
            </w:pPr>
            <w:r>
              <w:rPr>
                <w:rFonts w:ascii="Arial" w:cs="Arial" w:eastAsia="Arial" w:hAnsi="Arial"/>
                <w:sz w:val="12"/>
                <w:szCs w:val="12"/>
                <w:color w:val="auto"/>
              </w:rPr>
              <w:t xml:space="preserve">Accumulated deficit </w:t>
            </w:r>
            <w:r>
              <w:rPr>
                <w:rFonts w:ascii="Times New Roman" w:cs="Times New Roman" w:eastAsia="Times New Roman" w:hAnsi="Times New Roman"/>
                <w:sz w:val="12"/>
                <w:szCs w:val="12"/>
                <w:color w:val="B4B4B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(1,716,993)</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(1,617,113)</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jc w:val="center"/>
              <w:ind w:left="38"/>
              <w:spacing w:after="0"/>
              <w:rPr>
                <w:sz w:val="20"/>
                <w:szCs w:val="20"/>
                <w:color w:val="auto"/>
              </w:rPr>
            </w:pPr>
            <w:r>
              <w:rPr>
                <w:rFonts w:ascii="Arial" w:cs="Arial" w:eastAsia="Arial" w:hAnsi="Arial"/>
                <w:sz w:val="12"/>
                <w:szCs w:val="12"/>
                <w:color w:val="auto"/>
              </w:rPr>
              <w:t xml:space="preserve">Accumulated other comprehensive loss </w:t>
            </w:r>
            <w:r>
              <w:rPr>
                <w:rFonts w:ascii="Times New Roman" w:cs="Times New Roman" w:eastAsia="Times New Roman" w:hAnsi="Times New Roman"/>
                <w:sz w:val="12"/>
                <w:szCs w:val="12"/>
                <w:color w:val="B4B4B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(14,014)</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(37,622)</w:t>
            </w:r>
          </w:p>
        </w:tc>
        <w:tc>
          <w:tcPr>
            <w:tcW w:w="0" w:type="dxa"/>
            <w:vAlign w:val="bottom"/>
          </w:tcPr>
          <w:p>
            <w:pPr>
              <w:spacing w:after="0"/>
              <w:rPr>
                <w:sz w:val="1"/>
                <w:szCs w:val="1"/>
                <w:color w:val="auto"/>
              </w:rPr>
            </w:pPr>
          </w:p>
        </w:tc>
      </w:tr>
      <w:tr>
        <w:trPr>
          <w:trHeight w:val="170"/>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Totalstockholders’deficit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(1,208,451)</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(1,186,899)</w:t>
            </w:r>
          </w:p>
        </w:tc>
        <w:tc>
          <w:tcPr>
            <w:tcW w:w="0" w:type="dxa"/>
            <w:vAlign w:val="bottom"/>
          </w:tcPr>
          <w:p>
            <w:pPr>
              <w:spacing w:after="0"/>
              <w:rPr>
                <w:sz w:val="1"/>
                <w:szCs w:val="1"/>
                <w:color w:val="auto"/>
              </w:rPr>
            </w:pPr>
          </w:p>
        </w:tc>
      </w:tr>
      <w:tr>
        <w:trPr>
          <w:trHeight w:val="104"/>
        </w:trPr>
        <w:tc>
          <w:tcPr>
            <w:tcW w:w="4260" w:type="dxa"/>
            <w:vAlign w:val="bottom"/>
          </w:tcPr>
          <w:p>
            <w:pPr>
              <w:ind w:left="40"/>
              <w:spacing w:after="0" w:line="105" w:lineRule="exact"/>
              <w:rPr>
                <w:sz w:val="20"/>
                <w:szCs w:val="20"/>
                <w:color w:val="auto"/>
              </w:rPr>
            </w:pPr>
            <w:r>
              <w:rPr>
                <w:rFonts w:ascii="Arial" w:cs="Arial" w:eastAsia="Arial" w:hAnsi="Arial"/>
                <w:sz w:val="12"/>
                <w:szCs w:val="12"/>
                <w:color w:val="auto"/>
              </w:rPr>
              <w:t>Total liabilities, redeemable convertible preferred stock and stockholders’</w:t>
            </w: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  1,134,391</w:t>
            </w:r>
          </w:p>
        </w:tc>
        <w:tc>
          <w:tcPr>
            <w:tcW w:w="40" w:type="dxa"/>
            <w:vAlign w:val="bottom"/>
            <w:vMerge w:val="restart"/>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ind w:right="21"/>
              <w:spacing w:after="0"/>
              <w:rPr>
                <w:sz w:val="20"/>
                <w:szCs w:val="20"/>
                <w:color w:val="auto"/>
              </w:rPr>
            </w:pPr>
            <w:r>
              <w:rPr>
                <w:rFonts w:ascii="Arial" w:cs="Arial" w:eastAsia="Arial" w:hAnsi="Arial"/>
                <w:sz w:val="12"/>
                <w:szCs w:val="12"/>
                <w:color w:val="auto"/>
              </w:rPr>
              <w:t>1,083,954</w:t>
            </w:r>
          </w:p>
        </w:tc>
        <w:tc>
          <w:tcPr>
            <w:tcW w:w="0" w:type="dxa"/>
            <w:vAlign w:val="bottom"/>
          </w:tcPr>
          <w:p>
            <w:pPr>
              <w:spacing w:after="0"/>
              <w:rPr>
                <w:sz w:val="1"/>
                <w:szCs w:val="1"/>
                <w:color w:val="auto"/>
              </w:rPr>
            </w:pPr>
          </w:p>
        </w:tc>
      </w:tr>
      <w:tr>
        <w:trPr>
          <w:trHeight w:val="196"/>
        </w:trPr>
        <w:tc>
          <w:tcPr>
            <w:tcW w:w="4260" w:type="dxa"/>
            <w:vAlign w:val="bottom"/>
          </w:tcPr>
          <w:p>
            <w:pPr>
              <w:ind w:left="140"/>
              <w:spacing w:after="0"/>
              <w:rPr>
                <w:sz w:val="20"/>
                <w:szCs w:val="20"/>
                <w:color w:val="auto"/>
              </w:rPr>
            </w:pPr>
            <w:r>
              <w:rPr>
                <w:rFonts w:ascii="Arial" w:cs="Arial" w:eastAsia="Arial" w:hAnsi="Arial"/>
                <w:sz w:val="12"/>
                <w:szCs w:val="12"/>
                <w:color w:val="auto"/>
              </w:rPr>
              <w:t xml:space="preserve">deficit </w:t>
            </w:r>
            <w:r>
              <w:rPr>
                <w:rFonts w:ascii="Times New Roman" w:cs="Times New Roman" w:eastAsia="Times New Roman" w:hAnsi="Times New Roman"/>
                <w:sz w:val="12"/>
                <w:szCs w:val="12"/>
                <w:color w:val="B4B4B4"/>
              </w:rPr>
              <w:t>.....................................................................................................................</w:t>
            </w:r>
          </w:p>
        </w:tc>
        <w:tc>
          <w:tcPr>
            <w:tcW w:w="84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The accompanying notes are an integral part of these unaudited condensed consolidated financial</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F-46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(in thousands, except par value and share amounts)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31" w:lineRule="exact"/>
        <w:rPr>
          <w:sz w:val="20"/>
          <w:szCs w:val="20"/>
          <w:color w:val="auto"/>
        </w:rPr>
      </w:pPr>
    </w:p>
    <w:tbl>
      <w:tblPr>
        <w:tblLayout w:type="fixed"/>
        <w:tblInd w:w="1560" w:type="dxa"/>
        <w:tblCellMar>
          <w:top w:w="0" w:type="dxa"/>
          <w:left w:w="0" w:type="dxa"/>
          <w:bottom w:w="0" w:type="dxa"/>
          <w:right w:w="0" w:type="dxa"/>
        </w:tblCellMar>
      </w:tblPr>
      <w:tr>
        <w:trPr>
          <w:trHeight w:val="126"/>
        </w:trPr>
        <w:tc>
          <w:tcPr>
            <w:tcW w:w="4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3"/>
          </w:tcPr>
          <w:p>
            <w:pPr>
              <w:ind w:left="6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67"/>
        </w:trPr>
        <w:tc>
          <w:tcPr>
            <w:tcW w:w="4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w:t>
            </w:r>
          </w:p>
        </w:tc>
        <w:tc>
          <w:tcPr>
            <w:tcW w:w="240" w:type="dxa"/>
            <w:vAlign w:val="bottom"/>
          </w:tcPr>
          <w:p>
            <w:pPr>
              <w:spacing w:after="0"/>
              <w:rPr>
                <w:sz w:val="5"/>
                <w:szCs w:val="5"/>
                <w:color w:val="auto"/>
              </w:rPr>
            </w:pPr>
          </w:p>
        </w:tc>
        <w:tc>
          <w:tcPr>
            <w:tcW w:w="560" w:type="dxa"/>
            <w:vAlign w:val="bottom"/>
            <w:vMerge w:val="restart"/>
          </w:tcPr>
          <w:p>
            <w:pPr>
              <w:jc w:val="right"/>
              <w:ind w:right="159"/>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3"/>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43"/>
              <w:spacing w:after="0"/>
              <w:rPr>
                <w:sz w:val="20"/>
                <w:szCs w:val="20"/>
                <w:color w:val="auto"/>
              </w:rPr>
            </w:pPr>
            <w:r>
              <w:rPr>
                <w:rFonts w:ascii="Arial" w:cs="Arial" w:eastAsia="Arial" w:hAnsi="Arial"/>
                <w:sz w:val="11"/>
                <w:szCs w:val="11"/>
                <w:b w:val="1"/>
                <w:bCs w:val="1"/>
                <w:color w:val="auto"/>
              </w:rPr>
              <w:t>2025</w:t>
            </w:r>
          </w:p>
        </w:tc>
        <w:tc>
          <w:tcPr>
            <w:tcW w:w="2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200" w:type="dxa"/>
            <w:vAlign w:val="bottom"/>
          </w:tcPr>
          <w:p>
            <w:pPr>
              <w:spacing w:after="0"/>
              <w:rPr>
                <w:sz w:val="20"/>
                <w:szCs w:val="20"/>
                <w:color w:val="auto"/>
              </w:rPr>
            </w:pPr>
            <w:r>
              <w:rPr>
                <w:rFonts w:ascii="Arial" w:cs="Arial" w:eastAsia="Arial" w:hAnsi="Arial"/>
                <w:sz w:val="12"/>
                <w:szCs w:val="12"/>
                <w:color w:val="auto"/>
              </w:rPr>
              <w:t xml:space="preserve">Revenue </w:t>
            </w:r>
            <w:r>
              <w:rPr>
                <w:rFonts w:ascii="Times New Roman" w:cs="Times New Roman" w:eastAsia="Times New Roman" w:hAnsi="Times New Roman"/>
                <w:sz w:val="12"/>
                <w:szCs w:val="12"/>
                <w:color w:val="B4B4B4"/>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329,413</w:t>
            </w:r>
          </w:p>
        </w:tc>
        <w:tc>
          <w:tcPr>
            <w:tcW w:w="2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253,727</w:t>
            </w:r>
          </w:p>
        </w:tc>
        <w:tc>
          <w:tcPr>
            <w:tcW w:w="0" w:type="dxa"/>
            <w:vAlign w:val="bottom"/>
          </w:tcPr>
          <w:p>
            <w:pPr>
              <w:spacing w:after="0"/>
              <w:rPr>
                <w:sz w:val="1"/>
                <w:szCs w:val="1"/>
                <w:color w:val="auto"/>
              </w:rPr>
            </w:pPr>
          </w:p>
        </w:tc>
      </w:tr>
      <w:tr>
        <w:trPr>
          <w:trHeight w:val="182"/>
        </w:trPr>
        <w:tc>
          <w:tcPr>
            <w:tcW w:w="4200" w:type="dxa"/>
            <w:vAlign w:val="bottom"/>
          </w:tcPr>
          <w:p>
            <w:pPr>
              <w:spacing w:after="0"/>
              <w:rPr>
                <w:sz w:val="20"/>
                <w:szCs w:val="20"/>
                <w:color w:val="auto"/>
              </w:rPr>
            </w:pPr>
            <w:r>
              <w:rPr>
                <w:rFonts w:ascii="Arial" w:cs="Arial" w:eastAsia="Arial" w:hAnsi="Arial"/>
                <w:sz w:val="12"/>
                <w:szCs w:val="12"/>
                <w:color w:val="auto"/>
              </w:rPr>
              <w:t xml:space="preserve">Cost of revenue </w:t>
            </w:r>
            <w:r>
              <w:rPr>
                <w:rFonts w:ascii="Times New Roman" w:cs="Times New Roman" w:eastAsia="Times New Roman" w:hAnsi="Times New Roman"/>
                <w:sz w:val="12"/>
                <w:szCs w:val="12"/>
                <w:color w:val="B4B4B4"/>
              </w:rPr>
              <w:t>.......................................................................................................</w:t>
            </w:r>
          </w:p>
        </w:tc>
        <w:tc>
          <w:tcPr>
            <w:tcW w:w="180" w:type="dxa"/>
            <w:vAlign w:val="bottom"/>
          </w:tcPr>
          <w:p>
            <w:pPr>
              <w:spacing w:after="0"/>
              <w:rPr>
                <w:sz w:val="15"/>
                <w:szCs w:val="15"/>
                <w:color w:val="auto"/>
              </w:rPr>
            </w:pP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92,583</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82,545</w:t>
            </w:r>
          </w:p>
        </w:tc>
        <w:tc>
          <w:tcPr>
            <w:tcW w:w="0" w:type="dxa"/>
            <w:vAlign w:val="bottom"/>
          </w:tcPr>
          <w:p>
            <w:pPr>
              <w:spacing w:after="0"/>
              <w:rPr>
                <w:sz w:val="1"/>
                <w:szCs w:val="1"/>
                <w:color w:val="auto"/>
              </w:rPr>
            </w:pPr>
          </w:p>
        </w:tc>
      </w:tr>
      <w:tr>
        <w:trPr>
          <w:trHeight w:val="182"/>
        </w:trPr>
        <w:tc>
          <w:tcPr>
            <w:tcW w:w="4200" w:type="dxa"/>
            <w:vAlign w:val="bottom"/>
          </w:tcPr>
          <w:p>
            <w:pPr>
              <w:spacing w:after="0"/>
              <w:rPr>
                <w:sz w:val="20"/>
                <w:szCs w:val="20"/>
                <w:color w:val="auto"/>
              </w:rPr>
            </w:pPr>
            <w:r>
              <w:rPr>
                <w:rFonts w:ascii="Arial" w:cs="Arial" w:eastAsia="Arial" w:hAnsi="Arial"/>
                <w:sz w:val="12"/>
                <w:szCs w:val="12"/>
                <w:color w:val="auto"/>
              </w:rPr>
              <w:t xml:space="preserve">Gross profit </w:t>
            </w:r>
            <w:r>
              <w:rPr>
                <w:rFonts w:ascii="Times New Roman" w:cs="Times New Roman" w:eastAsia="Times New Roman" w:hAnsi="Times New Roman"/>
                <w:sz w:val="12"/>
                <w:szCs w:val="12"/>
                <w:color w:val="B4B4B4"/>
              </w:rPr>
              <w:t>...............................................................................................................</w:t>
            </w:r>
          </w:p>
        </w:tc>
        <w:tc>
          <w:tcPr>
            <w:tcW w:w="180" w:type="dxa"/>
            <w:vAlign w:val="bottom"/>
          </w:tcPr>
          <w:p>
            <w:pPr>
              <w:spacing w:after="0"/>
              <w:rPr>
                <w:sz w:val="15"/>
                <w:szCs w:val="15"/>
                <w:color w:val="auto"/>
              </w:rPr>
            </w:pP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236,830</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171,182</w:t>
            </w:r>
          </w:p>
        </w:tc>
        <w:tc>
          <w:tcPr>
            <w:tcW w:w="0" w:type="dxa"/>
            <w:vAlign w:val="bottom"/>
          </w:tcPr>
          <w:p>
            <w:pPr>
              <w:spacing w:after="0"/>
              <w:rPr>
                <w:sz w:val="1"/>
                <w:szCs w:val="1"/>
                <w:color w:val="auto"/>
              </w:rPr>
            </w:pPr>
          </w:p>
        </w:tc>
      </w:tr>
      <w:tr>
        <w:trPr>
          <w:trHeight w:val="182"/>
        </w:trPr>
        <w:tc>
          <w:tcPr>
            <w:tcW w:w="4200" w:type="dxa"/>
            <w:vAlign w:val="bottom"/>
          </w:tcPr>
          <w:p>
            <w:pPr>
              <w:spacing w:after="0"/>
              <w:rPr>
                <w:sz w:val="20"/>
                <w:szCs w:val="20"/>
                <w:color w:val="auto"/>
              </w:rPr>
            </w:pPr>
            <w:r>
              <w:rPr>
                <w:rFonts w:ascii="Arial" w:cs="Arial" w:eastAsia="Arial" w:hAnsi="Arial"/>
                <w:sz w:val="12"/>
                <w:szCs w:val="12"/>
                <w:color w:val="auto"/>
              </w:rPr>
              <w:t>Operating expenses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00" w:type="dxa"/>
            <w:vAlign w:val="bottom"/>
          </w:tcPr>
          <w:p>
            <w:pPr>
              <w:ind w:left="140"/>
              <w:spacing w:after="0"/>
              <w:rPr>
                <w:sz w:val="20"/>
                <w:szCs w:val="20"/>
                <w:color w:val="auto"/>
              </w:rPr>
            </w:pPr>
            <w:r>
              <w:rPr>
                <w:rFonts w:ascii="Arial" w:cs="Arial" w:eastAsia="Arial" w:hAnsi="Arial"/>
                <w:sz w:val="12"/>
                <w:szCs w:val="12"/>
                <w:color w:val="auto"/>
              </w:rPr>
              <w:t xml:space="preserve">Research and development </w:t>
            </w:r>
            <w:r>
              <w:rPr>
                <w:rFonts w:ascii="Times New Roman" w:cs="Times New Roman" w:eastAsia="Times New Roman" w:hAnsi="Times New Roman"/>
                <w:sz w:val="12"/>
                <w:szCs w:val="12"/>
                <w:color w:val="B4B4B4"/>
              </w:rPr>
              <w:t>.............................................................................</w:t>
            </w:r>
          </w:p>
        </w:tc>
        <w:tc>
          <w:tcPr>
            <w:tcW w:w="180" w:type="dxa"/>
            <w:vAlign w:val="bottom"/>
          </w:tcPr>
          <w:p>
            <w:pPr>
              <w:spacing w:after="0"/>
              <w:rPr>
                <w:sz w:val="15"/>
                <w:szCs w:val="15"/>
                <w:color w:val="auto"/>
              </w:rPr>
            </w:pP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64,760</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57,784</w:t>
            </w:r>
          </w:p>
        </w:tc>
        <w:tc>
          <w:tcPr>
            <w:tcW w:w="0" w:type="dxa"/>
            <w:vAlign w:val="bottom"/>
          </w:tcPr>
          <w:p>
            <w:pPr>
              <w:spacing w:after="0"/>
              <w:rPr>
                <w:sz w:val="1"/>
                <w:szCs w:val="1"/>
                <w:color w:val="auto"/>
              </w:rPr>
            </w:pPr>
          </w:p>
        </w:tc>
      </w:tr>
      <w:tr>
        <w:trPr>
          <w:trHeight w:val="182"/>
        </w:trPr>
        <w:tc>
          <w:tcPr>
            <w:tcW w:w="4200" w:type="dxa"/>
            <w:vAlign w:val="bottom"/>
          </w:tcPr>
          <w:p>
            <w:pPr>
              <w:ind w:left="140"/>
              <w:spacing w:after="0"/>
              <w:rPr>
                <w:sz w:val="20"/>
                <w:szCs w:val="20"/>
                <w:color w:val="auto"/>
              </w:rPr>
            </w:pPr>
            <w:r>
              <w:rPr>
                <w:rFonts w:ascii="Arial" w:cs="Arial" w:eastAsia="Arial" w:hAnsi="Arial"/>
                <w:sz w:val="12"/>
                <w:szCs w:val="12"/>
                <w:color w:val="auto"/>
              </w:rPr>
              <w:t xml:space="preserve">Sales and marketing </w:t>
            </w:r>
            <w:r>
              <w:rPr>
                <w:rFonts w:ascii="Times New Roman" w:cs="Times New Roman" w:eastAsia="Times New Roman" w:hAnsi="Times New Roman"/>
                <w:sz w:val="12"/>
                <w:szCs w:val="12"/>
                <w:color w:val="B4B4B4"/>
              </w:rPr>
              <w:t>..........................................................................................</w:t>
            </w:r>
          </w:p>
        </w:tc>
        <w:tc>
          <w:tcPr>
            <w:tcW w:w="180" w:type="dxa"/>
            <w:vAlign w:val="bottom"/>
          </w:tcPr>
          <w:p>
            <w:pPr>
              <w:spacing w:after="0"/>
              <w:rPr>
                <w:sz w:val="15"/>
                <w:szCs w:val="15"/>
                <w:color w:val="auto"/>
              </w:rPr>
            </w:pP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130,376</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103,530</w:t>
            </w:r>
          </w:p>
        </w:tc>
        <w:tc>
          <w:tcPr>
            <w:tcW w:w="0" w:type="dxa"/>
            <w:vAlign w:val="bottom"/>
          </w:tcPr>
          <w:p>
            <w:pPr>
              <w:spacing w:after="0"/>
              <w:rPr>
                <w:sz w:val="1"/>
                <w:szCs w:val="1"/>
                <w:color w:val="auto"/>
              </w:rPr>
            </w:pPr>
          </w:p>
        </w:tc>
      </w:tr>
    </w:tbl>
    <w:p>
      <w:pPr>
        <w:sectPr>
          <w:pgSz w:w="11900" w:h="16840" w:orient="portrait"/>
          <w:cols w:equalWidth="0" w:num="1">
            <w:col w:w="9020"/>
          </w:cols>
          <w:pgMar w:left="1440" w:top="570" w:right="1440" w:bottom="136" w:gutter="0" w:footer="0" w:header="0"/>
        </w:sectPr>
      </w:pPr>
    </w:p>
    <w:bookmarkStart w:id="191" w:name="page192"/>
    <w:bookmarkEnd w:id="191"/>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39"/>
        </w:trPr>
        <w:tc>
          <w:tcPr>
            <w:tcW w:w="4260" w:type="dxa"/>
            <w:vAlign w:val="bottom"/>
          </w:tcPr>
          <w:p>
            <w:pPr>
              <w:jc w:val="center"/>
              <w:ind w:left="39"/>
              <w:spacing w:after="0"/>
              <w:rPr>
                <w:sz w:val="20"/>
                <w:szCs w:val="20"/>
                <w:color w:val="auto"/>
              </w:rPr>
            </w:pPr>
            <w:r>
              <w:rPr>
                <w:rFonts w:ascii="Arial" w:cs="Arial" w:eastAsia="Arial" w:hAnsi="Arial"/>
                <w:sz w:val="12"/>
                <w:szCs w:val="12"/>
                <w:color w:val="auto"/>
              </w:rPr>
              <w:t xml:space="preserve">General and administrative </w:t>
            </w:r>
            <w:r>
              <w:rPr>
                <w:rFonts w:ascii="Times New Roman" w:cs="Times New Roman" w:eastAsia="Times New Roman" w:hAnsi="Times New Roman"/>
                <w:sz w:val="12"/>
                <w:szCs w:val="12"/>
                <w:color w:val="B4B4B4"/>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69,845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65,238</w:t>
            </w:r>
          </w:p>
        </w:tc>
        <w:tc>
          <w:tcPr>
            <w:tcW w:w="0" w:type="dxa"/>
            <w:vAlign w:val="bottom"/>
          </w:tcPr>
          <w:p>
            <w:pPr>
              <w:spacing w:after="0"/>
              <w:rPr>
                <w:sz w:val="1"/>
                <w:szCs w:val="1"/>
                <w:color w:val="auto"/>
              </w:rPr>
            </w:pPr>
          </w:p>
        </w:tc>
      </w:tr>
      <w:tr>
        <w:trPr>
          <w:trHeight w:val="134"/>
        </w:trPr>
        <w:tc>
          <w:tcPr>
            <w:tcW w:w="4260" w:type="dxa"/>
            <w:vAlign w:val="bottom"/>
          </w:tcPr>
          <w:p>
            <w:pPr>
              <w:ind w:left="40"/>
              <w:spacing w:after="0" w:line="134" w:lineRule="exact"/>
              <w:rPr>
                <w:sz w:val="20"/>
                <w:szCs w:val="20"/>
                <w:color w:val="auto"/>
              </w:rPr>
            </w:pPr>
            <w:r>
              <w:rPr>
                <w:rFonts w:ascii="Arial" w:cs="Arial" w:eastAsia="Arial" w:hAnsi="Arial"/>
                <w:sz w:val="12"/>
                <w:szCs w:val="12"/>
                <w:color w:val="auto"/>
              </w:rPr>
              <w:t xml:space="preserve">Total operating expenses </w:t>
            </w:r>
            <w:r>
              <w:rPr>
                <w:rFonts w:ascii="Times New Roman" w:cs="Times New Roman" w:eastAsia="Times New Roman" w:hAnsi="Times New Roman"/>
                <w:sz w:val="12"/>
                <w:szCs w:val="12"/>
                <w:color w:val="B4B4B4"/>
              </w:rPr>
              <w:t>......................................................................................</w:t>
            </w:r>
          </w:p>
        </w:tc>
        <w:tc>
          <w:tcPr>
            <w:tcW w:w="120" w:type="dxa"/>
            <w:vAlign w:val="bottom"/>
          </w:tcPr>
          <w:p>
            <w:pPr>
              <w:spacing w:after="0"/>
              <w:rPr>
                <w:sz w:val="11"/>
                <w:szCs w:val="11"/>
                <w:color w:val="auto"/>
              </w:rPr>
            </w:pPr>
          </w:p>
        </w:tc>
        <w:tc>
          <w:tcPr>
            <w:tcW w:w="720" w:type="dxa"/>
            <w:vAlign w:val="bottom"/>
          </w:tcPr>
          <w:p>
            <w:pPr>
              <w:jc w:val="right"/>
              <w:spacing w:after="0" w:line="134" w:lineRule="exact"/>
              <w:rPr>
                <w:sz w:val="20"/>
                <w:szCs w:val="20"/>
                <w:color w:val="auto"/>
              </w:rPr>
            </w:pPr>
            <w:r>
              <w:rPr>
                <w:rFonts w:ascii="Arial" w:cs="Arial" w:eastAsia="Arial" w:hAnsi="Arial"/>
                <w:sz w:val="12"/>
                <w:szCs w:val="12"/>
                <w:color w:val="auto"/>
              </w:rPr>
              <w:t>264,981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8"/>
              <w:spacing w:after="0" w:line="134" w:lineRule="exact"/>
              <w:rPr>
                <w:sz w:val="20"/>
                <w:szCs w:val="20"/>
                <w:color w:val="auto"/>
              </w:rPr>
            </w:pPr>
            <w:r>
              <w:rPr>
                <w:rFonts w:ascii="Arial" w:cs="Arial" w:eastAsia="Arial" w:hAnsi="Arial"/>
                <w:sz w:val="12"/>
                <w:szCs w:val="12"/>
                <w:color w:val="auto"/>
              </w:rPr>
              <w:t>226,552</w:t>
            </w:r>
          </w:p>
        </w:tc>
        <w:tc>
          <w:tcPr>
            <w:tcW w:w="0" w:type="dxa"/>
            <w:vAlign w:val="bottom"/>
          </w:tcPr>
          <w:p>
            <w:pPr>
              <w:spacing w:after="0"/>
              <w:rPr>
                <w:sz w:val="1"/>
                <w:szCs w:val="1"/>
                <w:color w:val="auto"/>
              </w:rPr>
            </w:pPr>
          </w:p>
        </w:tc>
      </w:tr>
      <w:tr>
        <w:trPr>
          <w:trHeight w:val="165"/>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Loss from operations </w:t>
            </w:r>
            <w:r>
              <w:rPr>
                <w:rFonts w:ascii="Times New Roman" w:cs="Times New Roman" w:eastAsia="Times New Roman" w:hAnsi="Times New Roman"/>
                <w:sz w:val="12"/>
                <w:szCs w:val="12"/>
                <w:color w:val="B4B4B4"/>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(28,151)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(55,370)</w:t>
            </w:r>
          </w:p>
        </w:tc>
        <w:tc>
          <w:tcPr>
            <w:tcW w:w="0" w:type="dxa"/>
            <w:vAlign w:val="bottom"/>
          </w:tcPr>
          <w:p>
            <w:pPr>
              <w:spacing w:after="0"/>
              <w:rPr>
                <w:sz w:val="1"/>
                <w:szCs w:val="1"/>
                <w:color w:val="auto"/>
              </w:rPr>
            </w:pPr>
          </w:p>
        </w:tc>
      </w:tr>
      <w:tr>
        <w:trPr>
          <w:trHeight w:val="182"/>
        </w:trPr>
        <w:tc>
          <w:tcPr>
            <w:tcW w:w="4260" w:type="dxa"/>
            <w:vAlign w:val="bottom"/>
          </w:tcPr>
          <w:p>
            <w:pPr>
              <w:jc w:val="center"/>
              <w:ind w:left="19"/>
              <w:spacing w:after="0"/>
              <w:rPr>
                <w:sz w:val="20"/>
                <w:szCs w:val="20"/>
                <w:color w:val="auto"/>
              </w:rPr>
            </w:pPr>
            <w:r>
              <w:rPr>
                <w:rFonts w:ascii="Arial" w:cs="Arial" w:eastAsia="Arial" w:hAnsi="Arial"/>
                <w:sz w:val="12"/>
                <w:szCs w:val="12"/>
                <w:color w:val="auto"/>
              </w:rPr>
              <w:t xml:space="preserve">Interest expense </w:t>
            </w:r>
            <w:r>
              <w:rPr>
                <w:rFonts w:ascii="Times New Roman" w:cs="Times New Roman" w:eastAsia="Times New Roman" w:hAnsi="Times New Roman"/>
                <w:sz w:val="12"/>
                <w:szCs w:val="12"/>
                <w:color w:val="B4B4B4"/>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(31,971)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(37,851)</w:t>
            </w:r>
          </w:p>
        </w:tc>
        <w:tc>
          <w:tcPr>
            <w:tcW w:w="0" w:type="dxa"/>
            <w:vAlign w:val="bottom"/>
          </w:tcPr>
          <w:p>
            <w:pPr>
              <w:spacing w:after="0"/>
              <w:rPr>
                <w:sz w:val="1"/>
                <w:szCs w:val="1"/>
                <w:color w:val="auto"/>
              </w:rPr>
            </w:pPr>
          </w:p>
        </w:tc>
      </w:tr>
      <w:tr>
        <w:trPr>
          <w:trHeight w:val="182"/>
        </w:trPr>
        <w:tc>
          <w:tcPr>
            <w:tcW w:w="4260" w:type="dxa"/>
            <w:vAlign w:val="bottom"/>
          </w:tcPr>
          <w:p>
            <w:pPr>
              <w:jc w:val="center"/>
              <w:ind w:left="19"/>
              <w:spacing w:after="0"/>
              <w:rPr>
                <w:sz w:val="20"/>
                <w:szCs w:val="20"/>
                <w:color w:val="auto"/>
              </w:rPr>
            </w:pPr>
            <w:r>
              <w:rPr>
                <w:rFonts w:ascii="Arial" w:cs="Arial" w:eastAsia="Arial" w:hAnsi="Arial"/>
                <w:sz w:val="12"/>
                <w:szCs w:val="12"/>
                <w:color w:val="auto"/>
              </w:rPr>
              <w:t xml:space="preserve">Other income, net </w:t>
            </w:r>
            <w:r>
              <w:rPr>
                <w:rFonts w:ascii="Times New Roman" w:cs="Times New Roman" w:eastAsia="Times New Roman" w:hAnsi="Times New Roman"/>
                <w:sz w:val="12"/>
                <w:szCs w:val="12"/>
                <w:color w:val="B4B4B4"/>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6,699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1,953</w:t>
            </w:r>
          </w:p>
        </w:tc>
        <w:tc>
          <w:tcPr>
            <w:tcW w:w="0" w:type="dxa"/>
            <w:vAlign w:val="bottom"/>
          </w:tcPr>
          <w:p>
            <w:pPr>
              <w:spacing w:after="0"/>
              <w:rPr>
                <w:sz w:val="1"/>
                <w:szCs w:val="1"/>
                <w:color w:val="auto"/>
              </w:rPr>
            </w:pPr>
          </w:p>
        </w:tc>
      </w:tr>
      <w:tr>
        <w:trPr>
          <w:trHeight w:val="182"/>
        </w:trPr>
        <w:tc>
          <w:tcPr>
            <w:tcW w:w="4260" w:type="dxa"/>
            <w:vAlign w:val="bottom"/>
          </w:tcPr>
          <w:p>
            <w:pPr>
              <w:jc w:val="center"/>
              <w:ind w:left="39"/>
              <w:spacing w:after="0"/>
              <w:rPr>
                <w:sz w:val="20"/>
                <w:szCs w:val="20"/>
                <w:color w:val="auto"/>
              </w:rPr>
            </w:pPr>
            <w:r>
              <w:rPr>
                <w:rFonts w:ascii="Arial" w:cs="Arial" w:eastAsia="Arial" w:hAnsi="Arial"/>
                <w:sz w:val="12"/>
                <w:szCs w:val="12"/>
                <w:color w:val="auto"/>
              </w:rPr>
              <w:t xml:space="preserve">Loss on extinguishment of debt </w:t>
            </w:r>
            <w:r>
              <w:rPr>
                <w:rFonts w:ascii="Times New Roman" w:cs="Times New Roman" w:eastAsia="Times New Roman" w:hAnsi="Times New Roman"/>
                <w:sz w:val="12"/>
                <w:szCs w:val="12"/>
                <w:color w:val="B4B4B4"/>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(20,528)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2"/>
        </w:trPr>
        <w:tc>
          <w:tcPr>
            <w:tcW w:w="4260" w:type="dxa"/>
            <w:vAlign w:val="bottom"/>
          </w:tcPr>
          <w:p>
            <w:pPr>
              <w:jc w:val="center"/>
              <w:ind w:left="39"/>
              <w:spacing w:after="0"/>
              <w:rPr>
                <w:sz w:val="20"/>
                <w:szCs w:val="20"/>
                <w:color w:val="auto"/>
              </w:rPr>
            </w:pPr>
            <w:r>
              <w:rPr>
                <w:rFonts w:ascii="Arial" w:cs="Arial" w:eastAsia="Arial" w:hAnsi="Arial"/>
                <w:sz w:val="12"/>
                <w:szCs w:val="12"/>
                <w:color w:val="auto"/>
              </w:rPr>
              <w:t xml:space="preserve">Gain (loss) on fair value adjustments </w:t>
            </w:r>
            <w:r>
              <w:rPr>
                <w:rFonts w:ascii="Times New Roman" w:cs="Times New Roman" w:eastAsia="Times New Roman" w:hAnsi="Times New Roman"/>
                <w:sz w:val="12"/>
                <w:szCs w:val="12"/>
                <w:color w:val="B4B4B4"/>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(17,886)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3,020</w:t>
            </w:r>
          </w:p>
        </w:tc>
        <w:tc>
          <w:tcPr>
            <w:tcW w:w="0" w:type="dxa"/>
            <w:vAlign w:val="bottom"/>
          </w:tcPr>
          <w:p>
            <w:pPr>
              <w:spacing w:after="0"/>
              <w:rPr>
                <w:sz w:val="1"/>
                <w:szCs w:val="1"/>
                <w:color w:val="auto"/>
              </w:rPr>
            </w:pPr>
          </w:p>
        </w:tc>
      </w:tr>
      <w:tr>
        <w:trPr>
          <w:trHeight w:val="182"/>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Loss before income tax expense </w:t>
            </w:r>
            <w:r>
              <w:rPr>
                <w:rFonts w:ascii="Times New Roman" w:cs="Times New Roman" w:eastAsia="Times New Roman" w:hAnsi="Times New Roman"/>
                <w:sz w:val="12"/>
                <w:szCs w:val="12"/>
                <w:color w:val="B4B4B4"/>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(91,837)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(88,248)</w:t>
            </w:r>
          </w:p>
        </w:tc>
        <w:tc>
          <w:tcPr>
            <w:tcW w:w="0" w:type="dxa"/>
            <w:vAlign w:val="bottom"/>
          </w:tcPr>
          <w:p>
            <w:pPr>
              <w:spacing w:after="0"/>
              <w:rPr>
                <w:sz w:val="1"/>
                <w:szCs w:val="1"/>
                <w:color w:val="auto"/>
              </w:rPr>
            </w:pPr>
          </w:p>
        </w:tc>
      </w:tr>
      <w:tr>
        <w:trPr>
          <w:trHeight w:val="182"/>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Income tax expense </w:t>
            </w:r>
            <w:r>
              <w:rPr>
                <w:rFonts w:ascii="Times New Roman" w:cs="Times New Roman" w:eastAsia="Times New Roman" w:hAnsi="Times New Roman"/>
                <w:sz w:val="12"/>
                <w:szCs w:val="12"/>
                <w:color w:val="B4B4B4"/>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8,043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4,296</w:t>
            </w:r>
          </w:p>
        </w:tc>
        <w:tc>
          <w:tcPr>
            <w:tcW w:w="0" w:type="dxa"/>
            <w:vAlign w:val="bottom"/>
          </w:tcPr>
          <w:p>
            <w:pPr>
              <w:spacing w:after="0"/>
              <w:rPr>
                <w:sz w:val="1"/>
                <w:szCs w:val="1"/>
                <w:color w:val="auto"/>
              </w:rPr>
            </w:pPr>
          </w:p>
        </w:tc>
      </w:tr>
      <w:tr>
        <w:trPr>
          <w:trHeight w:val="182"/>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Net loss </w:t>
            </w:r>
            <w:r>
              <w:rPr>
                <w:rFonts w:ascii="Times New Roman" w:cs="Times New Roman" w:eastAsia="Times New Roman" w:hAnsi="Times New Roman"/>
                <w:sz w:val="12"/>
                <w:szCs w:val="12"/>
                <w:color w:val="B4B4B4"/>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(99,880)</w:t>
            </w:r>
          </w:p>
        </w:tc>
        <w:tc>
          <w:tcPr>
            <w:tcW w:w="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(92,544)</w:t>
            </w:r>
          </w:p>
        </w:tc>
        <w:tc>
          <w:tcPr>
            <w:tcW w:w="0" w:type="dxa"/>
            <w:vAlign w:val="bottom"/>
          </w:tcPr>
          <w:p>
            <w:pPr>
              <w:spacing w:after="0"/>
              <w:rPr>
                <w:sz w:val="1"/>
                <w:szCs w:val="1"/>
                <w:color w:val="auto"/>
              </w:rPr>
            </w:pPr>
          </w:p>
        </w:tc>
      </w:tr>
      <w:tr>
        <w:trPr>
          <w:trHeight w:val="94"/>
        </w:trPr>
        <w:tc>
          <w:tcPr>
            <w:tcW w:w="4260" w:type="dxa"/>
            <w:vAlign w:val="bottom"/>
            <w:vMerge w:val="restart"/>
          </w:tcPr>
          <w:p>
            <w:pPr>
              <w:ind w:left="40"/>
              <w:spacing w:after="0"/>
              <w:rPr>
                <w:sz w:val="20"/>
                <w:szCs w:val="20"/>
                <w:color w:val="auto"/>
              </w:rPr>
            </w:pPr>
            <w:r>
              <w:rPr>
                <w:rFonts w:ascii="Arial" w:cs="Arial" w:eastAsia="Arial" w:hAnsi="Arial"/>
                <w:sz w:val="12"/>
                <w:szCs w:val="12"/>
                <w:color w:val="auto"/>
              </w:rPr>
              <w:t>Net loss per share attributable to common stockholders:</w:t>
            </w: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2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Basic and diluted net loss per share </w:t>
            </w:r>
            <w:r>
              <w:rPr>
                <w:rFonts w:ascii="Times New Roman" w:cs="Times New Roman" w:eastAsia="Times New Roman" w:hAnsi="Times New Roman"/>
                <w:sz w:val="12"/>
                <w:szCs w:val="12"/>
                <w:color w:val="B4B4B4"/>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(2.15)</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(2.05)</w:t>
            </w:r>
          </w:p>
        </w:tc>
        <w:tc>
          <w:tcPr>
            <w:tcW w:w="0" w:type="dxa"/>
            <w:vAlign w:val="bottom"/>
          </w:tcPr>
          <w:p>
            <w:pPr>
              <w:spacing w:after="0"/>
              <w:rPr>
                <w:sz w:val="1"/>
                <w:szCs w:val="1"/>
                <w:color w:val="auto"/>
              </w:rPr>
            </w:pPr>
          </w:p>
        </w:tc>
      </w:tr>
      <w:tr>
        <w:trPr>
          <w:trHeight w:val="94"/>
        </w:trPr>
        <w:tc>
          <w:tcPr>
            <w:tcW w:w="4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4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4260" w:type="dxa"/>
            <w:vAlign w:val="bottom"/>
          </w:tcPr>
          <w:p>
            <w:pPr>
              <w:ind w:left="40"/>
              <w:spacing w:after="0" w:line="77" w:lineRule="exact"/>
              <w:rPr>
                <w:sz w:val="20"/>
                <w:szCs w:val="20"/>
                <w:color w:val="auto"/>
              </w:rPr>
            </w:pPr>
            <w:r>
              <w:rPr>
                <w:rFonts w:ascii="Arial" w:cs="Arial" w:eastAsia="Arial" w:hAnsi="Arial"/>
                <w:sz w:val="8"/>
                <w:szCs w:val="8"/>
                <w:color w:val="auto"/>
              </w:rPr>
              <w:t>Weighted-average shares outstanding used to compute net loss per share</w:t>
            </w: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4260" w:type="dxa"/>
            <w:vAlign w:val="bottom"/>
          </w:tcPr>
          <w:p>
            <w:pPr>
              <w:jc w:val="center"/>
              <w:spacing w:after="0"/>
              <w:rPr>
                <w:sz w:val="20"/>
                <w:szCs w:val="20"/>
                <w:color w:val="auto"/>
              </w:rPr>
            </w:pPr>
            <w:r>
              <w:rPr>
                <w:rFonts w:ascii="Arial" w:cs="Arial" w:eastAsia="Arial" w:hAnsi="Arial"/>
                <w:sz w:val="12"/>
                <w:szCs w:val="12"/>
                <w:color w:val="auto"/>
              </w:rPr>
              <w:t xml:space="preserve">attributable to common stockholders </w:t>
            </w:r>
            <w:r>
              <w:rPr>
                <w:rFonts w:ascii="Times New Roman" w:cs="Times New Roman" w:eastAsia="Times New Roman" w:hAnsi="Times New Roman"/>
                <w:sz w:val="12"/>
                <w:szCs w:val="12"/>
                <w:color w:val="B4B4B4"/>
              </w:rPr>
              <w:t>...............................................................</w:t>
            </w:r>
          </w:p>
        </w:tc>
        <w:tc>
          <w:tcPr>
            <w:tcW w:w="120" w:type="dxa"/>
            <w:vAlign w:val="bottom"/>
          </w:tcPr>
          <w:p>
            <w:pPr>
              <w:spacing w:after="0"/>
              <w:rPr>
                <w:sz w:val="14"/>
                <w:szCs w:val="14"/>
                <w:color w:val="auto"/>
              </w:rPr>
            </w:pP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46,350,553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45,153,649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-1628775</wp:posOffset>
            </wp:positionV>
            <wp:extent cx="6732270" cy="99707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141"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The accompanying notes are an integral part of these unaudited condensed consolidated financial</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F-47</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2"/>
          <w:szCs w:val="12"/>
          <w:b w:val="1"/>
          <w:bCs w:val="1"/>
          <w:color w:val="auto"/>
        </w:rPr>
        <w:t>CONDENSED CONSOLIDATED STATEMENTS OF COMPREHENSIVE LOSS</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(in thousands, except par value and share amounts)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4"/>
          </w:tcPr>
          <w:p>
            <w:pPr>
              <w:ind w:left="6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restart"/>
          </w:tcPr>
          <w:p>
            <w:pPr>
              <w:jc w:val="right"/>
              <w:ind w:right="24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Netloss</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(99,880)</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(92,544)</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Other comprehensive income, net of tax:</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Foreign currency translation adjustments </w:t>
            </w:r>
            <w:r>
              <w:rPr>
                <w:rFonts w:ascii="Times New Roman" w:cs="Times New Roman" w:eastAsia="Times New Roman" w:hAnsi="Times New Roman"/>
                <w:sz w:val="12"/>
                <w:szCs w:val="12"/>
                <w:color w:val="B4B4B4"/>
              </w:rPr>
              <w:t>...........................................................</w:t>
            </w: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23,608</w:t>
            </w: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2,944</w:t>
            </w:r>
          </w:p>
        </w:tc>
        <w:tc>
          <w:tcPr>
            <w:tcW w:w="0" w:type="dxa"/>
            <w:vAlign w:val="bottom"/>
          </w:tcPr>
          <w:p>
            <w:pPr>
              <w:spacing w:after="0"/>
              <w:rPr>
                <w:sz w:val="1"/>
                <w:szCs w:val="1"/>
                <w:color w:val="auto"/>
              </w:rPr>
            </w:pPr>
          </w:p>
        </w:tc>
      </w:tr>
      <w:tr>
        <w:trPr>
          <w:trHeight w:val="158"/>
        </w:trPr>
        <w:tc>
          <w:tcPr>
            <w:tcW w:w="4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Totalothercomprehensiveincome,netoftax</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23,608</w:t>
            </w: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2,944</w:t>
            </w:r>
          </w:p>
        </w:tc>
        <w:tc>
          <w:tcPr>
            <w:tcW w:w="0" w:type="dxa"/>
            <w:vAlign w:val="bottom"/>
          </w:tcPr>
          <w:p>
            <w:pPr>
              <w:spacing w:after="0"/>
              <w:rPr>
                <w:sz w:val="1"/>
                <w:szCs w:val="1"/>
                <w:color w:val="auto"/>
              </w:rPr>
            </w:pPr>
          </w:p>
        </w:tc>
      </w:tr>
      <w:tr>
        <w:trPr>
          <w:trHeight w:val="165"/>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Totalcomprehensiveloss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(76,272)</w:t>
            </w:r>
          </w:p>
        </w:tc>
        <w:tc>
          <w:tcPr>
            <w:tcW w:w="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(89,600)</w:t>
            </w: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The accompanying notes are an integral part of these unaudited condensed consolidated financial</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statements.</w:t>
      </w:r>
    </w:p>
    <w:p>
      <w:pPr>
        <w:sectPr>
          <w:pgSz w:w="11900" w:h="16840" w:orient="portrait"/>
          <w:cols w:equalWidth="0" w:num="1">
            <w:col w:w="9020"/>
          </w:cols>
          <w:pgMar w:left="1440" w:top="546" w:right="1440" w:bottom="1440" w:gutter="0" w:footer="0" w:header="0"/>
        </w:sectPr>
      </w:pPr>
    </w:p>
    <w:bookmarkStart w:id="192" w:name="page193"/>
    <w:bookmarkEnd w:id="192"/>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2"/>
          <w:szCs w:val="12"/>
          <w:color w:val="auto"/>
        </w:rPr>
        <w:t>F-48</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2"/>
          <w:szCs w:val="12"/>
          <w:b w:val="1"/>
          <w:bCs w:val="1"/>
          <w:color w:val="auto"/>
        </w:rPr>
        <w:t>CONDENSED CONSOLIDATED STATEMENTS OF REDEEMABLE CONVERTIBLE PREFERRED STOCK AND STOCKHOLDERS’ DEFICIT</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(in thousands, except par value and share amounts)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38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81" w:lineRule="exact"/>
        <w:rPr>
          <w:sz w:val="20"/>
          <w:szCs w:val="20"/>
          <w:color w:val="auto"/>
        </w:rPr>
      </w:pPr>
    </w:p>
    <w:tbl>
      <w:tblPr>
        <w:tblLayout w:type="fixed"/>
        <w:tblInd w:w="380" w:type="dxa"/>
        <w:tblCellMar>
          <w:top w:w="0" w:type="dxa"/>
          <w:left w:w="0" w:type="dxa"/>
          <w:bottom w:w="0" w:type="dxa"/>
          <w:right w:w="0" w:type="dxa"/>
        </w:tblCellMar>
      </w:tblPr>
      <w:tr>
        <w:trPr>
          <w:trHeight w:val="105"/>
        </w:trPr>
        <w:tc>
          <w:tcPr>
            <w:tcW w:w="2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center"/>
              <w:ind w:right="32"/>
              <w:spacing w:after="0"/>
              <w:rPr>
                <w:sz w:val="20"/>
                <w:szCs w:val="20"/>
                <w:color w:val="auto"/>
              </w:rPr>
            </w:pPr>
            <w:r>
              <w:rPr>
                <w:rFonts w:ascii="Arial" w:cs="Arial" w:eastAsia="Arial" w:hAnsi="Arial"/>
                <w:sz w:val="8"/>
                <w:szCs w:val="8"/>
                <w:b w:val="1"/>
                <w:bCs w:val="1"/>
                <w:color w:val="auto"/>
                <w:w w:val="95"/>
              </w:rPr>
              <w:t>Accumulated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360" w:type="dxa"/>
            <w:vAlign w:val="bottom"/>
          </w:tcPr>
          <w:p>
            <w:pPr>
              <w:spacing w:after="0"/>
              <w:rPr>
                <w:sz w:val="10"/>
                <w:szCs w:val="10"/>
                <w:color w:val="auto"/>
              </w:rPr>
            </w:pPr>
          </w:p>
        </w:tc>
        <w:tc>
          <w:tcPr>
            <w:tcW w:w="1520" w:type="dxa"/>
            <w:vAlign w:val="bottom"/>
            <w:tcBorders>
              <w:right w:val="single" w:sz="8" w:color="auto"/>
            </w:tcBorders>
            <w:gridSpan w:val="4"/>
          </w:tcPr>
          <w:p>
            <w:pPr>
              <w:ind w:left="100"/>
              <w:spacing w:after="0"/>
              <w:rPr>
                <w:sz w:val="20"/>
                <w:szCs w:val="20"/>
                <w:color w:val="auto"/>
              </w:rPr>
            </w:pPr>
            <w:r>
              <w:rPr>
                <w:rFonts w:ascii="Arial" w:cs="Arial" w:eastAsia="Arial" w:hAnsi="Arial"/>
                <w:sz w:val="8"/>
                <w:szCs w:val="8"/>
                <w:b w:val="1"/>
                <w:bCs w:val="1"/>
                <w:color w:val="auto"/>
              </w:rPr>
              <w:t>Redeemable Convertible Preferred</w:t>
            </w:r>
          </w:p>
        </w:tc>
        <w:tc>
          <w:tcPr>
            <w:tcW w:w="20" w:type="dxa"/>
            <w:vAlign w:val="bottom"/>
          </w:tcPr>
          <w:p>
            <w:pPr>
              <w:spacing w:after="0"/>
              <w:rPr>
                <w:sz w:val="10"/>
                <w:szCs w:val="10"/>
                <w:color w:val="auto"/>
              </w:rPr>
            </w:pPr>
          </w:p>
        </w:tc>
        <w:tc>
          <w:tcPr>
            <w:tcW w:w="1240" w:type="dxa"/>
            <w:vAlign w:val="bottom"/>
            <w:gridSpan w:val="3"/>
            <w:vMerge w:val="restart"/>
          </w:tcPr>
          <w:p>
            <w:pPr>
              <w:jc w:val="right"/>
              <w:ind w:right="235"/>
              <w:spacing w:after="0"/>
              <w:rPr>
                <w:sz w:val="20"/>
                <w:szCs w:val="20"/>
                <w:color w:val="auto"/>
              </w:rPr>
            </w:pPr>
            <w:r>
              <w:rPr>
                <w:rFonts w:ascii="Arial" w:cs="Arial" w:eastAsia="Arial" w:hAnsi="Arial"/>
                <w:sz w:val="8"/>
                <w:szCs w:val="8"/>
                <w:b w:val="1"/>
                <w:bCs w:val="1"/>
                <w:color w:val="auto"/>
              </w:rPr>
              <w:t>Common Stock</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spacing w:after="0"/>
              <w:rPr>
                <w:sz w:val="20"/>
                <w:szCs w:val="20"/>
                <w:color w:val="auto"/>
              </w:rPr>
            </w:pPr>
            <w:r>
              <w:rPr>
                <w:rFonts w:ascii="Arial" w:cs="Arial" w:eastAsia="Arial" w:hAnsi="Arial"/>
                <w:sz w:val="8"/>
                <w:szCs w:val="8"/>
                <w:b w:val="1"/>
                <w:bCs w:val="1"/>
                <w:color w:val="auto"/>
                <w:w w:val="95"/>
              </w:rPr>
              <w:t>Additional paid-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center"/>
              <w:ind w:right="120"/>
              <w:spacing w:after="0"/>
              <w:rPr>
                <w:sz w:val="20"/>
                <w:szCs w:val="20"/>
                <w:color w:val="auto"/>
              </w:rPr>
            </w:pPr>
            <w:r>
              <w:rPr>
                <w:rFonts w:ascii="Arial" w:cs="Arial" w:eastAsia="Arial" w:hAnsi="Arial"/>
                <w:sz w:val="8"/>
                <w:szCs w:val="8"/>
                <w:b w:val="1"/>
                <w:bCs w:val="1"/>
                <w:color w:val="auto"/>
                <w:w w:val="95"/>
              </w:rPr>
              <w:t>Accumulated</w:t>
            </w:r>
          </w:p>
        </w:tc>
        <w:tc>
          <w:tcPr>
            <w:tcW w:w="100" w:type="dxa"/>
            <w:vAlign w:val="bottom"/>
          </w:tcPr>
          <w:p>
            <w:pPr>
              <w:spacing w:after="0"/>
              <w:rPr>
                <w:sz w:val="10"/>
                <w:szCs w:val="10"/>
                <w:color w:val="auto"/>
              </w:rPr>
            </w:pPr>
          </w:p>
        </w:tc>
        <w:tc>
          <w:tcPr>
            <w:tcW w:w="600" w:type="dxa"/>
            <w:vAlign w:val="bottom"/>
          </w:tcPr>
          <w:p>
            <w:pPr>
              <w:jc w:val="center"/>
              <w:ind w:right="52"/>
              <w:spacing w:after="0"/>
              <w:rPr>
                <w:sz w:val="20"/>
                <w:szCs w:val="20"/>
                <w:color w:val="auto"/>
              </w:rPr>
            </w:pPr>
            <w:r>
              <w:rPr>
                <w:rFonts w:ascii="Arial" w:cs="Arial" w:eastAsia="Arial" w:hAnsi="Arial"/>
                <w:sz w:val="8"/>
                <w:szCs w:val="8"/>
                <w:b w:val="1"/>
                <w:bCs w:val="1"/>
                <w:color w:val="auto"/>
                <w:w w:val="89"/>
              </w:rPr>
              <w:t>other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52"/>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110"/>
        </w:trPr>
        <w:tc>
          <w:tcPr>
            <w:tcW w:w="2360" w:type="dxa"/>
            <w:vAlign w:val="bottom"/>
          </w:tcPr>
          <w:p>
            <w:pPr>
              <w:spacing w:after="0"/>
              <w:rPr>
                <w:sz w:val="9"/>
                <w:szCs w:val="9"/>
                <w:color w:val="auto"/>
              </w:rPr>
            </w:pPr>
          </w:p>
        </w:tc>
        <w:tc>
          <w:tcPr>
            <w:tcW w:w="8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8"/>
                <w:szCs w:val="8"/>
                <w:b w:val="1"/>
                <w:bCs w:val="1"/>
                <w:color w:val="auto"/>
              </w:rPr>
              <w:t>Stock</w:t>
            </w:r>
          </w:p>
        </w:tc>
        <w:tc>
          <w:tcPr>
            <w:tcW w:w="64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Borders>
              <w:bottom w:val="single" w:sz="8" w:color="auto"/>
            </w:tcBorders>
            <w:gridSpan w:val="3"/>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center"/>
              <w:ind w:right="131"/>
              <w:spacing w:after="0"/>
              <w:rPr>
                <w:sz w:val="20"/>
                <w:szCs w:val="20"/>
                <w:color w:val="auto"/>
              </w:rPr>
            </w:pPr>
            <w:r>
              <w:rPr>
                <w:rFonts w:ascii="Arial" w:cs="Arial" w:eastAsia="Arial" w:hAnsi="Arial"/>
                <w:sz w:val="8"/>
                <w:szCs w:val="8"/>
                <w:b w:val="1"/>
                <w:bCs w:val="1"/>
                <w:color w:val="auto"/>
                <w:w w:val="83"/>
              </w:rPr>
              <w:t>in</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700" w:type="dxa"/>
            <w:vAlign w:val="bottom"/>
            <w:gridSpan w:val="2"/>
          </w:tcPr>
          <w:p>
            <w:pPr>
              <w:jc w:val="center"/>
              <w:spacing w:after="0"/>
              <w:rPr>
                <w:sz w:val="20"/>
                <w:szCs w:val="20"/>
                <w:color w:val="auto"/>
              </w:rPr>
            </w:pPr>
            <w:r>
              <w:rPr>
                <w:rFonts w:ascii="Arial" w:cs="Arial" w:eastAsia="Arial" w:hAnsi="Arial"/>
                <w:sz w:val="8"/>
                <w:szCs w:val="8"/>
                <w:b w:val="1"/>
                <w:bCs w:val="1"/>
                <w:color w:val="auto"/>
                <w:w w:val="95"/>
              </w:rPr>
              <w:t>comprehensive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center"/>
              <w:ind w:right="52"/>
              <w:spacing w:after="0"/>
              <w:rPr>
                <w:sz w:val="20"/>
                <w:szCs w:val="20"/>
                <w:color w:val="auto"/>
              </w:rPr>
            </w:pPr>
            <w:r>
              <w:rPr>
                <w:rFonts w:ascii="Arial" w:cs="Arial" w:eastAsia="Arial" w:hAnsi="Arial"/>
                <w:sz w:val="8"/>
                <w:szCs w:val="8"/>
                <w:b w:val="1"/>
                <w:bCs w:val="1"/>
                <w:color w:val="auto"/>
                <w:w w:val="96"/>
              </w:rPr>
              <w:t>stockholders'</w:t>
            </w:r>
          </w:p>
        </w:tc>
        <w:tc>
          <w:tcPr>
            <w:tcW w:w="0" w:type="dxa"/>
            <w:vAlign w:val="bottom"/>
          </w:tcPr>
          <w:p>
            <w:pPr>
              <w:spacing w:after="0"/>
              <w:rPr>
                <w:sz w:val="1"/>
                <w:szCs w:val="1"/>
                <w:color w:val="auto"/>
              </w:rPr>
            </w:pPr>
          </w:p>
        </w:tc>
      </w:tr>
      <w:tr>
        <w:trPr>
          <w:trHeight w:val="118"/>
        </w:trPr>
        <w:tc>
          <w:tcPr>
            <w:tcW w:w="2360" w:type="dxa"/>
            <w:vAlign w:val="bottom"/>
          </w:tcPr>
          <w:p>
            <w:pPr>
              <w:spacing w:after="0"/>
              <w:rPr>
                <w:sz w:val="10"/>
                <w:szCs w:val="10"/>
                <w:color w:val="auto"/>
              </w:rPr>
            </w:pPr>
          </w:p>
        </w:tc>
        <w:tc>
          <w:tcPr>
            <w:tcW w:w="700" w:type="dxa"/>
            <w:vAlign w:val="bottom"/>
          </w:tcPr>
          <w:p>
            <w:pPr>
              <w:ind w:left="220"/>
              <w:spacing w:after="0"/>
              <w:rPr>
                <w:sz w:val="20"/>
                <w:szCs w:val="20"/>
                <w:color w:val="auto"/>
              </w:rPr>
            </w:pPr>
            <w:r>
              <w:rPr>
                <w:rFonts w:ascii="Arial" w:cs="Arial" w:eastAsia="Arial" w:hAnsi="Arial"/>
                <w:sz w:val="8"/>
                <w:szCs w:val="8"/>
                <w:b w:val="1"/>
                <w:bCs w:val="1"/>
                <w:color w:val="auto"/>
              </w:rPr>
              <w:t>Shares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right w:val="single" w:sz="8" w:color="auto"/>
            </w:tcBorders>
          </w:tcPr>
          <w:p>
            <w:pPr>
              <w:ind w:left="60"/>
              <w:spacing w:after="0"/>
              <w:rPr>
                <w:sz w:val="20"/>
                <w:szCs w:val="20"/>
                <w:color w:val="auto"/>
              </w:rPr>
            </w:pPr>
            <w:r>
              <w:rPr>
                <w:rFonts w:ascii="Arial" w:cs="Arial" w:eastAsia="Arial" w:hAnsi="Arial"/>
                <w:sz w:val="8"/>
                <w:szCs w:val="8"/>
                <w:b w:val="1"/>
                <w:bCs w:val="1"/>
                <w:color w:val="auto"/>
              </w:rPr>
              <w:t>Amount</w:t>
            </w:r>
          </w:p>
        </w:tc>
        <w:tc>
          <w:tcPr>
            <w:tcW w:w="20" w:type="dxa"/>
            <w:vAlign w:val="bottom"/>
          </w:tcPr>
          <w:p>
            <w:pPr>
              <w:spacing w:after="0"/>
              <w:rPr>
                <w:sz w:val="10"/>
                <w:szCs w:val="10"/>
                <w:color w:val="auto"/>
              </w:rPr>
            </w:pPr>
          </w:p>
        </w:tc>
        <w:tc>
          <w:tcPr>
            <w:tcW w:w="680" w:type="dxa"/>
            <w:vAlign w:val="bottom"/>
          </w:tcPr>
          <w:p>
            <w:pPr>
              <w:jc w:val="right"/>
              <w:ind w:right="171"/>
              <w:spacing w:after="0"/>
              <w:rPr>
                <w:sz w:val="20"/>
                <w:szCs w:val="20"/>
                <w:color w:val="auto"/>
              </w:rPr>
            </w:pPr>
            <w:r>
              <w:rPr>
                <w:rFonts w:ascii="Arial" w:cs="Arial" w:eastAsia="Arial" w:hAnsi="Arial"/>
                <w:sz w:val="8"/>
                <w:szCs w:val="8"/>
                <w:b w:val="1"/>
                <w:bCs w:val="1"/>
                <w:color w:val="auto"/>
              </w:rPr>
              <w:t>Shares</w:t>
            </w:r>
          </w:p>
        </w:tc>
        <w:tc>
          <w:tcPr>
            <w:tcW w:w="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b w:val="1"/>
                <w:bCs w:val="1"/>
                <w:color w:val="auto"/>
              </w:rPr>
              <w:t>Amount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ind w:right="111"/>
              <w:spacing w:after="0"/>
              <w:rPr>
                <w:sz w:val="20"/>
                <w:szCs w:val="20"/>
                <w:color w:val="auto"/>
              </w:rPr>
            </w:pPr>
            <w:r>
              <w:rPr>
                <w:rFonts w:ascii="Arial" w:cs="Arial" w:eastAsia="Arial" w:hAnsi="Arial"/>
                <w:sz w:val="8"/>
                <w:szCs w:val="8"/>
                <w:b w:val="1"/>
                <w:bCs w:val="1"/>
                <w:color w:val="auto"/>
                <w:w w:val="94"/>
              </w:rPr>
              <w:t>capital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8"/>
                <w:szCs w:val="8"/>
                <w:b w:val="1"/>
                <w:bCs w:val="1"/>
                <w:color w:val="auto"/>
                <w:w w:val="93"/>
              </w:rPr>
              <w:t>deficit</w:t>
            </w:r>
          </w:p>
        </w:tc>
        <w:tc>
          <w:tcPr>
            <w:tcW w:w="100" w:type="dxa"/>
            <w:vAlign w:val="bottom"/>
          </w:tcPr>
          <w:p>
            <w:pPr>
              <w:spacing w:after="0"/>
              <w:rPr>
                <w:sz w:val="10"/>
                <w:szCs w:val="10"/>
                <w:color w:val="auto"/>
              </w:rPr>
            </w:pPr>
          </w:p>
        </w:tc>
        <w:tc>
          <w:tcPr>
            <w:tcW w:w="600" w:type="dxa"/>
            <w:vAlign w:val="bottom"/>
          </w:tcPr>
          <w:p>
            <w:pPr>
              <w:jc w:val="center"/>
              <w:ind w:right="52"/>
              <w:spacing w:after="0"/>
              <w:rPr>
                <w:sz w:val="20"/>
                <w:szCs w:val="20"/>
                <w:color w:val="auto"/>
              </w:rPr>
            </w:pPr>
            <w:r>
              <w:rPr>
                <w:rFonts w:ascii="Arial" w:cs="Arial" w:eastAsia="Arial" w:hAnsi="Arial"/>
                <w:sz w:val="8"/>
                <w:szCs w:val="8"/>
                <w:b w:val="1"/>
                <w:bCs w:val="1"/>
                <w:color w:val="auto"/>
                <w:w w:val="96"/>
              </w:rPr>
              <w:t>income (loss)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52"/>
              <w:spacing w:after="0"/>
              <w:rPr>
                <w:sz w:val="20"/>
                <w:szCs w:val="20"/>
                <w:color w:val="auto"/>
              </w:rPr>
            </w:pPr>
            <w:r>
              <w:rPr>
                <w:rFonts w:ascii="Arial" w:cs="Arial" w:eastAsia="Arial" w:hAnsi="Arial"/>
                <w:sz w:val="8"/>
                <w:szCs w:val="8"/>
                <w:b w:val="1"/>
                <w:bCs w:val="1"/>
                <w:color w:val="auto"/>
                <w:w w:val="93"/>
              </w:rPr>
              <w:t>deficit</w:t>
            </w:r>
          </w:p>
        </w:tc>
        <w:tc>
          <w:tcPr>
            <w:tcW w:w="0" w:type="dxa"/>
            <w:vAlign w:val="bottom"/>
          </w:tcPr>
          <w:p>
            <w:pPr>
              <w:spacing w:after="0"/>
              <w:rPr>
                <w:sz w:val="1"/>
                <w:szCs w:val="1"/>
                <w:color w:val="auto"/>
              </w:rPr>
            </w:pPr>
          </w:p>
        </w:tc>
      </w:tr>
      <w:tr>
        <w:trPr>
          <w:trHeight w:val="153"/>
        </w:trPr>
        <w:tc>
          <w:tcPr>
            <w:tcW w:w="23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Arial" w:cs="Arial" w:eastAsia="Arial" w:hAnsi="Arial"/>
                <w:sz w:val="11"/>
                <w:szCs w:val="11"/>
                <w:b w:val="1"/>
                <w:bCs w:val="1"/>
                <w:color w:val="000000"/>
              </w:rPr>
              <w:t>BalanceasofJanuary31,2025</w:t>
            </w:r>
          </w:p>
        </w:tc>
        <w:tc>
          <w:tcPr>
            <w:tcW w:w="7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1"/>
                <w:szCs w:val="11"/>
                <w:color w:val="auto"/>
                <w:w w:val="94"/>
              </w:rPr>
              <w:t>146,360,207</w:t>
            </w: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tcBorders>
              <w:top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1,301,121</w:t>
            </w:r>
          </w:p>
        </w:tc>
        <w:tc>
          <w:tcPr>
            <w:tcW w:w="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45,782,871</w:t>
            </w:r>
          </w:p>
        </w:tc>
        <w:tc>
          <w:tcPr>
            <w:tcW w:w="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ind w:right="395"/>
              <w:spacing w:after="0"/>
              <w:rPr>
                <w:sz w:val="20"/>
                <w:szCs w:val="20"/>
                <w:color w:val="auto"/>
              </w:rPr>
            </w:pPr>
            <w:r>
              <w:rPr>
                <w:rFonts w:ascii="Arial" w:cs="Arial" w:eastAsia="Arial" w:hAnsi="Arial"/>
                <w:sz w:val="11"/>
                <w:szCs w:val="11"/>
                <w:color w:val="auto"/>
                <w:w w:val="97"/>
              </w:rPr>
              <w:t>$</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1</w:t>
            </w: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1"/>
                <w:szCs w:val="11"/>
                <w:color w:val="auto"/>
              </w:rPr>
              <w:t>467,835</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(1,617,113)</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(37,622)</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(1,186,899)</w:t>
            </w:r>
          </w:p>
        </w:tc>
        <w:tc>
          <w:tcPr>
            <w:tcW w:w="0" w:type="dxa"/>
            <w:vAlign w:val="bottom"/>
          </w:tcPr>
          <w:p>
            <w:pPr>
              <w:spacing w:after="0"/>
              <w:rPr>
                <w:sz w:val="1"/>
                <w:szCs w:val="1"/>
                <w:color w:val="auto"/>
              </w:rPr>
            </w:pPr>
          </w:p>
        </w:tc>
      </w:tr>
      <w:tr>
        <w:trPr>
          <w:trHeight w:val="139"/>
        </w:trPr>
        <w:tc>
          <w:tcPr>
            <w:tcW w:w="2360" w:type="dxa"/>
            <w:vAlign w:val="bottom"/>
          </w:tcPr>
          <w:p>
            <w:pPr>
              <w:ind w:left="180"/>
              <w:spacing w:after="0"/>
              <w:rPr>
                <w:sz w:val="20"/>
                <w:szCs w:val="20"/>
                <w:color w:val="auto"/>
              </w:rPr>
            </w:pPr>
            <w:r>
              <w:rPr>
                <w:rFonts w:ascii="Arial" w:cs="Arial" w:eastAsia="Arial" w:hAnsi="Arial"/>
                <w:sz w:val="11"/>
                <w:szCs w:val="11"/>
                <w:color w:val="auto"/>
                <w:w w:val="92"/>
              </w:rPr>
              <w:t xml:space="preserve">Net loss </w:t>
            </w:r>
            <w:r>
              <w:rPr>
                <w:rFonts w:ascii="Times New Roman" w:cs="Times New Roman" w:eastAsia="Times New Roman" w:hAnsi="Times New Roman"/>
                <w:sz w:val="11"/>
                <w:szCs w:val="11"/>
                <w:color w:val="B4B4B4"/>
                <w:w w:val="92"/>
              </w:rPr>
              <w:t>.....................................................................</w:t>
            </w:r>
          </w:p>
        </w:tc>
        <w:tc>
          <w:tcPr>
            <w:tcW w:w="700" w:type="dxa"/>
            <w:vAlign w:val="bottom"/>
          </w:tcPr>
          <w:p>
            <w:pPr>
              <w:ind w:left="5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right w:val="single" w:sz="8" w:color="auto"/>
            </w:tcBorders>
          </w:tcPr>
          <w:p>
            <w:pPr>
              <w:ind w:left="4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80" w:type="dxa"/>
            <w:vAlign w:val="bottom"/>
          </w:tcPr>
          <w:p>
            <w:pPr>
              <w:jc w:val="right"/>
              <w:ind w:right="11"/>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jc w:val="right"/>
              <w:ind w:right="8"/>
              <w:spacing w:after="0"/>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(99,880)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(99,880)</w:t>
            </w: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360" w:type="dxa"/>
            <w:vAlign w:val="bottom"/>
          </w:tcPr>
          <w:p>
            <w:pPr>
              <w:ind w:left="180"/>
              <w:spacing w:after="0" w:line="105" w:lineRule="exact"/>
              <w:rPr>
                <w:sz w:val="20"/>
                <w:szCs w:val="20"/>
                <w:color w:val="auto"/>
              </w:rPr>
            </w:pPr>
            <w:r>
              <w:rPr>
                <w:rFonts w:ascii="Arial" w:cs="Arial" w:eastAsia="Arial" w:hAnsi="Arial"/>
                <w:sz w:val="11"/>
                <w:szCs w:val="11"/>
                <w:color w:val="auto"/>
                <w:w w:val="94"/>
              </w:rPr>
              <w:t xml:space="preserve">Other comprehensive income, net of ta </w:t>
            </w:r>
            <w:r>
              <w:rPr>
                <w:rFonts w:ascii="Times New Roman" w:cs="Times New Roman" w:eastAsia="Times New Roman" w:hAnsi="Times New Roman"/>
                <w:sz w:val="11"/>
                <w:szCs w:val="11"/>
                <w:color w:val="B4B4B4"/>
                <w:w w:val="94"/>
              </w:rPr>
              <w:t>.............</w:t>
            </w:r>
          </w:p>
        </w:tc>
        <w:tc>
          <w:tcPr>
            <w:tcW w:w="700" w:type="dxa"/>
            <w:vAlign w:val="bottom"/>
          </w:tcPr>
          <w:p>
            <w:pPr>
              <w:ind w:left="560"/>
              <w:spacing w:after="0" w:line="10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right w:val="single" w:sz="8" w:color="auto"/>
            </w:tcBorders>
          </w:tcPr>
          <w:p>
            <w:pPr>
              <w:ind w:left="400"/>
              <w:spacing w:after="0" w:line="10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680" w:type="dxa"/>
            <w:vAlign w:val="bottom"/>
          </w:tcPr>
          <w:p>
            <w:pPr>
              <w:jc w:val="right"/>
              <w:ind w:right="11"/>
              <w:spacing w:after="0" w:line="10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jc w:val="right"/>
              <w:ind w:right="8"/>
              <w:spacing w:after="0" w:line="105" w:lineRule="exact"/>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ind w:right="11"/>
              <w:spacing w:after="0" w:line="10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right"/>
              <w:ind w:right="80"/>
              <w:spacing w:after="0" w:line="10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23,608</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23,608</w:t>
            </w:r>
          </w:p>
        </w:tc>
        <w:tc>
          <w:tcPr>
            <w:tcW w:w="0" w:type="dxa"/>
            <w:vAlign w:val="bottom"/>
          </w:tcPr>
          <w:p>
            <w:pPr>
              <w:spacing w:after="0"/>
              <w:rPr>
                <w:sz w:val="1"/>
                <w:szCs w:val="1"/>
                <w:color w:val="auto"/>
              </w:rPr>
            </w:pPr>
          </w:p>
        </w:tc>
      </w:tr>
      <w:tr>
        <w:trPr>
          <w:trHeight w:val="67"/>
        </w:trPr>
        <w:tc>
          <w:tcPr>
            <w:tcW w:w="2360" w:type="dxa"/>
            <w:vAlign w:val="bottom"/>
          </w:tcPr>
          <w:p>
            <w:pPr>
              <w:ind w:left="180"/>
              <w:spacing w:after="0" w:line="67" w:lineRule="exact"/>
              <w:rPr>
                <w:sz w:val="20"/>
                <w:szCs w:val="20"/>
                <w:color w:val="auto"/>
              </w:rPr>
            </w:pPr>
            <w:r>
              <w:rPr>
                <w:rFonts w:ascii="Arial" w:cs="Arial" w:eastAsia="Arial" w:hAnsi="Arial"/>
                <w:sz w:val="7"/>
                <w:szCs w:val="7"/>
                <w:color w:val="auto"/>
              </w:rPr>
              <w:t>x</w:t>
            </w:r>
          </w:p>
        </w:tc>
        <w:tc>
          <w:tcPr>
            <w:tcW w:w="700" w:type="dxa"/>
            <w:vAlign w:val="bottom"/>
            <w:vMerge w:val="restart"/>
          </w:tcPr>
          <w:p>
            <w:pPr>
              <w:ind w:left="5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5"/>
                <w:szCs w:val="5"/>
                <w:color w:val="auto"/>
              </w:rPr>
            </w:pPr>
          </w:p>
        </w:tc>
        <w:tc>
          <w:tcPr>
            <w:tcW w:w="680" w:type="dxa"/>
            <w:vAlign w:val="bottom"/>
            <w:vMerge w:val="restart"/>
          </w:tcPr>
          <w:p>
            <w:pPr>
              <w:jc w:val="right"/>
              <w:ind w:right="11"/>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restart"/>
          </w:tcPr>
          <w:p>
            <w:pPr>
              <w:jc w:val="right"/>
              <w:ind w:right="11"/>
              <w:spacing w:after="0"/>
              <w:rPr>
                <w:sz w:val="20"/>
                <w:szCs w:val="20"/>
                <w:color w:val="auto"/>
              </w:rPr>
            </w:pPr>
            <w:r>
              <w:rPr>
                <w:rFonts w:ascii="Arial" w:cs="Arial" w:eastAsia="Arial" w:hAnsi="Arial"/>
                <w:sz w:val="11"/>
                <w:szCs w:val="11"/>
                <w:color w:val="auto"/>
              </w:rPr>
              <w:t>11,007</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11,007</w:t>
            </w:r>
          </w:p>
        </w:tc>
        <w:tc>
          <w:tcPr>
            <w:tcW w:w="0" w:type="dxa"/>
            <w:vAlign w:val="bottom"/>
          </w:tcPr>
          <w:p>
            <w:pPr>
              <w:spacing w:after="0"/>
              <w:rPr>
                <w:sz w:val="1"/>
                <w:szCs w:val="1"/>
                <w:color w:val="auto"/>
              </w:rPr>
            </w:pPr>
          </w:p>
        </w:tc>
      </w:tr>
      <w:tr>
        <w:trPr>
          <w:trHeight w:val="146"/>
        </w:trPr>
        <w:tc>
          <w:tcPr>
            <w:tcW w:w="2360" w:type="dxa"/>
            <w:vAlign w:val="bottom"/>
          </w:tcPr>
          <w:p>
            <w:pPr>
              <w:ind w:left="180"/>
              <w:spacing w:after="0"/>
              <w:rPr>
                <w:sz w:val="20"/>
                <w:szCs w:val="20"/>
                <w:color w:val="auto"/>
              </w:rPr>
            </w:pPr>
            <w:r>
              <w:rPr>
                <w:rFonts w:ascii="Arial" w:cs="Arial" w:eastAsia="Arial" w:hAnsi="Arial"/>
                <w:sz w:val="11"/>
                <w:szCs w:val="11"/>
                <w:color w:val="auto"/>
                <w:w w:val="93"/>
              </w:rPr>
              <w:t>Issuance of common stock warrants</w:t>
            </w:r>
            <w:r>
              <w:rPr>
                <w:rFonts w:ascii="Times New Roman" w:cs="Times New Roman" w:eastAsia="Times New Roman" w:hAnsi="Times New Roman"/>
                <w:sz w:val="11"/>
                <w:szCs w:val="11"/>
                <w:color w:val="B4B4B4"/>
                <w:w w:val="93"/>
              </w:rPr>
              <w:t>....................</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360" w:type="dxa"/>
            <w:vAlign w:val="bottom"/>
            <w:shd w:val="clear" w:color="auto" w:fill="CCEEFF"/>
          </w:tcPr>
          <w:p>
            <w:pPr>
              <w:ind w:left="180"/>
              <w:spacing w:after="0" w:line="103" w:lineRule="exact"/>
              <w:rPr>
                <w:sz w:val="20"/>
                <w:szCs w:val="20"/>
                <w:color w:val="auto"/>
              </w:rPr>
            </w:pPr>
            <w:r>
              <w:rPr>
                <w:rFonts w:ascii="Arial" w:cs="Arial" w:eastAsia="Arial" w:hAnsi="Arial"/>
                <w:sz w:val="11"/>
                <w:szCs w:val="11"/>
                <w:color w:val="000000"/>
                <w:w w:val="92"/>
                <w:vertAlign w:val="superscript"/>
              </w:rPr>
              <w:t>Issuance of common</w:t>
            </w:r>
            <w:r>
              <w:rPr>
                <w:rFonts w:ascii="Times New Roman" w:cs="Times New Roman" w:eastAsia="Times New Roman" w:hAnsi="Times New Roman"/>
                <w:sz w:val="7"/>
                <w:szCs w:val="7"/>
                <w:color w:val="B4B4B4"/>
                <w:w w:val="92"/>
              </w:rPr>
              <w:t>........................................................</w:t>
            </w:r>
            <w:r>
              <w:rPr>
                <w:rFonts w:ascii="Arial" w:cs="Arial" w:eastAsia="Arial" w:hAnsi="Arial"/>
                <w:sz w:val="11"/>
                <w:szCs w:val="11"/>
                <w:color w:val="000000"/>
                <w:w w:val="92"/>
                <w:vertAlign w:val="superscript"/>
              </w:rPr>
              <w:t>stockuponexerciseof</w:t>
            </w:r>
          </w:p>
        </w:tc>
        <w:tc>
          <w:tcPr>
            <w:tcW w:w="700" w:type="dxa"/>
            <w:vAlign w:val="bottom"/>
            <w:vMerge w:val="restart"/>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tcBorders>
              <w:right w:val="single" w:sz="8" w:color="auto"/>
            </w:tcBorders>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548,401</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1"/>
                <w:szCs w:val="11"/>
                <w:color w:val="auto"/>
                <w:w w:val="90"/>
              </w:rPr>
              <w:t>—</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ind w:right="11"/>
              <w:spacing w:after="0"/>
              <w:rPr>
                <w:sz w:val="20"/>
                <w:szCs w:val="20"/>
                <w:color w:val="auto"/>
              </w:rPr>
            </w:pPr>
            <w:r>
              <w:rPr>
                <w:rFonts w:ascii="Arial" w:cs="Arial" w:eastAsia="Arial" w:hAnsi="Arial"/>
                <w:sz w:val="11"/>
                <w:szCs w:val="11"/>
                <w:color w:val="auto"/>
              </w:rPr>
              <w:t>5,826</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5,826</w:t>
            </w:r>
          </w:p>
        </w:tc>
        <w:tc>
          <w:tcPr>
            <w:tcW w:w="0" w:type="dxa"/>
            <w:vAlign w:val="bottom"/>
          </w:tcPr>
          <w:p>
            <w:pPr>
              <w:spacing w:after="0"/>
              <w:rPr>
                <w:sz w:val="1"/>
                <w:szCs w:val="1"/>
                <w:color w:val="auto"/>
              </w:rPr>
            </w:pPr>
          </w:p>
        </w:tc>
      </w:tr>
      <w:tr>
        <w:trPr>
          <w:trHeight w:val="143"/>
        </w:trPr>
        <w:tc>
          <w:tcPr>
            <w:tcW w:w="2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stock options</w:t>
            </w: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right w:val="single" w:sz="8" w:color="auto"/>
            </w:tcBorders>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60" w:type="dxa"/>
            <w:vAlign w:val="bottom"/>
          </w:tcPr>
          <w:p>
            <w:pPr>
              <w:ind w:left="180"/>
              <w:spacing w:after="0"/>
              <w:rPr>
                <w:sz w:val="20"/>
                <w:szCs w:val="20"/>
                <w:color w:val="auto"/>
              </w:rPr>
            </w:pPr>
            <w:r>
              <w:rPr>
                <w:rFonts w:ascii="Arial" w:cs="Arial" w:eastAsia="Arial" w:hAnsi="Arial"/>
                <w:sz w:val="11"/>
                <w:szCs w:val="11"/>
                <w:color w:val="auto"/>
                <w:w w:val="93"/>
              </w:rPr>
              <w:t>Vesting of early exercised stock options</w:t>
            </w:r>
            <w:r>
              <w:rPr>
                <w:rFonts w:ascii="Times New Roman" w:cs="Times New Roman" w:eastAsia="Times New Roman" w:hAnsi="Times New Roman"/>
                <w:sz w:val="11"/>
                <w:szCs w:val="11"/>
                <w:color w:val="B4B4B4"/>
                <w:w w:val="93"/>
              </w:rPr>
              <w:t>..............</w:t>
            </w:r>
          </w:p>
        </w:tc>
        <w:tc>
          <w:tcPr>
            <w:tcW w:w="700" w:type="dxa"/>
            <w:vAlign w:val="bottom"/>
          </w:tcPr>
          <w:p>
            <w:pPr>
              <w:ind w:left="5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right w:val="single" w:sz="8" w:color="auto"/>
            </w:tcBorders>
          </w:tcPr>
          <w:p>
            <w:pPr>
              <w:ind w:left="4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80" w:type="dxa"/>
            <w:vAlign w:val="bottom"/>
          </w:tcPr>
          <w:p>
            <w:pPr>
              <w:jc w:val="right"/>
              <w:ind w:right="11"/>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jc w:val="right"/>
              <w:ind w:right="8"/>
              <w:spacing w:after="0"/>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
              <w:spacing w:after="0"/>
              <w:rPr>
                <w:sz w:val="20"/>
                <w:szCs w:val="20"/>
                <w:color w:val="auto"/>
              </w:rPr>
            </w:pPr>
            <w:r>
              <w:rPr>
                <w:rFonts w:ascii="Arial" w:cs="Arial" w:eastAsia="Arial" w:hAnsi="Arial"/>
                <w:sz w:val="11"/>
                <w:szCs w:val="11"/>
                <w:color w:val="auto"/>
              </w:rPr>
              <w:t>583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583</w:t>
            </w: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360" w:type="dxa"/>
            <w:vAlign w:val="bottom"/>
          </w:tcPr>
          <w:p>
            <w:pPr>
              <w:ind w:left="180"/>
              <w:spacing w:after="0" w:line="105" w:lineRule="exact"/>
              <w:rPr>
                <w:sz w:val="20"/>
                <w:szCs w:val="20"/>
                <w:color w:val="auto"/>
              </w:rPr>
            </w:pPr>
            <w:r>
              <w:rPr>
                <w:rFonts w:ascii="Arial" w:cs="Arial" w:eastAsia="Arial" w:hAnsi="Arial"/>
                <w:sz w:val="11"/>
                <w:szCs w:val="11"/>
                <w:color w:val="auto"/>
                <w:w w:val="94"/>
              </w:rPr>
              <w:t xml:space="preserve">Stock-based compensatio </w:t>
            </w:r>
            <w:r>
              <w:rPr>
                <w:rFonts w:ascii="Times New Roman" w:cs="Times New Roman" w:eastAsia="Times New Roman" w:hAnsi="Times New Roman"/>
                <w:sz w:val="11"/>
                <w:szCs w:val="11"/>
                <w:color w:val="B4B4B4"/>
                <w:w w:val="94"/>
              </w:rPr>
              <w:t>....................................</w:t>
            </w:r>
          </w:p>
        </w:tc>
        <w:tc>
          <w:tcPr>
            <w:tcW w:w="700" w:type="dxa"/>
            <w:vAlign w:val="bottom"/>
          </w:tcPr>
          <w:p>
            <w:pPr>
              <w:ind w:left="560"/>
              <w:spacing w:after="0" w:line="10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right w:val="single" w:sz="8" w:color="auto"/>
            </w:tcBorders>
          </w:tcPr>
          <w:p>
            <w:pPr>
              <w:ind w:left="400"/>
              <w:spacing w:after="0" w:line="10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680" w:type="dxa"/>
            <w:vAlign w:val="bottom"/>
          </w:tcPr>
          <w:p>
            <w:pPr>
              <w:jc w:val="right"/>
              <w:ind w:right="11"/>
              <w:spacing w:after="0" w:line="10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jc w:val="right"/>
              <w:ind w:right="8"/>
              <w:spacing w:after="0" w:line="105" w:lineRule="exact"/>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ind w:right="11"/>
              <w:spacing w:after="0" w:line="105" w:lineRule="exact"/>
              <w:rPr>
                <w:sz w:val="20"/>
                <w:szCs w:val="20"/>
                <w:color w:val="auto"/>
              </w:rPr>
            </w:pPr>
            <w:r>
              <w:rPr>
                <w:rFonts w:ascii="Arial" w:cs="Arial" w:eastAsia="Arial" w:hAnsi="Arial"/>
                <w:sz w:val="11"/>
                <w:szCs w:val="11"/>
                <w:color w:val="auto"/>
              </w:rPr>
              <w:t>37,304</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right"/>
              <w:ind w:right="80"/>
              <w:spacing w:after="0" w:line="10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37,304</w:t>
            </w:r>
          </w:p>
        </w:tc>
        <w:tc>
          <w:tcPr>
            <w:tcW w:w="0" w:type="dxa"/>
            <w:vAlign w:val="bottom"/>
          </w:tcPr>
          <w:p>
            <w:pPr>
              <w:spacing w:after="0"/>
              <w:rPr>
                <w:sz w:val="1"/>
                <w:szCs w:val="1"/>
                <w:color w:val="auto"/>
              </w:rPr>
            </w:pPr>
          </w:p>
        </w:tc>
      </w:tr>
      <w:tr>
        <w:trPr>
          <w:trHeight w:val="57"/>
        </w:trPr>
        <w:tc>
          <w:tcPr>
            <w:tcW w:w="2360" w:type="dxa"/>
            <w:vAlign w:val="bottom"/>
          </w:tcPr>
          <w:p>
            <w:pPr>
              <w:ind w:left="180"/>
              <w:spacing w:after="0" w:line="47" w:lineRule="exact"/>
              <w:rPr>
                <w:sz w:val="20"/>
                <w:szCs w:val="20"/>
                <w:color w:val="auto"/>
              </w:rPr>
            </w:pPr>
            <w:r>
              <w:rPr>
                <w:rFonts w:ascii="Arial" w:cs="Arial" w:eastAsia="Arial" w:hAnsi="Arial"/>
                <w:sz w:val="5"/>
                <w:szCs w:val="5"/>
                <w:color w:val="auto"/>
              </w:rPr>
              <w:t>n</w:t>
            </w:r>
          </w:p>
        </w:tc>
        <w:tc>
          <w:tcPr>
            <w:tcW w:w="7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360" w:type="dxa"/>
            <w:vAlign w:val="bottom"/>
          </w:tcPr>
          <w:p>
            <w:pPr>
              <w:jc w:val="right"/>
              <w:spacing w:after="0" w:line="124" w:lineRule="exact"/>
              <w:rPr>
                <w:sz w:val="20"/>
                <w:szCs w:val="20"/>
                <w:color w:val="auto"/>
              </w:rPr>
            </w:pPr>
            <w:r>
              <w:rPr>
                <w:rFonts w:ascii="Arial" w:cs="Arial" w:eastAsia="Arial" w:hAnsi="Arial"/>
                <w:sz w:val="11"/>
                <w:szCs w:val="11"/>
                <w:b w:val="1"/>
                <w:bCs w:val="1"/>
                <w:color w:val="auto"/>
                <w:w w:val="96"/>
              </w:rPr>
              <w:t>Balance as of July 31, 2025</w:t>
            </w:r>
            <w:r>
              <w:rPr>
                <w:rFonts w:ascii="Times New Roman" w:cs="Times New Roman" w:eastAsia="Times New Roman" w:hAnsi="Times New Roman"/>
                <w:sz w:val="11"/>
                <w:szCs w:val="11"/>
                <w:color w:val="B4B4B4"/>
                <w:w w:val="96"/>
              </w:rPr>
              <w:t>.....................................</w:t>
            </w:r>
          </w:p>
        </w:tc>
        <w:tc>
          <w:tcPr>
            <w:tcW w:w="700" w:type="dxa"/>
            <w:vAlign w:val="bottom"/>
          </w:tcPr>
          <w:p>
            <w:pPr>
              <w:ind w:left="100"/>
              <w:spacing w:after="0" w:line="124" w:lineRule="exact"/>
              <w:rPr>
                <w:sz w:val="20"/>
                <w:szCs w:val="20"/>
                <w:color w:val="auto"/>
              </w:rPr>
            </w:pPr>
            <w:r>
              <w:rPr>
                <w:rFonts w:ascii="Arial" w:cs="Arial" w:eastAsia="Arial" w:hAnsi="Arial"/>
                <w:sz w:val="11"/>
                <w:szCs w:val="11"/>
                <w:color w:val="auto"/>
                <w:w w:val="94"/>
              </w:rPr>
              <w:t>146,360,207</w:t>
            </w:r>
          </w:p>
        </w:tc>
        <w:tc>
          <w:tcPr>
            <w:tcW w:w="18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64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1"/>
                <w:szCs w:val="11"/>
                <w:color w:val="auto"/>
              </w:rPr>
              <w:t>1,301,121</w:t>
            </w:r>
          </w:p>
        </w:tc>
        <w:tc>
          <w:tcPr>
            <w:tcW w:w="70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46,331,272</w:t>
            </w:r>
          </w:p>
        </w:tc>
        <w:tc>
          <w:tcPr>
            <w:tcW w:w="560" w:type="dxa"/>
            <w:vAlign w:val="bottom"/>
            <w:gridSpan w:val="2"/>
          </w:tcPr>
          <w:p>
            <w:pPr>
              <w:jc w:val="right"/>
              <w:ind w:right="395"/>
              <w:spacing w:after="0" w:line="124" w:lineRule="exact"/>
              <w:rPr>
                <w:sz w:val="20"/>
                <w:szCs w:val="20"/>
                <w:color w:val="auto"/>
              </w:rPr>
            </w:pPr>
            <w:r>
              <w:rPr>
                <w:rFonts w:ascii="Arial" w:cs="Arial" w:eastAsia="Arial" w:hAnsi="Arial"/>
                <w:sz w:val="11"/>
                <w:szCs w:val="11"/>
                <w:color w:val="auto"/>
              </w:rPr>
              <w:t>$</w:t>
            </w:r>
          </w:p>
        </w:tc>
        <w:tc>
          <w:tcPr>
            <w:tcW w:w="180" w:type="dxa"/>
            <w:vAlign w:val="bottom"/>
          </w:tcPr>
          <w:p>
            <w:pPr>
              <w:jc w:val="right"/>
              <w:ind w:right="8"/>
              <w:spacing w:after="0" w:line="124" w:lineRule="exact"/>
              <w:rPr>
                <w:sz w:val="20"/>
                <w:szCs w:val="20"/>
                <w:color w:val="auto"/>
              </w:rPr>
            </w:pPr>
            <w:r>
              <w:rPr>
                <w:rFonts w:ascii="Arial" w:cs="Arial" w:eastAsia="Arial" w:hAnsi="Arial"/>
                <w:sz w:val="11"/>
                <w:szCs w:val="11"/>
                <w:color w:val="auto"/>
              </w:rPr>
              <w:t>1</w:t>
            </w:r>
          </w:p>
        </w:tc>
        <w:tc>
          <w:tcPr>
            <w:tcW w:w="180" w:type="dxa"/>
            <w:vAlign w:val="bottom"/>
            <w:gridSpan w:val="2"/>
          </w:tcPr>
          <w:p>
            <w:pPr>
              <w:jc w:val="right"/>
              <w:ind w:right="15"/>
              <w:spacing w:after="0" w:line="124" w:lineRule="exact"/>
              <w:rPr>
                <w:sz w:val="20"/>
                <w:szCs w:val="20"/>
                <w:color w:val="auto"/>
              </w:rPr>
            </w:pPr>
            <w:r>
              <w:rPr>
                <w:rFonts w:ascii="Arial" w:cs="Arial" w:eastAsia="Arial" w:hAnsi="Arial"/>
                <w:sz w:val="11"/>
                <w:szCs w:val="11"/>
                <w:color w:val="auto"/>
              </w:rPr>
              <w:t>$</w:t>
            </w:r>
          </w:p>
        </w:tc>
        <w:tc>
          <w:tcPr>
            <w:tcW w:w="560" w:type="dxa"/>
            <w:vAlign w:val="bottom"/>
          </w:tcPr>
          <w:p>
            <w:pPr>
              <w:jc w:val="right"/>
              <w:ind w:right="11"/>
              <w:spacing w:after="0" w:line="124" w:lineRule="exact"/>
              <w:rPr>
                <w:sz w:val="20"/>
                <w:szCs w:val="20"/>
                <w:color w:val="auto"/>
              </w:rPr>
            </w:pPr>
            <w:r>
              <w:rPr>
                <w:rFonts w:ascii="Arial" w:cs="Arial" w:eastAsia="Arial" w:hAnsi="Arial"/>
                <w:sz w:val="11"/>
                <w:szCs w:val="11"/>
                <w:color w:val="auto"/>
              </w:rPr>
              <w:t>522,555</w:t>
            </w:r>
          </w:p>
        </w:tc>
        <w:tc>
          <w:tcPr>
            <w:tcW w:w="1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(1,716,993)</w:t>
            </w:r>
          </w:p>
        </w:tc>
        <w:tc>
          <w:tcPr>
            <w:tcW w:w="10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4" w:lineRule="exact"/>
              <w:rPr>
                <w:sz w:val="20"/>
                <w:szCs w:val="20"/>
                <w:color w:val="auto"/>
              </w:rPr>
            </w:pPr>
            <w:r>
              <w:rPr>
                <w:rFonts w:ascii="Arial" w:cs="Arial" w:eastAsia="Arial" w:hAnsi="Arial"/>
                <w:sz w:val="11"/>
                <w:szCs w:val="11"/>
                <w:color w:val="auto"/>
              </w:rPr>
              <w:t>(14,014)</w:t>
            </w:r>
          </w:p>
        </w:tc>
        <w:tc>
          <w:tcPr>
            <w:tcW w:w="1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4" w:lineRule="exact"/>
              <w:rPr>
                <w:sz w:val="20"/>
                <w:szCs w:val="20"/>
                <w:color w:val="auto"/>
              </w:rPr>
            </w:pPr>
            <w:r>
              <w:rPr>
                <w:rFonts w:ascii="Arial" w:cs="Arial" w:eastAsia="Arial" w:hAnsi="Arial"/>
                <w:sz w:val="11"/>
                <w:szCs w:val="11"/>
                <w:color w:val="auto"/>
              </w:rPr>
              <w:t>(1,208,451)</w:t>
            </w:r>
          </w:p>
        </w:tc>
        <w:tc>
          <w:tcPr>
            <w:tcW w:w="0" w:type="dxa"/>
            <w:vAlign w:val="bottom"/>
          </w:tcPr>
          <w:p>
            <w:pPr>
              <w:spacing w:after="0"/>
              <w:rPr>
                <w:sz w:val="1"/>
                <w:szCs w:val="1"/>
                <w:color w:val="auto"/>
              </w:rPr>
            </w:pPr>
          </w:p>
        </w:tc>
      </w:tr>
      <w:tr>
        <w:trPr>
          <w:trHeight w:val="286"/>
        </w:trPr>
        <w:tc>
          <w:tcPr>
            <w:tcW w:w="23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center"/>
              <w:ind w:right="32"/>
              <w:spacing w:after="0"/>
              <w:rPr>
                <w:sz w:val="20"/>
                <w:szCs w:val="20"/>
                <w:color w:val="auto"/>
              </w:rPr>
            </w:pPr>
            <w:r>
              <w:rPr>
                <w:rFonts w:ascii="Arial" w:cs="Arial" w:eastAsia="Arial" w:hAnsi="Arial"/>
                <w:sz w:val="8"/>
                <w:szCs w:val="8"/>
                <w:b w:val="1"/>
                <w:bCs w:val="1"/>
                <w:color w:val="auto"/>
                <w:w w:val="95"/>
              </w:rPr>
              <w:t>Accumulated</w:t>
            </w: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360" w:type="dxa"/>
            <w:vAlign w:val="bottom"/>
          </w:tcPr>
          <w:p>
            <w:pPr>
              <w:spacing w:after="0"/>
              <w:rPr>
                <w:sz w:val="10"/>
                <w:szCs w:val="10"/>
                <w:color w:val="auto"/>
              </w:rPr>
            </w:pPr>
          </w:p>
        </w:tc>
        <w:tc>
          <w:tcPr>
            <w:tcW w:w="1520" w:type="dxa"/>
            <w:vAlign w:val="bottom"/>
            <w:tcBorders>
              <w:right w:val="single" w:sz="8" w:color="auto"/>
            </w:tcBorders>
            <w:gridSpan w:val="4"/>
          </w:tcPr>
          <w:p>
            <w:pPr>
              <w:ind w:left="100"/>
              <w:spacing w:after="0"/>
              <w:rPr>
                <w:sz w:val="20"/>
                <w:szCs w:val="20"/>
                <w:color w:val="auto"/>
              </w:rPr>
            </w:pPr>
            <w:r>
              <w:rPr>
                <w:rFonts w:ascii="Arial" w:cs="Arial" w:eastAsia="Arial" w:hAnsi="Arial"/>
                <w:sz w:val="8"/>
                <w:szCs w:val="8"/>
                <w:b w:val="1"/>
                <w:bCs w:val="1"/>
                <w:color w:val="auto"/>
              </w:rPr>
              <w:t>Redeemable Convertible Preferred</w:t>
            </w:r>
          </w:p>
        </w:tc>
        <w:tc>
          <w:tcPr>
            <w:tcW w:w="20" w:type="dxa"/>
            <w:vAlign w:val="bottom"/>
          </w:tcPr>
          <w:p>
            <w:pPr>
              <w:spacing w:after="0"/>
              <w:rPr>
                <w:sz w:val="10"/>
                <w:szCs w:val="10"/>
                <w:color w:val="auto"/>
              </w:rPr>
            </w:pPr>
          </w:p>
        </w:tc>
        <w:tc>
          <w:tcPr>
            <w:tcW w:w="1240" w:type="dxa"/>
            <w:vAlign w:val="bottom"/>
            <w:gridSpan w:val="3"/>
            <w:vMerge w:val="restart"/>
          </w:tcPr>
          <w:p>
            <w:pPr>
              <w:jc w:val="right"/>
              <w:ind w:right="235"/>
              <w:spacing w:after="0"/>
              <w:rPr>
                <w:sz w:val="20"/>
                <w:szCs w:val="20"/>
                <w:color w:val="auto"/>
              </w:rPr>
            </w:pPr>
            <w:r>
              <w:rPr>
                <w:rFonts w:ascii="Arial" w:cs="Arial" w:eastAsia="Arial" w:hAnsi="Arial"/>
                <w:sz w:val="8"/>
                <w:szCs w:val="8"/>
                <w:b w:val="1"/>
                <w:bCs w:val="1"/>
                <w:color w:val="auto"/>
              </w:rPr>
              <w:t>Common Stock</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spacing w:after="0"/>
              <w:rPr>
                <w:sz w:val="20"/>
                <w:szCs w:val="20"/>
                <w:color w:val="auto"/>
              </w:rPr>
            </w:pPr>
            <w:r>
              <w:rPr>
                <w:rFonts w:ascii="Arial" w:cs="Arial" w:eastAsia="Arial" w:hAnsi="Arial"/>
                <w:sz w:val="8"/>
                <w:szCs w:val="8"/>
                <w:b w:val="1"/>
                <w:bCs w:val="1"/>
                <w:color w:val="auto"/>
                <w:w w:val="95"/>
              </w:rPr>
              <w:t>Additional paid-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center"/>
              <w:ind w:right="120"/>
              <w:spacing w:after="0"/>
              <w:rPr>
                <w:sz w:val="20"/>
                <w:szCs w:val="20"/>
                <w:color w:val="auto"/>
              </w:rPr>
            </w:pPr>
            <w:r>
              <w:rPr>
                <w:rFonts w:ascii="Arial" w:cs="Arial" w:eastAsia="Arial" w:hAnsi="Arial"/>
                <w:sz w:val="8"/>
                <w:szCs w:val="8"/>
                <w:b w:val="1"/>
                <w:bCs w:val="1"/>
                <w:color w:val="auto"/>
                <w:w w:val="95"/>
              </w:rPr>
              <w:t>Accumulated</w:t>
            </w:r>
          </w:p>
        </w:tc>
        <w:tc>
          <w:tcPr>
            <w:tcW w:w="100" w:type="dxa"/>
            <w:vAlign w:val="bottom"/>
          </w:tcPr>
          <w:p>
            <w:pPr>
              <w:spacing w:after="0"/>
              <w:rPr>
                <w:sz w:val="10"/>
                <w:szCs w:val="10"/>
                <w:color w:val="auto"/>
              </w:rPr>
            </w:pPr>
          </w:p>
        </w:tc>
        <w:tc>
          <w:tcPr>
            <w:tcW w:w="600" w:type="dxa"/>
            <w:vAlign w:val="bottom"/>
          </w:tcPr>
          <w:p>
            <w:pPr>
              <w:jc w:val="center"/>
              <w:ind w:right="52"/>
              <w:spacing w:after="0"/>
              <w:rPr>
                <w:sz w:val="20"/>
                <w:szCs w:val="20"/>
                <w:color w:val="auto"/>
              </w:rPr>
            </w:pPr>
            <w:r>
              <w:rPr>
                <w:rFonts w:ascii="Arial" w:cs="Arial" w:eastAsia="Arial" w:hAnsi="Arial"/>
                <w:sz w:val="8"/>
                <w:szCs w:val="8"/>
                <w:b w:val="1"/>
                <w:bCs w:val="1"/>
                <w:color w:val="auto"/>
                <w:w w:val="89"/>
              </w:rPr>
              <w:t>other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52"/>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110"/>
        </w:trPr>
        <w:tc>
          <w:tcPr>
            <w:tcW w:w="2360" w:type="dxa"/>
            <w:vAlign w:val="bottom"/>
          </w:tcPr>
          <w:p>
            <w:pPr>
              <w:spacing w:after="0"/>
              <w:rPr>
                <w:sz w:val="9"/>
                <w:szCs w:val="9"/>
                <w:color w:val="auto"/>
              </w:rPr>
            </w:pPr>
          </w:p>
        </w:tc>
        <w:tc>
          <w:tcPr>
            <w:tcW w:w="8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8"/>
                <w:szCs w:val="8"/>
                <w:b w:val="1"/>
                <w:bCs w:val="1"/>
                <w:color w:val="auto"/>
              </w:rPr>
              <w:t>Stock</w:t>
            </w:r>
          </w:p>
        </w:tc>
        <w:tc>
          <w:tcPr>
            <w:tcW w:w="64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Borders>
              <w:bottom w:val="single" w:sz="8" w:color="auto"/>
            </w:tcBorders>
            <w:gridSpan w:val="3"/>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center"/>
              <w:ind w:right="131"/>
              <w:spacing w:after="0"/>
              <w:rPr>
                <w:sz w:val="20"/>
                <w:szCs w:val="20"/>
                <w:color w:val="auto"/>
              </w:rPr>
            </w:pPr>
            <w:r>
              <w:rPr>
                <w:rFonts w:ascii="Arial" w:cs="Arial" w:eastAsia="Arial" w:hAnsi="Arial"/>
                <w:sz w:val="8"/>
                <w:szCs w:val="8"/>
                <w:b w:val="1"/>
                <w:bCs w:val="1"/>
                <w:color w:val="auto"/>
                <w:w w:val="83"/>
              </w:rPr>
              <w:t>in</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700" w:type="dxa"/>
            <w:vAlign w:val="bottom"/>
            <w:gridSpan w:val="2"/>
          </w:tcPr>
          <w:p>
            <w:pPr>
              <w:jc w:val="center"/>
              <w:spacing w:after="0"/>
              <w:rPr>
                <w:sz w:val="20"/>
                <w:szCs w:val="20"/>
                <w:color w:val="auto"/>
              </w:rPr>
            </w:pPr>
            <w:r>
              <w:rPr>
                <w:rFonts w:ascii="Arial" w:cs="Arial" w:eastAsia="Arial" w:hAnsi="Arial"/>
                <w:sz w:val="8"/>
                <w:szCs w:val="8"/>
                <w:b w:val="1"/>
                <w:bCs w:val="1"/>
                <w:color w:val="auto"/>
                <w:w w:val="95"/>
              </w:rPr>
              <w:t>comprehensive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center"/>
              <w:ind w:right="52"/>
              <w:spacing w:after="0"/>
              <w:rPr>
                <w:sz w:val="20"/>
                <w:szCs w:val="20"/>
                <w:color w:val="auto"/>
              </w:rPr>
            </w:pPr>
            <w:r>
              <w:rPr>
                <w:rFonts w:ascii="Arial" w:cs="Arial" w:eastAsia="Arial" w:hAnsi="Arial"/>
                <w:sz w:val="8"/>
                <w:szCs w:val="8"/>
                <w:b w:val="1"/>
                <w:bCs w:val="1"/>
                <w:color w:val="auto"/>
                <w:w w:val="96"/>
              </w:rPr>
              <w:t>stockholders'</w:t>
            </w:r>
          </w:p>
        </w:tc>
        <w:tc>
          <w:tcPr>
            <w:tcW w:w="0" w:type="dxa"/>
            <w:vAlign w:val="bottom"/>
          </w:tcPr>
          <w:p>
            <w:pPr>
              <w:spacing w:after="0"/>
              <w:rPr>
                <w:sz w:val="1"/>
                <w:szCs w:val="1"/>
                <w:color w:val="auto"/>
              </w:rPr>
            </w:pPr>
          </w:p>
        </w:tc>
      </w:tr>
      <w:tr>
        <w:trPr>
          <w:trHeight w:val="123"/>
        </w:trPr>
        <w:tc>
          <w:tcPr>
            <w:tcW w:w="2360" w:type="dxa"/>
            <w:vAlign w:val="bottom"/>
          </w:tcPr>
          <w:p>
            <w:pPr>
              <w:spacing w:after="0"/>
              <w:rPr>
                <w:sz w:val="10"/>
                <w:szCs w:val="10"/>
                <w:color w:val="auto"/>
              </w:rPr>
            </w:pPr>
          </w:p>
        </w:tc>
        <w:tc>
          <w:tcPr>
            <w:tcW w:w="700" w:type="dxa"/>
            <w:vAlign w:val="bottom"/>
          </w:tcPr>
          <w:p>
            <w:pPr>
              <w:ind w:left="220"/>
              <w:spacing w:after="0"/>
              <w:rPr>
                <w:sz w:val="20"/>
                <w:szCs w:val="20"/>
                <w:color w:val="auto"/>
              </w:rPr>
            </w:pPr>
            <w:r>
              <w:rPr>
                <w:rFonts w:ascii="Arial" w:cs="Arial" w:eastAsia="Arial" w:hAnsi="Arial"/>
                <w:sz w:val="8"/>
                <w:szCs w:val="8"/>
                <w:b w:val="1"/>
                <w:bCs w:val="1"/>
                <w:color w:val="auto"/>
              </w:rPr>
              <w:t>Shares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right w:val="single" w:sz="8" w:color="auto"/>
            </w:tcBorders>
          </w:tcPr>
          <w:p>
            <w:pPr>
              <w:ind w:left="60"/>
              <w:spacing w:after="0"/>
              <w:rPr>
                <w:sz w:val="20"/>
                <w:szCs w:val="20"/>
                <w:color w:val="auto"/>
              </w:rPr>
            </w:pPr>
            <w:r>
              <w:rPr>
                <w:rFonts w:ascii="Arial" w:cs="Arial" w:eastAsia="Arial" w:hAnsi="Arial"/>
                <w:sz w:val="8"/>
                <w:szCs w:val="8"/>
                <w:b w:val="1"/>
                <w:bCs w:val="1"/>
                <w:color w:val="auto"/>
              </w:rPr>
              <w:t>Amount</w:t>
            </w:r>
          </w:p>
        </w:tc>
        <w:tc>
          <w:tcPr>
            <w:tcW w:w="20" w:type="dxa"/>
            <w:vAlign w:val="bottom"/>
          </w:tcPr>
          <w:p>
            <w:pPr>
              <w:spacing w:after="0"/>
              <w:rPr>
                <w:sz w:val="10"/>
                <w:szCs w:val="10"/>
                <w:color w:val="auto"/>
              </w:rPr>
            </w:pPr>
          </w:p>
        </w:tc>
        <w:tc>
          <w:tcPr>
            <w:tcW w:w="680" w:type="dxa"/>
            <w:vAlign w:val="bottom"/>
          </w:tcPr>
          <w:p>
            <w:pPr>
              <w:jc w:val="right"/>
              <w:ind w:right="171"/>
              <w:spacing w:after="0"/>
              <w:rPr>
                <w:sz w:val="20"/>
                <w:szCs w:val="20"/>
                <w:color w:val="auto"/>
              </w:rPr>
            </w:pPr>
            <w:r>
              <w:rPr>
                <w:rFonts w:ascii="Arial" w:cs="Arial" w:eastAsia="Arial" w:hAnsi="Arial"/>
                <w:sz w:val="8"/>
                <w:szCs w:val="8"/>
                <w:b w:val="1"/>
                <w:bCs w:val="1"/>
                <w:color w:val="auto"/>
              </w:rPr>
              <w:t>Shares</w:t>
            </w:r>
          </w:p>
        </w:tc>
        <w:tc>
          <w:tcPr>
            <w:tcW w:w="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b w:val="1"/>
                <w:bCs w:val="1"/>
                <w:color w:val="auto"/>
              </w:rPr>
              <w:t>Amount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ind w:right="111"/>
              <w:spacing w:after="0"/>
              <w:rPr>
                <w:sz w:val="20"/>
                <w:szCs w:val="20"/>
                <w:color w:val="auto"/>
              </w:rPr>
            </w:pPr>
            <w:r>
              <w:rPr>
                <w:rFonts w:ascii="Arial" w:cs="Arial" w:eastAsia="Arial" w:hAnsi="Arial"/>
                <w:sz w:val="8"/>
                <w:szCs w:val="8"/>
                <w:b w:val="1"/>
                <w:bCs w:val="1"/>
                <w:color w:val="auto"/>
                <w:w w:val="94"/>
              </w:rPr>
              <w:t>capital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8"/>
                <w:szCs w:val="8"/>
                <w:b w:val="1"/>
                <w:bCs w:val="1"/>
                <w:color w:val="auto"/>
                <w:w w:val="93"/>
              </w:rPr>
              <w:t>deficit</w:t>
            </w:r>
          </w:p>
        </w:tc>
        <w:tc>
          <w:tcPr>
            <w:tcW w:w="100" w:type="dxa"/>
            <w:vAlign w:val="bottom"/>
          </w:tcPr>
          <w:p>
            <w:pPr>
              <w:spacing w:after="0"/>
              <w:rPr>
                <w:sz w:val="10"/>
                <w:szCs w:val="10"/>
                <w:color w:val="auto"/>
              </w:rPr>
            </w:pPr>
          </w:p>
        </w:tc>
        <w:tc>
          <w:tcPr>
            <w:tcW w:w="600" w:type="dxa"/>
            <w:vAlign w:val="bottom"/>
          </w:tcPr>
          <w:p>
            <w:pPr>
              <w:jc w:val="center"/>
              <w:ind w:right="52"/>
              <w:spacing w:after="0"/>
              <w:rPr>
                <w:sz w:val="20"/>
                <w:szCs w:val="20"/>
                <w:color w:val="auto"/>
              </w:rPr>
            </w:pPr>
            <w:r>
              <w:rPr>
                <w:rFonts w:ascii="Arial" w:cs="Arial" w:eastAsia="Arial" w:hAnsi="Arial"/>
                <w:sz w:val="8"/>
                <w:szCs w:val="8"/>
                <w:b w:val="1"/>
                <w:bCs w:val="1"/>
                <w:color w:val="auto"/>
                <w:w w:val="96"/>
              </w:rPr>
              <w:t>income (loss)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52"/>
              <w:spacing w:after="0"/>
              <w:rPr>
                <w:sz w:val="20"/>
                <w:szCs w:val="20"/>
                <w:color w:val="auto"/>
              </w:rPr>
            </w:pPr>
            <w:r>
              <w:rPr>
                <w:rFonts w:ascii="Arial" w:cs="Arial" w:eastAsia="Arial" w:hAnsi="Arial"/>
                <w:sz w:val="8"/>
                <w:szCs w:val="8"/>
                <w:b w:val="1"/>
                <w:bCs w:val="1"/>
                <w:color w:val="auto"/>
                <w:w w:val="93"/>
              </w:rPr>
              <w:t>deficit</w:t>
            </w:r>
          </w:p>
        </w:tc>
        <w:tc>
          <w:tcPr>
            <w:tcW w:w="0" w:type="dxa"/>
            <w:vAlign w:val="bottom"/>
          </w:tcPr>
          <w:p>
            <w:pPr>
              <w:spacing w:after="0"/>
              <w:rPr>
                <w:sz w:val="1"/>
                <w:szCs w:val="1"/>
                <w:color w:val="auto"/>
              </w:rPr>
            </w:pPr>
          </w:p>
        </w:tc>
      </w:tr>
      <w:tr>
        <w:trPr>
          <w:trHeight w:val="148"/>
        </w:trPr>
        <w:tc>
          <w:tcPr>
            <w:tcW w:w="23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Arial" w:cs="Arial" w:eastAsia="Arial" w:hAnsi="Arial"/>
                <w:sz w:val="11"/>
                <w:szCs w:val="11"/>
                <w:b w:val="1"/>
                <w:bCs w:val="1"/>
                <w:color w:val="000000"/>
              </w:rPr>
              <w:t>BalanceasofJanuary31,2024</w:t>
            </w:r>
          </w:p>
        </w:tc>
        <w:tc>
          <w:tcPr>
            <w:tcW w:w="7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1"/>
                <w:szCs w:val="11"/>
                <w:color w:val="auto"/>
                <w:w w:val="94"/>
              </w:rPr>
              <w:t>146,360,207</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tcBorders>
              <w:top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1,301,121</w:t>
            </w:r>
          </w:p>
        </w:tc>
        <w:tc>
          <w:tcPr>
            <w:tcW w:w="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45,117,008</w:t>
            </w:r>
          </w:p>
        </w:tc>
        <w:tc>
          <w:tcPr>
            <w:tcW w:w="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395"/>
              <w:spacing w:after="0"/>
              <w:rPr>
                <w:sz w:val="20"/>
                <w:szCs w:val="20"/>
                <w:color w:val="auto"/>
              </w:rPr>
            </w:pPr>
            <w:r>
              <w:rPr>
                <w:rFonts w:ascii="Arial" w:cs="Arial" w:eastAsia="Arial" w:hAnsi="Arial"/>
                <w:sz w:val="11"/>
                <w:szCs w:val="11"/>
                <w:color w:val="auto"/>
                <w:w w:val="97"/>
              </w:rPr>
              <w:t>$</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1</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1"/>
                <w:szCs w:val="11"/>
                <w:color w:val="auto"/>
              </w:rPr>
              <w:t>382,356</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(1,436,035)</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(28,293)</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(1,081,971)</w:t>
            </w:r>
          </w:p>
        </w:tc>
        <w:tc>
          <w:tcPr>
            <w:tcW w:w="0" w:type="dxa"/>
            <w:vAlign w:val="bottom"/>
          </w:tcPr>
          <w:p>
            <w:pPr>
              <w:spacing w:after="0"/>
              <w:rPr>
                <w:sz w:val="1"/>
                <w:szCs w:val="1"/>
                <w:color w:val="auto"/>
              </w:rPr>
            </w:pPr>
          </w:p>
        </w:tc>
      </w:tr>
      <w:tr>
        <w:trPr>
          <w:trHeight w:val="139"/>
        </w:trPr>
        <w:tc>
          <w:tcPr>
            <w:tcW w:w="2360" w:type="dxa"/>
            <w:vAlign w:val="bottom"/>
          </w:tcPr>
          <w:p>
            <w:pPr>
              <w:ind w:left="180"/>
              <w:spacing w:after="0"/>
              <w:rPr>
                <w:sz w:val="20"/>
                <w:szCs w:val="20"/>
                <w:color w:val="auto"/>
              </w:rPr>
            </w:pPr>
            <w:r>
              <w:rPr>
                <w:rFonts w:ascii="Arial" w:cs="Arial" w:eastAsia="Arial" w:hAnsi="Arial"/>
                <w:sz w:val="11"/>
                <w:szCs w:val="11"/>
                <w:color w:val="auto"/>
                <w:w w:val="92"/>
              </w:rPr>
              <w:t xml:space="preserve">Net loss </w:t>
            </w:r>
            <w:r>
              <w:rPr>
                <w:rFonts w:ascii="Times New Roman" w:cs="Times New Roman" w:eastAsia="Times New Roman" w:hAnsi="Times New Roman"/>
                <w:sz w:val="11"/>
                <w:szCs w:val="11"/>
                <w:color w:val="B4B4B4"/>
                <w:w w:val="92"/>
              </w:rPr>
              <w:t>.....................................................................</w:t>
            </w:r>
          </w:p>
        </w:tc>
        <w:tc>
          <w:tcPr>
            <w:tcW w:w="700" w:type="dxa"/>
            <w:vAlign w:val="bottom"/>
          </w:tcPr>
          <w:p>
            <w:pPr>
              <w:ind w:left="5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right w:val="single" w:sz="8" w:color="auto"/>
            </w:tcBorders>
          </w:tcPr>
          <w:p>
            <w:pPr>
              <w:ind w:left="4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80" w:type="dxa"/>
            <w:vAlign w:val="bottom"/>
          </w:tcPr>
          <w:p>
            <w:pPr>
              <w:jc w:val="right"/>
              <w:ind w:right="11"/>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jc w:val="right"/>
              <w:ind w:right="8"/>
              <w:spacing w:after="0"/>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(92,544)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(92,544)</w:t>
            </w: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360" w:type="dxa"/>
            <w:vAlign w:val="bottom"/>
          </w:tcPr>
          <w:p>
            <w:pPr>
              <w:ind w:left="180"/>
              <w:spacing w:after="0" w:line="105" w:lineRule="exact"/>
              <w:rPr>
                <w:sz w:val="20"/>
                <w:szCs w:val="20"/>
                <w:color w:val="auto"/>
              </w:rPr>
            </w:pPr>
            <w:r>
              <w:rPr>
                <w:rFonts w:ascii="Arial" w:cs="Arial" w:eastAsia="Arial" w:hAnsi="Arial"/>
                <w:sz w:val="11"/>
                <w:szCs w:val="11"/>
                <w:color w:val="auto"/>
                <w:w w:val="94"/>
              </w:rPr>
              <w:t xml:space="preserve">Other comprehensive income, net of ta </w:t>
            </w:r>
            <w:r>
              <w:rPr>
                <w:rFonts w:ascii="Times New Roman" w:cs="Times New Roman" w:eastAsia="Times New Roman" w:hAnsi="Times New Roman"/>
                <w:sz w:val="11"/>
                <w:szCs w:val="11"/>
                <w:color w:val="B4B4B4"/>
                <w:w w:val="94"/>
              </w:rPr>
              <w:t>.............</w:t>
            </w:r>
          </w:p>
        </w:tc>
        <w:tc>
          <w:tcPr>
            <w:tcW w:w="700" w:type="dxa"/>
            <w:vAlign w:val="bottom"/>
          </w:tcPr>
          <w:p>
            <w:pPr>
              <w:ind w:left="560"/>
              <w:spacing w:after="0" w:line="10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right w:val="single" w:sz="8" w:color="auto"/>
            </w:tcBorders>
          </w:tcPr>
          <w:p>
            <w:pPr>
              <w:ind w:left="400"/>
              <w:spacing w:after="0" w:line="10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680" w:type="dxa"/>
            <w:vAlign w:val="bottom"/>
          </w:tcPr>
          <w:p>
            <w:pPr>
              <w:jc w:val="right"/>
              <w:ind w:right="11"/>
              <w:spacing w:after="0" w:line="10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jc w:val="right"/>
              <w:ind w:right="8"/>
              <w:spacing w:after="0" w:line="105" w:lineRule="exact"/>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ind w:right="11"/>
              <w:spacing w:after="0" w:line="10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right"/>
              <w:ind w:right="80"/>
              <w:spacing w:after="0" w:line="10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2,944</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2,944</w:t>
            </w:r>
          </w:p>
        </w:tc>
        <w:tc>
          <w:tcPr>
            <w:tcW w:w="0" w:type="dxa"/>
            <w:vAlign w:val="bottom"/>
          </w:tcPr>
          <w:p>
            <w:pPr>
              <w:spacing w:after="0"/>
              <w:rPr>
                <w:sz w:val="1"/>
                <w:szCs w:val="1"/>
                <w:color w:val="auto"/>
              </w:rPr>
            </w:pPr>
          </w:p>
        </w:tc>
      </w:tr>
      <w:tr>
        <w:trPr>
          <w:trHeight w:val="67"/>
        </w:trPr>
        <w:tc>
          <w:tcPr>
            <w:tcW w:w="2360" w:type="dxa"/>
            <w:vAlign w:val="bottom"/>
          </w:tcPr>
          <w:p>
            <w:pPr>
              <w:ind w:left="180"/>
              <w:spacing w:after="0" w:line="67" w:lineRule="exact"/>
              <w:rPr>
                <w:sz w:val="20"/>
                <w:szCs w:val="20"/>
                <w:color w:val="auto"/>
              </w:rPr>
            </w:pPr>
            <w:r>
              <w:rPr>
                <w:rFonts w:ascii="Arial" w:cs="Arial" w:eastAsia="Arial" w:hAnsi="Arial"/>
                <w:sz w:val="7"/>
                <w:szCs w:val="7"/>
                <w:color w:val="auto"/>
              </w:rPr>
              <w:t>x</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360" w:type="dxa"/>
            <w:vAlign w:val="bottom"/>
          </w:tcPr>
          <w:p>
            <w:pPr>
              <w:ind w:left="180"/>
              <w:spacing w:after="0" w:line="86" w:lineRule="exact"/>
              <w:rPr>
                <w:sz w:val="20"/>
                <w:szCs w:val="20"/>
                <w:color w:val="auto"/>
              </w:rPr>
            </w:pPr>
            <w:r>
              <w:rPr>
                <w:rFonts w:ascii="Arial" w:cs="Arial" w:eastAsia="Arial" w:hAnsi="Arial"/>
                <w:sz w:val="9"/>
                <w:szCs w:val="9"/>
                <w:color w:val="000000"/>
                <w:vertAlign w:val="superscript"/>
              </w:rPr>
              <w:t>Issuance of common</w:t>
            </w:r>
            <w:r>
              <w:rPr>
                <w:rFonts w:ascii="Times New Roman" w:cs="Times New Roman" w:eastAsia="Times New Roman" w:hAnsi="Times New Roman"/>
                <w:sz w:val="6"/>
                <w:szCs w:val="6"/>
                <w:color w:val="B4B4B4"/>
              </w:rPr>
              <w:t>........................................................</w:t>
            </w:r>
            <w:r>
              <w:rPr>
                <w:rFonts w:ascii="Arial" w:cs="Arial" w:eastAsia="Arial" w:hAnsi="Arial"/>
                <w:sz w:val="9"/>
                <w:szCs w:val="9"/>
                <w:color w:val="000000"/>
                <w:vertAlign w:val="superscript"/>
              </w:rPr>
              <w:t>stockuponexerciseof</w:t>
            </w:r>
          </w:p>
        </w:tc>
        <w:tc>
          <w:tcPr>
            <w:tcW w:w="700" w:type="dxa"/>
            <w:vAlign w:val="bottom"/>
            <w:vMerge w:val="restart"/>
          </w:tcPr>
          <w:p>
            <w:pPr>
              <w:ind w:left="5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spacing w:after="0"/>
              <w:rPr>
                <w:sz w:val="20"/>
                <w:szCs w:val="20"/>
                <w:color w:val="auto"/>
              </w:rPr>
            </w:pPr>
            <w:r>
              <w:rPr>
                <w:rFonts w:ascii="Arial" w:cs="Arial" w:eastAsia="Arial" w:hAnsi="Arial"/>
                <w:sz w:val="11"/>
                <w:szCs w:val="11"/>
                <w:color w:val="auto"/>
              </w:rPr>
              <w:t>239,300</w:t>
            </w: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restart"/>
          </w:tcPr>
          <w:p>
            <w:pPr>
              <w:jc w:val="right"/>
              <w:ind w:right="11"/>
              <w:spacing w:after="0"/>
              <w:rPr>
                <w:sz w:val="20"/>
                <w:szCs w:val="20"/>
                <w:color w:val="auto"/>
              </w:rPr>
            </w:pPr>
            <w:r>
              <w:rPr>
                <w:rFonts w:ascii="Arial" w:cs="Arial" w:eastAsia="Arial" w:hAnsi="Arial"/>
                <w:sz w:val="11"/>
                <w:szCs w:val="11"/>
                <w:color w:val="auto"/>
              </w:rPr>
              <w:t>1,980</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1,980</w:t>
            </w:r>
          </w:p>
        </w:tc>
        <w:tc>
          <w:tcPr>
            <w:tcW w:w="0" w:type="dxa"/>
            <w:vAlign w:val="bottom"/>
          </w:tcPr>
          <w:p>
            <w:pPr>
              <w:spacing w:after="0"/>
              <w:rPr>
                <w:sz w:val="1"/>
                <w:szCs w:val="1"/>
                <w:color w:val="auto"/>
              </w:rPr>
            </w:pPr>
          </w:p>
        </w:tc>
      </w:tr>
      <w:tr>
        <w:trPr>
          <w:trHeight w:val="139"/>
        </w:trPr>
        <w:tc>
          <w:tcPr>
            <w:tcW w:w="2360" w:type="dxa"/>
            <w:vAlign w:val="bottom"/>
          </w:tcPr>
          <w:p>
            <w:pPr>
              <w:ind w:left="300"/>
              <w:spacing w:after="0"/>
              <w:rPr>
                <w:sz w:val="20"/>
                <w:szCs w:val="20"/>
                <w:color w:val="auto"/>
              </w:rPr>
            </w:pPr>
            <w:r>
              <w:rPr>
                <w:rFonts w:ascii="Arial" w:cs="Arial" w:eastAsia="Arial" w:hAnsi="Arial"/>
                <w:sz w:val="11"/>
                <w:szCs w:val="11"/>
                <w:color w:val="auto"/>
              </w:rPr>
              <w:t>stock options</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w w:val="93"/>
              </w:rPr>
              <w:t>Vesting of early exercised stock options</w:t>
            </w:r>
            <w:r>
              <w:rPr>
                <w:rFonts w:ascii="Times New Roman" w:cs="Times New Roman" w:eastAsia="Times New Roman" w:hAnsi="Times New Roman"/>
                <w:sz w:val="11"/>
                <w:szCs w:val="11"/>
                <w:color w:val="B4B4B4"/>
                <w:w w:val="93"/>
              </w:rPr>
              <w:t>..............</w:t>
            </w:r>
          </w:p>
        </w:tc>
        <w:tc>
          <w:tcPr>
            <w:tcW w:w="7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right w:val="single" w:sz="8" w:color="auto"/>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w w:val="90"/>
              </w:rPr>
              <w:t>—</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1"/>
                <w:szCs w:val="11"/>
                <w:color w:val="auto"/>
              </w:rPr>
              <w:t>1,064</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1,064</w:t>
            </w:r>
          </w:p>
        </w:tc>
        <w:tc>
          <w:tcPr>
            <w:tcW w:w="0" w:type="dxa"/>
            <w:vAlign w:val="bottom"/>
          </w:tcPr>
          <w:p>
            <w:pPr>
              <w:spacing w:after="0"/>
              <w:rPr>
                <w:sz w:val="1"/>
                <w:szCs w:val="1"/>
                <w:color w:val="auto"/>
              </w:rPr>
            </w:pPr>
          </w:p>
        </w:tc>
      </w:tr>
      <w:tr>
        <w:trPr>
          <w:trHeight w:val="105"/>
        </w:trPr>
        <w:tc>
          <w:tcPr>
            <w:tcW w:w="2360" w:type="dxa"/>
            <w:vAlign w:val="bottom"/>
          </w:tcPr>
          <w:p>
            <w:pPr>
              <w:ind w:left="180"/>
              <w:spacing w:after="0" w:line="105" w:lineRule="exact"/>
              <w:rPr>
                <w:sz w:val="20"/>
                <w:szCs w:val="20"/>
                <w:color w:val="auto"/>
              </w:rPr>
            </w:pPr>
            <w:r>
              <w:rPr>
                <w:rFonts w:ascii="Arial" w:cs="Arial" w:eastAsia="Arial" w:hAnsi="Arial"/>
                <w:sz w:val="11"/>
                <w:szCs w:val="11"/>
                <w:color w:val="auto"/>
                <w:w w:val="94"/>
              </w:rPr>
              <w:t xml:space="preserve">Stock-based compensatio </w:t>
            </w:r>
            <w:r>
              <w:rPr>
                <w:rFonts w:ascii="Times New Roman" w:cs="Times New Roman" w:eastAsia="Times New Roman" w:hAnsi="Times New Roman"/>
                <w:sz w:val="11"/>
                <w:szCs w:val="11"/>
                <w:color w:val="B4B4B4"/>
                <w:w w:val="94"/>
              </w:rPr>
              <w:t>....................................</w:t>
            </w:r>
          </w:p>
        </w:tc>
        <w:tc>
          <w:tcPr>
            <w:tcW w:w="700" w:type="dxa"/>
            <w:vAlign w:val="bottom"/>
          </w:tcPr>
          <w:p>
            <w:pPr>
              <w:ind w:left="560"/>
              <w:spacing w:after="0" w:line="10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right w:val="single" w:sz="8" w:color="auto"/>
            </w:tcBorders>
          </w:tcPr>
          <w:p>
            <w:pPr>
              <w:ind w:left="400"/>
              <w:spacing w:after="0" w:line="10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680" w:type="dxa"/>
            <w:vAlign w:val="bottom"/>
          </w:tcPr>
          <w:p>
            <w:pPr>
              <w:jc w:val="right"/>
              <w:ind w:right="11"/>
              <w:spacing w:after="0" w:line="10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jc w:val="right"/>
              <w:ind w:right="8"/>
              <w:spacing w:after="0" w:line="105" w:lineRule="exact"/>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ind w:right="11"/>
              <w:spacing w:after="0" w:line="105" w:lineRule="exact"/>
              <w:rPr>
                <w:sz w:val="20"/>
                <w:szCs w:val="20"/>
                <w:color w:val="auto"/>
              </w:rPr>
            </w:pPr>
            <w:r>
              <w:rPr>
                <w:rFonts w:ascii="Arial" w:cs="Arial" w:eastAsia="Arial" w:hAnsi="Arial"/>
                <w:sz w:val="11"/>
                <w:szCs w:val="11"/>
                <w:color w:val="auto"/>
              </w:rPr>
              <w:t>36,009</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right"/>
              <w:ind w:right="80"/>
              <w:spacing w:after="0" w:line="10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36,009</w:t>
            </w:r>
          </w:p>
        </w:tc>
        <w:tc>
          <w:tcPr>
            <w:tcW w:w="0" w:type="dxa"/>
            <w:vAlign w:val="bottom"/>
          </w:tcPr>
          <w:p>
            <w:pPr>
              <w:spacing w:after="0"/>
              <w:rPr>
                <w:sz w:val="1"/>
                <w:szCs w:val="1"/>
                <w:color w:val="auto"/>
              </w:rPr>
            </w:pPr>
          </w:p>
        </w:tc>
      </w:tr>
      <w:tr>
        <w:trPr>
          <w:trHeight w:val="57"/>
        </w:trPr>
        <w:tc>
          <w:tcPr>
            <w:tcW w:w="2360" w:type="dxa"/>
            <w:vAlign w:val="bottom"/>
          </w:tcPr>
          <w:p>
            <w:pPr>
              <w:ind w:left="180"/>
              <w:spacing w:after="0" w:line="47" w:lineRule="exact"/>
              <w:rPr>
                <w:sz w:val="20"/>
                <w:szCs w:val="20"/>
                <w:color w:val="auto"/>
              </w:rPr>
            </w:pPr>
            <w:r>
              <w:rPr>
                <w:rFonts w:ascii="Arial" w:cs="Arial" w:eastAsia="Arial" w:hAnsi="Arial"/>
                <w:sz w:val="5"/>
                <w:szCs w:val="5"/>
                <w:color w:val="auto"/>
              </w:rPr>
              <w:t>n</w:t>
            </w:r>
          </w:p>
        </w:tc>
        <w:tc>
          <w:tcPr>
            <w:tcW w:w="7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360" w:type="dxa"/>
            <w:vAlign w:val="bottom"/>
          </w:tcPr>
          <w:p>
            <w:pPr>
              <w:jc w:val="right"/>
              <w:spacing w:after="0" w:line="85" w:lineRule="exact"/>
              <w:rPr>
                <w:sz w:val="20"/>
                <w:szCs w:val="20"/>
                <w:color w:val="auto"/>
              </w:rPr>
            </w:pPr>
            <w:r>
              <w:rPr>
                <w:rFonts w:ascii="Arial" w:cs="Arial" w:eastAsia="Arial" w:hAnsi="Arial"/>
                <w:sz w:val="9"/>
                <w:szCs w:val="9"/>
                <w:b w:val="1"/>
                <w:bCs w:val="1"/>
                <w:color w:val="auto"/>
              </w:rPr>
              <w:t xml:space="preserve">Balance as of July 31, 202 </w:t>
            </w:r>
            <w:r>
              <w:rPr>
                <w:rFonts w:ascii="Times New Roman" w:cs="Times New Roman" w:eastAsia="Times New Roman" w:hAnsi="Times New Roman"/>
                <w:sz w:val="9"/>
                <w:szCs w:val="9"/>
                <w:color w:val="B4B4B4"/>
              </w:rPr>
              <w:t>.....................................</w:t>
            </w:r>
          </w:p>
        </w:tc>
        <w:tc>
          <w:tcPr>
            <w:tcW w:w="700" w:type="dxa"/>
            <w:vAlign w:val="bottom"/>
          </w:tcPr>
          <w:p>
            <w:pPr>
              <w:ind w:left="100"/>
              <w:spacing w:after="0" w:line="85" w:lineRule="exact"/>
              <w:rPr>
                <w:sz w:val="20"/>
                <w:szCs w:val="20"/>
                <w:color w:val="auto"/>
              </w:rPr>
            </w:pPr>
            <w:r>
              <w:rPr>
                <w:rFonts w:ascii="Arial" w:cs="Arial" w:eastAsia="Arial" w:hAnsi="Arial"/>
                <w:sz w:val="9"/>
                <w:szCs w:val="9"/>
                <w:color w:val="auto"/>
              </w:rPr>
              <w:t>146,360,207</w:t>
            </w:r>
          </w:p>
        </w:tc>
        <w:tc>
          <w:tcPr>
            <w:tcW w:w="180" w:type="dxa"/>
            <w:vAlign w:val="bottom"/>
            <w:gridSpan w:val="2"/>
          </w:tcPr>
          <w:p>
            <w:pPr>
              <w:jc w:val="right"/>
              <w:spacing w:after="0" w:line="85" w:lineRule="exact"/>
              <w:rPr>
                <w:sz w:val="20"/>
                <w:szCs w:val="20"/>
                <w:color w:val="auto"/>
              </w:rPr>
            </w:pPr>
            <w:r>
              <w:rPr>
                <w:rFonts w:ascii="Arial" w:cs="Arial" w:eastAsia="Arial" w:hAnsi="Arial"/>
                <w:sz w:val="9"/>
                <w:szCs w:val="9"/>
                <w:color w:val="auto"/>
              </w:rPr>
              <w:t>$</w:t>
            </w:r>
          </w:p>
        </w:tc>
        <w:tc>
          <w:tcPr>
            <w:tcW w:w="640" w:type="dxa"/>
            <w:vAlign w:val="bottom"/>
            <w:tcBorders>
              <w:right w:val="single" w:sz="8" w:color="auto"/>
            </w:tcBorders>
          </w:tcPr>
          <w:p>
            <w:pPr>
              <w:ind w:left="60"/>
              <w:spacing w:after="0" w:line="85" w:lineRule="exact"/>
              <w:rPr>
                <w:sz w:val="20"/>
                <w:szCs w:val="20"/>
                <w:color w:val="auto"/>
              </w:rPr>
            </w:pPr>
            <w:r>
              <w:rPr>
                <w:rFonts w:ascii="Arial" w:cs="Arial" w:eastAsia="Arial" w:hAnsi="Arial"/>
                <w:sz w:val="9"/>
                <w:szCs w:val="9"/>
                <w:color w:val="auto"/>
              </w:rPr>
              <w:t>1,301,121</w:t>
            </w:r>
          </w:p>
        </w:tc>
        <w:tc>
          <w:tcPr>
            <w:tcW w:w="700" w:type="dxa"/>
            <w:vAlign w:val="bottom"/>
            <w:gridSpan w:val="2"/>
          </w:tcPr>
          <w:p>
            <w:pPr>
              <w:jc w:val="right"/>
              <w:spacing w:after="0" w:line="85" w:lineRule="exact"/>
              <w:rPr>
                <w:sz w:val="20"/>
                <w:szCs w:val="20"/>
                <w:color w:val="auto"/>
              </w:rPr>
            </w:pPr>
            <w:r>
              <w:rPr>
                <w:rFonts w:ascii="Arial" w:cs="Arial" w:eastAsia="Arial" w:hAnsi="Arial"/>
                <w:sz w:val="9"/>
                <w:szCs w:val="9"/>
                <w:color w:val="auto"/>
              </w:rPr>
              <w:t>45,356,308</w:t>
            </w:r>
          </w:p>
        </w:tc>
        <w:tc>
          <w:tcPr>
            <w:tcW w:w="560" w:type="dxa"/>
            <w:vAlign w:val="bottom"/>
            <w:gridSpan w:val="2"/>
          </w:tcPr>
          <w:p>
            <w:pPr>
              <w:jc w:val="right"/>
              <w:ind w:right="395"/>
              <w:spacing w:after="0" w:line="85" w:lineRule="exact"/>
              <w:rPr>
                <w:sz w:val="20"/>
                <w:szCs w:val="20"/>
                <w:color w:val="auto"/>
              </w:rPr>
            </w:pPr>
            <w:r>
              <w:rPr>
                <w:rFonts w:ascii="Arial" w:cs="Arial" w:eastAsia="Arial" w:hAnsi="Arial"/>
                <w:sz w:val="9"/>
                <w:szCs w:val="9"/>
                <w:color w:val="auto"/>
              </w:rPr>
              <w:t>$</w:t>
            </w:r>
          </w:p>
        </w:tc>
        <w:tc>
          <w:tcPr>
            <w:tcW w:w="180" w:type="dxa"/>
            <w:vAlign w:val="bottom"/>
          </w:tcPr>
          <w:p>
            <w:pPr>
              <w:jc w:val="right"/>
              <w:ind w:right="8"/>
              <w:spacing w:after="0" w:line="85" w:lineRule="exact"/>
              <w:rPr>
                <w:sz w:val="20"/>
                <w:szCs w:val="20"/>
                <w:color w:val="auto"/>
              </w:rPr>
            </w:pPr>
            <w:r>
              <w:rPr>
                <w:rFonts w:ascii="Arial" w:cs="Arial" w:eastAsia="Arial" w:hAnsi="Arial"/>
                <w:sz w:val="9"/>
                <w:szCs w:val="9"/>
                <w:color w:val="auto"/>
              </w:rPr>
              <w:t>1</w:t>
            </w:r>
          </w:p>
        </w:tc>
        <w:tc>
          <w:tcPr>
            <w:tcW w:w="180" w:type="dxa"/>
            <w:vAlign w:val="bottom"/>
            <w:gridSpan w:val="2"/>
          </w:tcPr>
          <w:p>
            <w:pPr>
              <w:jc w:val="right"/>
              <w:ind w:right="15"/>
              <w:spacing w:after="0" w:line="85" w:lineRule="exact"/>
              <w:rPr>
                <w:sz w:val="20"/>
                <w:szCs w:val="20"/>
                <w:color w:val="auto"/>
              </w:rPr>
            </w:pPr>
            <w:r>
              <w:rPr>
                <w:rFonts w:ascii="Arial" w:cs="Arial" w:eastAsia="Arial" w:hAnsi="Arial"/>
                <w:sz w:val="9"/>
                <w:szCs w:val="9"/>
                <w:color w:val="auto"/>
              </w:rPr>
              <w:t>$</w:t>
            </w:r>
          </w:p>
        </w:tc>
        <w:tc>
          <w:tcPr>
            <w:tcW w:w="560" w:type="dxa"/>
            <w:vAlign w:val="bottom"/>
          </w:tcPr>
          <w:p>
            <w:pPr>
              <w:jc w:val="right"/>
              <w:ind w:right="11"/>
              <w:spacing w:after="0" w:line="85" w:lineRule="exact"/>
              <w:rPr>
                <w:sz w:val="20"/>
                <w:szCs w:val="20"/>
                <w:color w:val="auto"/>
              </w:rPr>
            </w:pPr>
            <w:r>
              <w:rPr>
                <w:rFonts w:ascii="Arial" w:cs="Arial" w:eastAsia="Arial" w:hAnsi="Arial"/>
                <w:sz w:val="9"/>
                <w:szCs w:val="9"/>
                <w:color w:val="auto"/>
              </w:rPr>
              <w:t>421,409</w:t>
            </w:r>
          </w:p>
        </w:tc>
        <w:tc>
          <w:tcPr>
            <w:tcW w:w="120" w:type="dxa"/>
            <w:vAlign w:val="bottom"/>
            <w:gridSpan w:val="2"/>
          </w:tcPr>
          <w:p>
            <w:pPr>
              <w:jc w:val="right"/>
              <w:spacing w:after="0" w:line="85" w:lineRule="exact"/>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40"/>
              <w:spacing w:after="0" w:line="85" w:lineRule="exact"/>
              <w:rPr>
                <w:sz w:val="20"/>
                <w:szCs w:val="20"/>
                <w:color w:val="auto"/>
              </w:rPr>
            </w:pPr>
            <w:r>
              <w:rPr>
                <w:rFonts w:ascii="Arial" w:cs="Arial" w:eastAsia="Arial" w:hAnsi="Arial"/>
                <w:sz w:val="9"/>
                <w:szCs w:val="9"/>
                <w:color w:val="auto"/>
              </w:rPr>
              <w:t>(1,528,579)</w:t>
            </w:r>
          </w:p>
        </w:tc>
        <w:tc>
          <w:tcPr>
            <w:tcW w:w="100" w:type="dxa"/>
            <w:vAlign w:val="bottom"/>
          </w:tcPr>
          <w:p>
            <w:pPr>
              <w:jc w:val="right"/>
              <w:spacing w:after="0" w:line="85" w:lineRule="exact"/>
              <w:rPr>
                <w:sz w:val="20"/>
                <w:szCs w:val="20"/>
                <w:color w:val="auto"/>
              </w:rPr>
            </w:pPr>
            <w:r>
              <w:rPr>
                <w:rFonts w:ascii="Arial" w:cs="Arial" w:eastAsia="Arial" w:hAnsi="Arial"/>
                <w:sz w:val="9"/>
                <w:szCs w:val="9"/>
                <w:color w:val="auto"/>
              </w:rPr>
              <w:t>$</w:t>
            </w:r>
          </w:p>
        </w:tc>
        <w:tc>
          <w:tcPr>
            <w:tcW w:w="600" w:type="dxa"/>
            <w:vAlign w:val="bottom"/>
          </w:tcPr>
          <w:p>
            <w:pPr>
              <w:jc w:val="right"/>
              <w:spacing w:after="0" w:line="85" w:lineRule="exact"/>
              <w:rPr>
                <w:sz w:val="20"/>
                <w:szCs w:val="20"/>
                <w:color w:val="auto"/>
              </w:rPr>
            </w:pPr>
            <w:r>
              <w:rPr>
                <w:rFonts w:ascii="Arial" w:cs="Arial" w:eastAsia="Arial" w:hAnsi="Arial"/>
                <w:sz w:val="9"/>
                <w:szCs w:val="9"/>
                <w:color w:val="auto"/>
              </w:rPr>
              <w:t>(25,349)</w:t>
            </w:r>
          </w:p>
        </w:tc>
        <w:tc>
          <w:tcPr>
            <w:tcW w:w="140" w:type="dxa"/>
            <w:vAlign w:val="bottom"/>
            <w:gridSpan w:val="2"/>
          </w:tcPr>
          <w:p>
            <w:pPr>
              <w:jc w:val="right"/>
              <w:spacing w:after="0" w:line="85" w:lineRule="exact"/>
              <w:rPr>
                <w:sz w:val="20"/>
                <w:szCs w:val="20"/>
                <w:color w:val="auto"/>
              </w:rPr>
            </w:pPr>
            <w:r>
              <w:rPr>
                <w:rFonts w:ascii="Arial" w:cs="Arial" w:eastAsia="Arial" w:hAnsi="Arial"/>
                <w:sz w:val="9"/>
                <w:szCs w:val="9"/>
                <w:color w:val="auto"/>
              </w:rPr>
              <w:t>$</w:t>
            </w:r>
          </w:p>
        </w:tc>
        <w:tc>
          <w:tcPr>
            <w:tcW w:w="600" w:type="dxa"/>
            <w:vAlign w:val="bottom"/>
          </w:tcPr>
          <w:p>
            <w:pPr>
              <w:jc w:val="right"/>
              <w:spacing w:after="0" w:line="85" w:lineRule="exact"/>
              <w:rPr>
                <w:sz w:val="20"/>
                <w:szCs w:val="20"/>
                <w:color w:val="auto"/>
              </w:rPr>
            </w:pPr>
            <w:r>
              <w:rPr>
                <w:rFonts w:ascii="Arial" w:cs="Arial" w:eastAsia="Arial" w:hAnsi="Arial"/>
                <w:sz w:val="9"/>
                <w:szCs w:val="9"/>
                <w:color w:val="auto"/>
              </w:rPr>
              <w:t>(1,132,518)</w:t>
            </w:r>
          </w:p>
        </w:tc>
        <w:tc>
          <w:tcPr>
            <w:tcW w:w="0" w:type="dxa"/>
            <w:vAlign w:val="bottom"/>
          </w:tcPr>
          <w:p>
            <w:pPr>
              <w:spacing w:after="0"/>
              <w:rPr>
                <w:sz w:val="1"/>
                <w:szCs w:val="1"/>
                <w:color w:val="auto"/>
              </w:rPr>
            </w:pPr>
          </w:p>
        </w:tc>
      </w:tr>
      <w:tr>
        <w:trPr>
          <w:trHeight w:val="57"/>
        </w:trPr>
        <w:tc>
          <w:tcPr>
            <w:tcW w:w="2360" w:type="dxa"/>
            <w:vAlign w:val="bottom"/>
          </w:tcPr>
          <w:p>
            <w:pPr>
              <w:ind w:left="20"/>
              <w:spacing w:after="0" w:line="47" w:lineRule="exact"/>
              <w:rPr>
                <w:sz w:val="20"/>
                <w:szCs w:val="20"/>
                <w:color w:val="auto"/>
              </w:rPr>
            </w:pPr>
            <w:r>
              <w:rPr>
                <w:rFonts w:ascii="Arial" w:cs="Arial" w:eastAsia="Arial" w:hAnsi="Arial"/>
                <w:sz w:val="5"/>
                <w:szCs w:val="5"/>
                <w:b w:val="1"/>
                <w:bCs w:val="1"/>
                <w:color w:val="auto"/>
              </w:rPr>
              <w:t>4</w:t>
            </w:r>
          </w:p>
        </w:tc>
        <w:tc>
          <w:tcPr>
            <w:tcW w:w="7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F-49</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(in thousands, except par value and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55" w:lineRule="exact"/>
        <w:rPr>
          <w:sz w:val="20"/>
          <w:szCs w:val="20"/>
          <w:color w:val="auto"/>
        </w:rPr>
      </w:pPr>
    </w:p>
    <w:tbl>
      <w:tblPr>
        <w:tblLayout w:type="fixed"/>
        <w:tblInd w:w="1560" w:type="dxa"/>
        <w:tblCellMar>
          <w:top w:w="0" w:type="dxa"/>
          <w:left w:w="0" w:type="dxa"/>
          <w:bottom w:w="0" w:type="dxa"/>
          <w:right w:w="0" w:type="dxa"/>
        </w:tblCellMar>
      </w:tblPr>
      <w:tr>
        <w:trPr>
          <w:trHeight w:val="126"/>
        </w:trPr>
        <w:tc>
          <w:tcPr>
            <w:tcW w:w="4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3"/>
          </w:tcPr>
          <w:p>
            <w:pPr>
              <w:ind w:left="6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67"/>
        </w:trPr>
        <w:tc>
          <w:tcPr>
            <w:tcW w:w="4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w:t>
            </w:r>
          </w:p>
        </w:tc>
        <w:tc>
          <w:tcPr>
            <w:tcW w:w="220" w:type="dxa"/>
            <w:vAlign w:val="bottom"/>
          </w:tcPr>
          <w:p>
            <w:pPr>
              <w:spacing w:after="0"/>
              <w:rPr>
                <w:sz w:val="5"/>
                <w:szCs w:val="5"/>
                <w:color w:val="auto"/>
              </w:rPr>
            </w:pPr>
          </w:p>
        </w:tc>
        <w:tc>
          <w:tcPr>
            <w:tcW w:w="600" w:type="dxa"/>
            <w:vAlign w:val="bottom"/>
            <w:vMerge w:val="restart"/>
          </w:tcPr>
          <w:p>
            <w:pPr>
              <w:jc w:val="right"/>
              <w:ind w:right="198"/>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3"/>
        </w:trPr>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60"/>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220" w:type="dxa"/>
            <w:vAlign w:val="bottom"/>
          </w:tcPr>
          <w:p>
            <w:pPr>
              <w:spacing w:after="0"/>
              <w:rPr>
                <w:sz w:val="20"/>
                <w:szCs w:val="20"/>
                <w:color w:val="auto"/>
              </w:rPr>
            </w:pPr>
            <w:r>
              <w:rPr>
                <w:rFonts w:ascii="Arial" w:cs="Arial" w:eastAsia="Arial" w:hAnsi="Arial"/>
                <w:sz w:val="12"/>
                <w:szCs w:val="12"/>
                <w:color w:val="auto"/>
              </w:rPr>
              <w:t>Cash flows from operating activities:</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20" w:type="dxa"/>
            <w:vAlign w:val="bottom"/>
          </w:tcPr>
          <w:p>
            <w:pPr>
              <w:ind w:left="140"/>
              <w:spacing w:after="0"/>
              <w:rPr>
                <w:sz w:val="20"/>
                <w:szCs w:val="20"/>
                <w:color w:val="auto"/>
              </w:rPr>
            </w:pPr>
            <w:r>
              <w:rPr>
                <w:rFonts w:ascii="Arial" w:cs="Arial" w:eastAsia="Arial" w:hAnsi="Arial"/>
                <w:sz w:val="12"/>
                <w:szCs w:val="12"/>
                <w:color w:val="auto"/>
              </w:rPr>
              <w:t xml:space="preserve">Net loss </w:t>
            </w:r>
            <w:r>
              <w:rPr>
                <w:rFonts w:ascii="Times New Roman" w:cs="Times New Roman" w:eastAsia="Times New Roman" w:hAnsi="Times New Roman"/>
                <w:sz w:val="12"/>
                <w:szCs w:val="12"/>
                <w:color w:val="B4B4B4"/>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(99,880)</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(92,544)</w:t>
            </w:r>
          </w:p>
        </w:tc>
        <w:tc>
          <w:tcPr>
            <w:tcW w:w="0" w:type="dxa"/>
            <w:vAlign w:val="bottom"/>
          </w:tcPr>
          <w:p>
            <w:pPr>
              <w:spacing w:after="0"/>
              <w:rPr>
                <w:sz w:val="1"/>
                <w:szCs w:val="1"/>
                <w:color w:val="auto"/>
              </w:rPr>
            </w:pPr>
          </w:p>
        </w:tc>
      </w:tr>
      <w:tr>
        <w:trPr>
          <w:trHeight w:val="151"/>
        </w:trPr>
        <w:tc>
          <w:tcPr>
            <w:tcW w:w="4220" w:type="dxa"/>
            <w:vAlign w:val="bottom"/>
          </w:tcPr>
          <w:p>
            <w:pPr>
              <w:ind w:left="140"/>
              <w:spacing w:after="0"/>
              <w:rPr>
                <w:sz w:val="20"/>
                <w:szCs w:val="20"/>
                <w:color w:val="auto"/>
              </w:rPr>
            </w:pPr>
            <w:r>
              <w:rPr>
                <w:rFonts w:ascii="Arial" w:cs="Arial" w:eastAsia="Arial" w:hAnsi="Arial"/>
                <w:sz w:val="12"/>
                <w:szCs w:val="12"/>
                <w:color w:val="auto"/>
              </w:rPr>
              <w:t>Adjustments to reconcile net loss to net cash used in operating</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220" w:type="dxa"/>
            <w:vAlign w:val="bottom"/>
          </w:tcPr>
          <w:p>
            <w:pPr>
              <w:ind w:left="260"/>
              <w:spacing w:after="0"/>
              <w:rPr>
                <w:sz w:val="20"/>
                <w:szCs w:val="20"/>
                <w:color w:val="auto"/>
              </w:rPr>
            </w:pPr>
            <w:r>
              <w:rPr>
                <w:rFonts w:ascii="Arial" w:cs="Arial" w:eastAsia="Arial" w:hAnsi="Arial"/>
                <w:sz w:val="12"/>
                <w:szCs w:val="12"/>
                <w:color w:val="auto"/>
              </w:rPr>
              <w:t>activities:</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20" w:type="dxa"/>
            <w:vAlign w:val="bottom"/>
          </w:tcPr>
          <w:p>
            <w:pPr>
              <w:ind w:left="300"/>
              <w:spacing w:after="0"/>
              <w:rPr>
                <w:sz w:val="20"/>
                <w:szCs w:val="20"/>
                <w:color w:val="auto"/>
              </w:rPr>
            </w:pPr>
            <w:r>
              <w:rPr>
                <w:rFonts w:ascii="Arial" w:cs="Arial" w:eastAsia="Arial" w:hAnsi="Arial"/>
                <w:sz w:val="12"/>
                <w:szCs w:val="12"/>
                <w:color w:val="auto"/>
              </w:rPr>
              <w:t xml:space="preserve">Stock-based compensation, net of amounts capitalized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35,909</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34,913</w:t>
            </w:r>
          </w:p>
        </w:tc>
        <w:tc>
          <w:tcPr>
            <w:tcW w:w="0" w:type="dxa"/>
            <w:vAlign w:val="bottom"/>
          </w:tcPr>
          <w:p>
            <w:pPr>
              <w:spacing w:after="0"/>
              <w:rPr>
                <w:sz w:val="1"/>
                <w:szCs w:val="1"/>
                <w:color w:val="auto"/>
              </w:rPr>
            </w:pPr>
          </w:p>
        </w:tc>
      </w:tr>
      <w:tr>
        <w:trPr>
          <w:trHeight w:val="182"/>
        </w:trPr>
        <w:tc>
          <w:tcPr>
            <w:tcW w:w="4220" w:type="dxa"/>
            <w:vAlign w:val="bottom"/>
          </w:tcPr>
          <w:p>
            <w:pPr>
              <w:ind w:left="300"/>
              <w:spacing w:after="0"/>
              <w:rPr>
                <w:sz w:val="20"/>
                <w:szCs w:val="20"/>
                <w:color w:val="auto"/>
              </w:rPr>
            </w:pPr>
            <w:r>
              <w:rPr>
                <w:rFonts w:ascii="Arial" w:cs="Arial" w:eastAsia="Arial" w:hAnsi="Arial"/>
                <w:sz w:val="12"/>
                <w:szCs w:val="12"/>
                <w:color w:val="auto"/>
              </w:rPr>
              <w:t xml:space="preserve">Non-cash interest expense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17,634</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24,052</w:t>
            </w:r>
          </w:p>
        </w:tc>
        <w:tc>
          <w:tcPr>
            <w:tcW w:w="0" w:type="dxa"/>
            <w:vAlign w:val="bottom"/>
          </w:tcPr>
          <w:p>
            <w:pPr>
              <w:spacing w:after="0"/>
              <w:rPr>
                <w:sz w:val="1"/>
                <w:szCs w:val="1"/>
                <w:color w:val="auto"/>
              </w:rPr>
            </w:pPr>
          </w:p>
        </w:tc>
      </w:tr>
      <w:tr>
        <w:trPr>
          <w:trHeight w:val="182"/>
        </w:trPr>
        <w:tc>
          <w:tcPr>
            <w:tcW w:w="4220" w:type="dxa"/>
            <w:vAlign w:val="bottom"/>
          </w:tcPr>
          <w:p>
            <w:pPr>
              <w:ind w:left="300"/>
              <w:spacing w:after="0"/>
              <w:rPr>
                <w:sz w:val="20"/>
                <w:szCs w:val="20"/>
                <w:color w:val="auto"/>
              </w:rPr>
            </w:pPr>
            <w:r>
              <w:rPr>
                <w:rFonts w:ascii="Arial" w:cs="Arial" w:eastAsia="Arial" w:hAnsi="Arial"/>
                <w:sz w:val="12"/>
                <w:szCs w:val="12"/>
                <w:color w:val="auto"/>
              </w:rPr>
              <w:t xml:space="preserve">Deferred income taxes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350</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(371)</w:t>
            </w:r>
          </w:p>
        </w:tc>
        <w:tc>
          <w:tcPr>
            <w:tcW w:w="0" w:type="dxa"/>
            <w:vAlign w:val="bottom"/>
          </w:tcPr>
          <w:p>
            <w:pPr>
              <w:spacing w:after="0"/>
              <w:rPr>
                <w:sz w:val="1"/>
                <w:szCs w:val="1"/>
                <w:color w:val="auto"/>
              </w:rPr>
            </w:pPr>
          </w:p>
        </w:tc>
      </w:tr>
      <w:tr>
        <w:trPr>
          <w:trHeight w:val="182"/>
        </w:trPr>
        <w:tc>
          <w:tcPr>
            <w:tcW w:w="4220" w:type="dxa"/>
            <w:vAlign w:val="bottom"/>
          </w:tcPr>
          <w:p>
            <w:pPr>
              <w:ind w:left="300"/>
              <w:spacing w:after="0"/>
              <w:rPr>
                <w:sz w:val="20"/>
                <w:szCs w:val="20"/>
                <w:color w:val="auto"/>
              </w:rPr>
            </w:pPr>
            <w:r>
              <w:rPr>
                <w:rFonts w:ascii="Arial" w:cs="Arial" w:eastAsia="Arial" w:hAnsi="Arial"/>
                <w:sz w:val="12"/>
                <w:szCs w:val="12"/>
                <w:color w:val="auto"/>
              </w:rPr>
              <w:t xml:space="preserve">Depreciation and amortization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12,209</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12,827</w:t>
            </w:r>
          </w:p>
        </w:tc>
        <w:tc>
          <w:tcPr>
            <w:tcW w:w="0" w:type="dxa"/>
            <w:vAlign w:val="bottom"/>
          </w:tcPr>
          <w:p>
            <w:pPr>
              <w:spacing w:after="0"/>
              <w:rPr>
                <w:sz w:val="1"/>
                <w:szCs w:val="1"/>
                <w:color w:val="auto"/>
              </w:rPr>
            </w:pPr>
          </w:p>
        </w:tc>
      </w:tr>
      <w:tr>
        <w:trPr>
          <w:trHeight w:val="182"/>
        </w:trPr>
        <w:tc>
          <w:tcPr>
            <w:tcW w:w="4220" w:type="dxa"/>
            <w:vAlign w:val="bottom"/>
          </w:tcPr>
          <w:p>
            <w:pPr>
              <w:ind w:left="300"/>
              <w:spacing w:after="0"/>
              <w:rPr>
                <w:sz w:val="20"/>
                <w:szCs w:val="20"/>
                <w:color w:val="auto"/>
              </w:rPr>
            </w:pPr>
            <w:r>
              <w:rPr>
                <w:rFonts w:ascii="Arial" w:cs="Arial" w:eastAsia="Arial" w:hAnsi="Arial"/>
                <w:sz w:val="12"/>
                <w:szCs w:val="12"/>
                <w:color w:val="auto"/>
              </w:rPr>
              <w:t xml:space="preserve">Amortization of contract acquisition costs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2,541</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2,716</w:t>
            </w:r>
          </w:p>
        </w:tc>
        <w:tc>
          <w:tcPr>
            <w:tcW w:w="0" w:type="dxa"/>
            <w:vAlign w:val="bottom"/>
          </w:tcPr>
          <w:p>
            <w:pPr>
              <w:spacing w:after="0"/>
              <w:rPr>
                <w:sz w:val="1"/>
                <w:szCs w:val="1"/>
                <w:color w:val="auto"/>
              </w:rPr>
            </w:pPr>
          </w:p>
        </w:tc>
      </w:tr>
      <w:tr>
        <w:trPr>
          <w:trHeight w:val="182"/>
        </w:trPr>
        <w:tc>
          <w:tcPr>
            <w:tcW w:w="4220" w:type="dxa"/>
            <w:vAlign w:val="bottom"/>
          </w:tcPr>
          <w:p>
            <w:pPr>
              <w:ind w:left="300"/>
              <w:spacing w:after="0"/>
              <w:rPr>
                <w:sz w:val="20"/>
                <w:szCs w:val="20"/>
                <w:color w:val="auto"/>
              </w:rPr>
            </w:pPr>
            <w:r>
              <w:rPr>
                <w:rFonts w:ascii="Arial" w:cs="Arial" w:eastAsia="Arial" w:hAnsi="Arial"/>
                <w:sz w:val="12"/>
                <w:szCs w:val="12"/>
                <w:color w:val="auto"/>
              </w:rPr>
              <w:t xml:space="preserve">Provision for doubtful accounts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4,385</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2,908</w:t>
            </w:r>
          </w:p>
        </w:tc>
        <w:tc>
          <w:tcPr>
            <w:tcW w:w="0" w:type="dxa"/>
            <w:vAlign w:val="bottom"/>
          </w:tcPr>
          <w:p>
            <w:pPr>
              <w:spacing w:after="0"/>
              <w:rPr>
                <w:sz w:val="1"/>
                <w:szCs w:val="1"/>
                <w:color w:val="auto"/>
              </w:rPr>
            </w:pPr>
          </w:p>
        </w:tc>
      </w:tr>
      <w:tr>
        <w:trPr>
          <w:trHeight w:val="182"/>
        </w:trPr>
        <w:tc>
          <w:tcPr>
            <w:tcW w:w="4220" w:type="dxa"/>
            <w:vAlign w:val="bottom"/>
          </w:tcPr>
          <w:p>
            <w:pPr>
              <w:ind w:left="300"/>
              <w:spacing w:after="0"/>
              <w:rPr>
                <w:sz w:val="20"/>
                <w:szCs w:val="20"/>
                <w:color w:val="auto"/>
              </w:rPr>
            </w:pPr>
            <w:r>
              <w:rPr>
                <w:rFonts w:ascii="Arial" w:cs="Arial" w:eastAsia="Arial" w:hAnsi="Arial"/>
                <w:sz w:val="12"/>
                <w:szCs w:val="12"/>
                <w:color w:val="auto"/>
              </w:rPr>
              <w:t xml:space="preserve">Loss (gain) on fair value adjustments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17,886</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(3,020)</w:t>
            </w:r>
          </w:p>
        </w:tc>
        <w:tc>
          <w:tcPr>
            <w:tcW w:w="0" w:type="dxa"/>
            <w:vAlign w:val="bottom"/>
          </w:tcPr>
          <w:p>
            <w:pPr>
              <w:spacing w:after="0"/>
              <w:rPr>
                <w:sz w:val="1"/>
                <w:szCs w:val="1"/>
                <w:color w:val="auto"/>
              </w:rPr>
            </w:pPr>
          </w:p>
        </w:tc>
      </w:tr>
      <w:tr>
        <w:trPr>
          <w:trHeight w:val="182"/>
        </w:trPr>
        <w:tc>
          <w:tcPr>
            <w:tcW w:w="4220" w:type="dxa"/>
            <w:vAlign w:val="bottom"/>
          </w:tcPr>
          <w:p>
            <w:pPr>
              <w:ind w:left="300"/>
              <w:spacing w:after="0"/>
              <w:rPr>
                <w:sz w:val="20"/>
                <w:szCs w:val="20"/>
                <w:color w:val="auto"/>
              </w:rPr>
            </w:pPr>
            <w:r>
              <w:rPr>
                <w:rFonts w:ascii="Arial" w:cs="Arial" w:eastAsia="Arial" w:hAnsi="Arial"/>
                <w:sz w:val="12"/>
                <w:szCs w:val="12"/>
                <w:color w:val="auto"/>
              </w:rPr>
              <w:t xml:space="preserve">Debt issuance costs expensed related to SAFEs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2,913</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2"/>
        </w:trPr>
        <w:tc>
          <w:tcPr>
            <w:tcW w:w="4220" w:type="dxa"/>
            <w:vAlign w:val="bottom"/>
          </w:tcPr>
          <w:p>
            <w:pPr>
              <w:ind w:left="300"/>
              <w:spacing w:after="0"/>
              <w:rPr>
                <w:sz w:val="20"/>
                <w:szCs w:val="20"/>
                <w:color w:val="auto"/>
              </w:rPr>
            </w:pPr>
            <w:r>
              <w:rPr>
                <w:rFonts w:ascii="Arial" w:cs="Arial" w:eastAsia="Arial" w:hAnsi="Arial"/>
                <w:sz w:val="12"/>
                <w:szCs w:val="12"/>
                <w:color w:val="auto"/>
              </w:rPr>
              <w:t xml:space="preserve">Loss on extinguishment of debt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20,528</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2"/>
        </w:trPr>
        <w:tc>
          <w:tcPr>
            <w:tcW w:w="4220" w:type="dxa"/>
            <w:vAlign w:val="bottom"/>
          </w:tcPr>
          <w:p>
            <w:pPr>
              <w:ind w:left="300"/>
              <w:spacing w:after="0"/>
              <w:rPr>
                <w:sz w:val="20"/>
                <w:szCs w:val="20"/>
                <w:color w:val="auto"/>
              </w:rPr>
            </w:pPr>
            <w:r>
              <w:rPr>
                <w:rFonts w:ascii="Arial" w:cs="Arial" w:eastAsia="Arial" w:hAnsi="Arial"/>
                <w:sz w:val="12"/>
                <w:szCs w:val="12"/>
                <w:color w:val="auto"/>
              </w:rPr>
              <w:t xml:space="preserve">Other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(327)</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51"/>
        </w:trPr>
        <w:tc>
          <w:tcPr>
            <w:tcW w:w="4220" w:type="dxa"/>
            <w:vAlign w:val="bottom"/>
          </w:tcPr>
          <w:p>
            <w:pPr>
              <w:ind w:left="300"/>
              <w:spacing w:after="0"/>
              <w:rPr>
                <w:sz w:val="20"/>
                <w:szCs w:val="20"/>
                <w:color w:val="auto"/>
              </w:rPr>
            </w:pPr>
            <w:r>
              <w:rPr>
                <w:rFonts w:ascii="Arial" w:cs="Arial" w:eastAsia="Arial" w:hAnsi="Arial"/>
                <w:sz w:val="12"/>
                <w:szCs w:val="12"/>
                <w:color w:val="auto"/>
              </w:rPr>
              <w:t>Changes in operating assets and liabilities, net of effect of business</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220" w:type="dxa"/>
            <w:vAlign w:val="bottom"/>
          </w:tcPr>
          <w:p>
            <w:pPr>
              <w:ind w:left="420"/>
              <w:spacing w:after="0"/>
              <w:rPr>
                <w:sz w:val="20"/>
                <w:szCs w:val="20"/>
                <w:color w:val="auto"/>
              </w:rPr>
            </w:pPr>
            <w:r>
              <w:rPr>
                <w:rFonts w:ascii="Arial" w:cs="Arial" w:eastAsia="Arial" w:hAnsi="Arial"/>
                <w:sz w:val="12"/>
                <w:szCs w:val="12"/>
                <w:color w:val="auto"/>
              </w:rPr>
              <w:t>acquisitions:</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20" w:type="dxa"/>
            <w:vAlign w:val="bottom"/>
          </w:tcPr>
          <w:p>
            <w:pPr>
              <w:ind w:left="460"/>
              <w:spacing w:after="0"/>
              <w:rPr>
                <w:sz w:val="20"/>
                <w:szCs w:val="20"/>
                <w:color w:val="auto"/>
              </w:rPr>
            </w:pPr>
            <w:r>
              <w:rPr>
                <w:rFonts w:ascii="Arial" w:cs="Arial" w:eastAsia="Arial" w:hAnsi="Arial"/>
                <w:sz w:val="12"/>
                <w:szCs w:val="12"/>
                <w:color w:val="auto"/>
              </w:rPr>
              <w:t xml:space="preserve">Accounts receivable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(1,518)</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(429)</w:t>
            </w:r>
          </w:p>
        </w:tc>
        <w:tc>
          <w:tcPr>
            <w:tcW w:w="0" w:type="dxa"/>
            <w:vAlign w:val="bottom"/>
          </w:tcPr>
          <w:p>
            <w:pPr>
              <w:spacing w:after="0"/>
              <w:rPr>
                <w:sz w:val="1"/>
                <w:szCs w:val="1"/>
                <w:color w:val="auto"/>
              </w:rPr>
            </w:pPr>
          </w:p>
        </w:tc>
      </w:tr>
      <w:tr>
        <w:trPr>
          <w:trHeight w:val="182"/>
        </w:trPr>
        <w:tc>
          <w:tcPr>
            <w:tcW w:w="4220" w:type="dxa"/>
            <w:vAlign w:val="bottom"/>
          </w:tcPr>
          <w:p>
            <w:pPr>
              <w:ind w:left="460"/>
              <w:spacing w:after="0"/>
              <w:rPr>
                <w:sz w:val="20"/>
                <w:szCs w:val="20"/>
                <w:color w:val="auto"/>
              </w:rPr>
            </w:pPr>
            <w:r>
              <w:rPr>
                <w:rFonts w:ascii="Arial" w:cs="Arial" w:eastAsia="Arial" w:hAnsi="Arial"/>
                <w:sz w:val="12"/>
                <w:szCs w:val="12"/>
                <w:color w:val="auto"/>
              </w:rPr>
              <w:t xml:space="preserve">Prepaid expenses and other current assets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(14,927)</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(10,201)</w:t>
            </w:r>
          </w:p>
        </w:tc>
        <w:tc>
          <w:tcPr>
            <w:tcW w:w="0" w:type="dxa"/>
            <w:vAlign w:val="bottom"/>
          </w:tcPr>
          <w:p>
            <w:pPr>
              <w:spacing w:after="0"/>
              <w:rPr>
                <w:sz w:val="1"/>
                <w:szCs w:val="1"/>
                <w:color w:val="auto"/>
              </w:rPr>
            </w:pPr>
          </w:p>
        </w:tc>
      </w:tr>
      <w:tr>
        <w:trPr>
          <w:trHeight w:val="182"/>
        </w:trPr>
        <w:tc>
          <w:tcPr>
            <w:tcW w:w="4220" w:type="dxa"/>
            <w:vAlign w:val="bottom"/>
          </w:tcPr>
          <w:p>
            <w:pPr>
              <w:ind w:left="460"/>
              <w:spacing w:after="0"/>
              <w:rPr>
                <w:sz w:val="20"/>
                <w:szCs w:val="20"/>
                <w:color w:val="auto"/>
              </w:rPr>
            </w:pPr>
            <w:r>
              <w:rPr>
                <w:rFonts w:ascii="Arial" w:cs="Arial" w:eastAsia="Arial" w:hAnsi="Arial"/>
                <w:sz w:val="12"/>
                <w:szCs w:val="12"/>
                <w:color w:val="auto"/>
              </w:rPr>
              <w:t xml:space="preserve">Contract acquisition costs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(9,247)</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(10,713)</w:t>
            </w:r>
          </w:p>
        </w:tc>
        <w:tc>
          <w:tcPr>
            <w:tcW w:w="0" w:type="dxa"/>
            <w:vAlign w:val="bottom"/>
          </w:tcPr>
          <w:p>
            <w:pPr>
              <w:spacing w:after="0"/>
              <w:rPr>
                <w:sz w:val="1"/>
                <w:szCs w:val="1"/>
                <w:color w:val="auto"/>
              </w:rPr>
            </w:pPr>
          </w:p>
        </w:tc>
      </w:tr>
      <w:tr>
        <w:trPr>
          <w:trHeight w:val="182"/>
        </w:trPr>
        <w:tc>
          <w:tcPr>
            <w:tcW w:w="4220" w:type="dxa"/>
            <w:vAlign w:val="bottom"/>
          </w:tcPr>
          <w:p>
            <w:pPr>
              <w:ind w:left="460"/>
              <w:spacing w:after="0"/>
              <w:rPr>
                <w:sz w:val="20"/>
                <w:szCs w:val="20"/>
                <w:color w:val="auto"/>
              </w:rPr>
            </w:pPr>
            <w:r>
              <w:rPr>
                <w:rFonts w:ascii="Arial" w:cs="Arial" w:eastAsia="Arial" w:hAnsi="Arial"/>
                <w:sz w:val="12"/>
                <w:szCs w:val="12"/>
                <w:color w:val="auto"/>
              </w:rPr>
              <w:t xml:space="preserve">Other non-current assets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858</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42"/>
        </w:trPr>
        <w:tc>
          <w:tcPr>
            <w:tcW w:w="4220" w:type="dxa"/>
            <w:vAlign w:val="bottom"/>
          </w:tcPr>
          <w:p>
            <w:pPr>
              <w:ind w:left="460"/>
              <w:spacing w:after="0"/>
              <w:rPr>
                <w:sz w:val="20"/>
                <w:szCs w:val="20"/>
                <w:color w:val="auto"/>
              </w:rPr>
            </w:pPr>
            <w:r>
              <w:rPr>
                <w:rFonts w:ascii="Arial" w:cs="Arial" w:eastAsia="Arial" w:hAnsi="Arial"/>
                <w:sz w:val="12"/>
                <w:szCs w:val="12"/>
                <w:color w:val="auto"/>
              </w:rPr>
              <w:t xml:space="preserve">Accounts payabl  </w:t>
            </w:r>
            <w:r>
              <w:rPr>
                <w:rFonts w:ascii="Times New Roman" w:cs="Times New Roman" w:eastAsia="Times New Roman" w:hAnsi="Times New Roman"/>
                <w:sz w:val="12"/>
                <w:szCs w:val="12"/>
                <w:color w:val="B4B4B4"/>
              </w:rPr>
              <w:t>.....................................................................................</w:t>
            </w:r>
          </w:p>
        </w:tc>
        <w:tc>
          <w:tcPr>
            <w:tcW w:w="160" w:type="dxa"/>
            <w:vAlign w:val="bottom"/>
          </w:tcPr>
          <w:p>
            <w:pPr>
              <w:spacing w:after="0"/>
              <w:rPr>
                <w:sz w:val="12"/>
                <w:szCs w:val="12"/>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2,933</w:t>
            </w: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20,497</w:t>
            </w:r>
          </w:p>
        </w:tc>
        <w:tc>
          <w:tcPr>
            <w:tcW w:w="0" w:type="dxa"/>
            <w:vAlign w:val="bottom"/>
          </w:tcPr>
          <w:p>
            <w:pPr>
              <w:spacing w:after="0"/>
              <w:rPr>
                <w:sz w:val="1"/>
                <w:szCs w:val="1"/>
                <w:color w:val="auto"/>
              </w:rPr>
            </w:pPr>
          </w:p>
        </w:tc>
      </w:tr>
      <w:tr>
        <w:trPr>
          <w:trHeight w:val="86"/>
        </w:trPr>
        <w:tc>
          <w:tcPr>
            <w:tcW w:w="4220" w:type="dxa"/>
            <w:vAlign w:val="bottom"/>
          </w:tcPr>
          <w:p>
            <w:pPr>
              <w:ind w:left="460"/>
              <w:spacing w:after="0" w:line="86" w:lineRule="exact"/>
              <w:rPr>
                <w:sz w:val="20"/>
                <w:szCs w:val="20"/>
                <w:color w:val="auto"/>
              </w:rPr>
            </w:pPr>
            <w:r>
              <w:rPr>
                <w:rFonts w:ascii="Arial" w:cs="Arial" w:eastAsia="Arial" w:hAnsi="Arial"/>
                <w:sz w:val="9"/>
                <w:szCs w:val="9"/>
                <w:color w:val="auto"/>
              </w:rPr>
              <w:t>e</w:t>
            </w:r>
          </w:p>
        </w:tc>
        <w:tc>
          <w:tcPr>
            <w:tcW w:w="160" w:type="dxa"/>
            <w:vAlign w:val="bottom"/>
          </w:tcPr>
          <w:p>
            <w:pPr>
              <w:spacing w:after="0"/>
              <w:rPr>
                <w:sz w:val="7"/>
                <w:szCs w:val="7"/>
                <w:color w:val="auto"/>
              </w:rPr>
            </w:pPr>
          </w:p>
        </w:tc>
        <w:tc>
          <w:tcPr>
            <w:tcW w:w="700" w:type="dxa"/>
            <w:vAlign w:val="bottom"/>
            <w:vMerge w:val="restart"/>
          </w:tcPr>
          <w:p>
            <w:pPr>
              <w:jc w:val="right"/>
              <w:ind w:right="20"/>
              <w:spacing w:after="0"/>
              <w:rPr>
                <w:sz w:val="20"/>
                <w:szCs w:val="20"/>
                <w:color w:val="auto"/>
              </w:rPr>
            </w:pPr>
            <w:r>
              <w:rPr>
                <w:rFonts w:ascii="Arial" w:cs="Arial" w:eastAsia="Arial" w:hAnsi="Arial"/>
                <w:sz w:val="12"/>
                <w:szCs w:val="12"/>
                <w:color w:val="auto"/>
              </w:rPr>
              <w:t>6,844</w:t>
            </w:r>
          </w:p>
        </w:tc>
        <w:tc>
          <w:tcPr>
            <w:tcW w:w="22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(15,807)</w:t>
            </w:r>
          </w:p>
        </w:tc>
        <w:tc>
          <w:tcPr>
            <w:tcW w:w="0" w:type="dxa"/>
            <w:vAlign w:val="bottom"/>
          </w:tcPr>
          <w:p>
            <w:pPr>
              <w:spacing w:after="0"/>
              <w:rPr>
                <w:sz w:val="1"/>
                <w:szCs w:val="1"/>
                <w:color w:val="auto"/>
              </w:rPr>
            </w:pPr>
          </w:p>
        </w:tc>
      </w:tr>
      <w:tr>
        <w:trPr>
          <w:trHeight w:val="153"/>
        </w:trPr>
        <w:tc>
          <w:tcPr>
            <w:tcW w:w="4220" w:type="dxa"/>
            <w:vAlign w:val="bottom"/>
          </w:tcPr>
          <w:p>
            <w:pPr>
              <w:ind w:left="460"/>
              <w:spacing w:after="0"/>
              <w:rPr>
                <w:sz w:val="20"/>
                <w:szCs w:val="20"/>
                <w:color w:val="auto"/>
              </w:rPr>
            </w:pPr>
            <w:r>
              <w:rPr>
                <w:rFonts w:ascii="Arial" w:cs="Arial" w:eastAsia="Arial" w:hAnsi="Arial"/>
                <w:sz w:val="12"/>
                <w:szCs w:val="12"/>
                <w:color w:val="auto"/>
              </w:rPr>
              <w:t xml:space="preserve">Accrued expenses and other current liabilities  </w:t>
            </w:r>
            <w:r>
              <w:rPr>
                <w:rFonts w:ascii="Times New Roman" w:cs="Times New Roman" w:eastAsia="Times New Roman" w:hAnsi="Times New Roman"/>
                <w:sz w:val="12"/>
                <w:szCs w:val="12"/>
                <w:color w:val="B4B4B4"/>
              </w:rPr>
              <w:t>....................................</w:t>
            </w: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220" w:type="dxa"/>
            <w:vAlign w:val="bottom"/>
          </w:tcPr>
          <w:p>
            <w:pPr>
              <w:ind w:left="460"/>
              <w:spacing w:after="0"/>
              <w:rPr>
                <w:sz w:val="20"/>
                <w:szCs w:val="20"/>
                <w:color w:val="auto"/>
              </w:rPr>
            </w:pPr>
            <w:r>
              <w:rPr>
                <w:rFonts w:ascii="Arial" w:cs="Arial" w:eastAsia="Arial" w:hAnsi="Arial"/>
                <w:sz w:val="12"/>
                <w:szCs w:val="12"/>
                <w:color w:val="auto"/>
              </w:rPr>
              <w:t xml:space="preserve">Deferred revenue </w:t>
            </w:r>
            <w:r>
              <w:rPr>
                <w:rFonts w:ascii="Times New Roman" w:cs="Times New Roman" w:eastAsia="Times New Roman" w:hAnsi="Times New Roman"/>
                <w:sz w:val="12"/>
                <w:szCs w:val="12"/>
                <w:color w:val="B4B4B4"/>
              </w:rPr>
              <w:t>......................................................................................</w:t>
            </w:r>
          </w:p>
        </w:tc>
        <w:tc>
          <w:tcPr>
            <w:tcW w:w="16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5,858</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3,600</w:t>
            </w:r>
          </w:p>
        </w:tc>
        <w:tc>
          <w:tcPr>
            <w:tcW w:w="0" w:type="dxa"/>
            <w:vAlign w:val="bottom"/>
          </w:tcPr>
          <w:p>
            <w:pPr>
              <w:spacing w:after="0"/>
              <w:rPr>
                <w:sz w:val="1"/>
                <w:szCs w:val="1"/>
                <w:color w:val="auto"/>
              </w:rPr>
            </w:pPr>
          </w:p>
        </w:tc>
      </w:tr>
      <w:tr>
        <w:trPr>
          <w:trHeight w:val="151"/>
        </w:trPr>
        <w:tc>
          <w:tcPr>
            <w:tcW w:w="4220" w:type="dxa"/>
            <w:vAlign w:val="bottom"/>
          </w:tcPr>
          <w:p>
            <w:pPr>
              <w:ind w:left="460"/>
              <w:spacing w:after="0"/>
              <w:rPr>
                <w:sz w:val="20"/>
                <w:szCs w:val="20"/>
                <w:color w:val="auto"/>
              </w:rPr>
            </w:pPr>
            <w:r>
              <w:rPr>
                <w:rFonts w:ascii="Arial" w:cs="Arial" w:eastAsia="Arial" w:hAnsi="Arial"/>
                <w:sz w:val="12"/>
                <w:szCs w:val="12"/>
                <w:color w:val="auto"/>
              </w:rPr>
              <w:t>Operating lease right-of-use asset and operating lease liabilities,</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(96)</w:t>
            </w:r>
          </w:p>
        </w:tc>
        <w:tc>
          <w:tcPr>
            <w:tcW w:w="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2,503</w:t>
            </w:r>
          </w:p>
        </w:tc>
        <w:tc>
          <w:tcPr>
            <w:tcW w:w="0" w:type="dxa"/>
            <w:vAlign w:val="bottom"/>
          </w:tcPr>
          <w:p>
            <w:pPr>
              <w:spacing w:after="0"/>
              <w:rPr>
                <w:sz w:val="1"/>
                <w:szCs w:val="1"/>
                <w:color w:val="auto"/>
              </w:rPr>
            </w:pPr>
          </w:p>
        </w:tc>
      </w:tr>
      <w:tr>
        <w:trPr>
          <w:trHeight w:val="165"/>
        </w:trPr>
        <w:tc>
          <w:tcPr>
            <w:tcW w:w="4220" w:type="dxa"/>
            <w:vAlign w:val="bottom"/>
          </w:tcPr>
          <w:p>
            <w:pPr>
              <w:ind w:left="560"/>
              <w:spacing w:after="0"/>
              <w:rPr>
                <w:sz w:val="20"/>
                <w:szCs w:val="20"/>
                <w:color w:val="auto"/>
              </w:rPr>
            </w:pPr>
            <w:r>
              <w:rPr>
                <w:rFonts w:ascii="Arial" w:cs="Arial" w:eastAsia="Arial" w:hAnsi="Arial"/>
                <w:sz w:val="12"/>
                <w:szCs w:val="12"/>
                <w:color w:val="auto"/>
              </w:rPr>
              <w:t>net</w:t>
            </w:r>
            <w:r>
              <w:rPr>
                <w:rFonts w:ascii="Times New Roman" w:cs="Times New Roman" w:eastAsia="Times New Roman" w:hAnsi="Times New Roman"/>
                <w:sz w:val="12"/>
                <w:szCs w:val="12"/>
                <w:color w:val="B4B4B4"/>
              </w:rPr>
              <w:t>............................................................................................................</w:t>
            </w: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1440" w:right="1440" w:bottom="2" w:gutter="0" w:footer="0" w:header="0"/>
        </w:sectPr>
      </w:pPr>
    </w:p>
    <w:bookmarkStart w:id="193" w:name="page194"/>
    <w:bookmarkEnd w:id="19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tbl>
      <w:tblPr>
        <w:tblLayout w:type="fixed"/>
        <w:tblInd w:w="600" w:type="dxa"/>
        <w:tblCellMar>
          <w:top w:w="0" w:type="dxa"/>
          <w:left w:w="0" w:type="dxa"/>
          <w:bottom w:w="0" w:type="dxa"/>
          <w:right w:w="0" w:type="dxa"/>
        </w:tblCellMar>
      </w:tblPr>
      <w:tr>
        <w:trPr>
          <w:trHeight w:val="163"/>
        </w:trPr>
        <w:tc>
          <w:tcPr>
            <w:tcW w:w="920" w:type="dxa"/>
            <w:vAlign w:val="bottom"/>
          </w:tcPr>
          <w:p>
            <w:pPr>
              <w:spacing w:after="0"/>
              <w:rPr>
                <w:sz w:val="14"/>
                <w:szCs w:val="14"/>
                <w:color w:val="auto"/>
              </w:rPr>
            </w:pPr>
          </w:p>
        </w:tc>
        <w:tc>
          <w:tcPr>
            <w:tcW w:w="4260" w:type="dxa"/>
            <w:vAlign w:val="bottom"/>
          </w:tcPr>
          <w:p>
            <w:pPr>
              <w:ind w:left="500"/>
              <w:spacing w:after="0"/>
              <w:rPr>
                <w:sz w:val="20"/>
                <w:szCs w:val="20"/>
                <w:color w:val="auto"/>
              </w:rPr>
            </w:pPr>
            <w:r>
              <w:rPr>
                <w:rFonts w:ascii="Arial" w:cs="Arial" w:eastAsia="Arial" w:hAnsi="Arial"/>
                <w:sz w:val="12"/>
                <w:szCs w:val="12"/>
                <w:color w:val="auto"/>
              </w:rPr>
              <w:t xml:space="preserve">Other non-current liabilities </w:t>
            </w:r>
            <w:r>
              <w:rPr>
                <w:rFonts w:ascii="Times New Roman" w:cs="Times New Roman" w:eastAsia="Times New Roman" w:hAnsi="Times New Roman"/>
                <w:sz w:val="12"/>
                <w:szCs w:val="12"/>
                <w:color w:val="B4B4B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920" w:type="dxa"/>
            <w:vAlign w:val="bottom"/>
          </w:tcPr>
          <w:p>
            <w:pPr>
              <w:spacing w:after="0"/>
              <w:rPr>
                <w:sz w:val="12"/>
                <w:szCs w:val="12"/>
                <w:color w:val="auto"/>
              </w:rPr>
            </w:pPr>
          </w:p>
        </w:tc>
        <w:tc>
          <w:tcPr>
            <w:tcW w:w="4260" w:type="dxa"/>
            <w:vAlign w:val="bottom"/>
          </w:tcPr>
          <w:p>
            <w:pPr>
              <w:ind w:left="640"/>
              <w:spacing w:after="0" w:line="133" w:lineRule="exact"/>
              <w:rPr>
                <w:sz w:val="20"/>
                <w:szCs w:val="20"/>
                <w:color w:val="auto"/>
              </w:rPr>
            </w:pPr>
            <w:r>
              <w:rPr>
                <w:rFonts w:ascii="Arial" w:cs="Arial" w:eastAsia="Arial" w:hAnsi="Arial"/>
                <w:sz w:val="12"/>
                <w:szCs w:val="12"/>
                <w:color w:val="auto"/>
              </w:rPr>
              <w:t xml:space="preserve">Net cash provided by (used in) operating activities </w:t>
            </w:r>
            <w:r>
              <w:rPr>
                <w:rFonts w:ascii="Times New Roman" w:cs="Times New Roman" w:eastAsia="Times New Roman" w:hAnsi="Times New Roman"/>
                <w:sz w:val="12"/>
                <w:szCs w:val="12"/>
                <w:color w:val="B4B4B4"/>
              </w:rPr>
              <w:t>........................</w:t>
            </w: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4,784</w:t>
            </w:r>
          </w:p>
        </w:tc>
        <w:tc>
          <w:tcPr>
            <w:tcW w:w="8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(29,033)</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4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Cash flows from investing activities:</w:t>
            </w:r>
          </w:p>
        </w:tc>
        <w:tc>
          <w:tcPr>
            <w:tcW w:w="8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260" w:type="dxa"/>
            <w:vAlign w:val="bottom"/>
          </w:tcPr>
          <w:p>
            <w:pPr>
              <w:ind w:left="340"/>
              <w:spacing w:after="0"/>
              <w:rPr>
                <w:sz w:val="20"/>
                <w:szCs w:val="20"/>
                <w:color w:val="auto"/>
              </w:rPr>
            </w:pPr>
            <w:r>
              <w:rPr>
                <w:rFonts w:ascii="Arial" w:cs="Arial" w:eastAsia="Arial" w:hAnsi="Arial"/>
                <w:sz w:val="12"/>
                <w:szCs w:val="12"/>
                <w:color w:val="auto"/>
              </w:rPr>
              <w:t xml:space="preserve">Capitalized software development costs </w:t>
            </w:r>
            <w:r>
              <w:rPr>
                <w:rFonts w:ascii="Times New Roman" w:cs="Times New Roman" w:eastAsia="Times New Roman" w:hAnsi="Times New Roman"/>
                <w:sz w:val="12"/>
                <w:szCs w:val="12"/>
                <w:color w:val="B4B4B4"/>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(8,207)</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(7,867)</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340"/>
              <w:spacing w:after="0"/>
              <w:rPr>
                <w:sz w:val="20"/>
                <w:szCs w:val="20"/>
                <w:color w:val="auto"/>
              </w:rPr>
            </w:pPr>
            <w:r>
              <w:rPr>
                <w:rFonts w:ascii="Arial" w:cs="Arial" w:eastAsia="Arial" w:hAnsi="Arial"/>
                <w:sz w:val="12"/>
                <w:szCs w:val="12"/>
                <w:color w:val="auto"/>
              </w:rPr>
              <w:t xml:space="preserve">Purchases of property and equipment </w:t>
            </w:r>
            <w:r>
              <w:rPr>
                <w:rFonts w:ascii="Times New Roman" w:cs="Times New Roman" w:eastAsia="Times New Roman" w:hAnsi="Times New Roman"/>
                <w:sz w:val="12"/>
                <w:szCs w:val="12"/>
                <w:color w:val="B4B4B4"/>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(188)</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(574)</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340"/>
              <w:spacing w:after="0"/>
              <w:rPr>
                <w:sz w:val="20"/>
                <w:szCs w:val="20"/>
                <w:color w:val="auto"/>
              </w:rPr>
            </w:pPr>
            <w:r>
              <w:rPr>
                <w:rFonts w:ascii="Arial" w:cs="Arial" w:eastAsia="Arial" w:hAnsi="Arial"/>
                <w:sz w:val="12"/>
                <w:szCs w:val="12"/>
                <w:color w:val="auto"/>
              </w:rPr>
              <w:t xml:space="preserve">Proceeds from sale of subsidiary, net of cash sold  </w:t>
            </w:r>
            <w:r>
              <w:rPr>
                <w:rFonts w:ascii="Times New Roman" w:cs="Times New Roman" w:eastAsia="Times New Roman" w:hAnsi="Times New Roman"/>
                <w:sz w:val="12"/>
                <w:szCs w:val="12"/>
                <w:color w:val="B4B4B4"/>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(354)</w:t>
            </w:r>
          </w:p>
        </w:tc>
        <w:tc>
          <w:tcPr>
            <w:tcW w:w="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340"/>
              <w:spacing w:after="0"/>
              <w:rPr>
                <w:sz w:val="20"/>
                <w:szCs w:val="20"/>
                <w:color w:val="auto"/>
              </w:rPr>
            </w:pPr>
            <w:r>
              <w:rPr>
                <w:rFonts w:ascii="Arial" w:cs="Arial" w:eastAsia="Arial" w:hAnsi="Arial"/>
                <w:sz w:val="12"/>
                <w:szCs w:val="12"/>
                <w:color w:val="auto"/>
              </w:rPr>
              <w:t xml:space="preserve">Decrease (increase) in corporate card receivables  </w:t>
            </w:r>
            <w:r>
              <w:rPr>
                <w:rFonts w:ascii="Times New Roman" w:cs="Times New Roman" w:eastAsia="Times New Roman" w:hAnsi="Times New Roman"/>
                <w:sz w:val="12"/>
                <w:szCs w:val="12"/>
                <w:color w:val="B4B4B4"/>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(2,306)</w:t>
            </w:r>
          </w:p>
        </w:tc>
        <w:tc>
          <w:tcPr>
            <w:tcW w:w="880" w:type="dxa"/>
            <w:vAlign w:val="bottom"/>
            <w:gridSpan w:val="2"/>
          </w:tcPr>
          <w:p>
            <w:pPr>
              <w:jc w:val="right"/>
              <w:ind w:right="18"/>
              <w:spacing w:after="0"/>
              <w:rPr>
                <w:sz w:val="20"/>
                <w:szCs w:val="20"/>
                <w:color w:val="auto"/>
              </w:rPr>
            </w:pPr>
            <w:r>
              <w:rPr>
                <w:rFonts w:ascii="Arial" w:cs="Arial" w:eastAsia="Arial" w:hAnsi="Arial"/>
                <w:sz w:val="12"/>
                <w:szCs w:val="12"/>
                <w:color w:val="auto"/>
              </w:rPr>
              <w:t>38,392</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340"/>
              <w:spacing w:after="0"/>
              <w:rPr>
                <w:sz w:val="20"/>
                <w:szCs w:val="20"/>
                <w:color w:val="auto"/>
              </w:rPr>
            </w:pPr>
            <w:r>
              <w:rPr>
                <w:rFonts w:ascii="Arial" w:cs="Arial" w:eastAsia="Arial" w:hAnsi="Arial"/>
                <w:sz w:val="12"/>
                <w:szCs w:val="12"/>
                <w:color w:val="auto"/>
              </w:rPr>
              <w:t xml:space="preserve">Cash consideration for business acquisition, net of cash acquired  </w:t>
            </w:r>
            <w:r>
              <w:rPr>
                <w:rFonts w:ascii="Times New Roman" w:cs="Times New Roman" w:eastAsia="Times New Roman" w:hAnsi="Times New Roman"/>
                <w:sz w:val="12"/>
                <w:szCs w:val="12"/>
                <w:color w:val="B4B4B4"/>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(3,879)</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640"/>
              <w:spacing w:after="0"/>
              <w:rPr>
                <w:sz w:val="20"/>
                <w:szCs w:val="20"/>
                <w:color w:val="auto"/>
              </w:rPr>
            </w:pPr>
            <w:r>
              <w:rPr>
                <w:rFonts w:ascii="Arial" w:cs="Arial" w:eastAsia="Arial" w:hAnsi="Arial"/>
                <w:sz w:val="12"/>
                <w:szCs w:val="12"/>
                <w:color w:val="auto"/>
              </w:rPr>
              <w:t xml:space="preserve">Net cash provided by (used in) investing activities  </w:t>
            </w:r>
            <w:r>
              <w:rPr>
                <w:rFonts w:ascii="Times New Roman" w:cs="Times New Roman" w:eastAsia="Times New Roman" w:hAnsi="Times New Roman"/>
                <w:sz w:val="12"/>
                <w:szCs w:val="12"/>
                <w:color w:val="B4B4B4"/>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(11,055)</w:t>
            </w:r>
          </w:p>
        </w:tc>
        <w:tc>
          <w:tcPr>
            <w:tcW w:w="880" w:type="dxa"/>
            <w:vAlign w:val="bottom"/>
            <w:gridSpan w:val="2"/>
          </w:tcPr>
          <w:p>
            <w:pPr>
              <w:jc w:val="right"/>
              <w:ind w:right="18"/>
              <w:spacing w:after="0"/>
              <w:rPr>
                <w:sz w:val="20"/>
                <w:szCs w:val="20"/>
                <w:color w:val="auto"/>
              </w:rPr>
            </w:pPr>
            <w:r>
              <w:rPr>
                <w:rFonts w:ascii="Arial" w:cs="Arial" w:eastAsia="Arial" w:hAnsi="Arial"/>
                <w:sz w:val="12"/>
                <w:szCs w:val="12"/>
                <w:color w:val="auto"/>
              </w:rPr>
              <w:t>26,072</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40"/>
              <w:spacing w:after="0"/>
              <w:rPr>
                <w:sz w:val="20"/>
                <w:szCs w:val="20"/>
                <w:color w:val="auto"/>
              </w:rPr>
            </w:pPr>
            <w:r>
              <w:rPr>
                <w:rFonts w:ascii="Arial" w:cs="Arial" w:eastAsia="Arial" w:hAnsi="Arial"/>
                <w:sz w:val="12"/>
                <w:szCs w:val="12"/>
                <w:color w:val="auto"/>
              </w:rPr>
              <w:t>Cash flows from financing activities:</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4260" w:type="dxa"/>
            <w:vAlign w:val="bottom"/>
          </w:tcPr>
          <w:p>
            <w:pPr>
              <w:ind w:left="340"/>
              <w:spacing w:after="0"/>
              <w:rPr>
                <w:sz w:val="20"/>
                <w:szCs w:val="20"/>
                <w:color w:val="auto"/>
              </w:rPr>
            </w:pPr>
            <w:r>
              <w:rPr>
                <w:rFonts w:ascii="Arial" w:cs="Arial" w:eastAsia="Arial" w:hAnsi="Arial"/>
                <w:sz w:val="12"/>
                <w:szCs w:val="12"/>
                <w:color w:val="auto"/>
              </w:rPr>
              <w:t>Proceeds from issuance of common stock from exercise of stock-</w:t>
            </w: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6,154</w:t>
            </w:r>
          </w:p>
        </w:tc>
        <w:tc>
          <w:tcPr>
            <w:tcW w:w="880" w:type="dxa"/>
            <w:vAlign w:val="bottom"/>
            <w:gridSpan w:val="2"/>
            <w:vMerge w:val="restart"/>
          </w:tcPr>
          <w:p>
            <w:pPr>
              <w:jc w:val="right"/>
              <w:spacing w:after="0"/>
              <w:rPr>
                <w:sz w:val="20"/>
                <w:szCs w:val="20"/>
                <w:color w:val="auto"/>
              </w:rPr>
            </w:pPr>
            <w:r>
              <w:rPr>
                <w:rFonts w:ascii="Arial" w:cs="Arial" w:eastAsia="Arial" w:hAnsi="Arial"/>
                <w:sz w:val="12"/>
                <w:szCs w:val="12"/>
                <w:color w:val="auto"/>
              </w:rPr>
              <w:t>2,277</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4260" w:type="dxa"/>
            <w:vAlign w:val="bottom"/>
          </w:tcPr>
          <w:p>
            <w:pPr>
              <w:ind w:left="460"/>
              <w:spacing w:after="0"/>
              <w:rPr>
                <w:sz w:val="20"/>
                <w:szCs w:val="20"/>
                <w:color w:val="auto"/>
              </w:rPr>
            </w:pPr>
            <w:r>
              <w:rPr>
                <w:rFonts w:ascii="Arial" w:cs="Arial" w:eastAsia="Arial" w:hAnsi="Arial"/>
                <w:sz w:val="12"/>
                <w:szCs w:val="12"/>
                <w:color w:val="auto"/>
              </w:rPr>
              <w:t>based awards</w:t>
            </w:r>
          </w:p>
        </w:tc>
        <w:tc>
          <w:tcPr>
            <w:tcW w:w="84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260" w:type="dxa"/>
            <w:vAlign w:val="bottom"/>
          </w:tcPr>
          <w:p>
            <w:pPr>
              <w:ind w:left="340"/>
              <w:spacing w:after="0" w:line="122" w:lineRule="exact"/>
              <w:rPr>
                <w:sz w:val="20"/>
                <w:szCs w:val="20"/>
                <w:color w:val="auto"/>
              </w:rPr>
            </w:pPr>
            <w:r>
              <w:rPr>
                <w:rFonts w:ascii="Arial" w:cs="Arial" w:eastAsia="Arial" w:hAnsi="Arial"/>
                <w:sz w:val="12"/>
                <w:szCs w:val="12"/>
                <w:color w:val="auto"/>
              </w:rPr>
              <w:t xml:space="preserve">Proceeds from borrowings of debt </w:t>
            </w:r>
            <w:r>
              <w:rPr>
                <w:rFonts w:ascii="Times New Roman" w:cs="Times New Roman" w:eastAsia="Times New Roman" w:hAnsi="Times New Roman"/>
                <w:sz w:val="12"/>
                <w:szCs w:val="12"/>
                <w:color w:val="B4B4B4"/>
              </w:rPr>
              <w:t>..............................................................</w:t>
            </w:r>
          </w:p>
        </w:tc>
        <w:tc>
          <w:tcPr>
            <w:tcW w:w="840" w:type="dxa"/>
            <w:vAlign w:val="bottom"/>
          </w:tcPr>
          <w:p>
            <w:pPr>
              <w:jc w:val="right"/>
              <w:spacing w:after="0" w:line="122" w:lineRule="exact"/>
              <w:rPr>
                <w:sz w:val="20"/>
                <w:szCs w:val="20"/>
                <w:color w:val="auto"/>
              </w:rPr>
            </w:pPr>
            <w:r>
              <w:rPr>
                <w:rFonts w:ascii="Arial" w:cs="Arial" w:eastAsia="Arial" w:hAnsi="Arial"/>
                <w:sz w:val="12"/>
                <w:szCs w:val="12"/>
                <w:color w:val="auto"/>
              </w:rPr>
              <w:t>190,967</w:t>
            </w:r>
          </w:p>
        </w:tc>
        <w:tc>
          <w:tcPr>
            <w:tcW w:w="880" w:type="dxa"/>
            <w:vAlign w:val="bottom"/>
            <w:gridSpan w:val="2"/>
          </w:tcPr>
          <w:p>
            <w:pPr>
              <w:jc w:val="right"/>
              <w:ind w:right="18"/>
              <w:spacing w:after="0" w:line="122" w:lineRule="exact"/>
              <w:rPr>
                <w:sz w:val="20"/>
                <w:szCs w:val="20"/>
                <w:color w:val="auto"/>
              </w:rPr>
            </w:pPr>
            <w:r>
              <w:rPr>
                <w:rFonts w:ascii="Arial" w:cs="Arial" w:eastAsia="Arial" w:hAnsi="Arial"/>
                <w:sz w:val="12"/>
                <w:szCs w:val="12"/>
                <w:color w:val="auto"/>
              </w:rPr>
              <w:t>51,718</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 xml:space="preserve">Proceeds from issuance of SAFEs </w:t>
            </w:r>
            <w:r>
              <w:rPr>
                <w:rFonts w:ascii="Times New Roman" w:cs="Times New Roman" w:eastAsia="Times New Roman" w:hAnsi="Times New Roman"/>
                <w:sz w:val="12"/>
                <w:szCs w:val="12"/>
                <w:color w:val="B4B4B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155,000</w:t>
            </w: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340"/>
              <w:spacing w:after="0"/>
              <w:rPr>
                <w:sz w:val="20"/>
                <w:szCs w:val="20"/>
                <w:color w:val="auto"/>
              </w:rPr>
            </w:pPr>
            <w:r>
              <w:rPr>
                <w:rFonts w:ascii="Arial" w:cs="Arial" w:eastAsia="Arial" w:hAnsi="Arial"/>
                <w:sz w:val="12"/>
                <w:szCs w:val="12"/>
                <w:color w:val="auto"/>
              </w:rPr>
              <w:t xml:space="preserve">Payments of borrowings of debt </w:t>
            </w:r>
            <w:r>
              <w:rPr>
                <w:rFonts w:ascii="Times New Roman" w:cs="Times New Roman" w:eastAsia="Times New Roman" w:hAnsi="Times New Roman"/>
                <w:sz w:val="12"/>
                <w:szCs w:val="12"/>
                <w:color w:val="B4B4B4"/>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(333,775)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(2,270)</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 xml:space="preserve">Payments for debt issuance costs </w:t>
            </w:r>
            <w:r>
              <w:rPr>
                <w:rFonts w:ascii="Times New Roman" w:cs="Times New Roman" w:eastAsia="Times New Roman" w:hAnsi="Times New Roman"/>
                <w:sz w:val="12"/>
                <w:szCs w:val="12"/>
                <w:color w:val="B4B4B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(10,985)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260" w:type="dxa"/>
            <w:vAlign w:val="bottom"/>
          </w:tcPr>
          <w:p>
            <w:pPr>
              <w:ind w:left="340"/>
              <w:spacing w:after="0"/>
              <w:rPr>
                <w:sz w:val="20"/>
                <w:szCs w:val="20"/>
                <w:color w:val="auto"/>
              </w:rPr>
            </w:pPr>
            <w:r>
              <w:rPr>
                <w:rFonts w:ascii="Arial" w:cs="Arial" w:eastAsia="Arial" w:hAnsi="Arial"/>
                <w:sz w:val="12"/>
                <w:szCs w:val="12"/>
                <w:color w:val="auto"/>
              </w:rPr>
              <w:t xml:space="preserve">Payments of deferred offering costs </w:t>
            </w:r>
            <w:r>
              <w:rPr>
                <w:rFonts w:ascii="Times New Roman" w:cs="Times New Roman" w:eastAsia="Times New Roman" w:hAnsi="Times New Roman"/>
                <w:sz w:val="12"/>
                <w:szCs w:val="12"/>
                <w:color w:val="B4B4B4"/>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(755)</w:t>
            </w: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ind w:left="340"/>
              <w:spacing w:after="0"/>
              <w:rPr>
                <w:sz w:val="20"/>
                <w:szCs w:val="20"/>
                <w:color w:val="auto"/>
              </w:rPr>
            </w:pPr>
            <w:r>
              <w:rPr>
                <w:rFonts w:ascii="Arial" w:cs="Arial" w:eastAsia="Arial" w:hAnsi="Arial"/>
                <w:sz w:val="12"/>
                <w:szCs w:val="12"/>
                <w:color w:val="auto"/>
              </w:rPr>
              <w:t xml:space="preserve">Payment of deferred consideration in business combinations  </w:t>
            </w:r>
            <w:r>
              <w:rPr>
                <w:rFonts w:ascii="Times New Roman" w:cs="Times New Roman" w:eastAsia="Times New Roman" w:hAnsi="Times New Roman"/>
                <w:sz w:val="12"/>
                <w:szCs w:val="12"/>
                <w:color w:val="B4B4B4"/>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(275)</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92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260" w:type="dxa"/>
            <w:vAlign w:val="bottom"/>
          </w:tcPr>
          <w:p>
            <w:pPr>
              <w:ind w:left="2860"/>
              <w:spacing w:after="0"/>
              <w:rPr>
                <w:sz w:val="20"/>
                <w:szCs w:val="20"/>
                <w:color w:val="auto"/>
              </w:rPr>
            </w:pPr>
            <w:r>
              <w:rPr>
                <w:rFonts w:ascii="Arial" w:cs="Arial" w:eastAsia="Arial" w:hAnsi="Arial"/>
                <w:sz w:val="12"/>
                <w:szCs w:val="12"/>
                <w:color w:val="auto"/>
              </w:rPr>
              <w:t>F-50</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4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920" w:type="dxa"/>
            <w:vAlign w:val="bottom"/>
          </w:tcPr>
          <w:p>
            <w:pPr>
              <w:spacing w:after="0"/>
              <w:rPr>
                <w:sz w:val="9"/>
                <w:szCs w:val="9"/>
                <w:color w:val="auto"/>
              </w:rPr>
            </w:pPr>
          </w:p>
        </w:tc>
        <w:tc>
          <w:tcPr>
            <w:tcW w:w="4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(in thousands, except par value and share amounts)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4"/>
          </w:tcPr>
          <w:p>
            <w:pPr>
              <w:jc w:val="right"/>
              <w:ind w:right="159"/>
              <w:spacing w:after="0"/>
              <w:rPr>
                <w:sz w:val="20"/>
                <w:szCs w:val="20"/>
                <w:color w:val="auto"/>
              </w:rPr>
            </w:pPr>
            <w:r>
              <w:rPr>
                <w:rFonts w:ascii="Arial" w:cs="Arial" w:eastAsia="Arial" w:hAnsi="Arial"/>
                <w:sz w:val="11"/>
                <w:szCs w:val="11"/>
                <w:b w:val="1"/>
                <w:bCs w:val="1"/>
                <w:color w:val="auto"/>
                <w:w w:val="97"/>
              </w:rPr>
              <w:t>Six Months Ended July 31</w:t>
            </w: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jc w:val="right"/>
              <w:ind w:right="541"/>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2025</w:t>
            </w:r>
          </w:p>
        </w:tc>
        <w:tc>
          <w:tcPr>
            <w:tcW w:w="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Netcashprovidedbyfinancingactivities</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6,606</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51,415</w:t>
            </w:r>
          </w:p>
        </w:tc>
        <w:tc>
          <w:tcPr>
            <w:tcW w:w="0" w:type="dxa"/>
            <w:vAlign w:val="bottom"/>
          </w:tcPr>
          <w:p>
            <w:pPr>
              <w:spacing w:after="0"/>
              <w:rPr>
                <w:sz w:val="1"/>
                <w:szCs w:val="1"/>
                <w:color w:val="auto"/>
              </w:rPr>
            </w:pPr>
          </w:p>
        </w:tc>
      </w:tr>
      <w:tr>
        <w:trPr>
          <w:trHeight w:val="108"/>
        </w:trPr>
        <w:tc>
          <w:tcPr>
            <w:tcW w:w="4260" w:type="dxa"/>
            <w:vAlign w:val="bottom"/>
            <w:shd w:val="clear" w:color="auto" w:fill="CCEEFF"/>
          </w:tcPr>
          <w:p>
            <w:pPr>
              <w:ind w:left="640"/>
              <w:spacing w:after="0" w:line="109" w:lineRule="exact"/>
              <w:rPr>
                <w:sz w:val="20"/>
                <w:szCs w:val="20"/>
                <w:color w:val="auto"/>
              </w:rPr>
            </w:pPr>
            <w:r>
              <w:rPr>
                <w:rFonts w:ascii="Arial" w:cs="Arial" w:eastAsia="Arial" w:hAnsi="Arial"/>
                <w:sz w:val="12"/>
                <w:szCs w:val="12"/>
                <w:color w:val="auto"/>
              </w:rPr>
              <w:t>Effect of exchange rate changes on cash, cash equivalents and</w:t>
            </w:r>
          </w:p>
        </w:tc>
        <w:tc>
          <w:tcPr>
            <w:tcW w:w="1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4,608</w:t>
            </w: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(499)</w:t>
            </w:r>
          </w:p>
        </w:tc>
        <w:tc>
          <w:tcPr>
            <w:tcW w:w="0" w:type="dxa"/>
            <w:vAlign w:val="bottom"/>
          </w:tcPr>
          <w:p>
            <w:pPr>
              <w:spacing w:after="0"/>
              <w:rPr>
                <w:sz w:val="1"/>
                <w:szCs w:val="1"/>
                <w:color w:val="auto"/>
              </w:rPr>
            </w:pPr>
          </w:p>
        </w:tc>
      </w:tr>
      <w:tr>
        <w:trPr>
          <w:trHeight w:val="171"/>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2"/>
                <w:szCs w:val="12"/>
                <w:color w:val="auto"/>
              </w:rPr>
              <w:t xml:space="preserve">restricted cash </w:t>
            </w:r>
            <w:r>
              <w:rPr>
                <w:rFonts w:ascii="Times New Roman" w:cs="Times New Roman" w:eastAsia="Times New Roman" w:hAnsi="Times New Roman"/>
                <w:sz w:val="12"/>
                <w:szCs w:val="12"/>
                <w:color w:val="B4B4B4"/>
              </w:rPr>
              <w:t>..................................................................................</w:t>
            </w: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 xml:space="preserve">Net increase in cash, cash equivalents and restricted cash  </w:t>
            </w:r>
            <w:r>
              <w:rPr>
                <w:rFonts w:ascii="Times New Roman" w:cs="Times New Roman" w:eastAsia="Times New Roman" w:hAnsi="Times New Roman"/>
                <w:sz w:val="12"/>
                <w:szCs w:val="12"/>
                <w:color w:val="B4B4B4"/>
              </w:rPr>
              <w:t>.........</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4,943</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47,955</w:t>
            </w:r>
          </w:p>
        </w:tc>
        <w:tc>
          <w:tcPr>
            <w:tcW w:w="0" w:type="dxa"/>
            <w:vAlign w:val="bottom"/>
          </w:tcPr>
          <w:p>
            <w:pPr>
              <w:spacing w:after="0"/>
              <w:rPr>
                <w:sz w:val="1"/>
                <w:szCs w:val="1"/>
                <w:color w:val="auto"/>
              </w:rPr>
            </w:pPr>
          </w:p>
        </w:tc>
      </w:tr>
      <w:tr>
        <w:trPr>
          <w:trHeight w:val="171"/>
        </w:trPr>
        <w:tc>
          <w:tcPr>
            <w:tcW w:w="4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Cash,cashequivalentsandrestrictedcash,beginningofperiod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310,595</w:t>
            </w:r>
          </w:p>
        </w:tc>
        <w:tc>
          <w:tcPr>
            <w:tcW w:w="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267,382</w:t>
            </w:r>
          </w:p>
        </w:tc>
        <w:tc>
          <w:tcPr>
            <w:tcW w:w="0" w:type="dxa"/>
            <w:vAlign w:val="bottom"/>
          </w:tcPr>
          <w:p>
            <w:pPr>
              <w:spacing w:after="0"/>
              <w:rPr>
                <w:sz w:val="1"/>
                <w:szCs w:val="1"/>
                <w:color w:val="auto"/>
              </w:rPr>
            </w:pPr>
          </w:p>
        </w:tc>
      </w:tr>
      <w:tr>
        <w:trPr>
          <w:trHeight w:val="160"/>
        </w:trPr>
        <w:tc>
          <w:tcPr>
            <w:tcW w:w="4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Cash,cashequivalentsandrestrictedcash,endofperiod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315,538</w:t>
            </w: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315,337</w:t>
            </w:r>
          </w:p>
        </w:tc>
        <w:tc>
          <w:tcPr>
            <w:tcW w:w="0" w:type="dxa"/>
            <w:vAlign w:val="bottom"/>
          </w:tcPr>
          <w:p>
            <w:pPr>
              <w:spacing w:after="0"/>
              <w:rPr>
                <w:sz w:val="1"/>
                <w:szCs w:val="1"/>
                <w:color w:val="auto"/>
              </w:rPr>
            </w:pPr>
          </w:p>
        </w:tc>
      </w:tr>
      <w:tr>
        <w:trPr>
          <w:trHeight w:val="182"/>
        </w:trPr>
        <w:tc>
          <w:tcPr>
            <w:tcW w:w="4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Supplemental disclosure of cash flow information:</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 xml:space="preserve">Cash paid for interest </w:t>
            </w:r>
            <w:r>
              <w:rPr>
                <w:rFonts w:ascii="Times New Roman" w:cs="Times New Roman" w:eastAsia="Times New Roman" w:hAnsi="Times New Roman"/>
                <w:sz w:val="12"/>
                <w:szCs w:val="12"/>
                <w:color w:val="B4B4B4"/>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14,337</w:t>
            </w:r>
          </w:p>
        </w:tc>
        <w:tc>
          <w:tcPr>
            <w:tcW w:w="2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13,799</w:t>
            </w:r>
          </w:p>
        </w:tc>
        <w:tc>
          <w:tcPr>
            <w:tcW w:w="0" w:type="dxa"/>
            <w:vAlign w:val="bottom"/>
          </w:tcPr>
          <w:p>
            <w:pPr>
              <w:spacing w:after="0"/>
              <w:rPr>
                <w:sz w:val="1"/>
                <w:szCs w:val="1"/>
                <w:color w:val="auto"/>
              </w:rPr>
            </w:pPr>
          </w:p>
        </w:tc>
      </w:tr>
      <w:tr>
        <w:trPr>
          <w:trHeight w:val="173"/>
        </w:trPr>
        <w:tc>
          <w:tcPr>
            <w:tcW w:w="4260" w:type="dxa"/>
            <w:vAlign w:val="bottom"/>
          </w:tcPr>
          <w:p>
            <w:pPr>
              <w:ind w:left="340"/>
              <w:spacing w:after="0"/>
              <w:rPr>
                <w:sz w:val="20"/>
                <w:szCs w:val="20"/>
                <w:color w:val="auto"/>
              </w:rPr>
            </w:pPr>
            <w:r>
              <w:rPr>
                <w:rFonts w:ascii="Arial" w:cs="Arial" w:eastAsia="Arial" w:hAnsi="Arial"/>
                <w:sz w:val="12"/>
                <w:szCs w:val="12"/>
                <w:color w:val="auto"/>
              </w:rPr>
              <w:t xml:space="preserve">Cash paid for income taxes </w:t>
            </w:r>
            <w:r>
              <w:rPr>
                <w:rFonts w:ascii="Times New Roman" w:cs="Times New Roman" w:eastAsia="Times New Roman" w:hAnsi="Times New Roman"/>
                <w:sz w:val="12"/>
                <w:szCs w:val="12"/>
                <w:color w:val="B4B4B4"/>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9,386</w:t>
            </w:r>
          </w:p>
        </w:tc>
        <w:tc>
          <w:tcPr>
            <w:tcW w:w="240" w:type="dxa"/>
            <w:vAlign w:val="bottom"/>
            <w:gridSpan w:val="2"/>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4,115</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Noncash investing and financing activities: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 xml:space="preserve">Vesting of early exercised stock options  </w:t>
            </w:r>
            <w:r>
              <w:rPr>
                <w:rFonts w:ascii="Times New Roman" w:cs="Times New Roman" w:eastAsia="Times New Roman" w:hAnsi="Times New Roman"/>
                <w:sz w:val="12"/>
                <w:szCs w:val="12"/>
                <w:color w:val="B4B4B4"/>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583</w:t>
            </w:r>
          </w:p>
        </w:tc>
        <w:tc>
          <w:tcPr>
            <w:tcW w:w="2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1,064</w:t>
            </w:r>
          </w:p>
        </w:tc>
        <w:tc>
          <w:tcPr>
            <w:tcW w:w="0" w:type="dxa"/>
            <w:vAlign w:val="bottom"/>
          </w:tcPr>
          <w:p>
            <w:pPr>
              <w:spacing w:after="0"/>
              <w:rPr>
                <w:sz w:val="1"/>
                <w:szCs w:val="1"/>
                <w:color w:val="auto"/>
              </w:rPr>
            </w:pPr>
          </w:p>
        </w:tc>
      </w:tr>
      <w:tr>
        <w:trPr>
          <w:trHeight w:val="124"/>
        </w:trPr>
        <w:tc>
          <w:tcPr>
            <w:tcW w:w="4260" w:type="dxa"/>
            <w:vAlign w:val="bottom"/>
          </w:tcPr>
          <w:p>
            <w:pPr>
              <w:ind w:left="340"/>
              <w:spacing w:after="0" w:line="125" w:lineRule="exact"/>
              <w:rPr>
                <w:sz w:val="20"/>
                <w:szCs w:val="20"/>
                <w:color w:val="auto"/>
              </w:rPr>
            </w:pPr>
            <w:r>
              <w:rPr>
                <w:rFonts w:ascii="Arial" w:cs="Arial" w:eastAsia="Arial" w:hAnsi="Arial"/>
                <w:sz w:val="12"/>
                <w:szCs w:val="12"/>
                <w:color w:val="auto"/>
              </w:rPr>
              <w:t>Capitalized share-based compensation for internal-use software</w:t>
            </w:r>
          </w:p>
        </w:tc>
        <w:tc>
          <w:tcPr>
            <w:tcW w:w="1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1"/>
              <w:spacing w:after="0"/>
              <w:rPr>
                <w:sz w:val="20"/>
                <w:szCs w:val="20"/>
                <w:color w:val="auto"/>
              </w:rPr>
            </w:pPr>
            <w:r>
              <w:rPr>
                <w:rFonts w:ascii="Arial" w:cs="Arial" w:eastAsia="Arial" w:hAnsi="Arial"/>
                <w:sz w:val="12"/>
                <w:szCs w:val="12"/>
                <w:color w:val="auto"/>
              </w:rPr>
              <w:t>1,395</w:t>
            </w:r>
          </w:p>
        </w:tc>
        <w:tc>
          <w:tcPr>
            <w:tcW w:w="240" w:type="dxa"/>
            <w:vAlign w:val="bottom"/>
            <w:gridSpan w:val="2"/>
            <w:vMerge w:val="restart"/>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1,096</w:t>
            </w:r>
          </w:p>
        </w:tc>
        <w:tc>
          <w:tcPr>
            <w:tcW w:w="0" w:type="dxa"/>
            <w:vAlign w:val="bottom"/>
          </w:tcPr>
          <w:p>
            <w:pPr>
              <w:spacing w:after="0"/>
              <w:rPr>
                <w:sz w:val="1"/>
                <w:szCs w:val="1"/>
                <w:color w:val="auto"/>
              </w:rPr>
            </w:pPr>
          </w:p>
        </w:tc>
      </w:tr>
      <w:tr>
        <w:trPr>
          <w:trHeight w:val="165"/>
        </w:trPr>
        <w:tc>
          <w:tcPr>
            <w:tcW w:w="4260" w:type="dxa"/>
            <w:vAlign w:val="bottom"/>
          </w:tcPr>
          <w:p>
            <w:pPr>
              <w:ind w:left="460"/>
              <w:spacing w:after="0"/>
              <w:rPr>
                <w:sz w:val="20"/>
                <w:szCs w:val="20"/>
                <w:color w:val="auto"/>
              </w:rPr>
            </w:pPr>
            <w:r>
              <w:rPr>
                <w:rFonts w:ascii="Arial" w:cs="Arial" w:eastAsia="Arial" w:hAnsi="Arial"/>
                <w:sz w:val="12"/>
                <w:szCs w:val="12"/>
                <w:color w:val="auto"/>
              </w:rPr>
              <w:t>development costs</w:t>
            </w: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2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 xml:space="preserve">Amounts unpaid for purchases of property and equipment </w:t>
            </w:r>
            <w:r>
              <w:rPr>
                <w:rFonts w:ascii="Times New Roman" w:cs="Times New Roman" w:eastAsia="Times New Roman" w:hAnsi="Times New Roman"/>
                <w:sz w:val="12"/>
                <w:szCs w:val="12"/>
                <w:color w:val="B4B4B4"/>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w:t>
            </w:r>
          </w:p>
        </w:tc>
        <w:tc>
          <w:tcPr>
            <w:tcW w:w="2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w:t>
            </w:r>
          </w:p>
        </w:tc>
        <w:tc>
          <w:tcPr>
            <w:tcW w:w="0" w:type="dxa"/>
            <w:vAlign w:val="bottom"/>
          </w:tcPr>
          <w:p>
            <w:pPr>
              <w:spacing w:after="0"/>
              <w:rPr>
                <w:sz w:val="1"/>
                <w:szCs w:val="1"/>
                <w:color w:val="auto"/>
              </w:rPr>
            </w:pPr>
          </w:p>
        </w:tc>
      </w:tr>
      <w:tr>
        <w:trPr>
          <w:trHeight w:val="182"/>
        </w:trPr>
        <w:tc>
          <w:tcPr>
            <w:tcW w:w="4260" w:type="dxa"/>
            <w:vAlign w:val="bottom"/>
          </w:tcPr>
          <w:p>
            <w:pPr>
              <w:ind w:left="340"/>
              <w:spacing w:after="0"/>
              <w:rPr>
                <w:sz w:val="20"/>
                <w:szCs w:val="20"/>
                <w:color w:val="auto"/>
              </w:rPr>
            </w:pPr>
            <w:r>
              <w:rPr>
                <w:rFonts w:ascii="Arial" w:cs="Arial" w:eastAsia="Arial" w:hAnsi="Arial"/>
                <w:sz w:val="12"/>
                <w:szCs w:val="12"/>
                <w:color w:val="auto"/>
              </w:rPr>
              <w:t xml:space="preserve">Deferred offering costs not yet paid </w:t>
            </w:r>
            <w:r>
              <w:rPr>
                <w:rFonts w:ascii="Times New Roman" w:cs="Times New Roman" w:eastAsia="Times New Roman" w:hAnsi="Times New Roman"/>
                <w:sz w:val="12"/>
                <w:szCs w:val="12"/>
                <w:color w:val="B4B4B4"/>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2,600</w:t>
            </w:r>
          </w:p>
        </w:tc>
        <w:tc>
          <w:tcPr>
            <w:tcW w:w="240" w:type="dxa"/>
            <w:vAlign w:val="bottom"/>
            <w:gridSpan w:val="2"/>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The accompanying notes are an integral part of these unaudited condensed consolidated financial</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47"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1 - DESCRIPTION OF BUSINESS AND SIGNIFICANT ACCOUNTING POLICIES</w:t>
      </w:r>
    </w:p>
    <w:p>
      <w:pPr>
        <w:sectPr>
          <w:pgSz w:w="11900" w:h="16840" w:orient="portrait"/>
          <w:cols w:equalWidth="0" w:num="1">
            <w:col w:w="9020"/>
          </w:cols>
          <w:pgMar w:left="1440" w:top="570" w:right="1440" w:bottom="48" w:gutter="0" w:footer="0" w:header="0"/>
        </w:sectPr>
      </w:pPr>
    </w:p>
    <w:bookmarkStart w:id="194" w:name="page195"/>
    <w:bookmarkEnd w:id="194"/>
    <w:p>
      <w:pPr>
        <w:ind w:left="1760"/>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Description of Business</w:t>
      </w:r>
    </w:p>
    <w:p>
      <w:pPr>
        <w:spacing w:after="0" w:line="128" w:lineRule="exact"/>
        <w:rPr>
          <w:sz w:val="20"/>
          <w:szCs w:val="20"/>
          <w:color w:val="auto"/>
        </w:rPr>
      </w:pPr>
    </w:p>
    <w:p>
      <w:pPr>
        <w:ind w:left="1520" w:right="1760" w:firstLine="230"/>
        <w:spacing w:after="0" w:line="273" w:lineRule="auto"/>
        <w:rPr>
          <w:sz w:val="20"/>
          <w:szCs w:val="20"/>
          <w:color w:val="auto"/>
        </w:rPr>
      </w:pPr>
      <w:r>
        <w:rPr>
          <w:rFonts w:ascii="Arial" w:cs="Arial" w:eastAsia="Arial" w:hAnsi="Arial"/>
          <w:sz w:val="12"/>
          <w:szCs w:val="12"/>
          <w:color w:val="auto"/>
        </w:rPr>
        <w:t>Navan, Inc. (the “Company”, “we”, “our”), together with its subsidiaries, is a cloud-based technology platform built to solve the comprehensive needs of frequent travelers. We offer a comprehensive, all-in-one, AI-powered travel, payments and expense management solution designed to streamline the entire travel lifecycle, from booking and policy enforcement to payment processing, expense reconciliation, and reporting. The Company was incorporated in the state of Delaware in February 2015. The Company is currently headquartered in Palo Alto, California and has operations in North America, Asia Pacific, the Middle East, and Europe.</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Basis of Presentation and Principles of Consolidation</w:t>
      </w:r>
    </w:p>
    <w:p>
      <w:pPr>
        <w:spacing w:after="0" w:line="128" w:lineRule="exact"/>
        <w:rPr>
          <w:sz w:val="20"/>
          <w:szCs w:val="20"/>
          <w:color w:val="auto"/>
        </w:rPr>
      </w:pPr>
    </w:p>
    <w:p>
      <w:pPr>
        <w:ind w:left="1520" w:right="1740" w:firstLine="230"/>
        <w:spacing w:after="0" w:line="271" w:lineRule="auto"/>
        <w:rPr>
          <w:sz w:val="20"/>
          <w:szCs w:val="20"/>
          <w:color w:val="auto"/>
        </w:rPr>
      </w:pPr>
      <w:r>
        <w:rPr>
          <w:rFonts w:ascii="Arial" w:cs="Arial" w:eastAsia="Arial" w:hAnsi="Arial"/>
          <w:sz w:val="12"/>
          <w:szCs w:val="12"/>
          <w:color w:val="auto"/>
        </w:rPr>
        <w:t>The unaudited condensed consolidated financial statements and accompanying notes have been prepared in accordance with generally accepted accounting principles in the United States of America (“GAAP”). Certain information and disclosures normally included in consolidated financial statements prepared in accordance with GAAP have been condensed or omitted. Accordingly, these unaudited condensed consolidated financial statements should be read in conjunction with the audited consolidated financial statements for the year ended January 31, 2025 and the related notes. The January 31, 2025 condensed consolidated balance sheet was derived from the Company’s audited consolidated financial statements as of that date. The unaudited condensed consolidated financial statements include, in the opinion of management, all adjustments, consisting of normal and recurring items, necessary for the fair statement of the condensed consolidated financial statements for the periods presented.</w:t>
      </w:r>
    </w:p>
    <w:p>
      <w:pPr>
        <w:spacing w:after="0" w:line="88" w:lineRule="exact"/>
        <w:rPr>
          <w:sz w:val="20"/>
          <w:szCs w:val="20"/>
          <w:color w:val="auto"/>
        </w:rPr>
      </w:pPr>
    </w:p>
    <w:p>
      <w:pPr>
        <w:ind w:left="1520" w:right="1820" w:firstLine="230"/>
        <w:spacing w:after="0" w:line="289" w:lineRule="auto"/>
        <w:rPr>
          <w:sz w:val="20"/>
          <w:szCs w:val="20"/>
          <w:color w:val="auto"/>
        </w:rPr>
      </w:pPr>
      <w:r>
        <w:rPr>
          <w:rFonts w:ascii="Arial" w:cs="Arial" w:eastAsia="Arial" w:hAnsi="Arial"/>
          <w:sz w:val="12"/>
          <w:szCs w:val="12"/>
          <w:color w:val="auto"/>
        </w:rPr>
        <w:t>We consolidate our wholly-owned subsidiaries over which we exercise control, and variable interest entities (“VIEs”) where we are deemed to be the primary beneficiary. See Note 8 — Variable Interest Entities for further details.</w:t>
      </w:r>
    </w:p>
    <w:p>
      <w:pPr>
        <w:spacing w:after="0" w:line="76" w:lineRule="exact"/>
        <w:rPr>
          <w:sz w:val="20"/>
          <w:szCs w:val="20"/>
          <w:color w:val="auto"/>
        </w:rPr>
      </w:pPr>
    </w:p>
    <w:p>
      <w:pPr>
        <w:ind w:left="1520" w:right="1820" w:firstLine="230"/>
        <w:spacing w:after="0" w:line="281" w:lineRule="auto"/>
        <w:rPr>
          <w:sz w:val="20"/>
          <w:szCs w:val="20"/>
          <w:color w:val="auto"/>
        </w:rPr>
      </w:pPr>
      <w:r>
        <w:rPr>
          <w:rFonts w:ascii="Arial" w:cs="Arial" w:eastAsia="Arial" w:hAnsi="Arial"/>
          <w:sz w:val="12"/>
          <w:szCs w:val="12"/>
          <w:color w:val="auto"/>
        </w:rPr>
        <w:t>The accompanying unaudited condensed consolidated financial statements include the accounts of the Company and entities in which it has a controlling financial interest in accordance with the consolidation accounting principles guidance. All intercompany profits, transactions, and balances have been eliminated in consolidation.</w:t>
      </w:r>
    </w:p>
    <w:p>
      <w:pPr>
        <w:spacing w:after="0" w:line="81" w:lineRule="exact"/>
        <w:rPr>
          <w:sz w:val="20"/>
          <w:szCs w:val="20"/>
          <w:color w:val="auto"/>
        </w:rPr>
      </w:pPr>
    </w:p>
    <w:p>
      <w:pPr>
        <w:ind w:left="1520" w:right="1580" w:firstLine="230"/>
        <w:spacing w:after="0" w:line="289" w:lineRule="auto"/>
        <w:rPr>
          <w:sz w:val="20"/>
          <w:szCs w:val="20"/>
          <w:color w:val="auto"/>
        </w:rPr>
      </w:pPr>
      <w:r>
        <w:rPr>
          <w:rFonts w:ascii="Arial" w:cs="Arial" w:eastAsia="Arial" w:hAnsi="Arial"/>
          <w:sz w:val="12"/>
          <w:szCs w:val="12"/>
          <w:color w:val="auto"/>
        </w:rPr>
        <w:t>There have been no significant changes in accounting policies during the six months ended July 31, 2025 from those disclosed in the annual consolidated financial statements for the year ended January 31, 2025 and the related notes.</w:t>
      </w:r>
    </w:p>
    <w:p>
      <w:pPr>
        <w:spacing w:after="0" w:line="76" w:lineRule="exact"/>
        <w:rPr>
          <w:sz w:val="20"/>
          <w:szCs w:val="20"/>
          <w:color w:val="auto"/>
        </w:rPr>
      </w:pPr>
    </w:p>
    <w:p>
      <w:pPr>
        <w:ind w:left="1520" w:right="1680" w:firstLine="230"/>
        <w:spacing w:after="0" w:line="312" w:lineRule="auto"/>
        <w:rPr>
          <w:sz w:val="20"/>
          <w:szCs w:val="20"/>
          <w:color w:val="auto"/>
        </w:rPr>
      </w:pPr>
      <w:r>
        <w:rPr>
          <w:rFonts w:ascii="Arial" w:cs="Arial" w:eastAsia="Arial" w:hAnsi="Arial"/>
          <w:sz w:val="12"/>
          <w:szCs w:val="12"/>
          <w:color w:val="auto"/>
        </w:rPr>
        <w:t>The Company’s fiscal year ends on January 31. References made to “fiscal 2026” and “fiscal 2025” refer to the Company’s fiscal years ended January 31, 2026 and January 31, 2025 , respectively.</w:t>
      </w:r>
    </w:p>
    <w:p>
      <w:pPr>
        <w:spacing w:after="0" w:line="62" w:lineRule="exact"/>
        <w:rPr>
          <w:sz w:val="20"/>
          <w:szCs w:val="20"/>
          <w:color w:val="auto"/>
        </w:rPr>
      </w:pPr>
    </w:p>
    <w:p>
      <w:pPr>
        <w:ind w:left="1520" w:right="1860" w:firstLine="230"/>
        <w:spacing w:after="0" w:line="281" w:lineRule="auto"/>
        <w:rPr>
          <w:sz w:val="20"/>
          <w:szCs w:val="20"/>
          <w:color w:val="auto"/>
        </w:rPr>
      </w:pPr>
      <w:r>
        <w:rPr>
          <w:rFonts w:ascii="Arial" w:cs="Arial" w:eastAsia="Arial" w:hAnsi="Arial"/>
          <w:sz w:val="12"/>
          <w:szCs w:val="12"/>
          <w:color w:val="auto"/>
        </w:rPr>
        <w:t>Prior period amounts within Note 4 — Supplemental Financial Statement Information have been reclassified to conform to the current period presentation. These reclassifications had no impact on our previously reported total current assets, total assets, total current liabilities, total liabilities, results of operations, comprehensive income or net cash flows from operating, financing or investing activities.</w:t>
      </w:r>
    </w:p>
    <w:p>
      <w:pPr>
        <w:spacing w:after="0" w:line="8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Reverse Stock Split</w:t>
      </w:r>
    </w:p>
    <w:p>
      <w:pPr>
        <w:spacing w:after="0" w:line="128" w:lineRule="exact"/>
        <w:rPr>
          <w:sz w:val="20"/>
          <w:szCs w:val="20"/>
          <w:color w:val="auto"/>
        </w:rPr>
      </w:pPr>
    </w:p>
    <w:p>
      <w:pPr>
        <w:ind w:left="1520" w:right="1960" w:firstLine="230"/>
        <w:spacing w:after="0" w:line="289" w:lineRule="auto"/>
        <w:rPr>
          <w:sz w:val="20"/>
          <w:szCs w:val="20"/>
          <w:color w:val="auto"/>
        </w:rPr>
      </w:pPr>
      <w:r>
        <w:rPr>
          <w:rFonts w:ascii="Arial" w:cs="Arial" w:eastAsia="Arial" w:hAnsi="Arial"/>
          <w:sz w:val="12"/>
          <w:szCs w:val="12"/>
          <w:color w:val="auto"/>
        </w:rPr>
        <w:t>On September 18, 2025, the Company effected a one-for-three reverse stock split of its common stock and redeemable convertible preferred stock. All share and per share information has been retroactively adjusted to reflect the stock split for all periods presented.</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28" w:lineRule="exact"/>
        <w:rPr>
          <w:sz w:val="20"/>
          <w:szCs w:val="20"/>
          <w:color w:val="auto"/>
        </w:rPr>
      </w:pPr>
    </w:p>
    <w:p>
      <w:pPr>
        <w:ind w:left="1520" w:right="1700" w:firstLine="230"/>
        <w:spacing w:after="0" w:line="289" w:lineRule="auto"/>
        <w:rPr>
          <w:sz w:val="20"/>
          <w:szCs w:val="20"/>
          <w:color w:val="auto"/>
        </w:rPr>
      </w:pPr>
      <w:r>
        <w:rPr>
          <w:rFonts w:ascii="Arial" w:cs="Arial" w:eastAsia="Arial" w:hAnsi="Arial"/>
          <w:sz w:val="12"/>
          <w:szCs w:val="12"/>
          <w:color w:val="auto"/>
        </w:rPr>
        <w:t>The preparation of our condensed consolidated financial statements in conformity with GAAP requires management to make estimates, judgments and assumptions that affect the reported amounts in the condensed consolidated financial statements and accompanying notes. Estimates and judgments are</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ind w:left="1520" w:right="1700"/>
        <w:spacing w:after="0" w:line="272" w:lineRule="auto"/>
        <w:rPr>
          <w:sz w:val="20"/>
          <w:szCs w:val="20"/>
          <w:color w:val="auto"/>
        </w:rPr>
      </w:pPr>
      <w:r>
        <w:rPr>
          <w:rFonts w:ascii="Arial" w:cs="Arial" w:eastAsia="Arial" w:hAnsi="Arial"/>
          <w:sz w:val="12"/>
          <w:szCs w:val="12"/>
          <w:color w:val="auto"/>
        </w:rPr>
        <w:t>based on historical experience, forecasted events and various other assumptions that the Company believes to be reasonable under the circumstances. On an ongoing basis, management evaluates estimates, including, but not limited to: carrying values and useful lives of long-lived assets and intangible assets; capitalization of internal-use software costs; the expected period of benefit for contract acquisition costs; the estimate of expected credit losses on accounts receivable; fair values of assets acquired and liabilities assumed in business combinations; fair values of financial instruments; fair values of stock-based awards issued; the incremental borrowing rate used for operating lease liabilities; and assumptions used in accounting for income taxes. These estimates are inherently subject to judgment and actual results could differ from those estimates.</w:t>
      </w:r>
    </w:p>
    <w:p>
      <w:pPr>
        <w:spacing w:after="0" w:line="87"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Concentration of Credit Risk</w:t>
      </w:r>
    </w:p>
    <w:p>
      <w:pPr>
        <w:spacing w:after="0" w:line="128" w:lineRule="exact"/>
        <w:rPr>
          <w:sz w:val="20"/>
          <w:szCs w:val="20"/>
          <w:color w:val="auto"/>
        </w:rPr>
      </w:pPr>
    </w:p>
    <w:p>
      <w:pPr>
        <w:ind w:left="1520" w:right="1700" w:firstLine="230"/>
        <w:spacing w:after="0" w:line="272" w:lineRule="auto"/>
        <w:rPr>
          <w:sz w:val="20"/>
          <w:szCs w:val="20"/>
          <w:color w:val="auto"/>
        </w:rPr>
      </w:pPr>
      <w:r>
        <w:rPr>
          <w:rFonts w:ascii="Arial" w:cs="Arial" w:eastAsia="Arial" w:hAnsi="Arial"/>
          <w:sz w:val="12"/>
          <w:szCs w:val="12"/>
          <w:color w:val="auto"/>
        </w:rPr>
        <w:t>Financial instruments that potentially subject the Company to concentrations of credit risk consist primarily of cash and cash equivalents, restricted cash and accounts receivable. The Company’s cash and cash equivalents and restricted cash are on deposit with high-quality financial institutions that exceed federally insured limits. The Company regularly monitors the composition and maturities of cash and cash equivalent and restricted cash balances. The Company has not experienced any losses due to institutional failure or bankruptcy. The Company performs credit evaluations of its customers and generally does not require collateral for sales on credit. In certain cases, based on the Company’s credit evaluations, collateral, primarily in the form of cash deposits, is required to mitigate corporate card receivable collection risk.</w:t>
      </w:r>
    </w:p>
    <w:p>
      <w:pPr>
        <w:spacing w:after="0" w:line="242" w:lineRule="exact"/>
        <w:rPr>
          <w:sz w:val="20"/>
          <w:szCs w:val="20"/>
          <w:color w:val="auto"/>
        </w:rPr>
      </w:pPr>
    </w:p>
    <w:p>
      <w:pPr>
        <w:ind w:left="1520" w:right="1580" w:firstLine="230"/>
        <w:spacing w:after="0" w:line="276" w:lineRule="auto"/>
        <w:rPr>
          <w:sz w:val="20"/>
          <w:szCs w:val="20"/>
          <w:color w:val="auto"/>
        </w:rPr>
      </w:pPr>
      <w:r>
        <w:rPr>
          <w:rFonts w:ascii="Arial" w:cs="Arial" w:eastAsia="Arial" w:hAnsi="Arial"/>
          <w:sz w:val="12"/>
          <w:szCs w:val="12"/>
          <w:color w:val="auto"/>
        </w:rPr>
        <w:t>No customers accounted for 10% or more of the Company’s revenue during the six months ended July 31, 2025 . One payment partner customer accounted for 12% of the Company’s revenue during the six months ended July 31, 2024. One platform customer accounted for 10% and 12% of accounts receivable as of July 31, 2025 and January 31, 2025 , respectively. The Company did not have any customers that accounted for 10% or more of corporate card receivables as of July 31, 2025 and January 31, 2025, respectively.</w:t>
      </w:r>
    </w:p>
    <w:p>
      <w:pPr>
        <w:spacing w:after="0" w:line="24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Segment Information</w:t>
      </w:r>
    </w:p>
    <w:p>
      <w:pPr>
        <w:spacing w:after="0" w:line="128" w:lineRule="exact"/>
        <w:rPr>
          <w:sz w:val="20"/>
          <w:szCs w:val="20"/>
          <w:color w:val="auto"/>
        </w:rPr>
      </w:pPr>
    </w:p>
    <w:p>
      <w:pPr>
        <w:ind w:left="1520" w:right="1760" w:firstLine="230"/>
        <w:spacing w:after="0" w:line="281" w:lineRule="auto"/>
        <w:rPr>
          <w:sz w:val="20"/>
          <w:szCs w:val="20"/>
          <w:color w:val="auto"/>
        </w:rPr>
      </w:pPr>
      <w:r>
        <w:rPr>
          <w:rFonts w:ascii="Arial" w:cs="Arial" w:eastAsia="Arial" w:hAnsi="Arial"/>
          <w:sz w:val="12"/>
          <w:szCs w:val="12"/>
          <w:color w:val="auto"/>
        </w:rPr>
        <w:t>The Company’s chief operating decision maker (“CODM”) is its Chief Executive Officer, who reviews financial information presented on a consolidated basis for purposes of making operating decisions, assessing financial performance, and allocating resources. The Company operates its business in one operating segment and, therefore, has one reportable segment.</w:t>
      </w:r>
    </w:p>
    <w:p>
      <w:pPr>
        <w:spacing w:after="0" w:line="81" w:lineRule="exact"/>
        <w:rPr>
          <w:sz w:val="20"/>
          <w:szCs w:val="20"/>
          <w:color w:val="auto"/>
        </w:rPr>
      </w:pPr>
    </w:p>
    <w:p>
      <w:pPr>
        <w:ind w:left="1520" w:right="1700" w:firstLine="230"/>
        <w:spacing w:after="0" w:line="312" w:lineRule="auto"/>
        <w:rPr>
          <w:sz w:val="20"/>
          <w:szCs w:val="20"/>
          <w:color w:val="auto"/>
        </w:rPr>
      </w:pPr>
      <w:r>
        <w:rPr>
          <w:rFonts w:ascii="Arial" w:cs="Arial" w:eastAsia="Arial" w:hAnsi="Arial"/>
          <w:sz w:val="12"/>
          <w:szCs w:val="12"/>
          <w:color w:val="auto"/>
        </w:rPr>
        <w:t>The CODM uses consolidated net loss to measure segment profit or loss in order to assess, manage, and maintain performance of the business based on resource allocations. The CODM also uses</w:t>
      </w:r>
    </w:p>
    <w:p>
      <w:pPr>
        <w:sectPr>
          <w:pgSz w:w="11900" w:h="16840" w:orient="portrait"/>
          <w:cols w:equalWidth="0" w:num="1">
            <w:col w:w="9020"/>
          </w:cols>
          <w:pgMar w:left="1440" w:top="657" w:right="1440" w:bottom="56" w:gutter="0" w:footer="0" w:header="0"/>
        </w:sectPr>
      </w:pPr>
    </w:p>
    <w:bookmarkStart w:id="195" w:name="page196"/>
    <w:bookmarkEnd w:id="195"/>
    <w:p>
      <w:pPr>
        <w:ind w:left="1520" w:right="1760"/>
        <w:spacing w:after="0" w:line="193" w:lineRule="auto"/>
        <w:rPr>
          <w:sz w:val="20"/>
          <w:szCs w:val="20"/>
          <w:color w:val="auto"/>
        </w:rPr>
      </w:pPr>
      <w:r>
        <w:rPr>
          <w:rFonts w:ascii="Arial" w:cs="Arial" w:eastAsia="Arial" w:hAnsi="Arial"/>
          <w:sz w:val="12"/>
          <w:szCs w:val="12"/>
          <w:color w:val="auto"/>
        </w:rPr>
        <w:t>consolidated net loss to approve operating budgets and to identify product development and market expansion opportunities. The Company’s objective in making resource allocation decisions is to optimize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-133985</wp:posOffset>
            </wp:positionV>
            <wp:extent cx="6732270" cy="99707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720"/>
        <w:spacing w:after="0" w:line="270" w:lineRule="auto"/>
        <w:rPr>
          <w:sz w:val="20"/>
          <w:szCs w:val="20"/>
          <w:color w:val="auto"/>
        </w:rPr>
      </w:pPr>
      <w:r>
        <w:rPr>
          <w:rFonts w:ascii="Arial" w:cs="Arial" w:eastAsia="Arial" w:hAnsi="Arial"/>
          <w:sz w:val="12"/>
          <w:szCs w:val="12"/>
          <w:color w:val="auto"/>
        </w:rPr>
        <w:t>the consolidated financial results. Significant segment expenses that the CODM reviews and utilizes to manage the Company’s operations are cost of revenue, research and development, sales and marketing, and general and administrative expenses at the consolidated level, which are presented in the Company’s condensed consolidated statements of operations. Other segment items included in consolidated net loss include interest expense, other income, net, loss on extinguishment of debt, gain (loss) on fair value adjustments and income tax expense, which are presented in the Company’s condensed consolidated statements of operations. The measure of segment assets is reported on the balance sheet as total consolidated assets.</w:t>
      </w:r>
    </w:p>
    <w:p>
      <w:pPr>
        <w:spacing w:after="0" w:line="8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Recently Adopted Accounting Pronouncements</w:t>
      </w:r>
    </w:p>
    <w:p>
      <w:pPr>
        <w:spacing w:after="0" w:line="128" w:lineRule="exact"/>
        <w:rPr>
          <w:sz w:val="20"/>
          <w:szCs w:val="20"/>
          <w:color w:val="auto"/>
        </w:rPr>
      </w:pPr>
    </w:p>
    <w:p>
      <w:pPr>
        <w:ind w:left="1520" w:right="1760" w:firstLine="230"/>
        <w:spacing w:after="0" w:line="277" w:lineRule="auto"/>
        <w:rPr>
          <w:sz w:val="20"/>
          <w:szCs w:val="20"/>
          <w:color w:val="auto"/>
        </w:rPr>
      </w:pPr>
      <w:r>
        <w:rPr>
          <w:rFonts w:ascii="Arial" w:cs="Arial" w:eastAsia="Arial" w:hAnsi="Arial"/>
          <w:sz w:val="12"/>
          <w:szCs w:val="12"/>
          <w:color w:val="auto"/>
        </w:rPr>
        <w:t xml:space="preserve">In November 2023, the Financial Accounting Standards Board ( </w:t>
      </w:r>
      <w:r>
        <w:rPr>
          <w:rFonts w:ascii="Arial" w:cs="Arial" w:eastAsia="Arial" w:hAnsi="Arial"/>
          <w:sz w:val="12"/>
          <w:szCs w:val="12"/>
          <w:color w:val="auto"/>
          <w:highlight w:val="white"/>
        </w:rPr>
        <w:t>FASB)</w:t>
      </w:r>
      <w:r>
        <w:rPr>
          <w:rFonts w:ascii="Arial" w:cs="Arial" w:eastAsia="Arial" w:hAnsi="Arial"/>
          <w:sz w:val="12"/>
          <w:szCs w:val="12"/>
          <w:color w:val="auto"/>
        </w:rPr>
        <w:t xml:space="preserve"> issued ASU 2023-07, </w:t>
      </w:r>
      <w:r>
        <w:rPr>
          <w:rFonts w:ascii="Arial" w:cs="Arial" w:eastAsia="Arial" w:hAnsi="Arial"/>
          <w:sz w:val="12"/>
          <w:szCs w:val="12"/>
          <w:i w:val="1"/>
          <w:iCs w:val="1"/>
          <w:color w:val="auto"/>
        </w:rPr>
        <w:t xml:space="preserve">Segment Reporting (Topic 280): Improvements to Reportable Segment Disclosures </w:t>
      </w:r>
      <w:r>
        <w:rPr>
          <w:rFonts w:ascii="Arial" w:cs="Arial" w:eastAsia="Arial" w:hAnsi="Arial"/>
          <w:sz w:val="12"/>
          <w:szCs w:val="12"/>
          <w:color w:val="auto"/>
        </w:rPr>
        <w:t>(“ASU 2023-07”),</w:t>
      </w:r>
      <w:r>
        <w:rPr>
          <w:rFonts w:ascii="Arial" w:cs="Arial" w:eastAsia="Arial" w:hAnsi="Arial"/>
          <w:sz w:val="12"/>
          <w:szCs w:val="12"/>
          <w:i w:val="1"/>
          <w:iCs w:val="1"/>
          <w:color w:val="auto"/>
        </w:rPr>
        <w:t xml:space="preserve"> </w:t>
      </w:r>
      <w:r>
        <w:rPr>
          <w:rFonts w:ascii="Arial" w:cs="Arial" w:eastAsia="Arial" w:hAnsi="Arial"/>
          <w:sz w:val="12"/>
          <w:szCs w:val="12"/>
          <w:color w:val="auto"/>
        </w:rPr>
        <w:t>which amends disclosure requirements relating to segment reporting, primarily through enhanced disclosure about significant segment expenses and by requiring disclosure of segment information on an annual and interim basis. The Company adopted ASU 2023-07 as of February 1, 2024 with no material</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ind w:left="1520" w:right="1980"/>
        <w:spacing w:after="0" w:line="312" w:lineRule="auto"/>
        <w:rPr>
          <w:sz w:val="20"/>
          <w:szCs w:val="20"/>
          <w:color w:val="auto"/>
        </w:rPr>
      </w:pPr>
      <w:r>
        <w:rPr>
          <w:rFonts w:ascii="Arial" w:cs="Arial" w:eastAsia="Arial" w:hAnsi="Arial"/>
          <w:sz w:val="12"/>
          <w:szCs w:val="12"/>
          <w:color w:val="auto"/>
        </w:rPr>
        <w:t>impact on its consolidated financial statements. For further information, refer to Segment Information within Note 1 — Description of Business and Significant Accounting Policies.</w:t>
      </w:r>
    </w:p>
    <w:p>
      <w:pPr>
        <w:spacing w:after="0" w:line="62" w:lineRule="exact"/>
        <w:rPr>
          <w:sz w:val="20"/>
          <w:szCs w:val="20"/>
          <w:color w:val="auto"/>
        </w:rPr>
      </w:pPr>
    </w:p>
    <w:p>
      <w:pPr>
        <w:ind w:left="1520" w:right="1660" w:firstLine="230"/>
        <w:spacing w:after="0" w:line="276" w:lineRule="auto"/>
        <w:rPr>
          <w:sz w:val="20"/>
          <w:szCs w:val="20"/>
          <w:color w:val="auto"/>
        </w:rPr>
      </w:pPr>
      <w:r>
        <w:rPr>
          <w:rFonts w:ascii="Arial" w:cs="Arial" w:eastAsia="Arial" w:hAnsi="Arial"/>
          <w:sz w:val="12"/>
          <w:szCs w:val="12"/>
          <w:color w:val="auto"/>
        </w:rPr>
        <w:t xml:space="preserve">In August 2020, the FASB issued ASU No. 2020-06, </w:t>
      </w:r>
      <w:r>
        <w:rPr>
          <w:rFonts w:ascii="Arial" w:cs="Arial" w:eastAsia="Arial" w:hAnsi="Arial"/>
          <w:sz w:val="12"/>
          <w:szCs w:val="12"/>
          <w:i w:val="1"/>
          <w:iCs w:val="1"/>
          <w:color w:val="auto"/>
        </w:rPr>
        <w:t>Debt—Debt with Conversion and Other Options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(Subtopic 470-20) and Derivatives and Hedging </w:t>
      </w:r>
      <w:r>
        <w:rPr>
          <w:rFonts w:ascii="Arial" w:cs="Arial" w:eastAsia="Arial" w:hAnsi="Arial"/>
          <w:sz w:val="12"/>
          <w:szCs w:val="12"/>
          <w:i w:val="1"/>
          <w:iCs w:val="1"/>
          <w:color w:val="auto"/>
          <w:highlight w:val="white"/>
        </w:rPr>
        <w:t>—</w:t>
      </w:r>
      <w:r>
        <w:rPr>
          <w:rFonts w:ascii="Arial" w:cs="Arial" w:eastAsia="Arial" w:hAnsi="Arial"/>
          <w:sz w:val="12"/>
          <w:szCs w:val="12"/>
          <w:i w:val="1"/>
          <w:iCs w:val="1"/>
          <w:color w:val="auto"/>
        </w:rPr>
        <w:t>Contracts in Entity’s Own Equity (Subtopic 815-40)</w:t>
      </w:r>
    </w:p>
    <w:p>
      <w:pPr>
        <w:ind w:left="1520" w:right="1780"/>
        <w:spacing w:after="0" w:line="271" w:lineRule="auto"/>
        <w:rPr>
          <w:sz w:val="20"/>
          <w:szCs w:val="20"/>
          <w:color w:val="auto"/>
        </w:rPr>
      </w:pPr>
      <w:r>
        <w:rPr>
          <w:rFonts w:ascii="Arial" w:cs="Arial" w:eastAsia="Arial" w:hAnsi="Arial"/>
          <w:sz w:val="12"/>
          <w:szCs w:val="12"/>
          <w:color w:val="auto"/>
        </w:rPr>
        <w:t>(“ASU 2020-06”). ASU 2020-06 is intended to simplify the accounting for convertible instruments by removing certain separation models and to simplify the accounting for contracts in an entity’s own equity by eliminating the settlement criteria to qualify for a scope exception from derivative accounting. ASU 2020-06 also clarifies the diluted earnings per share calculation when convertible instruments and contracts in an entity’s own equity are involved. The Company adopted ASU 2020-06 as of February 1, 2024 with no material impact to its consolidated financial statements.</w:t>
      </w:r>
    </w:p>
    <w:p>
      <w:pPr>
        <w:spacing w:after="0" w:line="89"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Recently Issued Accounting Pronouncements Not Yet Adopted</w:t>
      </w:r>
    </w:p>
    <w:p>
      <w:pPr>
        <w:spacing w:after="0" w:line="128" w:lineRule="exact"/>
        <w:rPr>
          <w:sz w:val="20"/>
          <w:szCs w:val="20"/>
          <w:color w:val="auto"/>
        </w:rPr>
      </w:pPr>
    </w:p>
    <w:p>
      <w:pPr>
        <w:ind w:left="1520" w:right="1680" w:firstLine="230"/>
        <w:spacing w:after="0" w:line="272" w:lineRule="auto"/>
        <w:rPr>
          <w:sz w:val="20"/>
          <w:szCs w:val="20"/>
          <w:color w:val="auto"/>
        </w:rPr>
      </w:pPr>
      <w:r>
        <w:rPr>
          <w:rFonts w:ascii="Arial" w:cs="Arial" w:eastAsia="Arial" w:hAnsi="Arial"/>
          <w:sz w:val="12"/>
          <w:szCs w:val="12"/>
          <w:color w:val="auto"/>
          <w:highlight w:val="white"/>
        </w:rPr>
        <w:t xml:space="preserve">In December 2023, the FASB issued ASU 2023-09, </w:t>
      </w:r>
      <w:r>
        <w:rPr>
          <w:rFonts w:ascii="Arial" w:cs="Arial" w:eastAsia="Arial" w:hAnsi="Arial"/>
          <w:sz w:val="12"/>
          <w:szCs w:val="12"/>
          <w:i w:val="1"/>
          <w:iCs w:val="1"/>
          <w:color w:val="auto"/>
          <w:highlight w:val="white"/>
        </w:rPr>
        <w:t>Income Taxes (Topic 740): Improvements to</w:t>
      </w:r>
      <w:r>
        <w:rPr>
          <w:rFonts w:ascii="Arial" w:cs="Arial" w:eastAsia="Arial" w:hAnsi="Arial"/>
          <w:sz w:val="12"/>
          <w:szCs w:val="12"/>
          <w:color w:val="auto"/>
          <w:highlight w:val="white"/>
        </w:rPr>
        <w:t xml:space="preserve"> </w:t>
      </w:r>
      <w:r>
        <w:rPr>
          <w:rFonts w:ascii="Arial" w:cs="Arial" w:eastAsia="Arial" w:hAnsi="Arial"/>
          <w:sz w:val="12"/>
          <w:szCs w:val="12"/>
          <w:i w:val="1"/>
          <w:iCs w:val="1"/>
          <w:color w:val="auto"/>
          <w:highlight w:val="white"/>
        </w:rPr>
        <w:t xml:space="preserve">Income Tax Disclosures </w:t>
      </w:r>
      <w:r>
        <w:rPr>
          <w:rFonts w:ascii="Arial" w:cs="Arial" w:eastAsia="Arial" w:hAnsi="Arial"/>
          <w:sz w:val="12"/>
          <w:szCs w:val="12"/>
          <w:color w:val="auto"/>
          <w:highlight w:val="white"/>
        </w:rPr>
        <w:t>, which requires entities to annually (1) disclose specific categories in the rate</w:t>
      </w:r>
      <w:r>
        <w:rPr>
          <w:rFonts w:ascii="Arial" w:cs="Arial" w:eastAsia="Arial" w:hAnsi="Arial"/>
          <w:sz w:val="12"/>
          <w:szCs w:val="12"/>
          <w:i w:val="1"/>
          <w:iCs w:val="1"/>
          <w:color w:val="auto"/>
          <w:highlight w:val="white"/>
        </w:rPr>
        <w:t xml:space="preserve"> </w:t>
      </w:r>
      <w:r>
        <w:rPr>
          <w:rFonts w:ascii="Arial" w:cs="Arial" w:eastAsia="Arial" w:hAnsi="Arial"/>
          <w:sz w:val="12"/>
          <w:szCs w:val="12"/>
          <w:color w:val="auto"/>
          <w:highlight w:val="white"/>
        </w:rPr>
        <w:t xml:space="preserve">reconciliation and (2) provide additional information for reconciling items that meet a quantitative threshold (if the effect of those reconciling items is equal to or greater than 5 percent of the amount computed by multiplying pretax </w:t>
      </w:r>
      <w:r>
        <w:rPr>
          <w:rFonts w:ascii="Arial" w:cs="Arial" w:eastAsia="Arial" w:hAnsi="Arial"/>
          <w:sz w:val="12"/>
          <w:szCs w:val="12"/>
          <w:color w:val="auto"/>
        </w:rPr>
        <w:t>income (loss) by the applicable statutory income tax rate). This standard</w:t>
      </w:r>
      <w:r>
        <w:rPr>
          <w:rFonts w:ascii="Arial" w:cs="Arial" w:eastAsia="Arial" w:hAnsi="Arial"/>
          <w:sz w:val="12"/>
          <w:szCs w:val="12"/>
          <w:color w:val="auto"/>
          <w:highlight w:val="white"/>
        </w:rPr>
        <w:t xml:space="preserve"> </w:t>
      </w:r>
      <w:r>
        <w:rPr>
          <w:rFonts w:ascii="Arial" w:cs="Arial" w:eastAsia="Arial" w:hAnsi="Arial"/>
          <w:sz w:val="12"/>
          <w:szCs w:val="12"/>
          <w:color w:val="auto"/>
        </w:rPr>
        <w:t xml:space="preserve">is effective for public business entities for annual periods beginning after December 15, 2024. For all other entities, the standard is effective for annual periods beginning after December 15, 2025. Early adoption is permitted </w:t>
      </w:r>
      <w:r>
        <w:rPr>
          <w:rFonts w:ascii="Arial" w:cs="Arial" w:eastAsia="Arial" w:hAnsi="Arial"/>
          <w:sz w:val="12"/>
          <w:szCs w:val="12"/>
          <w:color w:val="auto"/>
          <w:highlight w:val="white"/>
        </w:rPr>
        <w:t>. The Company is currently evaluating the impact of this standard on its consolidated</w:t>
      </w:r>
      <w:r>
        <w:rPr>
          <w:rFonts w:ascii="Arial" w:cs="Arial" w:eastAsia="Arial" w:hAnsi="Arial"/>
          <w:sz w:val="12"/>
          <w:szCs w:val="12"/>
          <w:color w:val="auto"/>
        </w:rPr>
        <w:t xml:space="preserve"> </w:t>
      </w:r>
      <w:r>
        <w:rPr>
          <w:rFonts w:ascii="Arial" w:cs="Arial" w:eastAsia="Arial" w:hAnsi="Arial"/>
          <w:sz w:val="12"/>
          <w:szCs w:val="12"/>
          <w:color w:val="auto"/>
          <w:highlight w:val="white"/>
        </w:rPr>
        <w:t>financial statement disclosures.</w:t>
      </w:r>
    </w:p>
    <w:p>
      <w:pPr>
        <w:spacing w:after="0" w:line="242" w:lineRule="exact"/>
        <w:rPr>
          <w:sz w:val="20"/>
          <w:szCs w:val="20"/>
          <w:color w:val="auto"/>
        </w:rPr>
      </w:pPr>
    </w:p>
    <w:p>
      <w:pPr>
        <w:ind w:left="1520" w:right="1760" w:firstLine="230"/>
        <w:spacing w:after="0" w:line="273" w:lineRule="auto"/>
        <w:rPr>
          <w:sz w:val="20"/>
          <w:szCs w:val="20"/>
          <w:color w:val="auto"/>
        </w:rPr>
      </w:pPr>
      <w:r>
        <w:rPr>
          <w:rFonts w:ascii="Arial" w:cs="Arial" w:eastAsia="Arial" w:hAnsi="Arial"/>
          <w:sz w:val="12"/>
          <w:szCs w:val="12"/>
          <w:color w:val="auto"/>
          <w:highlight w:val="white"/>
        </w:rPr>
        <w:t xml:space="preserve">In November 2024, the FASB issued ASU 2024-03, </w:t>
      </w:r>
      <w:r>
        <w:rPr>
          <w:rFonts w:ascii="Arial" w:cs="Arial" w:eastAsia="Arial" w:hAnsi="Arial"/>
          <w:sz w:val="12"/>
          <w:szCs w:val="12"/>
          <w:i w:val="1"/>
          <w:iCs w:val="1"/>
          <w:color w:val="auto"/>
          <w:highlight w:val="white"/>
        </w:rPr>
        <w:t>Income Statement—Reporting Comprehensive</w:t>
      </w:r>
      <w:r>
        <w:rPr>
          <w:rFonts w:ascii="Arial" w:cs="Arial" w:eastAsia="Arial" w:hAnsi="Arial"/>
          <w:sz w:val="12"/>
          <w:szCs w:val="12"/>
          <w:color w:val="auto"/>
          <w:highlight w:val="white"/>
        </w:rPr>
        <w:t xml:space="preserve"> </w:t>
      </w:r>
      <w:r>
        <w:rPr>
          <w:rFonts w:ascii="Arial" w:cs="Arial" w:eastAsia="Arial" w:hAnsi="Arial"/>
          <w:sz w:val="12"/>
          <w:szCs w:val="12"/>
          <w:i w:val="1"/>
          <w:iCs w:val="1"/>
          <w:color w:val="auto"/>
          <w:highlight w:val="white"/>
        </w:rPr>
        <w:t>Income—Expense Disaggregation Disclosures (Subtopic 220-40): Disaggregation of Income Statement Expenses</w:t>
      </w:r>
      <w:r>
        <w:rPr>
          <w:rFonts w:ascii="Arial" w:cs="Arial" w:eastAsia="Arial" w:hAnsi="Arial"/>
          <w:sz w:val="12"/>
          <w:szCs w:val="12"/>
          <w:color w:val="auto"/>
          <w:highlight w:val="white"/>
        </w:rPr>
        <w:t>. The new guidance requires disaggregated information about certain income statement</w:t>
      </w:r>
      <w:r>
        <w:rPr>
          <w:rFonts w:ascii="Arial" w:cs="Arial" w:eastAsia="Arial" w:hAnsi="Arial"/>
          <w:sz w:val="12"/>
          <w:szCs w:val="12"/>
          <w:i w:val="1"/>
          <w:iCs w:val="1"/>
          <w:color w:val="auto"/>
          <w:highlight w:val="white"/>
        </w:rPr>
        <w:t xml:space="preserve"> </w:t>
      </w:r>
      <w:r>
        <w:rPr>
          <w:rFonts w:ascii="Arial" w:cs="Arial" w:eastAsia="Arial" w:hAnsi="Arial"/>
          <w:sz w:val="12"/>
          <w:szCs w:val="12"/>
          <w:color w:val="auto"/>
          <w:highlight w:val="white"/>
        </w:rPr>
        <w:t>expense line items on an annual and interim basis. The standard is effective for public business entities for annual periods beginning after December 15, 2026 and interim reporting periods beginning after December 15, 2027. Early adoption is permitted. The Company is currently evaluating the impact of this standard on its consolidated financial statement disclosures.</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2 – REVENUE</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Disaggregation of Revenue</w:t>
      </w:r>
    </w:p>
    <w:p>
      <w:pPr>
        <w:spacing w:after="0" w:line="12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Revenue consists of the following (in thousands):</w:t>
      </w:r>
    </w:p>
    <w:p>
      <w:pPr>
        <w:spacing w:after="0" w:line="147"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4"/>
          </w:tcPr>
          <w:p>
            <w:pPr>
              <w:ind w:left="6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restart"/>
          </w:tcPr>
          <w:p>
            <w:pPr>
              <w:jc w:val="right"/>
              <w:ind w:right="24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5"/>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Usage-basedrevenue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299,698</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232,448</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jc w:val="right"/>
              <w:ind w:right="38"/>
              <w:spacing w:after="0"/>
              <w:rPr>
                <w:sz w:val="20"/>
                <w:szCs w:val="20"/>
                <w:color w:val="auto"/>
              </w:rPr>
            </w:pPr>
            <w:r>
              <w:rPr>
                <w:rFonts w:ascii="Arial" w:cs="Arial" w:eastAsia="Arial" w:hAnsi="Arial"/>
                <w:sz w:val="12"/>
                <w:szCs w:val="12"/>
                <w:color w:val="auto"/>
              </w:rPr>
              <w:t xml:space="preserve">Subscription revenue </w:t>
            </w:r>
            <w:r>
              <w:rPr>
                <w:rFonts w:ascii="Times New Roman" w:cs="Times New Roman" w:eastAsia="Times New Roman" w:hAnsi="Times New Roman"/>
                <w:sz w:val="12"/>
                <w:szCs w:val="12"/>
                <w:color w:val="B4B4B4"/>
              </w:rPr>
              <w:t>..............................................................................................</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29,715</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21,279</w:t>
            </w:r>
          </w:p>
        </w:tc>
        <w:tc>
          <w:tcPr>
            <w:tcW w:w="0" w:type="dxa"/>
            <w:vAlign w:val="bottom"/>
          </w:tcPr>
          <w:p>
            <w:pPr>
              <w:spacing w:after="0"/>
              <w:rPr>
                <w:sz w:val="1"/>
                <w:szCs w:val="1"/>
                <w:color w:val="auto"/>
              </w:rPr>
            </w:pPr>
          </w:p>
        </w:tc>
      </w:tr>
      <w:tr>
        <w:trPr>
          <w:trHeight w:val="170"/>
        </w:trPr>
        <w:tc>
          <w:tcPr>
            <w:tcW w:w="426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329,413</w:t>
            </w:r>
          </w:p>
        </w:tc>
        <w:tc>
          <w:tcPr>
            <w:tcW w:w="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253,727</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520" w:right="1820" w:firstLine="230"/>
        <w:spacing w:after="0" w:line="275" w:lineRule="auto"/>
        <w:rPr>
          <w:sz w:val="20"/>
          <w:szCs w:val="20"/>
          <w:color w:val="auto"/>
        </w:rPr>
      </w:pPr>
      <w:r>
        <w:rPr>
          <w:rFonts w:ascii="Arial" w:cs="Arial" w:eastAsia="Arial" w:hAnsi="Arial"/>
          <w:sz w:val="12"/>
          <w:szCs w:val="12"/>
          <w:color w:val="auto"/>
        </w:rPr>
        <w:t>Usage-based revenue primarily represents fees from our platform customers earned on a per-booking transaction basis and fees from our travel supply and payment partners, which are generally earned on a per-transaction basis. Under our arrangements with certain travel supply partners, we earn additional fees when cumulative actual booking or transaction dollar volume exceeds specified contractual thresholds. Subscription revenue primarily represents revenue earned from subscriptions to our expense management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ind w:left="1520" w:right="2040" w:firstLine="230"/>
        <w:spacing w:after="0" w:line="312" w:lineRule="auto"/>
        <w:rPr>
          <w:sz w:val="20"/>
          <w:szCs w:val="20"/>
          <w:color w:val="auto"/>
        </w:rPr>
      </w:pPr>
      <w:r>
        <w:rPr>
          <w:rFonts w:ascii="Arial" w:cs="Arial" w:eastAsia="Arial" w:hAnsi="Arial"/>
          <w:sz w:val="12"/>
          <w:szCs w:val="12"/>
          <w:color w:val="auto"/>
        </w:rPr>
        <w:t>The following table summarizes revenue by region based on the billing country of customers (in thousands, except percentages):</w:t>
      </w:r>
    </w:p>
    <w:p>
      <w:pPr>
        <w:spacing w:after="0" w:line="51" w:lineRule="exact"/>
        <w:rPr>
          <w:sz w:val="20"/>
          <w:szCs w:val="20"/>
          <w:color w:val="auto"/>
        </w:rPr>
      </w:pPr>
    </w:p>
    <w:p>
      <w:pPr>
        <w:ind w:left="5120"/>
        <w:spacing w:after="0"/>
        <w:rPr>
          <w:sz w:val="20"/>
          <w:szCs w:val="20"/>
          <w:color w:val="auto"/>
        </w:rPr>
      </w:pPr>
      <w:r>
        <w:rPr>
          <w:rFonts w:ascii="Arial" w:cs="Arial" w:eastAsia="Arial" w:hAnsi="Arial"/>
          <w:sz w:val="11"/>
          <w:szCs w:val="11"/>
          <w:b w:val="1"/>
          <w:bCs w:val="1"/>
          <w:color w:val="auto"/>
        </w:rPr>
        <w:t>Six Months Ended July 31</w:t>
      </w:r>
    </w:p>
    <w:p>
      <w:pPr>
        <w:ind w:left="5120"/>
        <w:spacing w:after="0"/>
        <w:rPr>
          <w:sz w:val="20"/>
          <w:szCs w:val="20"/>
          <w:color w:val="auto"/>
        </w:rPr>
      </w:pPr>
      <w:r>
        <w:rPr>
          <w:rFonts w:ascii="Arial" w:cs="Arial" w:eastAsia="Arial" w:hAnsi="Arial"/>
          <w:sz w:val="11"/>
          <w:szCs w:val="11"/>
          <w:b w:val="1"/>
          <w:bCs w:val="1"/>
          <w:color w:val="auto"/>
        </w:rPr>
        <w:t>,</w:t>
      </w:r>
    </w:p>
    <w:p>
      <w:pPr>
        <w:sectPr>
          <w:pgSz w:w="11900" w:h="16840" w:orient="portrait"/>
          <w:cols w:equalWidth="0" w:num="1">
            <w:col w:w="9020"/>
          </w:cols>
          <w:pgMar w:left="1440" w:top="560" w:right="1440" w:bottom="120" w:gutter="0" w:footer="0" w:header="0"/>
        </w:sectPr>
      </w:pPr>
    </w:p>
    <w:p>
      <w:pPr>
        <w:ind w:left="4780"/>
        <w:spacing w:after="0" w:line="237" w:lineRule="auto"/>
        <w:rPr>
          <w:sz w:val="20"/>
          <w:szCs w:val="20"/>
          <w:color w:val="auto"/>
        </w:rPr>
      </w:pPr>
      <w:r>
        <w:rPr>
          <w:rFonts w:ascii="Arial" w:cs="Arial" w:eastAsia="Arial" w:hAnsi="Arial"/>
          <w:sz w:val="9"/>
          <w:szCs w:val="9"/>
          <w:b w:val="1"/>
          <w:bCs w:val="1"/>
          <w:color w:val="auto"/>
        </w:rPr>
        <w:t>2025</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9"/>
          <w:szCs w:val="9"/>
          <w:b w:val="1"/>
          <w:bCs w:val="1"/>
          <w:color w:val="auto"/>
        </w:rPr>
        <w:t>2024</w:t>
      </w:r>
    </w:p>
    <w:p>
      <w:pPr>
        <w:spacing w:after="0" w:line="10" w:lineRule="exact"/>
        <w:rPr>
          <w:sz w:val="20"/>
          <w:szCs w:val="20"/>
          <w:color w:val="auto"/>
        </w:rPr>
      </w:pPr>
    </w:p>
    <w:p>
      <w:pPr>
        <w:sectPr>
          <w:pgSz w:w="11900" w:h="16840" w:orient="portrait"/>
          <w:cols w:equalWidth="0" w:num="2">
            <w:col w:w="5800" w:space="720"/>
            <w:col w:w="2500"/>
          </w:cols>
          <w:pgMar w:left="1440" w:top="560" w:right="1440" w:bottom="120" w:gutter="0" w:footer="0" w:header="0"/>
          <w:type w:val="continuous"/>
        </w:sectPr>
      </w:pPr>
    </w:p>
    <w:p>
      <w:pPr>
        <w:ind w:left="5000"/>
        <w:spacing w:after="0"/>
        <w:rPr>
          <w:sz w:val="20"/>
          <w:szCs w:val="20"/>
          <w:color w:val="auto"/>
        </w:rPr>
      </w:pPr>
      <w:r>
        <w:rPr>
          <w:rFonts w:ascii="Arial" w:cs="Arial" w:eastAsia="Arial" w:hAnsi="Arial"/>
          <w:sz w:val="9"/>
          <w:szCs w:val="9"/>
          <w:b w:val="1"/>
          <w:bCs w:val="1"/>
          <w:color w:val="auto"/>
        </w:rPr>
        <w:t>Percentage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b w:val="1"/>
          <w:bCs w:val="1"/>
          <w:color w:val="auto"/>
        </w:rPr>
        <w:t>Percentage of</w:t>
      </w:r>
    </w:p>
    <w:p>
      <w:pPr>
        <w:sectPr>
          <w:pgSz w:w="11900" w:h="16840" w:orient="portrait"/>
          <w:cols w:equalWidth="0" w:num="2">
            <w:col w:w="6020" w:space="720"/>
            <w:col w:w="2280"/>
          </w:cols>
          <w:pgMar w:left="1440" w:top="560" w:right="1440" w:bottom="120" w:gutter="0" w:footer="0" w:header="0"/>
          <w:type w:val="continuous"/>
        </w:sectPr>
      </w:pPr>
    </w:p>
    <w:bookmarkStart w:id="196" w:name="page197"/>
    <w:bookmarkEnd w:id="196"/>
    <w:tbl>
      <w:tblPr>
        <w:tblLayout w:type="fixed"/>
        <w:tblInd w:w="1520" w:type="dxa"/>
        <w:tblCellMar>
          <w:top w:w="0" w:type="dxa"/>
          <w:left w:w="0" w:type="dxa"/>
          <w:bottom w:w="0" w:type="dxa"/>
          <w:right w:w="0" w:type="dxa"/>
        </w:tblCellMar>
      </w:tblPr>
      <w:tr>
        <w:trPr>
          <w:trHeight w:val="126"/>
        </w:trPr>
        <w:tc>
          <w:tcPr>
            <w:tcW w:w="2520" w:type="dxa"/>
            <w:vAlign w:val="bottom"/>
            <w:vMerge w:val="restart"/>
          </w:tcPr>
          <w:p>
            <w:pPr>
              <w:ind w:left="40"/>
              <w:spacing w:after="0"/>
              <w:rPr>
                <w:sz w:val="20"/>
                <w:szCs w:val="20"/>
                <w:color w:val="auto"/>
              </w:rPr>
            </w:pPr>
            <w:r>
              <w:rPr>
                <w:rFonts w:ascii="Arial" w:cs="Arial" w:eastAsia="Arial" w:hAnsi="Arial"/>
                <w:sz w:val="12"/>
                <w:szCs w:val="12"/>
                <w:color w:val="auto"/>
              </w:rPr>
              <w:t xml:space="preserve">United States </w:t>
            </w:r>
            <w:r>
              <w:rPr>
                <w:rFonts w:ascii="Times New Roman" w:cs="Times New Roman" w:eastAsia="Times New Roman" w:hAnsi="Times New Roman"/>
                <w:sz w:val="12"/>
                <w:szCs w:val="12"/>
                <w:color w:val="B4B4B4"/>
              </w:rPr>
              <w:t>.....................................................</w:t>
            </w:r>
          </w:p>
        </w:tc>
        <w:tc>
          <w:tcPr>
            <w:tcW w:w="1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67"/>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Revenue</w:t>
            </w:r>
          </w:p>
        </w:tc>
        <w:tc>
          <w:tcPr>
            <w:tcW w:w="1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8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67"/>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Revenue</w:t>
            </w:r>
          </w:p>
        </w:tc>
        <w:tc>
          <w:tcPr>
            <w:tcW w:w="1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67"/>
        </w:trPr>
        <w:tc>
          <w:tcPr>
            <w:tcW w:w="2520" w:type="dxa"/>
            <w:vAlign w:val="bottom"/>
            <w:vMerge w:val="continue"/>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680" w:type="dxa"/>
            <w:vAlign w:val="bottom"/>
            <w:tcBorders>
              <w:bottom w:val="single" w:sz="8" w:color="auto"/>
            </w:tcBorders>
          </w:tcPr>
          <w:p>
            <w:pPr>
              <w:jc w:val="right"/>
              <w:ind w:right="7"/>
              <w:spacing w:after="0" w:line="47" w:lineRule="exact"/>
              <w:rPr>
                <w:sz w:val="20"/>
                <w:szCs w:val="20"/>
                <w:color w:val="auto"/>
              </w:rPr>
            </w:pPr>
            <w:r>
              <w:rPr>
                <w:rFonts w:ascii="Arial" w:cs="Arial" w:eastAsia="Arial" w:hAnsi="Arial"/>
                <w:sz w:val="5"/>
                <w:szCs w:val="5"/>
                <w:color w:val="auto"/>
              </w:rPr>
              <w:t>201,318</w:t>
            </w:r>
          </w:p>
        </w:tc>
        <w:tc>
          <w:tcPr>
            <w:tcW w:w="720" w:type="dxa"/>
            <w:vAlign w:val="bottom"/>
            <w:tcBorders>
              <w:bottom w:val="single" w:sz="8" w:color="auto"/>
            </w:tcBorders>
            <w:gridSpan w:val="2"/>
          </w:tcPr>
          <w:p>
            <w:pPr>
              <w:jc w:val="right"/>
              <w:spacing w:after="0" w:line="47" w:lineRule="exact"/>
              <w:rPr>
                <w:sz w:val="20"/>
                <w:szCs w:val="20"/>
                <w:color w:val="auto"/>
              </w:rPr>
            </w:pPr>
            <w:r>
              <w:rPr>
                <w:rFonts w:ascii="Arial" w:cs="Arial" w:eastAsia="Arial" w:hAnsi="Arial"/>
                <w:sz w:val="5"/>
                <w:szCs w:val="5"/>
                <w:color w:val="auto"/>
              </w:rPr>
              <w:t>61</w:t>
            </w:r>
          </w:p>
        </w:tc>
        <w:tc>
          <w:tcPr>
            <w:tcW w:w="160" w:type="dxa"/>
            <w:vAlign w:val="bottom"/>
            <w:tcBorders>
              <w:bottom w:val="single" w:sz="8" w:color="auto"/>
            </w:tcBorders>
            <w:vMerge w:val="continue"/>
          </w:tcPr>
          <w:p>
            <w:pPr>
              <w:spacing w:after="0"/>
              <w:rPr>
                <w:sz w:val="5"/>
                <w:szCs w:val="5"/>
                <w:color w:val="auto"/>
              </w:rPr>
            </w:pPr>
          </w:p>
        </w:tc>
        <w:tc>
          <w:tcPr>
            <w:tcW w:w="180" w:type="dxa"/>
            <w:vAlign w:val="bottom"/>
            <w:tcBorders>
              <w:bottom w:val="single" w:sz="8" w:color="auto"/>
            </w:tcBorders>
            <w:gridSpan w:val="2"/>
            <w:vMerge w:val="continue"/>
          </w:tcPr>
          <w:p>
            <w:pPr>
              <w:spacing w:after="0"/>
              <w:rPr>
                <w:sz w:val="5"/>
                <w:szCs w:val="5"/>
                <w:color w:val="auto"/>
              </w:rPr>
            </w:pPr>
          </w:p>
        </w:tc>
        <w:tc>
          <w:tcPr>
            <w:tcW w:w="680" w:type="dxa"/>
            <w:vAlign w:val="bottom"/>
            <w:tcBorders>
              <w:bottom w:val="single" w:sz="8" w:color="auto"/>
            </w:tcBorders>
          </w:tcPr>
          <w:p>
            <w:pPr>
              <w:jc w:val="right"/>
              <w:ind w:right="7"/>
              <w:spacing w:after="0" w:line="47" w:lineRule="exact"/>
              <w:rPr>
                <w:sz w:val="20"/>
                <w:szCs w:val="20"/>
                <w:color w:val="auto"/>
              </w:rPr>
            </w:pPr>
            <w:r>
              <w:rPr>
                <w:rFonts w:ascii="Arial" w:cs="Arial" w:eastAsia="Arial" w:hAnsi="Arial"/>
                <w:sz w:val="5"/>
                <w:szCs w:val="5"/>
                <w:color w:val="auto"/>
              </w:rPr>
              <w:t>147,676</w:t>
            </w:r>
          </w:p>
        </w:tc>
        <w:tc>
          <w:tcPr>
            <w:tcW w:w="720" w:type="dxa"/>
            <w:vAlign w:val="bottom"/>
            <w:tcBorders>
              <w:bottom w:val="single" w:sz="8" w:color="auto"/>
            </w:tcBorders>
            <w:gridSpan w:val="2"/>
          </w:tcPr>
          <w:p>
            <w:pPr>
              <w:jc w:val="right"/>
              <w:spacing w:after="0" w:line="47" w:lineRule="exact"/>
              <w:rPr>
                <w:sz w:val="20"/>
                <w:szCs w:val="20"/>
                <w:color w:val="auto"/>
              </w:rPr>
            </w:pPr>
            <w:r>
              <w:rPr>
                <w:rFonts w:ascii="Arial" w:cs="Arial" w:eastAsia="Arial" w:hAnsi="Arial"/>
                <w:sz w:val="5"/>
                <w:szCs w:val="5"/>
                <w:color w:val="auto"/>
              </w:rPr>
              <w:t>59</w:t>
            </w:r>
          </w:p>
        </w:tc>
        <w:tc>
          <w:tcPr>
            <w:tcW w:w="1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United Kingdom </w:t>
            </w:r>
            <w:r>
              <w:rPr>
                <w:rFonts w:ascii="Times New Roman" w:cs="Times New Roman" w:eastAsia="Times New Roman" w:hAnsi="Times New Roman"/>
                <w:sz w:val="12"/>
                <w:szCs w:val="12"/>
                <w:color w:val="B4B4B4"/>
              </w:rPr>
              <w:t>................................................</w:t>
            </w:r>
          </w:p>
        </w:tc>
        <w:tc>
          <w:tcPr>
            <w:tcW w:w="160" w:type="dxa"/>
            <w:vAlign w:val="bottom"/>
          </w:tcPr>
          <w:p>
            <w:pPr>
              <w:spacing w:after="0"/>
              <w:rPr>
                <w:sz w:val="17"/>
                <w:szCs w:val="17"/>
                <w:color w:val="auto"/>
              </w:rPr>
            </w:pPr>
          </w:p>
        </w:tc>
        <w:tc>
          <w:tcPr>
            <w:tcW w:w="680" w:type="dxa"/>
            <w:vAlign w:val="bottom"/>
          </w:tcPr>
          <w:p>
            <w:pPr>
              <w:jc w:val="right"/>
              <w:ind w:right="7"/>
              <w:spacing w:after="0"/>
              <w:rPr>
                <w:sz w:val="20"/>
                <w:szCs w:val="20"/>
                <w:color w:val="auto"/>
              </w:rPr>
            </w:pPr>
            <w:r>
              <w:rPr>
                <w:rFonts w:ascii="Arial" w:cs="Arial" w:eastAsia="Arial" w:hAnsi="Arial"/>
                <w:sz w:val="12"/>
                <w:szCs w:val="12"/>
                <w:color w:val="auto"/>
              </w:rPr>
              <w:t>71,549</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22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7"/>
              <w:spacing w:after="0"/>
              <w:rPr>
                <w:sz w:val="20"/>
                <w:szCs w:val="20"/>
                <w:color w:val="auto"/>
              </w:rPr>
            </w:pPr>
            <w:r>
              <w:rPr>
                <w:rFonts w:ascii="Arial" w:cs="Arial" w:eastAsia="Arial" w:hAnsi="Arial"/>
                <w:sz w:val="12"/>
                <w:szCs w:val="12"/>
                <w:color w:val="auto"/>
              </w:rPr>
              <w:t>64,518</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25</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9"/>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Rest of World </w:t>
            </w:r>
            <w:r>
              <w:rPr>
                <w:rFonts w:ascii="Arial" w:cs="Arial" w:eastAsia="Arial" w:hAnsi="Arial"/>
                <w:sz w:val="17"/>
                <w:szCs w:val="17"/>
                <w:color w:val="auto"/>
                <w:vertAlign w:val="superscript"/>
              </w:rPr>
              <w:t>(1)</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160" w:type="dxa"/>
            <w:vAlign w:val="bottom"/>
          </w:tcPr>
          <w:p>
            <w:pPr>
              <w:spacing w:after="0"/>
              <w:rPr>
                <w:sz w:val="17"/>
                <w:szCs w:val="17"/>
                <w:color w:val="auto"/>
              </w:rPr>
            </w:pPr>
          </w:p>
        </w:tc>
        <w:tc>
          <w:tcPr>
            <w:tcW w:w="680" w:type="dxa"/>
            <w:vAlign w:val="bottom"/>
          </w:tcPr>
          <w:p>
            <w:pPr>
              <w:jc w:val="right"/>
              <w:ind w:right="7"/>
              <w:spacing w:after="0"/>
              <w:rPr>
                <w:sz w:val="20"/>
                <w:szCs w:val="20"/>
                <w:color w:val="auto"/>
              </w:rPr>
            </w:pPr>
            <w:r>
              <w:rPr>
                <w:rFonts w:ascii="Arial" w:cs="Arial" w:eastAsia="Arial" w:hAnsi="Arial"/>
                <w:sz w:val="12"/>
                <w:szCs w:val="12"/>
                <w:color w:val="auto"/>
              </w:rPr>
              <w:t>56,546</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17</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7"/>
              <w:spacing w:after="0"/>
              <w:rPr>
                <w:sz w:val="20"/>
                <w:szCs w:val="20"/>
                <w:color w:val="auto"/>
              </w:rPr>
            </w:pPr>
            <w:r>
              <w:rPr>
                <w:rFonts w:ascii="Arial" w:cs="Arial" w:eastAsia="Arial" w:hAnsi="Arial"/>
                <w:sz w:val="12"/>
                <w:szCs w:val="12"/>
                <w:color w:val="auto"/>
              </w:rPr>
              <w:t>41,533</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16</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25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2"/>
                <w:szCs w:val="12"/>
                <w:color w:val="auto"/>
              </w:rPr>
              <w:t>329,413</w:t>
            </w:r>
          </w:p>
        </w:tc>
        <w:tc>
          <w:tcPr>
            <w:tcW w:w="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2"/>
                <w:szCs w:val="12"/>
                <w:color w:val="auto"/>
              </w:rPr>
              <w:t>253,727</w:t>
            </w:r>
          </w:p>
        </w:tc>
        <w:tc>
          <w:tcPr>
            <w:tcW w:w="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-485140</wp:posOffset>
            </wp:positionV>
            <wp:extent cx="6732270" cy="99707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10"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_______________</w:t>
      </w:r>
    </w:p>
    <w:p>
      <w:pPr>
        <w:ind w:left="1760" w:hanging="238"/>
        <w:spacing w:after="0" w:line="196" w:lineRule="auto"/>
        <w:tabs>
          <w:tab w:leader="none" w:pos="1760" w:val="left"/>
        </w:tabs>
        <w:numPr>
          <w:ilvl w:val="0"/>
          <w:numId w:val="187"/>
        </w:numPr>
        <w:rPr>
          <w:rFonts w:ascii="Arial" w:cs="Arial" w:eastAsia="Arial" w:hAnsi="Arial"/>
          <w:sz w:val="11"/>
          <w:szCs w:val="11"/>
          <w:color w:val="auto"/>
        </w:rPr>
      </w:pPr>
      <w:r>
        <w:rPr>
          <w:rFonts w:ascii="Arial" w:cs="Arial" w:eastAsia="Arial" w:hAnsi="Arial"/>
          <w:sz w:val="11"/>
          <w:szCs w:val="11"/>
          <w:color w:val="auto"/>
        </w:rPr>
        <w:t>No individual country within Rest of World comprises more than 10% of total revenue</w:t>
      </w:r>
    </w:p>
    <w:p>
      <w:pPr>
        <w:ind w:left="1760"/>
        <w:spacing w:after="0"/>
        <w:rPr>
          <w:rFonts w:ascii="Arial" w:cs="Arial" w:eastAsia="Arial" w:hAnsi="Arial"/>
          <w:sz w:val="11"/>
          <w:szCs w:val="11"/>
          <w:color w:val="auto"/>
        </w:rPr>
      </w:pPr>
      <w:r>
        <w:rPr>
          <w:rFonts w:ascii="Arial" w:cs="Arial" w:eastAsia="Arial" w:hAnsi="Arial"/>
          <w:sz w:val="11"/>
          <w:szCs w:val="11"/>
          <w:color w:val="auto"/>
        </w:rPr>
        <w:t>.</w:t>
      </w:r>
    </w:p>
    <w:p>
      <w:pPr>
        <w:spacing w:after="0" w:line="36" w:lineRule="exact"/>
        <w:rPr>
          <w:rFonts w:ascii="Arial" w:cs="Arial" w:eastAsia="Arial" w:hAnsi="Arial"/>
          <w:sz w:val="11"/>
          <w:szCs w:val="11"/>
          <w:color w:val="auto"/>
        </w:rPr>
      </w:pPr>
    </w:p>
    <w:p>
      <w:pPr>
        <w:ind w:left="1760"/>
        <w:spacing w:after="0"/>
        <w:rPr>
          <w:rFonts w:ascii="Arial" w:cs="Arial" w:eastAsia="Arial" w:hAnsi="Arial"/>
          <w:sz w:val="11"/>
          <w:szCs w:val="11"/>
          <w:color w:val="auto"/>
        </w:rPr>
      </w:pPr>
      <w:r>
        <w:rPr>
          <w:rFonts w:ascii="Arial" w:cs="Arial" w:eastAsia="Arial" w:hAnsi="Arial"/>
          <w:sz w:val="12"/>
          <w:szCs w:val="12"/>
          <w:b w:val="1"/>
          <w:bCs w:val="1"/>
          <w:i w:val="1"/>
          <w:iCs w:val="1"/>
          <w:color w:val="auto"/>
        </w:rPr>
        <w:t>Unbilled Receivables</w:t>
      </w:r>
    </w:p>
    <w:p>
      <w:pPr>
        <w:spacing w:after="0" w:line="128" w:lineRule="exact"/>
        <w:rPr>
          <w:sz w:val="20"/>
          <w:szCs w:val="20"/>
          <w:color w:val="auto"/>
        </w:rPr>
      </w:pPr>
    </w:p>
    <w:p>
      <w:pPr>
        <w:ind w:left="1520" w:right="1660" w:firstLine="230"/>
        <w:spacing w:after="0" w:line="273" w:lineRule="auto"/>
        <w:rPr>
          <w:sz w:val="20"/>
          <w:szCs w:val="20"/>
          <w:color w:val="auto"/>
        </w:rPr>
      </w:pPr>
      <w:r>
        <w:rPr>
          <w:rFonts w:ascii="Arial" w:cs="Arial" w:eastAsia="Arial" w:hAnsi="Arial"/>
          <w:sz w:val="12"/>
          <w:szCs w:val="12"/>
          <w:color w:val="auto"/>
        </w:rPr>
        <w:t>We receive payments from customers based on a billing schedule as established in our customer contracts. Accounts receivable are recorded when we have an unconditional right to consideration. In some arrangements, we have a right to consideration for our performance under the customer contract before invoicing the customer, resulting in an unbilled accounts receivable. We recognized unbilled accounts receivable of $67.7 million and $51.9 million , respectively, as of July 31, 2025 and January 31, 2025. Unbilled accounts receivable is recorded within accounts receivable, net on the accompanying condensed consolidated balance sheets.</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Contract Liabilities</w:t>
      </w:r>
    </w:p>
    <w:p>
      <w:pPr>
        <w:spacing w:after="0" w:line="128" w:lineRule="exact"/>
        <w:rPr>
          <w:sz w:val="20"/>
          <w:szCs w:val="20"/>
          <w:color w:val="auto"/>
        </w:rPr>
      </w:pPr>
    </w:p>
    <w:p>
      <w:pPr>
        <w:ind w:left="1520" w:right="1700" w:firstLine="230"/>
        <w:spacing w:after="0" w:line="273" w:lineRule="auto"/>
        <w:rPr>
          <w:sz w:val="20"/>
          <w:szCs w:val="20"/>
          <w:color w:val="auto"/>
        </w:rPr>
      </w:pPr>
      <w:r>
        <w:rPr>
          <w:rFonts w:ascii="Arial" w:cs="Arial" w:eastAsia="Arial" w:hAnsi="Arial"/>
          <w:sz w:val="12"/>
          <w:szCs w:val="12"/>
          <w:color w:val="auto"/>
        </w:rPr>
        <w:t>Revenue is deferred when we have the right to invoice in advance of performance under a customer contract. The deferred revenue balance primarily consists of annual subscription payments. The current portion of deferred revenue represents the amounts that are expected to be recognized within one year of the balance sheet date. The non-current portion of deferred revenue represents amounts that are expected to be recognized more than one year from the balance sheet date. For the six months ended July 31, 2025 and 2024, revenue recognized from deferred revenue at the beginning of the period was $27.8 million and $20.8 million , respectively.</w:t>
      </w:r>
    </w:p>
    <w:p>
      <w:pPr>
        <w:spacing w:after="0" w:line="88" w:lineRule="exact"/>
        <w:rPr>
          <w:sz w:val="20"/>
          <w:szCs w:val="20"/>
          <w:color w:val="auto"/>
        </w:rPr>
      </w:pPr>
    </w:p>
    <w:p>
      <w:pPr>
        <w:ind w:left="1520" w:right="1660" w:firstLine="230"/>
        <w:spacing w:after="0" w:line="273" w:lineRule="auto"/>
        <w:rPr>
          <w:sz w:val="20"/>
          <w:szCs w:val="20"/>
          <w:color w:val="auto"/>
        </w:rPr>
      </w:pPr>
      <w:r>
        <w:rPr>
          <w:rFonts w:ascii="Arial" w:cs="Arial" w:eastAsia="Arial" w:hAnsi="Arial"/>
          <w:sz w:val="12"/>
          <w:szCs w:val="12"/>
          <w:color w:val="auto"/>
        </w:rPr>
        <w:t>Remaining performance obligations represent the amount of contracted future revenue that has not yet been recognized. We do not disclose the value of remaining performance obligations for (i) contracts with an original expected length of one year or less, and (ii) contracts for which variable consideration is allocated to an unsatisfied performance obligation. Our remaining performance obligations related to multi-year subscription contracts were $43.5 million as of July 31, 2025 of which we expect to recognize approximately 49% as revenue over the next 12 months, 32% as revenue over the subsequent 13 to 24 months, and the remainder thereafter.</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Accounts Receivable and Allowance for Expected Credit Losses</w:t>
      </w:r>
    </w:p>
    <w:p>
      <w:pPr>
        <w:spacing w:after="0" w:line="128" w:lineRule="exact"/>
        <w:rPr>
          <w:sz w:val="20"/>
          <w:szCs w:val="20"/>
          <w:color w:val="auto"/>
        </w:rPr>
      </w:pPr>
    </w:p>
    <w:p>
      <w:pPr>
        <w:ind w:left="1520" w:right="1720" w:firstLine="230"/>
        <w:spacing w:after="0" w:line="272" w:lineRule="auto"/>
        <w:rPr>
          <w:sz w:val="20"/>
          <w:szCs w:val="20"/>
          <w:color w:val="auto"/>
        </w:rPr>
      </w:pPr>
      <w:r>
        <w:rPr>
          <w:rFonts w:ascii="Arial" w:cs="Arial" w:eastAsia="Arial" w:hAnsi="Arial"/>
          <w:sz w:val="12"/>
          <w:szCs w:val="12"/>
          <w:color w:val="auto"/>
        </w:rPr>
        <w:t>Accounts receivable are generally due within thirty days and are recorded net of an allowance for estimated uncollectible amounts. We estimate expected credit losses based on various factors, including the age of the receivable balance, credit quality of the customer, and past collection experience with the customer. We consider the need to adjust historical information used in our estimates to reflect the extent to which we expect current conditions and reasonable and supportable forecasts to differ from the conditions that existed for the period over which historical information was evaluated. Long-aged balances and other higher risk amounts are reviewed individually for collectability. We recognize estimated credit losses through the income statement, and the allowance for estimated credit losses is recorded in accounts receivable, net on the condensed consolidated balance sheets.</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The following table summarizes the allowance for expected credit losses (in thousands):</w:t>
      </w:r>
    </w:p>
    <w:p>
      <w:pPr>
        <w:spacing w:after="0" w:line="147"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4"/>
          </w:tcPr>
          <w:p>
            <w:pPr>
              <w:ind w:left="6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restart"/>
          </w:tcPr>
          <w:p>
            <w:pPr>
              <w:jc w:val="right"/>
              <w:ind w:right="24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b w:val="1"/>
                <w:bCs w:val="1"/>
                <w:color w:val="000000"/>
              </w:rPr>
              <w:t>Balanceatbeginningofperiod</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5,135</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4,270</w:t>
            </w:r>
          </w:p>
        </w:tc>
        <w:tc>
          <w:tcPr>
            <w:tcW w:w="0" w:type="dxa"/>
            <w:vAlign w:val="bottom"/>
          </w:tcPr>
          <w:p>
            <w:pPr>
              <w:spacing w:after="0"/>
              <w:rPr>
                <w:sz w:val="1"/>
                <w:szCs w:val="1"/>
                <w:color w:val="auto"/>
              </w:rPr>
            </w:pPr>
          </w:p>
        </w:tc>
      </w:tr>
      <w:tr>
        <w:trPr>
          <w:trHeight w:val="173"/>
        </w:trPr>
        <w:tc>
          <w:tcPr>
            <w:tcW w:w="4260" w:type="dxa"/>
            <w:vAlign w:val="bottom"/>
          </w:tcPr>
          <w:p>
            <w:pPr>
              <w:ind w:left="180"/>
              <w:spacing w:after="0"/>
              <w:rPr>
                <w:sz w:val="20"/>
                <w:szCs w:val="20"/>
                <w:color w:val="auto"/>
              </w:rPr>
            </w:pPr>
            <w:r>
              <w:rPr>
                <w:rFonts w:ascii="Arial" w:cs="Arial" w:eastAsia="Arial" w:hAnsi="Arial"/>
                <w:sz w:val="12"/>
                <w:szCs w:val="12"/>
                <w:color w:val="auto"/>
              </w:rPr>
              <w:t xml:space="preserve">Provision for expected credit losses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Arial" w:cs="Arial" w:eastAsia="Arial" w:hAnsi="Arial"/>
                <w:sz w:val="12"/>
                <w:szCs w:val="12"/>
                <w:color w:val="auto"/>
              </w:rPr>
              <w:t>2,488</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1,677</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Amounts written off, recoveries and other adjustments  </w:t>
            </w:r>
            <w:r>
              <w:rPr>
                <w:rFonts w:ascii="Times New Roman" w:cs="Times New Roman" w:eastAsia="Times New Roman" w:hAnsi="Times New Roman"/>
                <w:sz w:val="12"/>
                <w:szCs w:val="12"/>
                <w:color w:val="B4B4B4"/>
              </w:rPr>
              <w:t>...............................</w:t>
            </w: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(1,739)</w:t>
            </w: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(1,161)</w:t>
            </w:r>
          </w:p>
        </w:tc>
        <w:tc>
          <w:tcPr>
            <w:tcW w:w="0" w:type="dxa"/>
            <w:vAlign w:val="bottom"/>
          </w:tcPr>
          <w:p>
            <w:pPr>
              <w:spacing w:after="0"/>
              <w:rPr>
                <w:sz w:val="1"/>
                <w:szCs w:val="1"/>
                <w:color w:val="auto"/>
              </w:rPr>
            </w:pPr>
          </w:p>
        </w:tc>
      </w:tr>
      <w:tr>
        <w:trPr>
          <w:trHeight w:val="161"/>
        </w:trPr>
        <w:tc>
          <w:tcPr>
            <w:tcW w:w="4260" w:type="dxa"/>
            <w:vAlign w:val="bottom"/>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b w:val="1"/>
                <w:bCs w:val="1"/>
                <w:color w:val="000000"/>
              </w:rPr>
              <w:t>Balanceatendofperiod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5,884</w:t>
            </w:r>
          </w:p>
        </w:tc>
        <w:tc>
          <w:tcPr>
            <w:tcW w:w="40" w:type="dxa"/>
            <w:vAlign w:val="bottom"/>
          </w:tcPr>
          <w:p>
            <w:pPr>
              <w:spacing w:after="0"/>
              <w:rPr>
                <w:sz w:val="13"/>
                <w:szCs w:val="13"/>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4,786</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Corporate Card Receivables and Allowance for Expected Credit Losses</w:t>
      </w:r>
    </w:p>
    <w:p>
      <w:pPr>
        <w:spacing w:after="0" w:line="128" w:lineRule="exact"/>
        <w:rPr>
          <w:sz w:val="20"/>
          <w:szCs w:val="20"/>
          <w:color w:val="auto"/>
        </w:rPr>
      </w:pPr>
    </w:p>
    <w:p>
      <w:pPr>
        <w:ind w:left="1520" w:right="1700" w:firstLine="230"/>
        <w:spacing w:after="0" w:line="281" w:lineRule="auto"/>
        <w:rPr>
          <w:sz w:val="20"/>
          <w:szCs w:val="20"/>
          <w:color w:val="auto"/>
        </w:rPr>
      </w:pPr>
      <w:r>
        <w:rPr>
          <w:rFonts w:ascii="Arial" w:cs="Arial" w:eastAsia="Arial" w:hAnsi="Arial"/>
          <w:sz w:val="12"/>
          <w:szCs w:val="12"/>
          <w:color w:val="auto"/>
        </w:rPr>
        <w:t>We provide virtual and physical corporate credit cards to customers of our expense management offering through issuing bank partners. Under certain payment partner arrangements, we are required to prefund spend on these credit cards. We recognize a receivable for each transaction, and receivables are generally due within ten days.</w:t>
      </w:r>
    </w:p>
    <w:p>
      <w:pPr>
        <w:spacing w:after="0" w:line="81" w:lineRule="exact"/>
        <w:rPr>
          <w:sz w:val="20"/>
          <w:szCs w:val="20"/>
          <w:color w:val="auto"/>
        </w:rPr>
      </w:pPr>
    </w:p>
    <w:p>
      <w:pPr>
        <w:ind w:left="1520" w:right="1700" w:firstLine="230"/>
        <w:spacing w:after="0" w:line="271" w:lineRule="auto"/>
        <w:rPr>
          <w:sz w:val="20"/>
          <w:szCs w:val="20"/>
          <w:color w:val="auto"/>
        </w:rPr>
      </w:pPr>
      <w:r>
        <w:rPr>
          <w:rFonts w:ascii="Arial" w:cs="Arial" w:eastAsia="Arial" w:hAnsi="Arial"/>
          <w:sz w:val="12"/>
          <w:szCs w:val="12"/>
          <w:color w:val="auto"/>
        </w:rPr>
        <w:t>Corporate card receivables are recorded net of an allowance for expected credit losses. The allowance for expected credit losses is based on our assessment of the collectability of these receivables. We consider the following factors when determining the collectability of specific customer accounts: age of the receivable balance, credit quality of the customer, and past collection experience with the customer. We consider the need to adjust historical information used in our estimates to reflect the extent to which we expect current conditions and reasonable and supportable forecasts to differ from the conditions that existed for the period over which historical information was evaluated. In addition, we include an estimate for charges our customers may dispute as invalid. We recognize estimated credit losses through the income statement, and the allowance for estimated credit losses is recorded in corporate card receivables, net on the condensed consolidated balance sheets.</w:t>
      </w:r>
    </w:p>
    <w:p>
      <w:pPr>
        <w:spacing w:after="0" w:line="88" w:lineRule="exact"/>
        <w:rPr>
          <w:sz w:val="20"/>
          <w:szCs w:val="20"/>
          <w:color w:val="auto"/>
        </w:rPr>
      </w:pPr>
    </w:p>
    <w:p>
      <w:pPr>
        <w:ind w:left="1520" w:right="1760" w:firstLine="264"/>
        <w:spacing w:after="0" w:line="312" w:lineRule="auto"/>
        <w:rPr>
          <w:sz w:val="20"/>
          <w:szCs w:val="20"/>
          <w:color w:val="auto"/>
        </w:rPr>
      </w:pPr>
      <w:r>
        <w:rPr>
          <w:rFonts w:ascii="Arial" w:cs="Arial" w:eastAsia="Arial" w:hAnsi="Arial"/>
          <w:sz w:val="12"/>
          <w:szCs w:val="12"/>
          <w:color w:val="auto"/>
        </w:rPr>
        <w:t>The following table summarizes the corporate card receivables allowance for expected credit losses (in thousands):</w:t>
      </w:r>
    </w:p>
    <w:p>
      <w:pPr>
        <w:spacing w:after="0" w:line="79"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4"/>
          </w:tcPr>
          <w:p>
            <w:pPr>
              <w:ind w:left="6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restart"/>
          </w:tcPr>
          <w:p>
            <w:pPr>
              <w:jc w:val="right"/>
              <w:ind w:right="24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b w:val="1"/>
                <w:bCs w:val="1"/>
                <w:color w:val="000000"/>
              </w:rPr>
              <w:t>Balanceatbeginningofperiod</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380</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566</w:t>
            </w:r>
          </w:p>
        </w:tc>
        <w:tc>
          <w:tcPr>
            <w:tcW w:w="0" w:type="dxa"/>
            <w:vAlign w:val="bottom"/>
          </w:tcPr>
          <w:p>
            <w:pPr>
              <w:spacing w:after="0"/>
              <w:rPr>
                <w:sz w:val="1"/>
                <w:szCs w:val="1"/>
                <w:color w:val="auto"/>
              </w:rPr>
            </w:pPr>
          </w:p>
        </w:tc>
      </w:tr>
      <w:tr>
        <w:trPr>
          <w:trHeight w:val="173"/>
        </w:trPr>
        <w:tc>
          <w:tcPr>
            <w:tcW w:w="4260" w:type="dxa"/>
            <w:vAlign w:val="bottom"/>
          </w:tcPr>
          <w:p>
            <w:pPr>
              <w:ind w:left="180"/>
              <w:spacing w:after="0"/>
              <w:rPr>
                <w:sz w:val="20"/>
                <w:szCs w:val="20"/>
                <w:color w:val="auto"/>
              </w:rPr>
            </w:pPr>
            <w:r>
              <w:rPr>
                <w:rFonts w:ascii="Arial" w:cs="Arial" w:eastAsia="Arial" w:hAnsi="Arial"/>
                <w:sz w:val="12"/>
                <w:szCs w:val="12"/>
                <w:color w:val="auto"/>
              </w:rPr>
              <w:t xml:space="preserve">Provision for expected credit losses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Arial" w:cs="Arial" w:eastAsia="Arial" w:hAnsi="Arial"/>
                <w:sz w:val="12"/>
                <w:szCs w:val="12"/>
                <w:color w:val="auto"/>
              </w:rPr>
              <w:t>1,675</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1,275</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Amounts written off, recoveries and other adjustments  </w:t>
            </w:r>
            <w:r>
              <w:rPr>
                <w:rFonts w:ascii="Times New Roman" w:cs="Times New Roman" w:eastAsia="Times New Roman" w:hAnsi="Times New Roman"/>
                <w:sz w:val="12"/>
                <w:szCs w:val="12"/>
                <w:color w:val="B4B4B4"/>
              </w:rPr>
              <w:t>...............................</w:t>
            </w: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(1,045)</w:t>
            </w: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426</w:t>
            </w:r>
          </w:p>
        </w:tc>
        <w:tc>
          <w:tcPr>
            <w:tcW w:w="0" w:type="dxa"/>
            <w:vAlign w:val="bottom"/>
          </w:tcPr>
          <w:p>
            <w:pPr>
              <w:spacing w:after="0"/>
              <w:rPr>
                <w:sz w:val="1"/>
                <w:szCs w:val="1"/>
                <w:color w:val="auto"/>
              </w:rPr>
            </w:pPr>
          </w:p>
        </w:tc>
      </w:tr>
      <w:tr>
        <w:trPr>
          <w:trHeight w:val="161"/>
        </w:trPr>
        <w:tc>
          <w:tcPr>
            <w:tcW w:w="4260" w:type="dxa"/>
            <w:vAlign w:val="bottom"/>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b w:val="1"/>
                <w:bCs w:val="1"/>
                <w:color w:val="000000"/>
              </w:rPr>
              <w:t>Balanceatendofperiod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1,010</w:t>
            </w:r>
          </w:p>
        </w:tc>
        <w:tc>
          <w:tcPr>
            <w:tcW w:w="40" w:type="dxa"/>
            <w:vAlign w:val="bottom"/>
          </w:tcPr>
          <w:p>
            <w:pPr>
              <w:spacing w:after="0"/>
              <w:rPr>
                <w:sz w:val="13"/>
                <w:szCs w:val="13"/>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2,267</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Contract Acquisition Costs</w:t>
      </w:r>
    </w:p>
    <w:p>
      <w:pPr>
        <w:spacing w:after="0" w:line="128" w:lineRule="exact"/>
        <w:rPr>
          <w:sz w:val="20"/>
          <w:szCs w:val="20"/>
          <w:color w:val="auto"/>
        </w:rPr>
      </w:pPr>
    </w:p>
    <w:p>
      <w:pPr>
        <w:jc w:val="both"/>
        <w:ind w:left="1520" w:right="1540" w:firstLine="230"/>
        <w:spacing w:after="0" w:line="312" w:lineRule="auto"/>
        <w:rPr>
          <w:sz w:val="20"/>
          <w:szCs w:val="20"/>
          <w:color w:val="auto"/>
        </w:rPr>
      </w:pPr>
      <w:r>
        <w:rPr>
          <w:rFonts w:ascii="Arial" w:cs="Arial" w:eastAsia="Arial" w:hAnsi="Arial"/>
          <w:sz w:val="12"/>
          <w:szCs w:val="12"/>
          <w:color w:val="auto"/>
        </w:rPr>
        <w:t>During the six months ended July 31, 2025 and 2024, we capitalized $9.2 million and $10.7 million , respectively, of contract acquisition costs and recognized related amortization expense of $2.5 million and</w:t>
      </w:r>
    </w:p>
    <w:p>
      <w:pPr>
        <w:sectPr>
          <w:pgSz w:w="11900" w:h="16840" w:orient="portrait"/>
          <w:cols w:equalWidth="0" w:num="1">
            <w:col w:w="9020"/>
          </w:cols>
          <w:pgMar w:left="1440" w:top="539" w:right="1440" w:bottom="85" w:gutter="0" w:footer="0" w:header="0"/>
        </w:sectPr>
      </w:pPr>
    </w:p>
    <w:bookmarkStart w:id="197" w:name="page198"/>
    <w:bookmarkEnd w:id="197"/>
    <w:p>
      <w:pPr>
        <w:ind w:left="1520" w:right="2120"/>
        <w:spacing w:after="0" w:line="183" w:lineRule="auto"/>
        <w:rPr>
          <w:sz w:val="20"/>
          <w:szCs w:val="20"/>
          <w:color w:val="auto"/>
        </w:rPr>
      </w:pPr>
      <w:r>
        <w:rPr>
          <w:rFonts w:ascii="Arial" w:cs="Arial" w:eastAsia="Arial" w:hAnsi="Arial"/>
          <w:sz w:val="9"/>
          <w:szCs w:val="9"/>
          <w:color w:val="auto"/>
        </w:rPr>
        <w:t>$2.7 million, respectiv</w:t>
      </w:r>
      <w:r>
        <w:rPr>
          <w:rFonts w:ascii="Arial" w:cs="Arial" w:eastAsia="Arial" w:hAnsi="Arial"/>
          <w:sz w:val="13"/>
          <w:szCs w:val="13"/>
          <w:color w:val="auto"/>
          <w:vertAlign w:val="superscript"/>
        </w:rPr>
        <w:t>e</w:t>
      </w:r>
      <w:r>
        <w:rPr>
          <w:rFonts w:ascii="Arial" w:cs="Arial" w:eastAsia="Arial" w:hAnsi="Arial"/>
          <w:sz w:val="9"/>
          <w:szCs w:val="9"/>
          <w:color w:val="auto"/>
        </w:rPr>
        <w:t>ly. Amortization expense is included in sales and marketing expense in the condensed consolidat 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-115570</wp:posOffset>
            </wp:positionV>
            <wp:extent cx="6732270" cy="99707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3 – FAIR VALUE MEASUREMENTS</w:t>
      </w:r>
    </w:p>
    <w:p>
      <w:pPr>
        <w:spacing w:after="0" w:line="130" w:lineRule="exact"/>
        <w:rPr>
          <w:sz w:val="20"/>
          <w:szCs w:val="20"/>
          <w:color w:val="auto"/>
        </w:rPr>
      </w:pPr>
    </w:p>
    <w:p>
      <w:pPr>
        <w:ind w:left="1520" w:right="1820" w:firstLine="230"/>
        <w:spacing w:after="0" w:line="312" w:lineRule="auto"/>
        <w:rPr>
          <w:sz w:val="20"/>
          <w:szCs w:val="20"/>
          <w:color w:val="auto"/>
        </w:rPr>
      </w:pPr>
      <w:r>
        <w:rPr>
          <w:rFonts w:ascii="Arial" w:cs="Arial" w:eastAsia="Arial" w:hAnsi="Arial"/>
          <w:sz w:val="12"/>
          <w:szCs w:val="12"/>
          <w:color w:val="auto"/>
        </w:rPr>
        <w:t>The following table presents our financial assets and liabilities measured at fair value on a recurring basis based on the three-tier fair value hierarchy (in thousands):</w:t>
      </w:r>
    </w:p>
    <w:p>
      <w:pPr>
        <w:spacing w:after="0" w:line="101"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25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15"/>
          </w:tcPr>
          <w:p>
            <w:pPr>
              <w:spacing w:after="0"/>
              <w:rPr>
                <w:sz w:val="20"/>
                <w:szCs w:val="20"/>
                <w:color w:val="auto"/>
              </w:rPr>
            </w:pPr>
            <w:r>
              <w:rPr>
                <w:rFonts w:ascii="Arial" w:cs="Arial" w:eastAsia="Arial" w:hAnsi="Arial"/>
                <w:sz w:val="11"/>
                <w:szCs w:val="11"/>
                <w:b w:val="1"/>
                <w:bCs w:val="1"/>
                <w:color w:val="auto"/>
                <w:w w:val="95"/>
              </w:rPr>
              <w:t>Fair value measurements as of July 31, 2025</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5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1</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2</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1"/>
                <w:szCs w:val="11"/>
                <w:b w:val="1"/>
                <w:bCs w:val="1"/>
                <w:color w:val="auto"/>
              </w:rPr>
              <w:t>Level 3</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Financial Liabilities</w:t>
            </w: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520" w:type="dxa"/>
            <w:vAlign w:val="bottom"/>
          </w:tcPr>
          <w:p>
            <w:pPr>
              <w:ind w:left="40"/>
              <w:spacing w:after="0" w:line="125" w:lineRule="exact"/>
              <w:rPr>
                <w:sz w:val="20"/>
                <w:szCs w:val="20"/>
                <w:color w:val="auto"/>
              </w:rPr>
            </w:pPr>
            <w:r>
              <w:rPr>
                <w:rFonts w:ascii="Arial" w:cs="Arial" w:eastAsia="Arial" w:hAnsi="Arial"/>
                <w:sz w:val="12"/>
                <w:szCs w:val="12"/>
                <w:color w:val="auto"/>
              </w:rPr>
              <w:t>Redeemable convertible preferred stock</w:t>
            </w:r>
          </w:p>
        </w:tc>
        <w:tc>
          <w:tcPr>
            <w:tcW w:w="640" w:type="dxa"/>
            <w:vAlign w:val="bottom"/>
            <w:gridSpan w:val="2"/>
            <w:vMerge w:val="restart"/>
          </w:tcPr>
          <w:p>
            <w:pPr>
              <w:jc w:val="right"/>
              <w:ind w:right="485"/>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680" w:type="dxa"/>
            <w:vAlign w:val="bottom"/>
            <w:gridSpan w:val="4"/>
            <w:vMerge w:val="restart"/>
          </w:tcPr>
          <w:p>
            <w:pPr>
              <w:jc w:val="right"/>
              <w:ind w:right="484"/>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spacing w:after="0"/>
              <w:rPr>
                <w:sz w:val="20"/>
                <w:szCs w:val="20"/>
                <w:color w:val="auto"/>
              </w:rPr>
            </w:pPr>
            <w:r>
              <w:rPr>
                <w:rFonts w:ascii="Arial" w:cs="Arial" w:eastAsia="Arial" w:hAnsi="Arial"/>
                <w:sz w:val="12"/>
                <w:szCs w:val="12"/>
                <w:color w:val="auto"/>
              </w:rPr>
              <w:t>—</w:t>
            </w:r>
          </w:p>
        </w:tc>
        <w:tc>
          <w:tcPr>
            <w:tcW w:w="200" w:type="dxa"/>
            <w:vAlign w:val="bottom"/>
            <w:gridSpan w:val="4"/>
            <w:vMerge w:val="restart"/>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433</w:t>
            </w:r>
          </w:p>
        </w:tc>
        <w:tc>
          <w:tcPr>
            <w:tcW w:w="300" w:type="dxa"/>
            <w:vAlign w:val="bottom"/>
            <w:gridSpan w:val="4"/>
            <w:vMerge w:val="restart"/>
          </w:tcPr>
          <w:p>
            <w:pPr>
              <w:jc w:val="right"/>
              <w:ind w:right="98"/>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433</w:t>
            </w:r>
          </w:p>
        </w:tc>
        <w:tc>
          <w:tcPr>
            <w:tcW w:w="0" w:type="dxa"/>
            <w:vAlign w:val="bottom"/>
          </w:tcPr>
          <w:p>
            <w:pPr>
              <w:spacing w:after="0"/>
              <w:rPr>
                <w:sz w:val="1"/>
                <w:szCs w:val="1"/>
                <w:color w:val="auto"/>
              </w:rPr>
            </w:pPr>
          </w:p>
        </w:tc>
      </w:tr>
      <w:tr>
        <w:trPr>
          <w:trHeight w:val="165"/>
        </w:trPr>
        <w:tc>
          <w:tcPr>
            <w:tcW w:w="2520" w:type="dxa"/>
            <w:vAlign w:val="bottom"/>
          </w:tcPr>
          <w:p>
            <w:pPr>
              <w:ind w:left="140"/>
              <w:spacing w:after="0"/>
              <w:rPr>
                <w:sz w:val="20"/>
                <w:szCs w:val="20"/>
                <w:color w:val="auto"/>
              </w:rPr>
            </w:pPr>
            <w:r>
              <w:rPr>
                <w:rFonts w:ascii="Arial" w:cs="Arial" w:eastAsia="Arial" w:hAnsi="Arial"/>
                <w:sz w:val="12"/>
                <w:szCs w:val="12"/>
                <w:color w:val="auto"/>
              </w:rPr>
              <w:t xml:space="preserve">warrant liability </w:t>
            </w:r>
            <w:r>
              <w:rPr>
                <w:rFonts w:ascii="Times New Roman" w:cs="Times New Roman" w:eastAsia="Times New Roman" w:hAnsi="Times New Roman"/>
                <w:sz w:val="12"/>
                <w:szCs w:val="12"/>
                <w:color w:val="B4B4B4"/>
              </w:rPr>
              <w:t>...............................................</w:t>
            </w:r>
          </w:p>
        </w:tc>
        <w:tc>
          <w:tcPr>
            <w:tcW w:w="64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gridSpan w:val="4"/>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00" w:type="dxa"/>
            <w:vAlign w:val="bottom"/>
            <w:gridSpan w:val="4"/>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Embedded derivative liability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38,500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38,500</w:t>
            </w:r>
          </w:p>
        </w:tc>
        <w:tc>
          <w:tcPr>
            <w:tcW w:w="0" w:type="dxa"/>
            <w:vAlign w:val="bottom"/>
          </w:tcPr>
          <w:p>
            <w:pPr>
              <w:spacing w:after="0"/>
              <w:rPr>
                <w:sz w:val="1"/>
                <w:szCs w:val="1"/>
                <w:color w:val="auto"/>
              </w:rPr>
            </w:pPr>
          </w:p>
        </w:tc>
      </w:tr>
      <w:tr>
        <w:trPr>
          <w:trHeight w:val="173"/>
        </w:trPr>
        <w:tc>
          <w:tcPr>
            <w:tcW w:w="2520" w:type="dxa"/>
            <w:vAlign w:val="bottom"/>
          </w:tcPr>
          <w:p>
            <w:pPr>
              <w:ind w:left="40"/>
              <w:spacing w:after="0"/>
              <w:rPr>
                <w:sz w:val="20"/>
                <w:szCs w:val="20"/>
                <w:color w:val="auto"/>
              </w:rPr>
            </w:pPr>
            <w:r>
              <w:rPr>
                <w:rFonts w:ascii="Arial" w:cs="Arial" w:eastAsia="Arial" w:hAnsi="Arial"/>
                <w:sz w:val="12"/>
                <w:szCs w:val="12"/>
                <w:color w:val="auto"/>
              </w:rPr>
              <w:t xml:space="preserve">SAFE liability </w:t>
            </w:r>
            <w:r>
              <w:rPr>
                <w:rFonts w:ascii="Times New Roman" w:cs="Times New Roman" w:eastAsia="Times New Roman" w:hAnsi="Times New Roman"/>
                <w:sz w:val="12"/>
                <w:szCs w:val="12"/>
                <w:color w:val="B4B4B4"/>
              </w:rPr>
              <w:t>.....................................................</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163,000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20"/>
              <w:spacing w:after="0"/>
              <w:rPr>
                <w:sz w:val="20"/>
                <w:szCs w:val="20"/>
                <w:color w:val="auto"/>
              </w:rPr>
            </w:pPr>
            <w:r>
              <w:rPr>
                <w:rFonts w:ascii="Arial" w:cs="Arial" w:eastAsia="Arial" w:hAnsi="Arial"/>
                <w:sz w:val="12"/>
                <w:szCs w:val="12"/>
                <w:color w:val="auto"/>
              </w:rPr>
              <w:t>163,000</w:t>
            </w:r>
          </w:p>
        </w:tc>
        <w:tc>
          <w:tcPr>
            <w:tcW w:w="0" w:type="dxa"/>
            <w:vAlign w:val="bottom"/>
          </w:tcPr>
          <w:p>
            <w:pPr>
              <w:spacing w:after="0"/>
              <w:rPr>
                <w:sz w:val="1"/>
                <w:szCs w:val="1"/>
                <w:color w:val="auto"/>
              </w:rPr>
            </w:pPr>
          </w:p>
        </w:tc>
      </w:tr>
      <w:tr>
        <w:trPr>
          <w:trHeight w:val="190"/>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Common stock warrant liability </w:t>
            </w:r>
            <w:r>
              <w:rPr>
                <w:rFonts w:ascii="Times New Roman" w:cs="Times New Roman" w:eastAsia="Times New Roman" w:hAnsi="Times New Roman"/>
                <w:sz w:val="12"/>
                <w:szCs w:val="12"/>
                <w:color w:val="B4B4B4"/>
              </w:rPr>
              <w:t>......................</w:t>
            </w:r>
          </w:p>
        </w:tc>
        <w:tc>
          <w:tcPr>
            <w:tcW w:w="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31,200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31,200</w:t>
            </w:r>
          </w:p>
        </w:tc>
        <w:tc>
          <w:tcPr>
            <w:tcW w:w="0" w:type="dxa"/>
            <w:vAlign w:val="bottom"/>
          </w:tcPr>
          <w:p>
            <w:pPr>
              <w:spacing w:after="0"/>
              <w:rPr>
                <w:sz w:val="1"/>
                <w:szCs w:val="1"/>
                <w:color w:val="auto"/>
              </w:rPr>
            </w:pPr>
          </w:p>
        </w:tc>
      </w:tr>
      <w:tr>
        <w:trPr>
          <w:trHeight w:val="171"/>
        </w:trPr>
        <w:tc>
          <w:tcPr>
            <w:tcW w:w="2520" w:type="dxa"/>
            <w:vAlign w:val="bottom"/>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w:t>
            </w:r>
          </w:p>
        </w:tc>
        <w:tc>
          <w:tcPr>
            <w:tcW w:w="640" w:type="dxa"/>
            <w:vAlign w:val="bottom"/>
            <w:tcBorders>
              <w:bottom w:val="single" w:sz="8" w:color="auto"/>
            </w:tcBorders>
            <w:gridSpan w:val="2"/>
          </w:tcPr>
          <w:p>
            <w:pPr>
              <w:jc w:val="right"/>
              <w:ind w:right="485"/>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484"/>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233,133</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gridSpan w:val="2"/>
          </w:tcPr>
          <w:p>
            <w:pPr>
              <w:jc w:val="right"/>
              <w:ind w:right="98"/>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233,133</w:t>
            </w:r>
          </w:p>
        </w:tc>
        <w:tc>
          <w:tcPr>
            <w:tcW w:w="0" w:type="dxa"/>
            <w:vAlign w:val="bottom"/>
          </w:tcPr>
          <w:p>
            <w:pPr>
              <w:spacing w:after="0"/>
              <w:rPr>
                <w:sz w:val="1"/>
                <w:szCs w:val="1"/>
                <w:color w:val="auto"/>
              </w:rPr>
            </w:pPr>
          </w:p>
        </w:tc>
      </w:tr>
      <w:tr>
        <w:trPr>
          <w:trHeight w:val="296"/>
        </w:trPr>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20" w:type="dxa"/>
            <w:vAlign w:val="bottom"/>
            <w:tcBorders>
              <w:bottom w:val="single" w:sz="8" w:color="auto"/>
            </w:tcBorders>
            <w:gridSpan w:val="17"/>
          </w:tcPr>
          <w:p>
            <w:pPr>
              <w:jc w:val="right"/>
              <w:ind w:right="420"/>
              <w:spacing w:after="0"/>
              <w:rPr>
                <w:sz w:val="20"/>
                <w:szCs w:val="20"/>
                <w:color w:val="auto"/>
              </w:rPr>
            </w:pPr>
            <w:r>
              <w:rPr>
                <w:rFonts w:ascii="Arial" w:cs="Arial" w:eastAsia="Arial" w:hAnsi="Arial"/>
                <w:sz w:val="11"/>
                <w:szCs w:val="11"/>
                <w:b w:val="1"/>
                <w:bCs w:val="1"/>
                <w:color w:val="auto"/>
              </w:rPr>
              <w:t>Fair value measurements as of January 31, 2025</w:t>
            </w:r>
          </w:p>
        </w:tc>
        <w:tc>
          <w:tcPr>
            <w:tcW w:w="0" w:type="dxa"/>
            <w:vAlign w:val="bottom"/>
          </w:tcPr>
          <w:p>
            <w:pPr>
              <w:spacing w:after="0"/>
              <w:rPr>
                <w:sz w:val="1"/>
                <w:szCs w:val="1"/>
                <w:color w:val="auto"/>
              </w:rPr>
            </w:pPr>
          </w:p>
        </w:tc>
      </w:tr>
      <w:tr>
        <w:trPr>
          <w:trHeight w:val="147"/>
        </w:trPr>
        <w:tc>
          <w:tcPr>
            <w:tcW w:w="25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1</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2</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Level 3</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Financial Liabilities</w:t>
            </w: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20" w:type="dxa"/>
            <w:vAlign w:val="bottom"/>
          </w:tcPr>
          <w:p>
            <w:pPr>
              <w:ind w:left="40"/>
              <w:spacing w:after="0"/>
              <w:rPr>
                <w:sz w:val="20"/>
                <w:szCs w:val="20"/>
                <w:color w:val="auto"/>
              </w:rPr>
            </w:pPr>
            <w:r>
              <w:rPr>
                <w:rFonts w:ascii="Arial" w:cs="Arial" w:eastAsia="Arial" w:hAnsi="Arial"/>
                <w:sz w:val="12"/>
                <w:szCs w:val="12"/>
                <w:color w:val="auto"/>
              </w:rPr>
              <w:t>Redeemable convertible preferred stock</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520" w:type="dxa"/>
            <w:vAlign w:val="bottom"/>
          </w:tcPr>
          <w:p>
            <w:pPr>
              <w:ind w:left="140"/>
              <w:spacing w:after="0"/>
              <w:rPr>
                <w:sz w:val="20"/>
                <w:szCs w:val="20"/>
                <w:color w:val="auto"/>
              </w:rPr>
            </w:pPr>
            <w:r>
              <w:rPr>
                <w:rFonts w:ascii="Arial" w:cs="Arial" w:eastAsia="Arial" w:hAnsi="Arial"/>
                <w:sz w:val="12"/>
                <w:szCs w:val="12"/>
                <w:color w:val="auto"/>
              </w:rPr>
              <w:t xml:space="preserve">warrant liability </w:t>
            </w:r>
            <w:r>
              <w:rPr>
                <w:rFonts w:ascii="Times New Roman" w:cs="Times New Roman" w:eastAsia="Times New Roman" w:hAnsi="Times New Roman"/>
                <w:sz w:val="12"/>
                <w:szCs w:val="12"/>
                <w:color w:val="B4B4B4"/>
              </w:rPr>
              <w:t>................................................</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427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Embedded derivative liability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59,820</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59,820</w:t>
            </w:r>
          </w:p>
        </w:tc>
        <w:tc>
          <w:tcPr>
            <w:tcW w:w="0" w:type="dxa"/>
            <w:vAlign w:val="bottom"/>
          </w:tcPr>
          <w:p>
            <w:pPr>
              <w:spacing w:after="0"/>
              <w:rPr>
                <w:sz w:val="1"/>
                <w:szCs w:val="1"/>
                <w:color w:val="auto"/>
              </w:rPr>
            </w:pPr>
          </w:p>
        </w:tc>
      </w:tr>
      <w:tr>
        <w:trPr>
          <w:trHeight w:val="161"/>
        </w:trPr>
        <w:tc>
          <w:tcPr>
            <w:tcW w:w="2520" w:type="dxa"/>
            <w:vAlign w:val="bottom"/>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w:t>
            </w:r>
          </w:p>
        </w:tc>
        <w:tc>
          <w:tcPr>
            <w:tcW w:w="40" w:type="dxa"/>
            <w:vAlign w:val="bottom"/>
          </w:tcPr>
          <w:p>
            <w:pPr>
              <w:spacing w:after="0"/>
              <w:rPr>
                <w:sz w:val="13"/>
                <w:szCs w:val="13"/>
                <w:color w:val="auto"/>
              </w:rPr>
            </w:pP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3"/>
                <w:szCs w:val="13"/>
                <w:color w:val="auto"/>
              </w:rPr>
            </w:pPr>
          </w:p>
        </w:tc>
        <w:tc>
          <w:tcPr>
            <w:tcW w:w="40" w:type="dxa"/>
            <w:vAlign w:val="bottom"/>
            <w:gridSpan w:val="2"/>
          </w:tcPr>
          <w:p>
            <w:pPr>
              <w:spacing w:after="0"/>
              <w:rPr>
                <w:sz w:val="13"/>
                <w:szCs w:val="13"/>
                <w:color w:val="auto"/>
              </w:rPr>
            </w:pPr>
          </w:p>
        </w:tc>
        <w:tc>
          <w:tcPr>
            <w:tcW w:w="620" w:type="dxa"/>
            <w:vAlign w:val="bottom"/>
            <w:tcBorders>
              <w:bottom w:val="single" w:sz="8" w:color="auto"/>
            </w:tcBorders>
          </w:tcPr>
          <w:p>
            <w:pPr>
              <w:jc w:val="right"/>
              <w:ind w:right="464"/>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60,247</w:t>
            </w:r>
          </w:p>
        </w:tc>
        <w:tc>
          <w:tcPr>
            <w:tcW w:w="20" w:type="dxa"/>
            <w:vAlign w:val="bottom"/>
            <w:tcBorders>
              <w:bottom w:val="single" w:sz="8" w:color="auto"/>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60,247</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520" w:right="1660" w:firstLine="230"/>
        <w:spacing w:after="0" w:line="305" w:lineRule="auto"/>
        <w:rPr>
          <w:sz w:val="20"/>
          <w:szCs w:val="20"/>
          <w:color w:val="auto"/>
        </w:rPr>
      </w:pPr>
      <w:r>
        <w:rPr>
          <w:rFonts w:ascii="Arial" w:cs="Arial" w:eastAsia="Arial" w:hAnsi="Arial"/>
          <w:sz w:val="12"/>
          <w:szCs w:val="12"/>
          <w:color w:val="auto"/>
        </w:rPr>
        <w:t>There were no transfers between Level 1, Level 2 or Level 3 fair value hierarchy categories of financial instruments during the six months ended July 31, 2025 or the twelve months ended January 31, 2025.</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Redeemable Convertible Preferred Stock Warrant Liability</w:t>
      </w:r>
    </w:p>
    <w:p>
      <w:pPr>
        <w:spacing w:after="0" w:line="12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In connection with a loan agreement entered into in December 2015, we issued redeemable</w:t>
      </w:r>
    </w:p>
    <w:p>
      <w:pPr>
        <w:spacing w:after="0" w:line="27" w:lineRule="exact"/>
        <w:rPr>
          <w:sz w:val="20"/>
          <w:szCs w:val="20"/>
          <w:color w:val="auto"/>
        </w:rPr>
      </w:pPr>
    </w:p>
    <w:p>
      <w:pPr>
        <w:ind w:left="1520"/>
        <w:spacing w:after="0"/>
        <w:tabs>
          <w:tab w:leader="none" w:pos="4260" w:val="left"/>
        </w:tabs>
        <w:rPr>
          <w:sz w:val="20"/>
          <w:szCs w:val="20"/>
          <w:color w:val="auto"/>
        </w:rPr>
      </w:pPr>
      <w:r>
        <w:rPr>
          <w:rFonts w:ascii="Arial" w:cs="Arial" w:eastAsia="Arial" w:hAnsi="Arial"/>
          <w:sz w:val="12"/>
          <w:szCs w:val="12"/>
          <w:color w:val="auto"/>
        </w:rPr>
        <w:t>convertible preferred stock warrants to purchase</w:t>
        <w:tab/>
        <w:t>60,757, 30,192, 34,080 and 40,160 shares of Series</w:t>
      </w:r>
    </w:p>
    <w:p>
      <w:pPr>
        <w:spacing w:after="0" w:line="15" w:lineRule="exact"/>
        <w:rPr>
          <w:sz w:val="20"/>
          <w:szCs w:val="20"/>
          <w:color w:val="auto"/>
        </w:rPr>
      </w:pPr>
    </w:p>
    <w:p>
      <w:pPr>
        <w:ind w:left="1520"/>
        <w:spacing w:after="0"/>
        <w:tabs>
          <w:tab w:leader="none" w:pos="6460" w:val="left"/>
        </w:tabs>
        <w:rPr>
          <w:sz w:val="20"/>
          <w:szCs w:val="20"/>
          <w:color w:val="auto"/>
        </w:rPr>
      </w:pPr>
      <w:r>
        <w:rPr>
          <w:rFonts w:ascii="Arial" w:cs="Arial" w:eastAsia="Arial" w:hAnsi="Arial"/>
          <w:sz w:val="12"/>
          <w:szCs w:val="12"/>
          <w:color w:val="auto"/>
        </w:rPr>
        <w:t>Seed, Series A, Series A-1 and Series B preferred stock at the stated exercise prices of</w:t>
        <w:tab/>
        <w:t>$0.2469,</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$0.4968, $0.5853 and $1.8675 per share, respectively. As of July 31, 2025 and January 31, 2025 , 40,160</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Series B redeemable convertible preferred stock warrants remain outstanding and are recorded at a fair</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value of $0.4 million and $0.4 million, respectively.</w:t>
      </w:r>
    </w:p>
    <w:p>
      <w:pPr>
        <w:spacing w:after="0" w:line="118" w:lineRule="exact"/>
        <w:rPr>
          <w:sz w:val="20"/>
          <w:szCs w:val="20"/>
          <w:color w:val="auto"/>
        </w:rPr>
      </w:pPr>
    </w:p>
    <w:p>
      <w:pPr>
        <w:ind w:left="1520" w:right="1800" w:firstLine="230"/>
        <w:spacing w:after="0" w:line="289" w:lineRule="auto"/>
        <w:rPr>
          <w:sz w:val="20"/>
          <w:szCs w:val="20"/>
          <w:color w:val="auto"/>
        </w:rPr>
      </w:pPr>
      <w:r>
        <w:rPr>
          <w:rFonts w:ascii="Arial" w:cs="Arial" w:eastAsia="Arial" w:hAnsi="Arial"/>
          <w:sz w:val="12"/>
          <w:szCs w:val="12"/>
          <w:color w:val="auto"/>
        </w:rPr>
        <w:t>The fair value of the redeemable convertible preferred stock warrant liability was determined using the Black-Scholes option pricing model. The following assumptions were used to calculate the fair value of the redeemable convertible preferred stock warrant liability:</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1000" w:type="dxa"/>
            <w:vAlign w:val="bottom"/>
            <w:tcBorders>
              <w:bottom w:val="single" w:sz="8" w:color="auto"/>
            </w:tcBorders>
            <w:gridSpan w:val="3"/>
          </w:tcPr>
          <w:p>
            <w:pPr>
              <w:ind w:left="720"/>
              <w:spacing w:after="0"/>
              <w:rPr>
                <w:sz w:val="20"/>
                <w:szCs w:val="20"/>
                <w:color w:val="auto"/>
              </w:rPr>
            </w:pPr>
            <w:r>
              <w:rPr>
                <w:rFonts w:ascii="Arial" w:cs="Arial" w:eastAsia="Arial" w:hAnsi="Arial"/>
                <w:sz w:val="11"/>
                <w:szCs w:val="11"/>
                <w:b w:val="1"/>
                <w:bCs w:val="1"/>
                <w:color w:val="auto"/>
                <w:w w:val="94"/>
              </w:rPr>
              <w:t>As of</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4260" w:type="dxa"/>
            <w:vAlign w:val="bottom"/>
          </w:tcPr>
          <w:p>
            <w:pPr>
              <w:spacing w:after="0"/>
              <w:rPr>
                <w:sz w:val="7"/>
                <w:szCs w:val="7"/>
                <w:color w:val="auto"/>
              </w:rPr>
            </w:pPr>
          </w:p>
        </w:tc>
        <w:tc>
          <w:tcPr>
            <w:tcW w:w="100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July 31, 2025</w:t>
            </w:r>
          </w:p>
        </w:tc>
        <w:tc>
          <w:tcPr>
            <w:tcW w:w="720" w:type="dxa"/>
            <w:vAlign w:val="bottom"/>
          </w:tcPr>
          <w:p>
            <w:pPr>
              <w:jc w:val="right"/>
              <w:ind w:right="62"/>
              <w:spacing w:after="0" w:line="86" w:lineRule="exact"/>
              <w:rPr>
                <w:sz w:val="20"/>
                <w:szCs w:val="20"/>
                <w:color w:val="auto"/>
              </w:rPr>
            </w:pPr>
            <w:r>
              <w:rPr>
                <w:rFonts w:ascii="Arial" w:cs="Arial" w:eastAsia="Arial" w:hAnsi="Arial"/>
                <w:sz w:val="9"/>
                <w:szCs w:val="9"/>
                <w:b w:val="1"/>
                <w:bCs w:val="1"/>
                <w:color w:val="auto"/>
              </w:rPr>
              <w:t>January 31,</w:t>
            </w:r>
          </w:p>
        </w:tc>
        <w:tc>
          <w:tcPr>
            <w:tcW w:w="0" w:type="dxa"/>
            <w:vAlign w:val="bottom"/>
          </w:tcPr>
          <w:p>
            <w:pPr>
              <w:spacing w:after="0"/>
              <w:rPr>
                <w:sz w:val="1"/>
                <w:szCs w:val="1"/>
                <w:color w:val="auto"/>
              </w:rPr>
            </w:pPr>
          </w:p>
        </w:tc>
      </w:tr>
      <w:tr>
        <w:trPr>
          <w:trHeight w:val="153"/>
        </w:trPr>
        <w:tc>
          <w:tcPr>
            <w:tcW w:w="42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720" w:type="dxa"/>
            <w:vAlign w:val="bottom"/>
          </w:tcPr>
          <w:p>
            <w:pPr>
              <w:jc w:val="right"/>
              <w:ind w:right="242"/>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72"/>
        </w:trPr>
        <w:tc>
          <w:tcPr>
            <w:tcW w:w="42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Volatility</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50.0 %</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55.0 %</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Risk-free interest rate </w:t>
            </w:r>
            <w:r>
              <w:rPr>
                <w:rFonts w:ascii="Times New Roman" w:cs="Times New Roman" w:eastAsia="Times New Roman" w:hAnsi="Times New Roman"/>
                <w:sz w:val="12"/>
                <w:szCs w:val="12"/>
                <w:color w:val="B4B4B4"/>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3.9 %</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4.1 %</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Expected term (in years) </w:t>
            </w:r>
            <w:r>
              <w:rPr>
                <w:rFonts w:ascii="Times New Roman" w:cs="Times New Roman" w:eastAsia="Times New Roman" w:hAnsi="Times New Roman"/>
                <w:sz w:val="12"/>
                <w:szCs w:val="12"/>
                <w:color w:val="B4B4B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82"/>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Dividend yield </w:t>
            </w:r>
            <w:r>
              <w:rPr>
                <w:rFonts w:ascii="Times New Roman" w:cs="Times New Roman" w:eastAsia="Times New Roman" w:hAnsi="Times New Roman"/>
                <w:sz w:val="12"/>
                <w:szCs w:val="12"/>
                <w:color w:val="B4B4B4"/>
              </w:rPr>
              <w:t>..........................................................................................................</w:t>
            </w:r>
          </w:p>
        </w:tc>
        <w:tc>
          <w:tcPr>
            <w:tcW w:w="1000" w:type="dxa"/>
            <w:vAlign w:val="bottom"/>
            <w:gridSpan w:val="3"/>
          </w:tcPr>
          <w:p>
            <w:pPr>
              <w:jc w:val="right"/>
              <w:ind w:right="180"/>
              <w:spacing w:after="0"/>
              <w:rPr>
                <w:sz w:val="20"/>
                <w:szCs w:val="20"/>
                <w:color w:val="auto"/>
              </w:rPr>
            </w:pPr>
            <w:r>
              <w:rPr>
                <w:rFonts w:ascii="Arial" w:cs="Arial" w:eastAsia="Arial" w:hAnsi="Arial"/>
                <w:sz w:val="12"/>
                <w:szCs w:val="12"/>
                <w:color w:val="auto"/>
              </w:rPr>
              <w:t>— %</w:t>
            </w:r>
          </w:p>
        </w:tc>
        <w:tc>
          <w:tcPr>
            <w:tcW w:w="720" w:type="dxa"/>
            <w:vAlign w:val="bottom"/>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520" w:right="1700" w:firstLine="230"/>
        <w:spacing w:after="0" w:line="281" w:lineRule="auto"/>
        <w:rPr>
          <w:sz w:val="20"/>
          <w:szCs w:val="20"/>
          <w:color w:val="auto"/>
        </w:rPr>
      </w:pPr>
      <w:r>
        <w:rPr>
          <w:rFonts w:ascii="Arial" w:cs="Arial" w:eastAsia="Arial" w:hAnsi="Arial"/>
          <w:sz w:val="12"/>
          <w:szCs w:val="12"/>
          <w:color w:val="auto"/>
        </w:rPr>
        <w:t>The redeemable convertible preferred stock warrant liability is recorded within other non-current liabilities on the condensed consolidated balance sheets. Changes in fair value are recorded in gain (loss) on fair value adjustments on the accompanying condensed consolidated statements of operations for the six months ended July 31, 2025 and 2024. We will continue to adjust the redeemable convertible</w:t>
      </w: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F-57</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ind w:left="1520" w:right="2160"/>
        <w:spacing w:after="0" w:line="312" w:lineRule="auto"/>
        <w:rPr>
          <w:sz w:val="20"/>
          <w:szCs w:val="20"/>
          <w:color w:val="auto"/>
        </w:rPr>
      </w:pPr>
      <w:r>
        <w:rPr>
          <w:rFonts w:ascii="Arial" w:cs="Arial" w:eastAsia="Arial" w:hAnsi="Arial"/>
          <w:sz w:val="12"/>
          <w:szCs w:val="12"/>
          <w:color w:val="auto"/>
        </w:rPr>
        <w:t>preferred stock warrant liability for changes in fair value until the earlier of conversion, exercise or expiration of the warrants.</w:t>
      </w:r>
    </w:p>
    <w:p>
      <w:pPr>
        <w:spacing w:after="0" w:line="62" w:lineRule="exact"/>
        <w:rPr>
          <w:sz w:val="20"/>
          <w:szCs w:val="20"/>
          <w:color w:val="auto"/>
        </w:rPr>
      </w:pPr>
    </w:p>
    <w:p>
      <w:pPr>
        <w:ind w:left="1520" w:right="1700" w:firstLine="230"/>
        <w:spacing w:after="0" w:line="281" w:lineRule="auto"/>
        <w:rPr>
          <w:sz w:val="20"/>
          <w:szCs w:val="20"/>
          <w:color w:val="auto"/>
        </w:rPr>
      </w:pPr>
      <w:r>
        <w:rPr>
          <w:rFonts w:ascii="Arial" w:cs="Arial" w:eastAsia="Arial" w:hAnsi="Arial"/>
          <w:sz w:val="12"/>
          <w:szCs w:val="12"/>
          <w:color w:val="auto"/>
        </w:rPr>
        <w:t>Fair value measurements are highly sensitive to changes in these inputs; significant changes in these inputs would result in a significantly higher or lower fair value. The change in value of the redeemable convertible preferred stock warrant liability during the six months ended July 31, 2025 is summarized below (in thousands):</w:t>
      </w:r>
    </w:p>
    <w:p>
      <w:pPr>
        <w:spacing w:after="0" w:line="119" w:lineRule="exact"/>
        <w:rPr>
          <w:sz w:val="20"/>
          <w:szCs w:val="20"/>
          <w:color w:val="auto"/>
        </w:rPr>
      </w:pPr>
    </w:p>
    <w:tbl>
      <w:tblPr>
        <w:tblLayout w:type="fixed"/>
        <w:tblInd w:w="1520" w:type="dxa"/>
        <w:tblCellMar>
          <w:top w:w="0" w:type="dxa"/>
          <w:left w:w="0" w:type="dxa"/>
          <w:bottom w:w="0" w:type="dxa"/>
          <w:right w:w="0" w:type="dxa"/>
        </w:tblCellMar>
      </w:tblPr>
      <w:tr>
        <w:trPr>
          <w:trHeight w:val="182"/>
        </w:trPr>
        <w:tc>
          <w:tcPr>
            <w:tcW w:w="51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 xml:space="preserve">Balance as of January 31, 2025 </w:t>
            </w:r>
            <w:r>
              <w:rPr>
                <w:rFonts w:ascii="Times New Roman" w:cs="Times New Roman" w:eastAsia="Times New Roman" w:hAnsi="Times New Roman"/>
                <w:sz w:val="12"/>
                <w:szCs w:val="12"/>
                <w:color w:val="B4B4B4"/>
              </w:rPr>
              <w:t>......................................................................................................</w:t>
            </w:r>
          </w:p>
        </w:tc>
        <w:tc>
          <w:tcPr>
            <w:tcW w:w="34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w:t>
            </w:r>
          </w:p>
        </w:tc>
      </w:tr>
      <w:tr>
        <w:trPr>
          <w:trHeight w:val="173"/>
        </w:trPr>
        <w:tc>
          <w:tcPr>
            <w:tcW w:w="5140" w:type="dxa"/>
            <w:vAlign w:val="bottom"/>
            <w:tcBorders>
              <w:bottom w:val="single" w:sz="8" w:color="CCEEFF"/>
            </w:tcBorders>
          </w:tcPr>
          <w:p>
            <w:pPr>
              <w:jc w:val="right"/>
              <w:ind w:right="78"/>
              <w:spacing w:after="0"/>
              <w:rPr>
                <w:sz w:val="20"/>
                <w:szCs w:val="20"/>
                <w:color w:val="auto"/>
              </w:rPr>
            </w:pPr>
            <w:r>
              <w:rPr>
                <w:rFonts w:ascii="Arial" w:cs="Arial" w:eastAsia="Arial" w:hAnsi="Arial"/>
                <w:sz w:val="12"/>
                <w:szCs w:val="12"/>
                <w:color w:val="auto"/>
              </w:rPr>
              <w:t xml:space="preserve">Change in fair value </w:t>
            </w:r>
            <w:r>
              <w:rPr>
                <w:rFonts w:ascii="Times New Roman" w:cs="Times New Roman" w:eastAsia="Times New Roman" w:hAnsi="Times New Roman"/>
                <w:sz w:val="12"/>
                <w:szCs w:val="12"/>
                <w:color w:val="B4B4B4"/>
              </w:rPr>
              <w:t>...........................................................................................................................</w:t>
            </w:r>
          </w:p>
        </w:tc>
        <w:tc>
          <w:tcPr>
            <w:tcW w:w="3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r>
      <w:tr>
        <w:trPr>
          <w:trHeight w:val="170"/>
        </w:trPr>
        <w:tc>
          <w:tcPr>
            <w:tcW w:w="51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BalanceasofJuly31,2025</w:t>
            </w:r>
          </w:p>
        </w:tc>
        <w:tc>
          <w:tcPr>
            <w:tcW w:w="3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433</w:t>
            </w:r>
          </w:p>
        </w:tc>
      </w:tr>
    </w:tbl>
    <w:p>
      <w:pPr>
        <w:sectPr>
          <w:pgSz w:w="11900" w:h="16840" w:orient="portrait"/>
          <w:cols w:equalWidth="0" w:num="1">
            <w:col w:w="9020"/>
          </w:cols>
          <w:pgMar w:left="1440" w:top="560" w:right="1440" w:bottom="51" w:gutter="0" w:footer="0" w:header="0"/>
        </w:sectPr>
      </w:pPr>
    </w:p>
    <w:bookmarkStart w:id="198" w:name="page199"/>
    <w:bookmarkEnd w:id="198"/>
    <w:p>
      <w:pPr>
        <w:ind w:left="1760"/>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Embedded Derivative Liability</w:t>
      </w:r>
    </w:p>
    <w:p>
      <w:pPr>
        <w:spacing w:after="0" w:line="128" w:lineRule="exact"/>
        <w:rPr>
          <w:sz w:val="20"/>
          <w:szCs w:val="20"/>
          <w:color w:val="auto"/>
        </w:rPr>
      </w:pPr>
    </w:p>
    <w:p>
      <w:pPr>
        <w:jc w:val="both"/>
        <w:ind w:left="1520" w:right="1780" w:firstLine="230"/>
        <w:spacing w:after="0" w:line="271" w:lineRule="auto"/>
        <w:rPr>
          <w:sz w:val="20"/>
          <w:szCs w:val="20"/>
          <w:color w:val="auto"/>
        </w:rPr>
      </w:pPr>
      <w:r>
        <w:rPr>
          <w:rFonts w:ascii="Arial" w:cs="Arial" w:eastAsia="Arial" w:hAnsi="Arial"/>
          <w:sz w:val="12"/>
          <w:szCs w:val="12"/>
          <w:color w:val="auto"/>
        </w:rPr>
        <w:t>The embedded derivative liability is bifurcated from the convertible notes issued in June 2020. Refer to Note 7 — Debt for further information regarding the convertible notes. The fair value of the embedded derivative liability was computed using a combination of the income approach, the Black-Scholes option pricing model, a probability-weighted estimate of the time to conversion, and other Level 3 inputs.</w:t>
      </w:r>
    </w:p>
    <w:p>
      <w:pPr>
        <w:spacing w:after="0" w:line="1" w:lineRule="exact"/>
        <w:rPr>
          <w:sz w:val="20"/>
          <w:szCs w:val="20"/>
          <w:color w:val="auto"/>
        </w:rPr>
      </w:pPr>
    </w:p>
    <w:p>
      <w:pPr>
        <w:ind w:left="1520" w:right="1820"/>
        <w:spacing w:after="0" w:line="279" w:lineRule="auto"/>
        <w:rPr>
          <w:sz w:val="20"/>
          <w:szCs w:val="20"/>
          <w:color w:val="auto"/>
        </w:rPr>
      </w:pPr>
      <w:r>
        <w:rPr>
          <w:rFonts w:ascii="Arial" w:cs="Arial" w:eastAsia="Arial" w:hAnsi="Arial"/>
          <w:sz w:val="12"/>
          <w:szCs w:val="12"/>
          <w:color w:val="auto"/>
        </w:rPr>
        <w:t>Significant management assumptions and estimates were involved in this determination. The significant unobservable inputs used in measuring the fair value of the embedded derivative liability include the following:</w:t>
      </w:r>
    </w:p>
    <w:p>
      <w:pPr>
        <w:spacing w:after="0" w:line="120"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020" w:type="dxa"/>
            <w:vAlign w:val="bottom"/>
          </w:tcPr>
          <w:p>
            <w:pPr>
              <w:spacing w:after="0"/>
              <w:rPr>
                <w:sz w:val="13"/>
                <w:szCs w:val="13"/>
                <w:color w:val="auto"/>
              </w:rPr>
            </w:pPr>
          </w:p>
        </w:tc>
        <w:tc>
          <w:tcPr>
            <w:tcW w:w="1280" w:type="dxa"/>
            <w:vAlign w:val="bottom"/>
            <w:tcBorders>
              <w:bottom w:val="single" w:sz="8" w:color="auto"/>
            </w:tcBorders>
            <w:gridSpan w:val="4"/>
          </w:tcPr>
          <w:p>
            <w:pPr>
              <w:jc w:val="right"/>
              <w:ind w:right="118"/>
              <w:spacing w:after="0"/>
              <w:rPr>
                <w:sz w:val="20"/>
                <w:szCs w:val="20"/>
                <w:color w:val="auto"/>
              </w:rPr>
            </w:pPr>
            <w:r>
              <w:rPr>
                <w:rFonts w:ascii="Arial" w:cs="Arial" w:eastAsia="Arial" w:hAnsi="Arial"/>
                <w:sz w:val="11"/>
                <w:szCs w:val="11"/>
                <w:b w:val="1"/>
                <w:bCs w:val="1"/>
                <w:color w:val="auto"/>
              </w:rPr>
              <w:t>As of</w:t>
            </w:r>
          </w:p>
        </w:tc>
        <w:tc>
          <w:tcPr>
            <w:tcW w:w="680" w:type="dxa"/>
            <w:vAlign w:val="bottom"/>
            <w:tcBorders>
              <w:bottom w:val="single" w:sz="8" w:color="auto"/>
            </w:tcBorders>
          </w:tcPr>
          <w:p>
            <w:pPr>
              <w:spacing w:after="0"/>
              <w:rPr>
                <w:sz w:val="13"/>
                <w:szCs w:val="13"/>
                <w:color w:val="auto"/>
              </w:rPr>
            </w:pPr>
          </w:p>
        </w:tc>
      </w:tr>
      <w:tr>
        <w:trPr>
          <w:trHeight w:val="147"/>
        </w:trPr>
        <w:tc>
          <w:tcPr>
            <w:tcW w:w="40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July 31, 2025</w:t>
            </w:r>
          </w:p>
        </w:tc>
        <w:tc>
          <w:tcPr>
            <w:tcW w:w="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5"/>
              </w:rPr>
              <w:t>January 31, 2025</w:t>
            </w:r>
          </w:p>
        </w:tc>
      </w:tr>
      <w:tr>
        <w:trPr>
          <w:trHeight w:val="167"/>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Timetoexpiration(inyears)</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0.21 - 1.21</w:t>
            </w:r>
          </w:p>
        </w:tc>
        <w:tc>
          <w:tcPr>
            <w:tcW w:w="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2"/>
                <w:szCs w:val="12"/>
                <w:color w:val="auto"/>
              </w:rPr>
              <w:t>0.70 - 1.70</w:t>
            </w:r>
          </w:p>
        </w:tc>
      </w:tr>
      <w:tr>
        <w:trPr>
          <w:trHeight w:val="173"/>
        </w:trPr>
        <w:tc>
          <w:tcPr>
            <w:tcW w:w="4020" w:type="dxa"/>
            <w:vAlign w:val="bottom"/>
          </w:tcPr>
          <w:p>
            <w:pPr>
              <w:ind w:left="40"/>
              <w:spacing w:after="0"/>
              <w:rPr>
                <w:sz w:val="20"/>
                <w:szCs w:val="20"/>
                <w:color w:val="auto"/>
              </w:rPr>
            </w:pPr>
            <w:r>
              <w:rPr>
                <w:rFonts w:ascii="Arial" w:cs="Arial" w:eastAsia="Arial" w:hAnsi="Arial"/>
                <w:sz w:val="12"/>
                <w:szCs w:val="12"/>
                <w:color w:val="auto"/>
              </w:rPr>
              <w:t xml:space="preserve">Time from conversion to maturity (in years)  </w:t>
            </w:r>
            <w:r>
              <w:rPr>
                <w:rFonts w:ascii="Times New Roman" w:cs="Times New Roman" w:eastAsia="Times New Roman" w:hAnsi="Times New Roman"/>
                <w:sz w:val="12"/>
                <w:szCs w:val="12"/>
                <w:color w:val="B4B4B4"/>
              </w:rPr>
              <w:t>...............................................</w:t>
            </w:r>
          </w:p>
        </w:tc>
        <w:tc>
          <w:tcPr>
            <w:tcW w:w="960" w:type="dxa"/>
            <w:vAlign w:val="bottom"/>
          </w:tcPr>
          <w:p>
            <w:pPr>
              <w:jc w:val="center"/>
              <w:spacing w:after="0"/>
              <w:rPr>
                <w:sz w:val="20"/>
                <w:szCs w:val="20"/>
                <w:color w:val="auto"/>
              </w:rPr>
            </w:pPr>
            <w:r>
              <w:rPr>
                <w:rFonts w:ascii="Arial" w:cs="Arial" w:eastAsia="Arial" w:hAnsi="Arial"/>
                <w:sz w:val="12"/>
                <w:szCs w:val="12"/>
                <w:color w:val="auto"/>
              </w:rPr>
              <w:t>0.65 - 1.65</w:t>
            </w:r>
          </w:p>
        </w:tc>
        <w:tc>
          <w:tcPr>
            <w:tcW w:w="1000" w:type="dxa"/>
            <w:vAlign w:val="bottom"/>
            <w:gridSpan w:val="4"/>
          </w:tcPr>
          <w:p>
            <w:pPr>
              <w:jc w:val="center"/>
              <w:spacing w:after="0"/>
              <w:rPr>
                <w:sz w:val="20"/>
                <w:szCs w:val="20"/>
                <w:color w:val="auto"/>
              </w:rPr>
            </w:pPr>
            <w:r>
              <w:rPr>
                <w:rFonts w:ascii="Arial" w:cs="Arial" w:eastAsia="Arial" w:hAnsi="Arial"/>
                <w:sz w:val="12"/>
                <w:szCs w:val="12"/>
                <w:color w:val="auto"/>
              </w:rPr>
              <w:t>0.65 - 1.65</w:t>
            </w:r>
          </w:p>
        </w:tc>
      </w:tr>
      <w:tr>
        <w:trPr>
          <w:trHeight w:val="190"/>
        </w:trPr>
        <w:tc>
          <w:tcPr>
            <w:tcW w:w="40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Discount factor </w:t>
            </w:r>
            <w:r>
              <w:rPr>
                <w:rFonts w:ascii="Times New Roman" w:cs="Times New Roman" w:eastAsia="Times New Roman" w:hAnsi="Times New Roman"/>
                <w:sz w:val="12"/>
                <w:szCs w:val="12"/>
                <w:color w:val="B4B4B4"/>
              </w:rPr>
              <w:t>.................................................................................................</w:t>
            </w:r>
          </w:p>
        </w:tc>
        <w:tc>
          <w:tcPr>
            <w:tcW w:w="9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9.0%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right="218"/>
              <w:spacing w:after="0"/>
              <w:rPr>
                <w:sz w:val="20"/>
                <w:szCs w:val="20"/>
                <w:color w:val="auto"/>
              </w:rPr>
            </w:pPr>
            <w:r>
              <w:rPr>
                <w:rFonts w:ascii="Arial" w:cs="Arial" w:eastAsia="Arial" w:hAnsi="Arial"/>
                <w:sz w:val="12"/>
                <w:szCs w:val="12"/>
                <w:color w:val="auto"/>
              </w:rPr>
              <w:t>9.0%</w:t>
            </w:r>
          </w:p>
        </w:tc>
      </w:tr>
      <w:tr>
        <w:trPr>
          <w:trHeight w:val="173"/>
        </w:trPr>
        <w:tc>
          <w:tcPr>
            <w:tcW w:w="4020" w:type="dxa"/>
            <w:vAlign w:val="bottom"/>
          </w:tcPr>
          <w:p>
            <w:pPr>
              <w:ind w:left="40"/>
              <w:spacing w:after="0"/>
              <w:rPr>
                <w:sz w:val="20"/>
                <w:szCs w:val="20"/>
                <w:color w:val="auto"/>
              </w:rPr>
            </w:pPr>
            <w:r>
              <w:rPr>
                <w:rFonts w:ascii="Arial" w:cs="Arial" w:eastAsia="Arial" w:hAnsi="Arial"/>
                <w:sz w:val="12"/>
                <w:szCs w:val="12"/>
                <w:color w:val="auto"/>
              </w:rPr>
              <w:t xml:space="preserve">Volatility </w:t>
            </w:r>
            <w:r>
              <w:rPr>
                <w:rFonts w:ascii="Times New Roman" w:cs="Times New Roman" w:eastAsia="Times New Roman" w:hAnsi="Times New Roman"/>
                <w:sz w:val="12"/>
                <w:szCs w:val="12"/>
                <w:color w:val="B4B4B4"/>
              </w:rPr>
              <w:t>.............................................................................................................</w:t>
            </w:r>
          </w:p>
        </w:tc>
        <w:tc>
          <w:tcPr>
            <w:tcW w:w="960" w:type="dxa"/>
            <w:vAlign w:val="bottom"/>
          </w:tcPr>
          <w:p>
            <w:pPr>
              <w:jc w:val="center"/>
              <w:spacing w:after="0"/>
              <w:rPr>
                <w:sz w:val="20"/>
                <w:szCs w:val="20"/>
                <w:color w:val="auto"/>
              </w:rPr>
            </w:pPr>
            <w:r>
              <w:rPr>
                <w:rFonts w:ascii="Arial" w:cs="Arial" w:eastAsia="Arial" w:hAnsi="Arial"/>
                <w:sz w:val="12"/>
                <w:szCs w:val="12"/>
                <w:color w:val="auto"/>
              </w:rPr>
              <w:t>48.6 - 74.5%</w:t>
            </w:r>
          </w:p>
        </w:tc>
        <w:tc>
          <w:tcPr>
            <w:tcW w:w="1000" w:type="dxa"/>
            <w:vAlign w:val="bottom"/>
            <w:gridSpan w:val="4"/>
          </w:tcPr>
          <w:p>
            <w:pPr>
              <w:jc w:val="right"/>
              <w:ind w:right="18"/>
              <w:spacing w:after="0"/>
              <w:rPr>
                <w:sz w:val="20"/>
                <w:szCs w:val="20"/>
                <w:color w:val="auto"/>
              </w:rPr>
            </w:pPr>
            <w:r>
              <w:rPr>
                <w:rFonts w:ascii="Arial" w:cs="Arial" w:eastAsia="Arial" w:hAnsi="Arial"/>
                <w:sz w:val="12"/>
                <w:szCs w:val="12"/>
                <w:color w:val="auto"/>
              </w:rPr>
              <w:t>57.8% - 72.6%</w:t>
            </w:r>
          </w:p>
        </w:tc>
      </w:tr>
      <w:tr>
        <w:trPr>
          <w:trHeight w:val="190"/>
        </w:trPr>
        <w:tc>
          <w:tcPr>
            <w:tcW w:w="40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Risk free rate </w:t>
            </w:r>
            <w:r>
              <w:rPr>
                <w:rFonts w:ascii="Times New Roman" w:cs="Times New Roman" w:eastAsia="Times New Roman" w:hAnsi="Times New Roman"/>
                <w:sz w:val="12"/>
                <w:szCs w:val="12"/>
                <w:color w:val="B4B4B4"/>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3.99 - 4.33%</w:t>
            </w:r>
          </w:p>
        </w:tc>
        <w:tc>
          <w:tcPr>
            <w:tcW w:w="1000" w:type="dxa"/>
            <w:vAlign w:val="bottom"/>
            <w:gridSpan w:val="4"/>
            <w:shd w:val="clear" w:color="auto" w:fill="CCEEFF"/>
          </w:tcPr>
          <w:p>
            <w:pPr>
              <w:jc w:val="right"/>
              <w:ind w:right="98"/>
              <w:spacing w:after="0"/>
              <w:rPr>
                <w:sz w:val="20"/>
                <w:szCs w:val="20"/>
                <w:color w:val="auto"/>
              </w:rPr>
            </w:pPr>
            <w:r>
              <w:rPr>
                <w:rFonts w:ascii="Arial" w:cs="Arial" w:eastAsia="Arial" w:hAnsi="Arial"/>
                <w:sz w:val="12"/>
                <w:szCs w:val="12"/>
                <w:color w:val="auto"/>
              </w:rPr>
              <w:t>4.1% - 4.2%</w:t>
            </w:r>
          </w:p>
        </w:tc>
      </w:tr>
      <w:tr>
        <w:trPr>
          <w:trHeight w:val="296"/>
        </w:trPr>
        <w:tc>
          <w:tcPr>
            <w:tcW w:w="4980" w:type="dxa"/>
            <w:vAlign w:val="bottom"/>
            <w:gridSpan w:val="2"/>
          </w:tcPr>
          <w:p>
            <w:pPr>
              <w:ind w:left="240"/>
              <w:spacing w:after="0"/>
              <w:rPr>
                <w:sz w:val="20"/>
                <w:szCs w:val="20"/>
                <w:color w:val="auto"/>
              </w:rPr>
            </w:pPr>
            <w:r>
              <w:rPr>
                <w:rFonts w:ascii="Arial" w:cs="Arial" w:eastAsia="Arial" w:hAnsi="Arial"/>
                <w:sz w:val="12"/>
                <w:szCs w:val="12"/>
                <w:color w:val="auto"/>
              </w:rPr>
              <w:t>The change in value of the embedded derivative liability during the six months ended</w:t>
            </w:r>
          </w:p>
        </w:tc>
        <w:tc>
          <w:tcPr>
            <w:tcW w:w="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2"/>
                <w:szCs w:val="12"/>
                <w:color w:val="auto"/>
              </w:rPr>
              <w:t>July 31, 2025 is</w:t>
            </w:r>
          </w:p>
        </w:tc>
      </w:tr>
      <w:tr>
        <w:trPr>
          <w:trHeight w:val="165"/>
        </w:trPr>
        <w:tc>
          <w:tcPr>
            <w:tcW w:w="4020" w:type="dxa"/>
            <w:vAlign w:val="bottom"/>
          </w:tcPr>
          <w:p>
            <w:pPr>
              <w:spacing w:after="0"/>
              <w:rPr>
                <w:sz w:val="20"/>
                <w:szCs w:val="20"/>
                <w:color w:val="auto"/>
              </w:rPr>
            </w:pPr>
            <w:r>
              <w:rPr>
                <w:rFonts w:ascii="Arial" w:cs="Arial" w:eastAsia="Arial" w:hAnsi="Arial"/>
                <w:sz w:val="12"/>
                <w:szCs w:val="12"/>
                <w:color w:val="auto"/>
              </w:rPr>
              <w:t>summarized below (in thousands):</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2"/>
        </w:trPr>
        <w:tc>
          <w:tcPr>
            <w:tcW w:w="4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2"/>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xml:space="preserve">Balance as of January 31, 2025 </w:t>
            </w:r>
            <w:r>
              <w:rPr>
                <w:rFonts w:ascii="Times New Roman" w:cs="Times New Roman" w:eastAsia="Times New Roman" w:hAnsi="Times New Roman"/>
                <w:sz w:val="12"/>
                <w:szCs w:val="12"/>
                <w:color w:val="B4B4B4"/>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59,820</w:t>
            </w:r>
          </w:p>
        </w:tc>
      </w:tr>
      <w:tr>
        <w:trPr>
          <w:trHeight w:val="173"/>
        </w:trPr>
        <w:tc>
          <w:tcPr>
            <w:tcW w:w="4980" w:type="dxa"/>
            <w:vAlign w:val="bottom"/>
            <w:tcBorders>
              <w:bottom w:val="single" w:sz="8" w:color="CCEEFF"/>
            </w:tcBorders>
            <w:gridSpan w:val="2"/>
          </w:tcPr>
          <w:p>
            <w:pPr>
              <w:ind w:left="40"/>
              <w:spacing w:after="0"/>
              <w:rPr>
                <w:sz w:val="20"/>
                <w:szCs w:val="20"/>
                <w:color w:val="auto"/>
              </w:rPr>
            </w:pPr>
            <w:r>
              <w:rPr>
                <w:rFonts w:ascii="Arial" w:cs="Arial" w:eastAsia="Arial" w:hAnsi="Arial"/>
                <w:sz w:val="12"/>
                <w:szCs w:val="12"/>
                <w:color w:val="auto"/>
              </w:rPr>
              <w:t xml:space="preserve">Change in fair value </w:t>
            </w:r>
            <w:r>
              <w:rPr>
                <w:rFonts w:ascii="Times New Roman" w:cs="Times New Roman" w:eastAsia="Times New Roman" w:hAnsi="Times New Roman"/>
                <w:sz w:val="12"/>
                <w:szCs w:val="12"/>
                <w:color w:val="B4B4B4"/>
              </w:rPr>
              <w:t>...........................................................................................................................</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(21,320)</w:t>
            </w:r>
          </w:p>
        </w:tc>
      </w:tr>
      <w:tr>
        <w:trPr>
          <w:trHeight w:val="17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BalanceasofJuly31,2025</w:t>
            </w:r>
          </w:p>
        </w:tc>
        <w:tc>
          <w:tcPr>
            <w:tcW w:w="160" w:type="dxa"/>
            <w:vAlign w:val="bottom"/>
            <w:tcBorders>
              <w:bottom w:val="single" w:sz="8" w:color="CCEEFF"/>
            </w:tcBorders>
            <w:gridSpan w:val="2"/>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38,500</w:t>
            </w:r>
          </w:p>
        </w:tc>
      </w:tr>
    </w:tbl>
    <w:p>
      <w:pPr>
        <w:spacing w:after="0" w:line="124" w:lineRule="exact"/>
        <w:rPr>
          <w:sz w:val="20"/>
          <w:szCs w:val="20"/>
          <w:color w:val="auto"/>
        </w:rPr>
      </w:pPr>
    </w:p>
    <w:p>
      <w:pPr>
        <w:ind w:left="1520" w:right="1800" w:firstLine="230"/>
        <w:spacing w:after="0" w:line="312" w:lineRule="auto"/>
        <w:rPr>
          <w:sz w:val="20"/>
          <w:szCs w:val="20"/>
          <w:color w:val="auto"/>
        </w:rPr>
      </w:pPr>
      <w:r>
        <w:rPr>
          <w:rFonts w:ascii="Arial" w:cs="Arial" w:eastAsia="Arial" w:hAnsi="Arial"/>
          <w:sz w:val="12"/>
          <w:szCs w:val="12"/>
          <w:color w:val="auto"/>
        </w:rPr>
        <w:t>Changes in fair value of the embedded derivative liability are recognized as a component of gain (loss) on fair value adjustments in the accompanying condensed consolidated statements of operations.</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Simple Agreements for Future Equity (SAFEs) and Common Stock Warrants</w:t>
      </w:r>
    </w:p>
    <w:p>
      <w:pPr>
        <w:spacing w:after="0" w:line="128" w:lineRule="exact"/>
        <w:rPr>
          <w:sz w:val="20"/>
          <w:szCs w:val="20"/>
          <w:color w:val="auto"/>
        </w:rPr>
      </w:pPr>
    </w:p>
    <w:p>
      <w:pPr>
        <w:ind w:left="1520" w:right="1760" w:firstLine="230"/>
        <w:spacing w:after="0" w:line="312" w:lineRule="auto"/>
        <w:rPr>
          <w:sz w:val="20"/>
          <w:szCs w:val="20"/>
          <w:color w:val="auto"/>
        </w:rPr>
      </w:pPr>
      <w:r>
        <w:rPr>
          <w:rFonts w:ascii="Arial" w:cs="Arial" w:eastAsia="Arial" w:hAnsi="Arial"/>
          <w:sz w:val="12"/>
          <w:szCs w:val="12"/>
          <w:color w:val="auto"/>
        </w:rPr>
        <w:t>During the six months ended July 31, 2025 , we entered into SAFEs with multiple investors. Refer to Note 7 — Debt for further information regarding the conversion features and terms of the SAFEs.</w:t>
      </w:r>
    </w:p>
    <w:p>
      <w:pPr>
        <w:spacing w:after="0" w:line="62" w:lineRule="exact"/>
        <w:rPr>
          <w:sz w:val="20"/>
          <w:szCs w:val="20"/>
          <w:color w:val="auto"/>
        </w:rPr>
      </w:pPr>
    </w:p>
    <w:p>
      <w:pPr>
        <w:jc w:val="both"/>
        <w:ind w:left="1520" w:right="1720" w:firstLine="230"/>
        <w:spacing w:after="0" w:line="281" w:lineRule="auto"/>
        <w:rPr>
          <w:sz w:val="20"/>
          <w:szCs w:val="20"/>
          <w:color w:val="auto"/>
        </w:rPr>
      </w:pPr>
      <w:r>
        <w:rPr>
          <w:rFonts w:ascii="Arial" w:cs="Arial" w:eastAsia="Arial" w:hAnsi="Arial"/>
          <w:sz w:val="12"/>
          <w:szCs w:val="12"/>
          <w:color w:val="auto"/>
        </w:rPr>
        <w:t>We issued common stock warrants to investors together with the SAFEs. The number of shares that can be issued upon exercise of the common stock warrants is determined based on a fixed percentage of the fully diluted capitalization prior to the earliest to occur of (a) a deemed liquidation event, (b) a liquidity event, and (c) the date of exercise.</w:t>
      </w:r>
    </w:p>
    <w:p>
      <w:pPr>
        <w:spacing w:after="0" w:line="81" w:lineRule="exact"/>
        <w:rPr>
          <w:sz w:val="20"/>
          <w:szCs w:val="20"/>
          <w:color w:val="auto"/>
        </w:rPr>
      </w:pPr>
    </w:p>
    <w:p>
      <w:pPr>
        <w:ind w:left="1520" w:right="1800" w:firstLine="230"/>
        <w:spacing w:after="0" w:line="289" w:lineRule="auto"/>
        <w:rPr>
          <w:sz w:val="20"/>
          <w:szCs w:val="20"/>
          <w:color w:val="auto"/>
        </w:rPr>
      </w:pPr>
      <w:r>
        <w:rPr>
          <w:rFonts w:ascii="Arial" w:cs="Arial" w:eastAsia="Arial" w:hAnsi="Arial"/>
          <w:sz w:val="12"/>
          <w:szCs w:val="12"/>
          <w:color w:val="auto"/>
        </w:rPr>
        <w:t>The SAFEs are presented within convertible notes and SAFEs, and the common stock warrants are presented within embedded derivative and common stock warrant liabilities within the accompanying condensed consolidated balance sheets. The SAFEs and common stock warrants are measured at fair</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F-58</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ind w:left="1520" w:right="1920"/>
        <w:spacing w:after="0" w:line="312" w:lineRule="auto"/>
        <w:rPr>
          <w:sz w:val="20"/>
          <w:szCs w:val="20"/>
          <w:color w:val="auto"/>
        </w:rPr>
      </w:pPr>
      <w:r>
        <w:rPr>
          <w:rFonts w:ascii="Arial" w:cs="Arial" w:eastAsia="Arial" w:hAnsi="Arial"/>
          <w:sz w:val="12"/>
          <w:szCs w:val="12"/>
          <w:color w:val="auto"/>
        </w:rPr>
        <w:t>value on a recurring basis, with changes in fair value recognized as a component of gain (loss) on fair value adjustments in the accompanying condensed consolidated statements of operations.</w:t>
      </w:r>
    </w:p>
    <w:p>
      <w:pPr>
        <w:spacing w:after="0" w:line="62" w:lineRule="exact"/>
        <w:rPr>
          <w:sz w:val="20"/>
          <w:szCs w:val="20"/>
          <w:color w:val="auto"/>
        </w:rPr>
      </w:pPr>
    </w:p>
    <w:p>
      <w:pPr>
        <w:ind w:left="1520" w:right="2040" w:firstLine="230"/>
        <w:spacing w:after="0" w:line="289" w:lineRule="auto"/>
        <w:rPr>
          <w:sz w:val="20"/>
          <w:szCs w:val="20"/>
          <w:color w:val="auto"/>
        </w:rPr>
      </w:pPr>
      <w:r>
        <w:rPr>
          <w:rFonts w:ascii="Arial" w:cs="Arial" w:eastAsia="Arial" w:hAnsi="Arial"/>
          <w:sz w:val="12"/>
          <w:szCs w:val="12"/>
          <w:color w:val="auto"/>
        </w:rPr>
        <w:t>The fair value of the SAFEs was computed using an income approach. The primary significant unobservable input used in measuring the fair value of the SAFEs is the time until conversion. As of July 31, 2025 , the time until conversion was 0.21 years to 1.21 years.</w:t>
      </w:r>
    </w:p>
    <w:p>
      <w:pPr>
        <w:spacing w:after="0" w:line="76"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80" w:type="dxa"/>
            <w:vAlign w:val="bottom"/>
          </w:tcPr>
          <w:p>
            <w:pPr>
              <w:ind w:left="240"/>
              <w:spacing w:after="0"/>
              <w:rPr>
                <w:sz w:val="20"/>
                <w:szCs w:val="20"/>
                <w:color w:val="auto"/>
              </w:rPr>
            </w:pPr>
            <w:r>
              <w:rPr>
                <w:rFonts w:ascii="Arial" w:cs="Arial" w:eastAsia="Arial" w:hAnsi="Arial"/>
                <w:sz w:val="12"/>
                <w:szCs w:val="12"/>
                <w:color w:val="auto"/>
              </w:rPr>
              <w:t>The change in value of the SAFE liabilities during the six months ended</w:t>
            </w:r>
          </w:p>
        </w:tc>
        <w:tc>
          <w:tcPr>
            <w:tcW w:w="1700" w:type="dxa"/>
            <w:vAlign w:val="bottom"/>
            <w:gridSpan w:val="3"/>
          </w:tcPr>
          <w:p>
            <w:pPr>
              <w:jc w:val="right"/>
              <w:ind w:right="38"/>
              <w:spacing w:after="0"/>
              <w:rPr>
                <w:sz w:val="20"/>
                <w:szCs w:val="20"/>
                <w:color w:val="auto"/>
              </w:rPr>
            </w:pPr>
            <w:r>
              <w:rPr>
                <w:rFonts w:ascii="Arial" w:cs="Arial" w:eastAsia="Arial" w:hAnsi="Arial"/>
                <w:sz w:val="12"/>
                <w:szCs w:val="12"/>
                <w:color w:val="auto"/>
              </w:rPr>
              <w:t>July 31, 2025 is summarized</w:t>
            </w:r>
          </w:p>
        </w:tc>
      </w:tr>
      <w:tr>
        <w:trPr>
          <w:trHeight w:val="165"/>
        </w:trPr>
        <w:tc>
          <w:tcPr>
            <w:tcW w:w="4280" w:type="dxa"/>
            <w:vAlign w:val="bottom"/>
          </w:tcPr>
          <w:p>
            <w:pPr>
              <w:spacing w:after="0"/>
              <w:rPr>
                <w:sz w:val="20"/>
                <w:szCs w:val="20"/>
                <w:color w:val="auto"/>
              </w:rPr>
            </w:pPr>
            <w:r>
              <w:rPr>
                <w:rFonts w:ascii="Arial" w:cs="Arial" w:eastAsia="Arial" w:hAnsi="Arial"/>
                <w:sz w:val="12"/>
                <w:szCs w:val="12"/>
                <w:color w:val="auto"/>
              </w:rPr>
              <w:t>below (in thousands):</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2"/>
        </w:trPr>
        <w:tc>
          <w:tcPr>
            <w:tcW w:w="4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82"/>
        </w:trPr>
        <w:tc>
          <w:tcPr>
            <w:tcW w:w="4280" w:type="dxa"/>
            <w:vAlign w:val="bottom"/>
            <w:shd w:val="clear" w:color="auto" w:fill="CCEEFF"/>
          </w:tcPr>
          <w:p>
            <w:pPr>
              <w:ind w:left="40"/>
              <w:spacing w:after="0"/>
              <w:rPr>
                <w:sz w:val="20"/>
                <w:szCs w:val="20"/>
                <w:color w:val="auto"/>
              </w:rPr>
            </w:pPr>
            <w:r>
              <w:rPr>
                <w:rFonts w:ascii="Arial" w:cs="Arial" w:eastAsia="Arial" w:hAnsi="Arial"/>
                <w:sz w:val="12"/>
                <w:szCs w:val="12"/>
                <w:color w:val="auto"/>
                <w:w w:val="88"/>
              </w:rPr>
              <w:t xml:space="preserve">Balance as of January 31, 2025 </w:t>
            </w:r>
            <w:r>
              <w:rPr>
                <w:rFonts w:ascii="Times New Roman" w:cs="Times New Roman" w:eastAsia="Times New Roman" w:hAnsi="Times New Roman"/>
                <w:sz w:val="12"/>
                <w:szCs w:val="12"/>
                <w:color w:val="B4B4B4"/>
                <w:w w:val="88"/>
              </w:rPr>
              <w:t>......................................................................................................</w:t>
            </w:r>
          </w:p>
        </w:tc>
        <w:tc>
          <w:tcPr>
            <w:tcW w:w="106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3"/>
        </w:trPr>
        <w:tc>
          <w:tcPr>
            <w:tcW w:w="5140" w:type="dxa"/>
            <w:vAlign w:val="bottom"/>
            <w:gridSpan w:val="2"/>
          </w:tcPr>
          <w:p>
            <w:pPr>
              <w:ind w:left="180"/>
              <w:spacing w:after="0"/>
              <w:rPr>
                <w:sz w:val="20"/>
                <w:szCs w:val="20"/>
                <w:color w:val="auto"/>
              </w:rPr>
            </w:pPr>
            <w:r>
              <w:rPr>
                <w:rFonts w:ascii="Arial" w:cs="Arial" w:eastAsia="Arial" w:hAnsi="Arial"/>
                <w:sz w:val="12"/>
                <w:szCs w:val="12"/>
                <w:color w:val="auto"/>
              </w:rPr>
              <w:t xml:space="preserve">Additions in the period </w:t>
            </w:r>
            <w:r>
              <w:rPr>
                <w:rFonts w:ascii="Times New Roman" w:cs="Times New Roman" w:eastAsia="Times New Roman" w:hAnsi="Times New Roman"/>
                <w:sz w:val="12"/>
                <w:szCs w:val="12"/>
                <w:color w:val="B4B4B4"/>
              </w:rPr>
              <w:t>..................................................................................................................</w:t>
            </w:r>
          </w:p>
        </w:tc>
        <w:tc>
          <w:tcPr>
            <w:tcW w:w="200" w:type="dxa"/>
            <w:vAlign w:val="bottom"/>
          </w:tcPr>
          <w:p>
            <w:pPr>
              <w:spacing w:after="0"/>
              <w:rPr>
                <w:sz w:val="15"/>
                <w:szCs w:val="15"/>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127,300</w:t>
            </w:r>
          </w:p>
        </w:tc>
      </w:tr>
      <w:tr>
        <w:trPr>
          <w:trHeight w:val="190"/>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 xml:space="preserve">Change in fair value </w:t>
            </w:r>
            <w:r>
              <w:rPr>
                <w:rFonts w:ascii="Times New Roman" w:cs="Times New Roman" w:eastAsia="Times New Roman" w:hAnsi="Times New Roman"/>
                <w:sz w:val="12"/>
                <w:szCs w:val="12"/>
                <w:color w:val="B4B4B4"/>
              </w:rPr>
              <w:t>......................................................................................................................</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35,700</w:t>
            </w:r>
          </w:p>
        </w:tc>
      </w:tr>
      <w:tr>
        <w:trPr>
          <w:trHeight w:val="161"/>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BalanceasofJuly31,2025</w:t>
            </w: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163,000</w:t>
            </w:r>
          </w:p>
        </w:tc>
      </w:tr>
    </w:tbl>
    <w:p>
      <w:pPr>
        <w:spacing w:after="0" w:line="115" w:lineRule="exact"/>
        <w:rPr>
          <w:sz w:val="20"/>
          <w:szCs w:val="20"/>
          <w:color w:val="auto"/>
        </w:rPr>
      </w:pPr>
    </w:p>
    <w:p>
      <w:pPr>
        <w:jc w:val="both"/>
        <w:ind w:left="1520" w:right="1700" w:firstLine="230"/>
        <w:spacing w:after="0" w:line="277" w:lineRule="auto"/>
        <w:rPr>
          <w:sz w:val="20"/>
          <w:szCs w:val="20"/>
          <w:color w:val="auto"/>
        </w:rPr>
      </w:pPr>
      <w:r>
        <w:rPr>
          <w:rFonts w:ascii="Arial" w:cs="Arial" w:eastAsia="Arial" w:hAnsi="Arial"/>
          <w:sz w:val="12"/>
          <w:szCs w:val="12"/>
          <w:color w:val="auto"/>
        </w:rPr>
        <w:t>The fair value of the common stock warrants was computed using the probability weighted expected return method. A significant input used in measuring the fair value of the common stock warrant liabilities is the number of shares that can be issued upon exercise of the warrants. In addition, the other significant unobservable inputs used in measuring the fair value of the common stock warrants liabilities include the following:</w:t>
      </w:r>
    </w:p>
    <w:p>
      <w:pPr>
        <w:spacing w:after="0" w:line="122"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5140" w:type="dxa"/>
            <w:vAlign w:val="bottom"/>
          </w:tcPr>
          <w:p>
            <w:pPr>
              <w:spacing w:after="0"/>
              <w:rPr>
                <w:sz w:val="13"/>
                <w:szCs w:val="13"/>
                <w:color w:val="auto"/>
              </w:rPr>
            </w:pPr>
          </w:p>
        </w:tc>
        <w:tc>
          <w:tcPr>
            <w:tcW w:w="100" w:type="dxa"/>
            <w:vAlign w:val="bottom"/>
            <w:tcBorders>
              <w:bottom w:val="single" w:sz="8" w:color="242424"/>
            </w:tcBorders>
          </w:tcPr>
          <w:p>
            <w:pPr>
              <w:spacing w:after="0"/>
              <w:rPr>
                <w:sz w:val="13"/>
                <w:szCs w:val="13"/>
                <w:color w:val="auto"/>
              </w:rPr>
            </w:pPr>
          </w:p>
        </w:tc>
        <w:tc>
          <w:tcPr>
            <w:tcW w:w="740" w:type="dxa"/>
            <w:vAlign w:val="bottom"/>
            <w:tcBorders>
              <w:bottom w:val="single" w:sz="8" w:color="242424"/>
            </w:tcBorders>
          </w:tcPr>
          <w:p>
            <w:pPr>
              <w:jc w:val="right"/>
              <w:ind w:right="220"/>
              <w:spacing w:after="0"/>
              <w:rPr>
                <w:sz w:val="20"/>
                <w:szCs w:val="20"/>
                <w:color w:val="auto"/>
              </w:rPr>
            </w:pPr>
            <w:r>
              <w:rPr>
                <w:rFonts w:ascii="Arial" w:cs="Arial" w:eastAsia="Arial" w:hAnsi="Arial"/>
                <w:sz w:val="11"/>
                <w:szCs w:val="11"/>
                <w:b w:val="1"/>
                <w:bCs w:val="1"/>
                <w:color w:val="auto"/>
              </w:rPr>
              <w:t>As of</w:t>
            </w:r>
          </w:p>
        </w:tc>
      </w:tr>
      <w:tr>
        <w:trPr>
          <w:trHeight w:val="147"/>
        </w:trPr>
        <w:tc>
          <w:tcPr>
            <w:tcW w:w="5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July 31, 2025</w:t>
            </w:r>
          </w:p>
        </w:tc>
      </w:tr>
      <w:tr>
        <w:trPr>
          <w:trHeight w:val="167"/>
        </w:trPr>
        <w:tc>
          <w:tcPr>
            <w:tcW w:w="51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Timeuntilconversion(inyears)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0.21 - 1.21</w:t>
            </w:r>
          </w:p>
        </w:tc>
      </w:tr>
      <w:tr>
        <w:trPr>
          <w:trHeight w:val="182"/>
        </w:trPr>
        <w:tc>
          <w:tcPr>
            <w:tcW w:w="5140" w:type="dxa"/>
            <w:vAlign w:val="bottom"/>
          </w:tcPr>
          <w:p>
            <w:pPr>
              <w:jc w:val="right"/>
              <w:ind w:right="58"/>
              <w:spacing w:after="0"/>
              <w:rPr>
                <w:sz w:val="20"/>
                <w:szCs w:val="20"/>
                <w:color w:val="auto"/>
              </w:rPr>
            </w:pPr>
            <w:r>
              <w:rPr>
                <w:rFonts w:ascii="Arial" w:cs="Arial" w:eastAsia="Arial" w:hAnsi="Arial"/>
                <w:sz w:val="12"/>
                <w:szCs w:val="12"/>
                <w:color w:val="auto"/>
              </w:rPr>
              <w:t xml:space="preserve">Discount for lack of marketability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5.0 - 18.0%</w:t>
            </w:r>
          </w:p>
        </w:tc>
      </w:tr>
      <w:tr>
        <w:trPr>
          <w:trHeight w:val="296"/>
        </w:trPr>
        <w:tc>
          <w:tcPr>
            <w:tcW w:w="5140" w:type="dxa"/>
            <w:vAlign w:val="bottom"/>
          </w:tcPr>
          <w:p>
            <w:pPr>
              <w:jc w:val="right"/>
              <w:spacing w:after="0"/>
              <w:rPr>
                <w:sz w:val="20"/>
                <w:szCs w:val="20"/>
                <w:color w:val="auto"/>
              </w:rPr>
            </w:pPr>
            <w:r>
              <w:rPr>
                <w:rFonts w:ascii="Arial" w:cs="Arial" w:eastAsia="Arial" w:hAnsi="Arial"/>
                <w:sz w:val="12"/>
                <w:szCs w:val="12"/>
                <w:color w:val="auto"/>
              </w:rPr>
              <w:t>The change in value of the common stock warrant liabilities during the six months ended</w:t>
            </w:r>
          </w:p>
        </w:tc>
        <w:tc>
          <w:tcPr>
            <w:tcW w:w="1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July 31,</w:t>
            </w:r>
          </w:p>
        </w:tc>
      </w:tr>
      <w:tr>
        <w:trPr>
          <w:trHeight w:val="165"/>
        </w:trPr>
        <w:tc>
          <w:tcPr>
            <w:tcW w:w="5140" w:type="dxa"/>
            <w:vAlign w:val="bottom"/>
          </w:tcPr>
          <w:p>
            <w:pPr>
              <w:jc w:val="right"/>
              <w:ind w:right="2738"/>
              <w:spacing w:after="0"/>
              <w:rPr>
                <w:sz w:val="20"/>
                <w:szCs w:val="20"/>
                <w:color w:val="auto"/>
              </w:rPr>
            </w:pPr>
            <w:r>
              <w:rPr>
                <w:rFonts w:ascii="Arial" w:cs="Arial" w:eastAsia="Arial" w:hAnsi="Arial"/>
                <w:sz w:val="12"/>
                <w:szCs w:val="12"/>
                <w:color w:val="auto"/>
              </w:rPr>
              <w:t>2025 is summarized below (in thousands):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2"/>
        </w:trPr>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2"/>
        </w:trPr>
        <w:tc>
          <w:tcPr>
            <w:tcW w:w="51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 xml:space="preserve">Balance as of January 31, 2025 </w:t>
            </w:r>
            <w:r>
              <w:rPr>
                <w:rFonts w:ascii="Times New Roman" w:cs="Times New Roman" w:eastAsia="Times New Roman" w:hAnsi="Times New Roman"/>
                <w:sz w:val="12"/>
                <w:szCs w:val="12"/>
                <w:color w:val="B4B4B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3"/>
        </w:trPr>
        <w:tc>
          <w:tcPr>
            <w:tcW w:w="5140" w:type="dxa"/>
            <w:vAlign w:val="bottom"/>
          </w:tcPr>
          <w:p>
            <w:pPr>
              <w:jc w:val="right"/>
              <w:ind w:right="58"/>
              <w:spacing w:after="0"/>
              <w:rPr>
                <w:sz w:val="20"/>
                <w:szCs w:val="20"/>
                <w:color w:val="auto"/>
              </w:rPr>
            </w:pPr>
            <w:r>
              <w:rPr>
                <w:rFonts w:ascii="Arial" w:cs="Arial" w:eastAsia="Arial" w:hAnsi="Arial"/>
                <w:sz w:val="12"/>
                <w:szCs w:val="12"/>
                <w:color w:val="auto"/>
              </w:rPr>
              <w:t xml:space="preserve">Additions in the period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ind w:right="20"/>
              <w:spacing w:after="0"/>
              <w:rPr>
                <w:sz w:val="20"/>
                <w:szCs w:val="20"/>
                <w:color w:val="auto"/>
              </w:rPr>
            </w:pPr>
            <w:r>
              <w:rPr>
                <w:rFonts w:ascii="Arial" w:cs="Arial" w:eastAsia="Arial" w:hAnsi="Arial"/>
                <w:sz w:val="12"/>
                <w:szCs w:val="12"/>
                <w:color w:val="auto"/>
              </w:rPr>
              <w:t>27,700</w:t>
            </w:r>
          </w:p>
        </w:tc>
      </w:tr>
      <w:tr>
        <w:trPr>
          <w:trHeight w:val="190"/>
        </w:trPr>
        <w:tc>
          <w:tcPr>
            <w:tcW w:w="51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 xml:space="preserve">Change in fair value </w:t>
            </w:r>
            <w:r>
              <w:rPr>
                <w:rFonts w:ascii="Times New Roman" w:cs="Times New Roman" w:eastAsia="Times New Roman" w:hAnsi="Times New Roman"/>
                <w:sz w:val="12"/>
                <w:szCs w:val="12"/>
                <w:color w:val="B4B4B4"/>
              </w:rPr>
              <w:t>......................................................................................................................</w:t>
            </w: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3,500</w:t>
            </w:r>
          </w:p>
        </w:tc>
      </w:tr>
      <w:tr>
        <w:trPr>
          <w:trHeight w:val="161"/>
        </w:trPr>
        <w:tc>
          <w:tcPr>
            <w:tcW w:w="514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BalanceasofJuly31,2025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31,200</w:t>
            </w:r>
          </w:p>
        </w:tc>
      </w:tr>
    </w:tbl>
    <w:p>
      <w:pPr>
        <w:spacing w:after="0" w:line="12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Other Financial Instruments</w:t>
      </w:r>
    </w:p>
    <w:p>
      <w:pPr>
        <w:spacing w:after="0" w:line="12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The fair value of other financial instruments that are not recognized at fair value on the balance sheet</w:t>
      </w:r>
    </w:p>
    <w:p>
      <w:pPr>
        <w:spacing w:after="0" w:line="27" w:lineRule="exact"/>
        <w:rPr>
          <w:sz w:val="20"/>
          <w:szCs w:val="20"/>
          <w:color w:val="auto"/>
        </w:rPr>
      </w:pPr>
    </w:p>
    <w:tbl>
      <w:tblPr>
        <w:tblLayout w:type="fixed"/>
        <w:tblInd w:w="1520" w:type="dxa"/>
        <w:tblCellMar>
          <w:top w:w="0" w:type="dxa"/>
          <w:left w:w="0" w:type="dxa"/>
          <w:bottom w:w="0" w:type="dxa"/>
          <w:right w:w="0" w:type="dxa"/>
        </w:tblCellMar>
      </w:tblPr>
      <w:tr>
        <w:trPr>
          <w:trHeight w:val="165"/>
        </w:trPr>
        <w:tc>
          <w:tcPr>
            <w:tcW w:w="2820" w:type="dxa"/>
            <w:vAlign w:val="bottom"/>
          </w:tcPr>
          <w:p>
            <w:pPr>
              <w:spacing w:after="0"/>
              <w:rPr>
                <w:sz w:val="20"/>
                <w:szCs w:val="20"/>
                <w:color w:val="auto"/>
              </w:rPr>
            </w:pPr>
            <w:r>
              <w:rPr>
                <w:rFonts w:ascii="Arial" w:cs="Arial" w:eastAsia="Arial" w:hAnsi="Arial"/>
                <w:sz w:val="12"/>
                <w:szCs w:val="12"/>
                <w:color w:val="auto"/>
              </w:rPr>
              <w:t>are presented below for disclosure purposes only</w:t>
            </w:r>
          </w:p>
        </w:tc>
        <w:tc>
          <w:tcPr>
            <w:tcW w:w="1380" w:type="dxa"/>
            <w:vAlign w:val="bottom"/>
          </w:tcPr>
          <w:p>
            <w:pPr>
              <w:spacing w:after="0"/>
              <w:rPr>
                <w:sz w:val="20"/>
                <w:szCs w:val="20"/>
                <w:color w:val="auto"/>
              </w:rPr>
            </w:pPr>
            <w:r>
              <w:rPr>
                <w:rFonts w:ascii="Arial" w:cs="Arial" w:eastAsia="Arial" w:hAnsi="Arial"/>
                <w:sz w:val="12"/>
                <w:szCs w:val="12"/>
                <w:color w:val="auto"/>
              </w:rPr>
              <w:t>(in thousands):</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28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b w:val="1"/>
                <w:bCs w:val="1"/>
                <w:color w:val="auto"/>
              </w:rPr>
              <w:t>As of</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2820" w:type="dxa"/>
            <w:vAlign w:val="bottom"/>
          </w:tcPr>
          <w:p>
            <w:pPr>
              <w:spacing w:after="0"/>
              <w:rPr>
                <w:sz w:val="10"/>
                <w:szCs w:val="10"/>
                <w:color w:val="auto"/>
              </w:rPr>
            </w:pPr>
          </w:p>
        </w:tc>
        <w:tc>
          <w:tcPr>
            <w:tcW w:w="1380" w:type="dxa"/>
            <w:vAlign w:val="bottom"/>
          </w:tcPr>
          <w:p>
            <w:pPr>
              <w:jc w:val="center"/>
              <w:ind w:left="581"/>
              <w:spacing w:after="0" w:line="115" w:lineRule="exact"/>
              <w:rPr>
                <w:sz w:val="20"/>
                <w:szCs w:val="20"/>
                <w:color w:val="auto"/>
              </w:rPr>
            </w:pPr>
            <w:r>
              <w:rPr>
                <w:rFonts w:ascii="Arial" w:cs="Arial" w:eastAsia="Arial" w:hAnsi="Arial"/>
                <w:sz w:val="11"/>
                <w:szCs w:val="11"/>
                <w:b w:val="1"/>
                <w:bCs w:val="1"/>
                <w:color w:val="auto"/>
                <w:w w:val="94"/>
              </w:rPr>
              <w:t>Fair Value</w:t>
            </w:r>
          </w:p>
        </w:tc>
        <w:tc>
          <w:tcPr>
            <w:tcW w:w="160" w:type="dxa"/>
            <w:vAlign w:val="bottom"/>
          </w:tcPr>
          <w:p>
            <w:pPr>
              <w:spacing w:after="0"/>
              <w:rPr>
                <w:sz w:val="10"/>
                <w:szCs w:val="10"/>
                <w:color w:val="auto"/>
              </w:rPr>
            </w:pPr>
          </w:p>
        </w:tc>
        <w:tc>
          <w:tcPr>
            <w:tcW w:w="740" w:type="dxa"/>
            <w:vAlign w:val="bottom"/>
            <w:vMerge w:val="restart"/>
          </w:tcPr>
          <w:p>
            <w:pPr>
              <w:jc w:val="right"/>
              <w:ind w:right="21"/>
              <w:spacing w:after="0"/>
              <w:rPr>
                <w:sz w:val="20"/>
                <w:szCs w:val="20"/>
                <w:color w:val="auto"/>
              </w:rPr>
            </w:pPr>
            <w:r>
              <w:rPr>
                <w:rFonts w:ascii="Arial" w:cs="Arial" w:eastAsia="Arial" w:hAnsi="Arial"/>
                <w:sz w:val="11"/>
                <w:szCs w:val="11"/>
                <w:b w:val="1"/>
                <w:bCs w:val="1"/>
                <w:color w:val="auto"/>
                <w:w w:val="94"/>
              </w:rPr>
              <w:t>July 31, 2025</w:t>
            </w:r>
          </w:p>
        </w:tc>
        <w:tc>
          <w:tcPr>
            <w:tcW w:w="160" w:type="dxa"/>
            <w:vAlign w:val="bottom"/>
          </w:tcPr>
          <w:p>
            <w:pPr>
              <w:spacing w:after="0"/>
              <w:rPr>
                <w:sz w:val="10"/>
                <w:szCs w:val="10"/>
                <w:color w:val="auto"/>
              </w:rPr>
            </w:pPr>
          </w:p>
        </w:tc>
        <w:tc>
          <w:tcPr>
            <w:tcW w:w="660" w:type="dxa"/>
            <w:vAlign w:val="bottom"/>
          </w:tcPr>
          <w:p>
            <w:pPr>
              <w:jc w:val="right"/>
              <w:ind w:right="1"/>
              <w:spacing w:after="0" w:line="115" w:lineRule="exact"/>
              <w:rPr>
                <w:sz w:val="20"/>
                <w:szCs w:val="20"/>
                <w:color w:val="auto"/>
              </w:rPr>
            </w:pPr>
            <w:r>
              <w:rPr>
                <w:rFonts w:ascii="Arial" w:cs="Arial" w:eastAsia="Arial" w:hAnsi="Arial"/>
                <w:sz w:val="11"/>
                <w:szCs w:val="11"/>
                <w:b w:val="1"/>
                <w:bCs w:val="1"/>
                <w:color w:val="auto"/>
                <w:w w:val="95"/>
              </w:rPr>
              <w:t>January 31,</w:t>
            </w:r>
          </w:p>
        </w:tc>
        <w:tc>
          <w:tcPr>
            <w:tcW w:w="0" w:type="dxa"/>
            <w:vAlign w:val="bottom"/>
          </w:tcPr>
          <w:p>
            <w:pPr>
              <w:spacing w:after="0"/>
              <w:rPr>
                <w:sz w:val="1"/>
                <w:szCs w:val="1"/>
                <w:color w:val="auto"/>
              </w:rPr>
            </w:pPr>
          </w:p>
        </w:tc>
      </w:tr>
      <w:tr>
        <w:trPr>
          <w:trHeight w:val="143"/>
        </w:trPr>
        <w:tc>
          <w:tcPr>
            <w:tcW w:w="2820" w:type="dxa"/>
            <w:vAlign w:val="bottom"/>
          </w:tcPr>
          <w:p>
            <w:pPr>
              <w:spacing w:after="0"/>
              <w:rPr>
                <w:sz w:val="12"/>
                <w:szCs w:val="12"/>
                <w:color w:val="auto"/>
              </w:rPr>
            </w:pPr>
          </w:p>
        </w:tc>
        <w:tc>
          <w:tcPr>
            <w:tcW w:w="1380" w:type="dxa"/>
            <w:vAlign w:val="bottom"/>
          </w:tcPr>
          <w:p>
            <w:pPr>
              <w:jc w:val="center"/>
              <w:ind w:left="601"/>
              <w:spacing w:after="0"/>
              <w:rPr>
                <w:sz w:val="20"/>
                <w:szCs w:val="20"/>
                <w:color w:val="auto"/>
              </w:rPr>
            </w:pPr>
            <w:r>
              <w:rPr>
                <w:rFonts w:ascii="Arial" w:cs="Arial" w:eastAsia="Arial" w:hAnsi="Arial"/>
                <w:sz w:val="11"/>
                <w:szCs w:val="11"/>
                <w:b w:val="1"/>
                <w:bCs w:val="1"/>
                <w:color w:val="auto"/>
                <w:w w:val="94"/>
              </w:rPr>
              <w:t>Hierarchy</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81"/>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74"/>
        </w:trPr>
        <w:tc>
          <w:tcPr>
            <w:tcW w:w="2820" w:type="dxa"/>
            <w:vAlign w:val="bottom"/>
          </w:tcPr>
          <w:p>
            <w:pPr>
              <w:ind w:left="40"/>
              <w:spacing w:after="0"/>
              <w:rPr>
                <w:sz w:val="20"/>
                <w:szCs w:val="20"/>
                <w:color w:val="auto"/>
              </w:rPr>
            </w:pPr>
            <w:r>
              <w:rPr>
                <w:rFonts w:ascii="Arial" w:cs="Arial" w:eastAsia="Arial" w:hAnsi="Arial"/>
                <w:sz w:val="12"/>
                <w:szCs w:val="12"/>
                <w:color w:val="auto"/>
                <w:w w:val="87"/>
              </w:rPr>
              <w:t xml:space="preserve">Convertible notes </w:t>
            </w:r>
            <w:r>
              <w:rPr>
                <w:rFonts w:ascii="Times New Roman" w:cs="Times New Roman" w:eastAsia="Times New Roman" w:hAnsi="Times New Roman"/>
                <w:sz w:val="12"/>
                <w:szCs w:val="12"/>
                <w:color w:val="B4B4B4"/>
                <w:w w:val="87"/>
              </w:rPr>
              <w:t>.........................................................................</w:t>
            </w:r>
          </w:p>
        </w:tc>
        <w:tc>
          <w:tcPr>
            <w:tcW w:w="1380" w:type="dxa"/>
            <w:vAlign w:val="bottom"/>
          </w:tcPr>
          <w:p>
            <w:pPr>
              <w:jc w:val="center"/>
              <w:ind w:left="561"/>
              <w:spacing w:after="0"/>
              <w:rPr>
                <w:sz w:val="20"/>
                <w:szCs w:val="20"/>
                <w:color w:val="auto"/>
              </w:rPr>
            </w:pPr>
            <w:r>
              <w:rPr>
                <w:rFonts w:ascii="Arial" w:cs="Arial" w:eastAsia="Arial" w:hAnsi="Arial"/>
                <w:sz w:val="12"/>
                <w:szCs w:val="12"/>
                <w:color w:val="auto"/>
              </w:rPr>
              <w:t>Level 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354,000</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359,200</w:t>
            </w:r>
          </w:p>
        </w:tc>
        <w:tc>
          <w:tcPr>
            <w:tcW w:w="0" w:type="dxa"/>
            <w:vAlign w:val="bottom"/>
          </w:tcPr>
          <w:p>
            <w:pPr>
              <w:spacing w:after="0"/>
              <w:rPr>
                <w:sz w:val="1"/>
                <w:szCs w:val="1"/>
                <w:color w:val="auto"/>
              </w:rPr>
            </w:pPr>
          </w:p>
        </w:tc>
      </w:tr>
      <w:tr>
        <w:trPr>
          <w:trHeight w:val="182"/>
        </w:trPr>
        <w:tc>
          <w:tcPr>
            <w:tcW w:w="2820" w:type="dxa"/>
            <w:vAlign w:val="bottom"/>
          </w:tcPr>
          <w:p>
            <w:pPr>
              <w:ind w:left="40"/>
              <w:spacing w:after="0"/>
              <w:rPr>
                <w:sz w:val="20"/>
                <w:szCs w:val="20"/>
                <w:color w:val="auto"/>
              </w:rPr>
            </w:pPr>
            <w:r>
              <w:rPr>
                <w:rFonts w:ascii="Arial" w:cs="Arial" w:eastAsia="Arial" w:hAnsi="Arial"/>
                <w:sz w:val="12"/>
                <w:szCs w:val="12"/>
                <w:color w:val="auto"/>
                <w:w w:val="87"/>
              </w:rPr>
              <w:t xml:space="preserve">Warehouse credit facility </w:t>
            </w:r>
            <w:r>
              <w:rPr>
                <w:rFonts w:ascii="Times New Roman" w:cs="Times New Roman" w:eastAsia="Times New Roman" w:hAnsi="Times New Roman"/>
                <w:sz w:val="12"/>
                <w:szCs w:val="12"/>
                <w:color w:val="B4B4B4"/>
                <w:w w:val="87"/>
              </w:rPr>
              <w:t>............................................................</w:t>
            </w:r>
          </w:p>
        </w:tc>
        <w:tc>
          <w:tcPr>
            <w:tcW w:w="1380" w:type="dxa"/>
            <w:vAlign w:val="bottom"/>
          </w:tcPr>
          <w:p>
            <w:pPr>
              <w:jc w:val="center"/>
              <w:ind w:left="561"/>
              <w:spacing w:after="0"/>
              <w:rPr>
                <w:sz w:val="20"/>
                <w:szCs w:val="20"/>
                <w:color w:val="auto"/>
              </w:rPr>
            </w:pPr>
            <w:r>
              <w:rPr>
                <w:rFonts w:ascii="Arial" w:cs="Arial" w:eastAsia="Arial" w:hAnsi="Arial"/>
                <w:sz w:val="12"/>
                <w:szCs w:val="12"/>
                <w:color w:val="auto"/>
              </w:rPr>
              <w:t>Level 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140,864</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210,995</w:t>
            </w:r>
          </w:p>
        </w:tc>
        <w:tc>
          <w:tcPr>
            <w:tcW w:w="0" w:type="dxa"/>
            <w:vAlign w:val="bottom"/>
          </w:tcPr>
          <w:p>
            <w:pPr>
              <w:spacing w:after="0"/>
              <w:rPr>
                <w:sz w:val="1"/>
                <w:szCs w:val="1"/>
                <w:color w:val="auto"/>
              </w:rPr>
            </w:pPr>
          </w:p>
        </w:tc>
      </w:tr>
      <w:tr>
        <w:trPr>
          <w:trHeight w:val="182"/>
        </w:trPr>
        <w:tc>
          <w:tcPr>
            <w:tcW w:w="2820" w:type="dxa"/>
            <w:vAlign w:val="bottom"/>
          </w:tcPr>
          <w:p>
            <w:pPr>
              <w:ind w:left="40"/>
              <w:spacing w:after="0"/>
              <w:rPr>
                <w:sz w:val="20"/>
                <w:szCs w:val="20"/>
                <w:color w:val="auto"/>
              </w:rPr>
            </w:pPr>
            <w:r>
              <w:rPr>
                <w:rFonts w:ascii="Arial" w:cs="Arial" w:eastAsia="Arial" w:hAnsi="Arial"/>
                <w:sz w:val="12"/>
                <w:szCs w:val="12"/>
                <w:color w:val="auto"/>
                <w:w w:val="87"/>
              </w:rPr>
              <w:t xml:space="preserve">ABL facility </w:t>
            </w:r>
            <w:r>
              <w:rPr>
                <w:rFonts w:ascii="Times New Roman" w:cs="Times New Roman" w:eastAsia="Times New Roman" w:hAnsi="Times New Roman"/>
                <w:sz w:val="12"/>
                <w:szCs w:val="12"/>
                <w:color w:val="B4B4B4"/>
                <w:w w:val="87"/>
              </w:rPr>
              <w:t>....................................................................................</w:t>
            </w:r>
          </w:p>
        </w:tc>
        <w:tc>
          <w:tcPr>
            <w:tcW w:w="1380" w:type="dxa"/>
            <w:vAlign w:val="bottom"/>
          </w:tcPr>
          <w:p>
            <w:pPr>
              <w:jc w:val="center"/>
              <w:ind w:left="561"/>
              <w:spacing w:after="0"/>
              <w:rPr>
                <w:sz w:val="20"/>
                <w:szCs w:val="20"/>
                <w:color w:val="auto"/>
              </w:rPr>
            </w:pPr>
            <w:r>
              <w:rPr>
                <w:rFonts w:ascii="Arial" w:cs="Arial" w:eastAsia="Arial" w:hAnsi="Arial"/>
                <w:sz w:val="12"/>
                <w:szCs w:val="12"/>
                <w:color w:val="auto"/>
              </w:rPr>
              <w:t>Level 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34,386</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2"/>
        </w:trPr>
        <w:tc>
          <w:tcPr>
            <w:tcW w:w="2820" w:type="dxa"/>
            <w:vAlign w:val="bottom"/>
          </w:tcPr>
          <w:p>
            <w:pPr>
              <w:ind w:left="40"/>
              <w:spacing w:after="0"/>
              <w:rPr>
                <w:sz w:val="20"/>
                <w:szCs w:val="20"/>
                <w:color w:val="auto"/>
              </w:rPr>
            </w:pPr>
            <w:r>
              <w:rPr>
                <w:rFonts w:ascii="Arial" w:cs="Arial" w:eastAsia="Arial" w:hAnsi="Arial"/>
                <w:sz w:val="12"/>
                <w:szCs w:val="12"/>
                <w:color w:val="auto"/>
                <w:w w:val="87"/>
              </w:rPr>
              <w:t xml:space="preserve">Vista facility </w:t>
            </w:r>
            <w:r>
              <w:rPr>
                <w:rFonts w:ascii="Times New Roman" w:cs="Times New Roman" w:eastAsia="Times New Roman" w:hAnsi="Times New Roman"/>
                <w:sz w:val="12"/>
                <w:szCs w:val="12"/>
                <w:color w:val="B4B4B4"/>
                <w:w w:val="87"/>
              </w:rPr>
              <w:t>...................................................................................</w:t>
            </w:r>
          </w:p>
        </w:tc>
        <w:tc>
          <w:tcPr>
            <w:tcW w:w="1380" w:type="dxa"/>
            <w:vAlign w:val="bottom"/>
          </w:tcPr>
          <w:p>
            <w:pPr>
              <w:jc w:val="center"/>
              <w:ind w:left="561"/>
              <w:spacing w:after="0"/>
              <w:rPr>
                <w:sz w:val="20"/>
                <w:szCs w:val="20"/>
                <w:color w:val="auto"/>
              </w:rPr>
            </w:pPr>
            <w:r>
              <w:rPr>
                <w:rFonts w:ascii="Arial" w:cs="Arial" w:eastAsia="Arial" w:hAnsi="Arial"/>
                <w:sz w:val="12"/>
                <w:szCs w:val="12"/>
                <w:color w:val="auto"/>
              </w:rPr>
              <w:t>Level 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129,725</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ectPr>
          <w:pgSz w:w="11900" w:h="16840" w:orient="portrait"/>
          <w:cols w:equalWidth="0" w:num="1">
            <w:col w:w="9020"/>
          </w:cols>
          <w:pgMar w:left="1440" w:top="638" w:right="1440" w:bottom="59" w:gutter="0" w:footer="0" w:header="0"/>
        </w:sectPr>
      </w:pPr>
    </w:p>
    <w:bookmarkStart w:id="199" w:name="page200"/>
    <w:bookmarkEnd w:id="19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tbl>
      <w:tblPr>
        <w:tblLayout w:type="fixed"/>
        <w:tblInd w:w="600" w:type="dxa"/>
        <w:tblCellMar>
          <w:top w:w="0" w:type="dxa"/>
          <w:left w:w="0" w:type="dxa"/>
          <w:bottom w:w="0" w:type="dxa"/>
          <w:right w:w="0" w:type="dxa"/>
        </w:tblCellMar>
      </w:tblPr>
      <w:tr>
        <w:trPr>
          <w:trHeight w:val="152"/>
        </w:trPr>
        <w:tc>
          <w:tcPr>
            <w:tcW w:w="920" w:type="dxa"/>
            <w:vAlign w:val="bottom"/>
          </w:tcPr>
          <w:p>
            <w:pPr>
              <w:spacing w:after="0"/>
              <w:rPr>
                <w:sz w:val="13"/>
                <w:szCs w:val="13"/>
                <w:color w:val="auto"/>
              </w:rPr>
            </w:pPr>
          </w:p>
        </w:tc>
        <w:tc>
          <w:tcPr>
            <w:tcW w:w="2860" w:type="dxa"/>
            <w:vAlign w:val="bottom"/>
          </w:tcPr>
          <w:p>
            <w:pPr>
              <w:ind w:left="40"/>
              <w:spacing w:after="0"/>
              <w:rPr>
                <w:sz w:val="20"/>
                <w:szCs w:val="20"/>
                <w:color w:val="auto"/>
              </w:rPr>
            </w:pPr>
            <w:r>
              <w:rPr>
                <w:rFonts w:ascii="Arial" w:cs="Arial" w:eastAsia="Arial" w:hAnsi="Arial"/>
                <w:sz w:val="12"/>
                <w:szCs w:val="12"/>
                <w:color w:val="auto"/>
                <w:w w:val="88"/>
              </w:rPr>
              <w:t xml:space="preserve">Trade loan facility </w:t>
            </w:r>
            <w:r>
              <w:rPr>
                <w:rFonts w:ascii="Times New Roman" w:cs="Times New Roman" w:eastAsia="Times New Roman" w:hAnsi="Times New Roman"/>
                <w:sz w:val="12"/>
                <w:szCs w:val="12"/>
                <w:color w:val="B4B4B4"/>
                <w:w w:val="88"/>
              </w:rPr>
              <w:t>.........................................................................</w:t>
            </w:r>
          </w:p>
        </w:tc>
        <w:tc>
          <w:tcPr>
            <w:tcW w:w="540" w:type="dxa"/>
            <w:vAlign w:val="bottom"/>
          </w:tcPr>
          <w:p>
            <w:pPr>
              <w:spacing w:after="0"/>
              <w:rPr>
                <w:sz w:val="13"/>
                <w:szCs w:val="13"/>
                <w:color w:val="auto"/>
              </w:rPr>
            </w:pPr>
          </w:p>
        </w:tc>
        <w:tc>
          <w:tcPr>
            <w:tcW w:w="860" w:type="dxa"/>
            <w:vAlign w:val="bottom"/>
          </w:tcPr>
          <w:p>
            <w:pPr>
              <w:ind w:left="220"/>
              <w:spacing w:after="0"/>
              <w:rPr>
                <w:sz w:val="20"/>
                <w:szCs w:val="20"/>
                <w:color w:val="auto"/>
              </w:rPr>
            </w:pPr>
            <w:r>
              <w:rPr>
                <w:rFonts w:ascii="Arial" w:cs="Arial" w:eastAsia="Arial" w:hAnsi="Arial"/>
                <w:sz w:val="12"/>
                <w:szCs w:val="12"/>
                <w:color w:val="auto"/>
              </w:rPr>
              <w:t>Level 3</w:t>
            </w: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45,000</w:t>
            </w:r>
          </w:p>
        </w:tc>
        <w:tc>
          <w:tcPr>
            <w:tcW w:w="920" w:type="dxa"/>
            <w:vAlign w:val="bottom"/>
          </w:tcPr>
          <w:p>
            <w:pPr>
              <w:spacing w:after="0"/>
              <w:rPr>
                <w:sz w:val="13"/>
                <w:szCs w:val="13"/>
                <w:color w:val="auto"/>
              </w:rPr>
            </w:pPr>
          </w:p>
        </w:tc>
      </w:tr>
      <w:tr>
        <w:trPr>
          <w:trHeight w:val="153"/>
        </w:trPr>
        <w:tc>
          <w:tcPr>
            <w:tcW w:w="920" w:type="dxa"/>
            <w:vAlign w:val="bottom"/>
          </w:tcPr>
          <w:p>
            <w:pPr>
              <w:spacing w:after="0"/>
              <w:rPr>
                <w:sz w:val="13"/>
                <w:szCs w:val="13"/>
                <w:color w:val="auto"/>
              </w:rPr>
            </w:pPr>
          </w:p>
        </w:tc>
        <w:tc>
          <w:tcPr>
            <w:tcW w:w="3400" w:type="dxa"/>
            <w:vAlign w:val="bottom"/>
            <w:gridSpan w:val="2"/>
          </w:tcPr>
          <w:p>
            <w:pPr>
              <w:ind w:left="40"/>
              <w:spacing w:after="0" w:line="136" w:lineRule="exact"/>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2022promissorynote</w:t>
            </w:r>
          </w:p>
        </w:tc>
        <w:tc>
          <w:tcPr>
            <w:tcW w:w="860" w:type="dxa"/>
            <w:vAlign w:val="bottom"/>
          </w:tcPr>
          <w:p>
            <w:pPr>
              <w:ind w:left="220"/>
              <w:spacing w:after="0" w:line="136" w:lineRule="exact"/>
              <w:rPr>
                <w:sz w:val="20"/>
                <w:szCs w:val="20"/>
                <w:color w:val="auto"/>
              </w:rPr>
            </w:pPr>
            <w:r>
              <w:rPr>
                <w:rFonts w:ascii="Arial" w:cs="Arial" w:eastAsia="Arial" w:hAnsi="Arial"/>
                <w:sz w:val="12"/>
                <w:szCs w:val="12"/>
                <w:color w:val="auto"/>
              </w:rPr>
              <w:t>Level 3</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179,932</w:t>
            </w:r>
          </w:p>
        </w:tc>
        <w:tc>
          <w:tcPr>
            <w:tcW w:w="920" w:type="dxa"/>
            <w:vAlign w:val="bottom"/>
          </w:tcPr>
          <w:p>
            <w:pPr>
              <w:spacing w:after="0"/>
              <w:rPr>
                <w:sz w:val="13"/>
                <w:szCs w:val="13"/>
                <w:color w:val="auto"/>
              </w:rPr>
            </w:pPr>
          </w:p>
        </w:tc>
      </w:tr>
      <w:tr>
        <w:trPr>
          <w:trHeight w:val="165"/>
        </w:trPr>
        <w:tc>
          <w:tcPr>
            <w:tcW w:w="920" w:type="dxa"/>
            <w:vAlign w:val="bottom"/>
          </w:tcPr>
          <w:p>
            <w:pPr>
              <w:spacing w:after="0"/>
              <w:rPr>
                <w:sz w:val="14"/>
                <w:szCs w:val="14"/>
                <w:color w:val="auto"/>
              </w:rPr>
            </w:pPr>
          </w:p>
        </w:tc>
        <w:tc>
          <w:tcPr>
            <w:tcW w:w="2860" w:type="dxa"/>
            <w:vAlign w:val="bottom"/>
          </w:tcPr>
          <w:p>
            <w:pPr>
              <w:ind w:left="40"/>
              <w:spacing w:after="0"/>
              <w:rPr>
                <w:sz w:val="20"/>
                <w:szCs w:val="20"/>
                <w:color w:val="auto"/>
              </w:rPr>
            </w:pPr>
            <w:r>
              <w:rPr>
                <w:rFonts w:ascii="Arial" w:cs="Arial" w:eastAsia="Arial" w:hAnsi="Arial"/>
                <w:sz w:val="12"/>
                <w:szCs w:val="12"/>
                <w:color w:val="auto"/>
                <w:w w:val="88"/>
              </w:rPr>
              <w:t xml:space="preserve">Other debt </w:t>
            </w:r>
            <w:r>
              <w:rPr>
                <w:rFonts w:ascii="Times New Roman" w:cs="Times New Roman" w:eastAsia="Times New Roman" w:hAnsi="Times New Roman"/>
                <w:sz w:val="12"/>
                <w:szCs w:val="12"/>
                <w:color w:val="B4B4B4"/>
                <w:w w:val="88"/>
              </w:rPr>
              <w:t>.....................................................................................</w:t>
            </w:r>
          </w:p>
        </w:tc>
        <w:tc>
          <w:tcPr>
            <w:tcW w:w="54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Arial" w:cs="Arial" w:eastAsia="Arial" w:hAnsi="Arial"/>
                <w:sz w:val="12"/>
                <w:szCs w:val="12"/>
                <w:color w:val="auto"/>
              </w:rPr>
              <w:t>Level 3</w:t>
            </w:r>
          </w:p>
        </w:tc>
        <w:tc>
          <w:tcPr>
            <w:tcW w:w="28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1,810</w:t>
            </w:r>
          </w:p>
        </w:tc>
        <w:tc>
          <w:tcPr>
            <w:tcW w:w="2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933</w:t>
            </w:r>
          </w:p>
        </w:tc>
        <w:tc>
          <w:tcPr>
            <w:tcW w:w="920" w:type="dxa"/>
            <w:vAlign w:val="bottom"/>
          </w:tcPr>
          <w:p>
            <w:pPr>
              <w:spacing w:after="0"/>
              <w:rPr>
                <w:sz w:val="14"/>
                <w:szCs w:val="14"/>
                <w:color w:val="auto"/>
              </w:rPr>
            </w:pPr>
          </w:p>
        </w:tc>
      </w:tr>
      <w:tr>
        <w:trPr>
          <w:trHeight w:val="295"/>
        </w:trPr>
        <w:tc>
          <w:tcPr>
            <w:tcW w:w="9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2"/>
        </w:trPr>
        <w:tc>
          <w:tcPr>
            <w:tcW w:w="920" w:type="dxa"/>
            <w:vAlign w:val="bottom"/>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20" w:type="dxa"/>
            <w:vAlign w:val="bottom"/>
          </w:tcPr>
          <w:p>
            <w:pPr>
              <w:spacing w:after="0"/>
              <w:rPr>
                <w:sz w:val="15"/>
                <w:szCs w:val="15"/>
                <w:color w:val="auto"/>
              </w:rPr>
            </w:pPr>
          </w:p>
        </w:tc>
      </w:tr>
      <w:tr>
        <w:trPr>
          <w:trHeight w:val="432"/>
        </w:trPr>
        <w:tc>
          <w:tcPr>
            <w:tcW w:w="9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2"/>
                <w:szCs w:val="12"/>
                <w:color w:val="auto"/>
              </w:rPr>
              <w:t>F-59</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3"/>
        </w:trPr>
        <w:tc>
          <w:tcPr>
            <w:tcW w:w="9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82"/>
        </w:trPr>
        <w:tc>
          <w:tcPr>
            <w:tcW w:w="920" w:type="dxa"/>
            <w:vAlign w:val="bottom"/>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20" w:type="dxa"/>
            <w:vAlign w:val="bottom"/>
          </w:tcPr>
          <w:p>
            <w:pPr>
              <w:spacing w:after="0"/>
              <w:rPr>
                <w:sz w:val="15"/>
                <w:szCs w:val="15"/>
                <w:color w:val="auto"/>
              </w:rPr>
            </w:pPr>
          </w:p>
        </w:tc>
      </w:tr>
      <w:tr>
        <w:trPr>
          <w:trHeight w:val="230"/>
        </w:trPr>
        <w:tc>
          <w:tcPr>
            <w:tcW w:w="9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4 – SUPPLEMENTAL FINANCIAL STATEMENT INFORMATION</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Property, Equipment and Software, Net</w:t>
      </w:r>
    </w:p>
    <w:p>
      <w:pPr>
        <w:spacing w:after="0" w:line="12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Property, equipment and software, net consisted of the following (in thousands):</w:t>
      </w:r>
    </w:p>
    <w:p>
      <w:pPr>
        <w:spacing w:after="0" w:line="168"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4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restart"/>
          </w:tcPr>
          <w:p>
            <w:pPr>
              <w:jc w:val="right"/>
              <w:ind w:right="20"/>
              <w:spacing w:after="0"/>
              <w:rPr>
                <w:sz w:val="20"/>
                <w:szCs w:val="20"/>
                <w:color w:val="auto"/>
              </w:rPr>
            </w:pPr>
            <w:r>
              <w:rPr>
                <w:rFonts w:ascii="Arial" w:cs="Arial" w:eastAsia="Arial" w:hAnsi="Arial"/>
                <w:sz w:val="11"/>
                <w:szCs w:val="11"/>
                <w:b w:val="1"/>
                <w:bCs w:val="1"/>
                <w:color w:val="auto"/>
                <w:w w:val="94"/>
              </w:rPr>
              <w:t>July 31, 2025</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jc w:val="right"/>
              <w:ind w:right="60"/>
              <w:spacing w:after="0" w:line="86" w:lineRule="exact"/>
              <w:rPr>
                <w:sz w:val="20"/>
                <w:szCs w:val="20"/>
                <w:color w:val="auto"/>
              </w:rPr>
            </w:pPr>
            <w:r>
              <w:rPr>
                <w:rFonts w:ascii="Arial" w:cs="Arial" w:eastAsia="Arial" w:hAnsi="Arial"/>
                <w:sz w:val="9"/>
                <w:szCs w:val="9"/>
                <w:b w:val="1"/>
                <w:bCs w:val="1"/>
                <w:color w:val="auto"/>
              </w:rPr>
              <w:t>January 31,</w:t>
            </w:r>
          </w:p>
        </w:tc>
        <w:tc>
          <w:tcPr>
            <w:tcW w:w="0" w:type="dxa"/>
            <w:vAlign w:val="bottom"/>
          </w:tcPr>
          <w:p>
            <w:pPr>
              <w:spacing w:after="0"/>
              <w:rPr>
                <w:sz w:val="1"/>
                <w:szCs w:val="1"/>
                <w:color w:val="auto"/>
              </w:rPr>
            </w:pPr>
          </w:p>
        </w:tc>
      </w:tr>
      <w:tr>
        <w:trPr>
          <w:trHeight w:val="153"/>
        </w:trPr>
        <w:tc>
          <w:tcPr>
            <w:tcW w:w="4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72"/>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Capitalizedsoftware</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44,479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42,317</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Computers and equipment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7,622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7,349</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Fixtures and fittings </w:t>
            </w:r>
            <w:r>
              <w:rPr>
                <w:rFonts w:ascii="Times New Roman" w:cs="Times New Roman" w:eastAsia="Times New Roman" w:hAnsi="Times New Roman"/>
                <w:sz w:val="12"/>
                <w:szCs w:val="12"/>
                <w:color w:val="B4B4B4"/>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3,568</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3,561</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Leasehold improvements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2,840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2,779</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line="190" w:lineRule="exact"/>
              <w:rPr>
                <w:sz w:val="20"/>
                <w:szCs w:val="20"/>
                <w:color w:val="auto"/>
              </w:rPr>
            </w:pPr>
            <w:r>
              <w:rPr>
                <w:rFonts w:ascii="Arial" w:cs="Arial" w:eastAsia="Arial" w:hAnsi="Arial"/>
                <w:sz w:val="12"/>
                <w:szCs w:val="12"/>
                <w:color w:val="auto"/>
              </w:rPr>
              <w:t xml:space="preserve">Construction in progress </w:t>
            </w:r>
            <w:r>
              <w:rPr>
                <w:rFonts w:ascii="Arial" w:cs="Arial" w:eastAsia="Arial" w:hAnsi="Arial"/>
                <w:sz w:val="17"/>
                <w:szCs w:val="17"/>
                <w:color w:val="auto"/>
                <w:vertAlign w:val="superscript"/>
              </w:rPr>
              <w:t>(1)</w:t>
            </w:r>
            <w:r>
              <w:rPr>
                <w:rFonts w:ascii="Times New Roman" w:cs="Times New Roman" w:eastAsia="Times New Roman" w:hAnsi="Times New Roman"/>
                <w:sz w:val="12"/>
                <w:szCs w:val="12"/>
                <w:color w:val="B4B4B4"/>
              </w:rPr>
              <w:t>.....................................................................................</w:t>
            </w: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2,919</w:t>
            </w: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2,960</w:t>
            </w:r>
          </w:p>
        </w:tc>
        <w:tc>
          <w:tcPr>
            <w:tcW w:w="0" w:type="dxa"/>
            <w:vAlign w:val="bottom"/>
          </w:tcPr>
          <w:p>
            <w:pPr>
              <w:spacing w:after="0"/>
              <w:rPr>
                <w:sz w:val="1"/>
                <w:szCs w:val="1"/>
                <w:color w:val="auto"/>
              </w:rPr>
            </w:pPr>
          </w:p>
        </w:tc>
      </w:tr>
      <w:tr>
        <w:trPr>
          <w:trHeight w:val="158"/>
        </w:trPr>
        <w:tc>
          <w:tcPr>
            <w:tcW w:w="4260" w:type="dxa"/>
            <w:vAlign w:val="bottom"/>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Property,equipmentandsoftware,gross</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61,428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58,966</w:t>
            </w:r>
          </w:p>
        </w:tc>
        <w:tc>
          <w:tcPr>
            <w:tcW w:w="0" w:type="dxa"/>
            <w:vAlign w:val="bottom"/>
          </w:tcPr>
          <w:p>
            <w:pPr>
              <w:spacing w:after="0"/>
              <w:rPr>
                <w:sz w:val="1"/>
                <w:szCs w:val="1"/>
                <w:color w:val="auto"/>
              </w:rPr>
            </w:pPr>
          </w:p>
        </w:tc>
      </w:tr>
      <w:tr>
        <w:trPr>
          <w:trHeight w:val="186"/>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Less: accumulated depreciation </w:t>
            </w:r>
            <w:r>
              <w:rPr>
                <w:rFonts w:ascii="Times New Roman" w:cs="Times New Roman" w:eastAsia="Times New Roman" w:hAnsi="Times New Roman"/>
                <w:sz w:val="12"/>
                <w:szCs w:val="12"/>
                <w:color w:val="B4B4B4"/>
              </w:rPr>
              <w:t>...........................................................................</w:t>
            </w: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(31,336)</w:t>
            </w: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(29,428)</w:t>
            </w:r>
          </w:p>
        </w:tc>
        <w:tc>
          <w:tcPr>
            <w:tcW w:w="0" w:type="dxa"/>
            <w:vAlign w:val="bottom"/>
          </w:tcPr>
          <w:p>
            <w:pPr>
              <w:spacing w:after="0"/>
              <w:rPr>
                <w:sz w:val="1"/>
                <w:szCs w:val="1"/>
                <w:color w:val="auto"/>
              </w:rPr>
            </w:pPr>
          </w:p>
        </w:tc>
      </w:tr>
      <w:tr>
        <w:trPr>
          <w:trHeight w:val="161"/>
        </w:trPr>
        <w:tc>
          <w:tcPr>
            <w:tcW w:w="4260" w:type="dxa"/>
            <w:vAlign w:val="bottom"/>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Property,equipmentandsoftware,net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30,092</w:t>
            </w:r>
          </w:p>
        </w:tc>
        <w:tc>
          <w:tcPr>
            <w:tcW w:w="4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29,538</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_______________</w:t>
      </w:r>
    </w:p>
    <w:p>
      <w:pPr>
        <w:spacing w:after="0" w:line="23" w:lineRule="exact"/>
        <w:rPr>
          <w:sz w:val="20"/>
          <w:szCs w:val="20"/>
          <w:color w:val="auto"/>
        </w:rPr>
      </w:pPr>
    </w:p>
    <w:p>
      <w:pPr>
        <w:ind w:left="1760" w:right="1740" w:hanging="238"/>
        <w:spacing w:after="0"/>
        <w:tabs>
          <w:tab w:leader="none" w:pos="1760" w:val="left"/>
        </w:tabs>
        <w:numPr>
          <w:ilvl w:val="0"/>
          <w:numId w:val="188"/>
        </w:numPr>
        <w:rPr>
          <w:rFonts w:ascii="Arial" w:cs="Arial" w:eastAsia="Arial" w:hAnsi="Arial"/>
          <w:sz w:val="11"/>
          <w:szCs w:val="11"/>
          <w:color w:val="auto"/>
        </w:rPr>
      </w:pPr>
      <w:r>
        <w:rPr>
          <w:rFonts w:ascii="Arial" w:cs="Arial" w:eastAsia="Arial" w:hAnsi="Arial"/>
          <w:sz w:val="11"/>
          <w:szCs w:val="11"/>
          <w:color w:val="auto"/>
        </w:rPr>
        <w:t>Construction in progress consists of leasehold improvements and capitalized software development costs tha t</w:t>
      </w:r>
    </w:p>
    <w:p>
      <w:pPr>
        <w:spacing w:after="0" w:line="11" w:lineRule="exact"/>
        <w:rPr>
          <w:rFonts w:ascii="Arial" w:cs="Arial" w:eastAsia="Arial" w:hAnsi="Arial"/>
          <w:sz w:val="11"/>
          <w:szCs w:val="11"/>
          <w:color w:val="auto"/>
        </w:rPr>
      </w:pPr>
    </w:p>
    <w:p>
      <w:pPr>
        <w:ind w:left="1760"/>
        <w:spacing w:after="0"/>
        <w:rPr>
          <w:rFonts w:ascii="Arial" w:cs="Arial" w:eastAsia="Arial" w:hAnsi="Arial"/>
          <w:sz w:val="11"/>
          <w:szCs w:val="11"/>
          <w:color w:val="auto"/>
        </w:rPr>
      </w:pPr>
      <w:r>
        <w:rPr>
          <w:rFonts w:ascii="Arial" w:cs="Arial" w:eastAsia="Arial" w:hAnsi="Arial"/>
          <w:sz w:val="11"/>
          <w:szCs w:val="11"/>
          <w:color w:val="auto"/>
        </w:rPr>
        <w:t>have not been placed into service.</w:t>
      </w:r>
    </w:p>
    <w:p>
      <w:pPr>
        <w:spacing w:after="0" w:line="111" w:lineRule="exact"/>
        <w:rPr>
          <w:sz w:val="20"/>
          <w:szCs w:val="20"/>
          <w:color w:val="auto"/>
        </w:rPr>
      </w:pPr>
    </w:p>
    <w:p>
      <w:pPr>
        <w:ind w:left="1520" w:right="1720" w:firstLine="230"/>
        <w:spacing w:after="0" w:line="281" w:lineRule="auto"/>
        <w:rPr>
          <w:sz w:val="20"/>
          <w:szCs w:val="20"/>
          <w:color w:val="auto"/>
        </w:rPr>
      </w:pPr>
      <w:r>
        <w:rPr>
          <w:rFonts w:ascii="Arial" w:cs="Arial" w:eastAsia="Arial" w:hAnsi="Arial"/>
          <w:sz w:val="12"/>
          <w:szCs w:val="12"/>
          <w:color w:val="auto"/>
        </w:rPr>
        <w:t>For the six months ended July 31, 2025 and 2024, depreciation and amortization expense related to property, equipment and software was $9.6 million and $10.2 million , respectively. Included in these amounts was amortization expense for capitalized internal-use software costs of approximately $7.4 million and $7.6 million, respectively, for the six months ended July 31, 2025 and 2024.</w:t>
      </w:r>
    </w:p>
    <w:p>
      <w:pPr>
        <w:spacing w:after="0" w:line="81" w:lineRule="exact"/>
        <w:rPr>
          <w:sz w:val="20"/>
          <w:szCs w:val="20"/>
          <w:color w:val="auto"/>
        </w:rPr>
      </w:pPr>
    </w:p>
    <w:p>
      <w:pPr>
        <w:ind w:left="1520" w:right="1580" w:firstLine="230"/>
        <w:spacing w:after="0" w:line="312" w:lineRule="auto"/>
        <w:rPr>
          <w:sz w:val="20"/>
          <w:szCs w:val="20"/>
          <w:color w:val="auto"/>
        </w:rPr>
      </w:pPr>
      <w:r>
        <w:rPr>
          <w:rFonts w:ascii="Arial" w:cs="Arial" w:eastAsia="Arial" w:hAnsi="Arial"/>
          <w:sz w:val="12"/>
          <w:szCs w:val="12"/>
          <w:color w:val="auto"/>
        </w:rPr>
        <w:t>No impairment losses of long-lived assets, including property, equipment and software, and operating lease right-of-use (“ROU”) assets, were recognized during the six months ended July 31, 2025 and 2024.</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Long-Lived Assets, Net</w:t>
      </w:r>
    </w:p>
    <w:p>
      <w:pPr>
        <w:spacing w:after="0" w:line="128" w:lineRule="exact"/>
        <w:rPr>
          <w:sz w:val="20"/>
          <w:szCs w:val="20"/>
          <w:color w:val="auto"/>
        </w:rPr>
      </w:pPr>
    </w:p>
    <w:p>
      <w:pPr>
        <w:jc w:val="both"/>
        <w:ind w:left="1520" w:right="1760" w:firstLine="230"/>
        <w:spacing w:after="0" w:line="312" w:lineRule="auto"/>
        <w:rPr>
          <w:sz w:val="20"/>
          <w:szCs w:val="20"/>
          <w:color w:val="auto"/>
        </w:rPr>
      </w:pPr>
      <w:r>
        <w:rPr>
          <w:rFonts w:ascii="Arial" w:cs="Arial" w:eastAsia="Arial" w:hAnsi="Arial"/>
          <w:sz w:val="12"/>
          <w:szCs w:val="12"/>
          <w:color w:val="auto"/>
        </w:rPr>
        <w:t>The following table presents long-lived assets, which includes property, equipment and software, net of depreciation and amortization, and operating lease ROU assets, by geographic region (in thousands):</w:t>
      </w:r>
    </w:p>
    <w:p>
      <w:pPr>
        <w:spacing w:after="0" w:line="101"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4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restart"/>
          </w:tcPr>
          <w:p>
            <w:pPr>
              <w:jc w:val="right"/>
              <w:ind w:right="21"/>
              <w:spacing w:after="0"/>
              <w:rPr>
                <w:sz w:val="20"/>
                <w:szCs w:val="20"/>
                <w:color w:val="auto"/>
              </w:rPr>
            </w:pPr>
            <w:r>
              <w:rPr>
                <w:rFonts w:ascii="Arial" w:cs="Arial" w:eastAsia="Arial" w:hAnsi="Arial"/>
                <w:sz w:val="11"/>
                <w:szCs w:val="11"/>
                <w:b w:val="1"/>
                <w:bCs w:val="1"/>
                <w:color w:val="auto"/>
                <w:w w:val="94"/>
              </w:rPr>
              <w:t>July 31, 2025</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jc w:val="right"/>
              <w:ind w:right="62"/>
              <w:spacing w:after="0" w:line="86" w:lineRule="exact"/>
              <w:rPr>
                <w:sz w:val="20"/>
                <w:szCs w:val="20"/>
                <w:color w:val="auto"/>
              </w:rPr>
            </w:pPr>
            <w:r>
              <w:rPr>
                <w:rFonts w:ascii="Arial" w:cs="Arial" w:eastAsia="Arial" w:hAnsi="Arial"/>
                <w:sz w:val="9"/>
                <w:szCs w:val="9"/>
                <w:b w:val="1"/>
                <w:bCs w:val="1"/>
                <w:color w:val="auto"/>
              </w:rPr>
              <w:t>January 31,</w:t>
            </w:r>
          </w:p>
        </w:tc>
        <w:tc>
          <w:tcPr>
            <w:tcW w:w="0" w:type="dxa"/>
            <w:vAlign w:val="bottom"/>
          </w:tcPr>
          <w:p>
            <w:pPr>
              <w:spacing w:after="0"/>
              <w:rPr>
                <w:sz w:val="1"/>
                <w:szCs w:val="1"/>
                <w:color w:val="auto"/>
              </w:rPr>
            </w:pPr>
          </w:p>
        </w:tc>
      </w:tr>
      <w:tr>
        <w:trPr>
          <w:trHeight w:val="153"/>
        </w:trPr>
        <w:tc>
          <w:tcPr>
            <w:tcW w:w="4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72"/>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UnitedStates</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56,792</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59,181</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United Kingdom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10,684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10,633</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All other countries </w:t>
            </w:r>
            <w:r>
              <w:rPr>
                <w:rFonts w:ascii="Times New Roman" w:cs="Times New Roman" w:eastAsia="Times New Roman" w:hAnsi="Times New Roman"/>
                <w:sz w:val="12"/>
                <w:szCs w:val="12"/>
                <w:color w:val="B4B4B4"/>
              </w:rPr>
              <w:t>...................................................................................................</w:t>
            </w: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6,980</w:t>
            </w: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7,730</w:t>
            </w:r>
          </w:p>
        </w:tc>
        <w:tc>
          <w:tcPr>
            <w:tcW w:w="0" w:type="dxa"/>
            <w:vAlign w:val="bottom"/>
          </w:tcPr>
          <w:p>
            <w:pPr>
              <w:spacing w:after="0"/>
              <w:rPr>
                <w:sz w:val="1"/>
                <w:szCs w:val="1"/>
                <w:color w:val="auto"/>
              </w:rPr>
            </w:pPr>
          </w:p>
        </w:tc>
      </w:tr>
      <w:tr>
        <w:trPr>
          <w:trHeight w:val="161"/>
        </w:trPr>
        <w:tc>
          <w:tcPr>
            <w:tcW w:w="4260" w:type="dxa"/>
            <w:vAlign w:val="bottom"/>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Totallong-livedassets,net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74,456</w:t>
            </w:r>
          </w:p>
        </w:tc>
        <w:tc>
          <w:tcPr>
            <w:tcW w:w="4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77,544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F-60</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4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Prepaid Expenses and Other Current Assets</w:t>
      </w:r>
    </w:p>
    <w:p>
      <w:pPr>
        <w:spacing w:after="0" w:line="12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Prepaid expenses and other current assets consisted of the following (in thousands):</w:t>
      </w:r>
    </w:p>
    <w:p>
      <w:pPr>
        <w:spacing w:after="0" w:line="168"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4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restart"/>
          </w:tcPr>
          <w:p>
            <w:pPr>
              <w:jc w:val="right"/>
              <w:ind w:right="20"/>
              <w:spacing w:after="0"/>
              <w:rPr>
                <w:sz w:val="20"/>
                <w:szCs w:val="20"/>
                <w:color w:val="auto"/>
              </w:rPr>
            </w:pPr>
            <w:r>
              <w:rPr>
                <w:rFonts w:ascii="Arial" w:cs="Arial" w:eastAsia="Arial" w:hAnsi="Arial"/>
                <w:sz w:val="11"/>
                <w:szCs w:val="11"/>
                <w:b w:val="1"/>
                <w:bCs w:val="1"/>
                <w:color w:val="auto"/>
                <w:w w:val="94"/>
              </w:rPr>
              <w:t>July 31, 2025</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jc w:val="right"/>
              <w:ind w:right="61"/>
              <w:spacing w:after="0" w:line="86" w:lineRule="exact"/>
              <w:rPr>
                <w:sz w:val="20"/>
                <w:szCs w:val="20"/>
                <w:color w:val="auto"/>
              </w:rPr>
            </w:pPr>
            <w:r>
              <w:rPr>
                <w:rFonts w:ascii="Arial" w:cs="Arial" w:eastAsia="Arial" w:hAnsi="Arial"/>
                <w:sz w:val="9"/>
                <w:szCs w:val="9"/>
                <w:b w:val="1"/>
                <w:bCs w:val="1"/>
                <w:color w:val="auto"/>
              </w:rPr>
              <w:t>January 31,</w:t>
            </w:r>
          </w:p>
        </w:tc>
        <w:tc>
          <w:tcPr>
            <w:tcW w:w="0" w:type="dxa"/>
            <w:vAlign w:val="bottom"/>
          </w:tcPr>
          <w:p>
            <w:pPr>
              <w:spacing w:after="0"/>
              <w:rPr>
                <w:sz w:val="1"/>
                <w:szCs w:val="1"/>
                <w:color w:val="auto"/>
              </w:rPr>
            </w:pPr>
          </w:p>
        </w:tc>
      </w:tr>
      <w:tr>
        <w:trPr>
          <w:trHeight w:val="153"/>
        </w:trPr>
        <w:tc>
          <w:tcPr>
            <w:tcW w:w="4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72"/>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Prepaidexpenses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20,108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16,965</w:t>
            </w:r>
          </w:p>
        </w:tc>
        <w:tc>
          <w:tcPr>
            <w:tcW w:w="0" w:type="dxa"/>
            <w:vAlign w:val="bottom"/>
          </w:tcPr>
          <w:p>
            <w:pPr>
              <w:spacing w:after="0"/>
              <w:rPr>
                <w:sz w:val="1"/>
                <w:szCs w:val="1"/>
                <w:color w:val="auto"/>
              </w:rPr>
            </w:pPr>
          </w:p>
        </w:tc>
      </w:tr>
      <w:tr>
        <w:trPr>
          <w:trHeight w:val="182"/>
        </w:trPr>
        <w:tc>
          <w:tcPr>
            <w:tcW w:w="4260" w:type="dxa"/>
            <w:vAlign w:val="bottom"/>
          </w:tcPr>
          <w:p>
            <w:pPr>
              <w:ind w:left="40"/>
              <w:spacing w:after="0" w:line="182" w:lineRule="exact"/>
              <w:rPr>
                <w:sz w:val="20"/>
                <w:szCs w:val="20"/>
                <w:color w:val="auto"/>
              </w:rPr>
            </w:pPr>
            <w:r>
              <w:rPr>
                <w:rFonts w:ascii="Arial" w:cs="Arial" w:eastAsia="Arial" w:hAnsi="Arial"/>
                <w:sz w:val="12"/>
                <w:szCs w:val="12"/>
                <w:color w:val="auto"/>
              </w:rPr>
              <w:t xml:space="preserve">Payment processor advances </w:t>
            </w:r>
            <w:r>
              <w:rPr>
                <w:rFonts w:ascii="Arial" w:cs="Arial" w:eastAsia="Arial" w:hAnsi="Arial"/>
                <w:sz w:val="17"/>
                <w:szCs w:val="17"/>
                <w:color w:val="auto"/>
                <w:vertAlign w:val="superscript"/>
              </w:rPr>
              <w:t>(1)</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12,274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6,801</w:t>
            </w:r>
          </w:p>
        </w:tc>
        <w:tc>
          <w:tcPr>
            <w:tcW w:w="0" w:type="dxa"/>
            <w:vAlign w:val="bottom"/>
          </w:tcPr>
          <w:p>
            <w:pPr>
              <w:spacing w:after="0"/>
              <w:rPr>
                <w:sz w:val="1"/>
                <w:szCs w:val="1"/>
                <w:color w:val="auto"/>
              </w:rPr>
            </w:pPr>
          </w:p>
        </w:tc>
      </w:tr>
      <w:tr>
        <w:trPr>
          <w:trHeight w:val="182"/>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Tax receivable </w:t>
            </w:r>
            <w:r>
              <w:rPr>
                <w:rFonts w:ascii="Times New Roman" w:cs="Times New Roman" w:eastAsia="Times New Roman" w:hAnsi="Times New Roman"/>
                <w:sz w:val="12"/>
                <w:szCs w:val="12"/>
                <w:color w:val="B4B4B4"/>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3,196</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Deferred offering costs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3,355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Other current assets </w:t>
            </w:r>
            <w:r>
              <w:rPr>
                <w:rFonts w:ascii="Times New Roman" w:cs="Times New Roman" w:eastAsia="Times New Roman" w:hAnsi="Times New Roman"/>
                <w:sz w:val="12"/>
                <w:szCs w:val="12"/>
                <w:color w:val="B4B4B4"/>
              </w:rPr>
              <w:t>...............................................................................................</w:t>
            </w: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13,945</w:t>
            </w: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8,666</w:t>
            </w:r>
          </w:p>
        </w:tc>
        <w:tc>
          <w:tcPr>
            <w:tcW w:w="0" w:type="dxa"/>
            <w:vAlign w:val="bottom"/>
          </w:tcPr>
          <w:p>
            <w:pPr>
              <w:spacing w:after="0"/>
              <w:rPr>
                <w:sz w:val="1"/>
                <w:szCs w:val="1"/>
                <w:color w:val="auto"/>
              </w:rPr>
            </w:pPr>
          </w:p>
        </w:tc>
      </w:tr>
      <w:tr>
        <w:trPr>
          <w:trHeight w:val="161"/>
        </w:trPr>
        <w:tc>
          <w:tcPr>
            <w:tcW w:w="4260" w:type="dxa"/>
            <w:vAlign w:val="bottom"/>
          </w:tcPr>
          <w:p>
            <w:pPr>
              <w:ind w:left="180"/>
              <w:spacing w:after="0"/>
              <w:rPr>
                <w:sz w:val="20"/>
                <w:szCs w:val="20"/>
                <w:color w:val="auto"/>
              </w:rPr>
            </w:pPr>
            <w:r>
              <w:rPr>
                <w:rFonts w:ascii="Arial" w:cs="Arial" w:eastAsia="Arial" w:hAnsi="Arial"/>
                <w:sz w:val="12"/>
                <w:szCs w:val="12"/>
                <w:color w:val="auto"/>
              </w:rPr>
              <w:t>Total prepaid expenses and other current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52,353</w:t>
            </w:r>
          </w:p>
        </w:tc>
        <w:tc>
          <w:tcPr>
            <w:tcW w:w="4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35,628</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_______________</w:t>
      </w:r>
    </w:p>
    <w:p>
      <w:pPr>
        <w:spacing w:after="0" w:line="23" w:lineRule="exact"/>
        <w:rPr>
          <w:sz w:val="20"/>
          <w:szCs w:val="20"/>
          <w:color w:val="auto"/>
        </w:rPr>
      </w:pPr>
    </w:p>
    <w:p>
      <w:pPr>
        <w:ind w:left="1760" w:right="1660" w:hanging="238"/>
        <w:spacing w:after="0"/>
        <w:tabs>
          <w:tab w:leader="none" w:pos="1760" w:val="left"/>
        </w:tabs>
        <w:numPr>
          <w:ilvl w:val="0"/>
          <w:numId w:val="189"/>
        </w:numPr>
        <w:rPr>
          <w:rFonts w:ascii="Arial" w:cs="Arial" w:eastAsia="Arial" w:hAnsi="Arial"/>
          <w:sz w:val="11"/>
          <w:szCs w:val="11"/>
          <w:color w:val="auto"/>
        </w:rPr>
      </w:pPr>
      <w:r>
        <w:rPr>
          <w:rFonts w:ascii="Arial" w:cs="Arial" w:eastAsia="Arial" w:hAnsi="Arial"/>
          <w:sz w:val="11"/>
          <w:szCs w:val="11"/>
          <w:color w:val="auto"/>
        </w:rPr>
        <w:t>Payment processor advances represent amounts prefunded to and held by payment processors in order to fun d</w:t>
      </w:r>
    </w:p>
    <w:p>
      <w:pPr>
        <w:spacing w:after="0" w:line="11" w:lineRule="exact"/>
        <w:rPr>
          <w:rFonts w:ascii="Arial" w:cs="Arial" w:eastAsia="Arial" w:hAnsi="Arial"/>
          <w:sz w:val="11"/>
          <w:szCs w:val="11"/>
          <w:color w:val="auto"/>
        </w:rPr>
      </w:pPr>
    </w:p>
    <w:p>
      <w:pPr>
        <w:ind w:left="1760"/>
        <w:spacing w:after="0" w:line="199" w:lineRule="auto"/>
        <w:rPr>
          <w:rFonts w:ascii="Arial" w:cs="Arial" w:eastAsia="Arial" w:hAnsi="Arial"/>
          <w:sz w:val="11"/>
          <w:szCs w:val="11"/>
          <w:color w:val="auto"/>
        </w:rPr>
      </w:pPr>
      <w:r>
        <w:rPr>
          <w:rFonts w:ascii="Arial" w:cs="Arial" w:eastAsia="Arial" w:hAnsi="Arial"/>
          <w:sz w:val="8"/>
          <w:szCs w:val="8"/>
          <w:color w:val="auto"/>
        </w:rPr>
        <w:t>future customer spend</w:t>
      </w:r>
    </w:p>
    <w:p>
      <w:pPr>
        <w:ind w:left="1760"/>
        <w:spacing w:after="0"/>
        <w:rPr>
          <w:rFonts w:ascii="Arial" w:cs="Arial" w:eastAsia="Arial" w:hAnsi="Arial"/>
          <w:sz w:val="11"/>
          <w:szCs w:val="11"/>
          <w:color w:val="auto"/>
        </w:rPr>
      </w:pPr>
      <w:r>
        <w:rPr>
          <w:rFonts w:ascii="Arial" w:cs="Arial" w:eastAsia="Arial" w:hAnsi="Arial"/>
          <w:sz w:val="11"/>
          <w:szCs w:val="11"/>
          <w:color w:val="auto"/>
        </w:rPr>
        <w:t>.</w:t>
      </w:r>
    </w:p>
    <w:p>
      <w:pPr>
        <w:sectPr>
          <w:pgSz w:w="11900" w:h="16840" w:orient="portrait"/>
          <w:cols w:equalWidth="0" w:num="1">
            <w:col w:w="9020"/>
          </w:cols>
          <w:pgMar w:left="1440" w:top="570" w:right="1440" w:bottom="10" w:gutter="0" w:footer="0" w:header="0"/>
        </w:sectPr>
      </w:pPr>
    </w:p>
    <w:bookmarkStart w:id="200" w:name="page201"/>
    <w:bookmarkEnd w:id="200"/>
    <w:p>
      <w:pPr>
        <w:ind w:left="1760"/>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Accrued Expenses and Other Current Liabilities</w:t>
      </w:r>
    </w:p>
    <w:p>
      <w:pPr>
        <w:spacing w:after="0" w:line="12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Accrued expenses and other current liabilities consisted of the following (in thousands):</w:t>
      </w:r>
    </w:p>
    <w:p>
      <w:pPr>
        <w:spacing w:after="0" w:line="168"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4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restart"/>
          </w:tcPr>
          <w:p>
            <w:pPr>
              <w:jc w:val="right"/>
              <w:ind w:right="19"/>
              <w:spacing w:after="0"/>
              <w:rPr>
                <w:sz w:val="20"/>
                <w:szCs w:val="20"/>
                <w:color w:val="auto"/>
              </w:rPr>
            </w:pPr>
            <w:r>
              <w:rPr>
                <w:rFonts w:ascii="Arial" w:cs="Arial" w:eastAsia="Arial" w:hAnsi="Arial"/>
                <w:sz w:val="11"/>
                <w:szCs w:val="11"/>
                <w:b w:val="1"/>
                <w:bCs w:val="1"/>
                <w:color w:val="auto"/>
                <w:w w:val="94"/>
              </w:rPr>
              <w:t>July 31, 2025</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jc w:val="right"/>
              <w:ind w:right="60"/>
              <w:spacing w:after="0" w:line="86" w:lineRule="exact"/>
              <w:rPr>
                <w:sz w:val="20"/>
                <w:szCs w:val="20"/>
                <w:color w:val="auto"/>
              </w:rPr>
            </w:pPr>
            <w:r>
              <w:rPr>
                <w:rFonts w:ascii="Arial" w:cs="Arial" w:eastAsia="Arial" w:hAnsi="Arial"/>
                <w:sz w:val="9"/>
                <w:szCs w:val="9"/>
                <w:b w:val="1"/>
                <w:bCs w:val="1"/>
                <w:color w:val="auto"/>
              </w:rPr>
              <w:t>January 31,</w:t>
            </w:r>
          </w:p>
        </w:tc>
        <w:tc>
          <w:tcPr>
            <w:tcW w:w="0" w:type="dxa"/>
            <w:vAlign w:val="bottom"/>
          </w:tcPr>
          <w:p>
            <w:pPr>
              <w:spacing w:after="0"/>
              <w:rPr>
                <w:sz w:val="1"/>
                <w:szCs w:val="1"/>
                <w:color w:val="auto"/>
              </w:rPr>
            </w:pPr>
          </w:p>
        </w:tc>
      </w:tr>
      <w:tr>
        <w:trPr>
          <w:trHeight w:val="153"/>
        </w:trPr>
        <w:tc>
          <w:tcPr>
            <w:tcW w:w="4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72"/>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Accruedcompensationandemployeebenefits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31,924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28,970</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Accrued expenses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33,362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27,354</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line="190" w:lineRule="exact"/>
              <w:rPr>
                <w:sz w:val="20"/>
                <w:szCs w:val="20"/>
                <w:color w:val="auto"/>
              </w:rPr>
            </w:pPr>
            <w:r>
              <w:rPr>
                <w:rFonts w:ascii="Arial" w:cs="Arial" w:eastAsia="Arial" w:hAnsi="Arial"/>
                <w:sz w:val="12"/>
                <w:szCs w:val="12"/>
                <w:color w:val="auto"/>
              </w:rPr>
              <w:t xml:space="preserve">Amounts due to travel supply partners </w:t>
            </w:r>
            <w:r>
              <w:rPr>
                <w:rFonts w:ascii="Arial" w:cs="Arial" w:eastAsia="Arial" w:hAnsi="Arial"/>
                <w:sz w:val="17"/>
                <w:szCs w:val="17"/>
                <w:color w:val="auto"/>
                <w:vertAlign w:val="superscript"/>
              </w:rPr>
              <w:t>(1)</w:t>
            </w:r>
            <w:r>
              <w:rPr>
                <w:rFonts w:ascii="Times New Roman" w:cs="Times New Roman" w:eastAsia="Times New Roman" w:hAnsi="Times New Roman"/>
                <w:sz w:val="12"/>
                <w:szCs w:val="12"/>
                <w:color w:val="B4B4B4"/>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40,906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41,665</w:t>
            </w:r>
          </w:p>
        </w:tc>
        <w:tc>
          <w:tcPr>
            <w:tcW w:w="0" w:type="dxa"/>
            <w:vAlign w:val="bottom"/>
          </w:tcPr>
          <w:p>
            <w:pPr>
              <w:spacing w:after="0"/>
              <w:rPr>
                <w:sz w:val="1"/>
                <w:szCs w:val="1"/>
                <w:color w:val="auto"/>
              </w:rPr>
            </w:pPr>
          </w:p>
        </w:tc>
      </w:tr>
      <w:tr>
        <w:trPr>
          <w:trHeight w:val="182"/>
        </w:trPr>
        <w:tc>
          <w:tcPr>
            <w:tcW w:w="4260" w:type="dxa"/>
            <w:vAlign w:val="bottom"/>
          </w:tcPr>
          <w:p>
            <w:pPr>
              <w:ind w:left="40"/>
              <w:spacing w:after="0" w:line="182" w:lineRule="exact"/>
              <w:rPr>
                <w:sz w:val="20"/>
                <w:szCs w:val="20"/>
                <w:color w:val="auto"/>
              </w:rPr>
            </w:pPr>
            <w:r>
              <w:rPr>
                <w:rFonts w:ascii="Arial" w:cs="Arial" w:eastAsia="Arial" w:hAnsi="Arial"/>
                <w:sz w:val="12"/>
                <w:szCs w:val="12"/>
                <w:color w:val="auto"/>
              </w:rPr>
              <w:t xml:space="preserve">Reward liability </w:t>
            </w:r>
            <w:r>
              <w:rPr>
                <w:rFonts w:ascii="Arial" w:cs="Arial" w:eastAsia="Arial" w:hAnsi="Arial"/>
                <w:sz w:val="17"/>
                <w:szCs w:val="17"/>
                <w:color w:val="auto"/>
                <w:vertAlign w:val="superscript"/>
              </w:rPr>
              <w:t>(2)</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11,802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11,408</w:t>
            </w:r>
          </w:p>
        </w:tc>
        <w:tc>
          <w:tcPr>
            <w:tcW w:w="0" w:type="dxa"/>
            <w:vAlign w:val="bottom"/>
          </w:tcPr>
          <w:p>
            <w:pPr>
              <w:spacing w:after="0"/>
              <w:rPr>
                <w:sz w:val="1"/>
                <w:szCs w:val="1"/>
                <w:color w:val="auto"/>
              </w:rPr>
            </w:pPr>
          </w:p>
        </w:tc>
      </w:tr>
      <w:tr>
        <w:trPr>
          <w:trHeight w:val="182"/>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Customer deposits and collateral </w:t>
            </w:r>
            <w:r>
              <w:rPr>
                <w:rFonts w:ascii="Times New Roman" w:cs="Times New Roman" w:eastAsia="Times New Roman" w:hAnsi="Times New Roman"/>
                <w:sz w:val="12"/>
                <w:szCs w:val="12"/>
                <w:color w:val="B4B4B4"/>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18,140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14,319</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Corporate tax payable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2,311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4,640</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Indirect tax payable </w:t>
            </w:r>
            <w:r>
              <w:rPr>
                <w:rFonts w:ascii="Times New Roman" w:cs="Times New Roman" w:eastAsia="Times New Roman" w:hAnsi="Times New Roman"/>
                <w:sz w:val="12"/>
                <w:szCs w:val="12"/>
                <w:color w:val="B4B4B4"/>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4,503</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3,489</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Early exercise liability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421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976</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Accrued interest </w:t>
            </w:r>
            <w:r>
              <w:rPr>
                <w:rFonts w:ascii="Times New Roman" w:cs="Times New Roman" w:eastAsia="Times New Roman" w:hAnsi="Times New Roman"/>
                <w:sz w:val="12"/>
                <w:szCs w:val="12"/>
                <w:color w:val="B4B4B4"/>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3,688</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2,642</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Other </w:t>
            </w:r>
            <w:r>
              <w:rPr>
                <w:rFonts w:ascii="Times New Roman" w:cs="Times New Roman" w:eastAsia="Times New Roman" w:hAnsi="Times New Roman"/>
                <w:sz w:val="12"/>
                <w:szCs w:val="12"/>
                <w:color w:val="B4B4B4"/>
              </w:rPr>
              <w:t>.........................................................................................................................</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1,730</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1,335</w:t>
            </w:r>
          </w:p>
        </w:tc>
        <w:tc>
          <w:tcPr>
            <w:tcW w:w="0" w:type="dxa"/>
            <w:vAlign w:val="bottom"/>
          </w:tcPr>
          <w:p>
            <w:pPr>
              <w:spacing w:after="0"/>
              <w:rPr>
                <w:sz w:val="1"/>
                <w:szCs w:val="1"/>
                <w:color w:val="auto"/>
              </w:rPr>
            </w:pPr>
          </w:p>
        </w:tc>
      </w:tr>
      <w:tr>
        <w:trPr>
          <w:trHeight w:val="170"/>
        </w:trPr>
        <w:tc>
          <w:tcPr>
            <w:tcW w:w="4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Totalaccruedexpensesandothercurrentliabilities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148,787</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136,798</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_______________</w:t>
      </w:r>
    </w:p>
    <w:p>
      <w:pPr>
        <w:spacing w:after="0" w:line="17" w:lineRule="exact"/>
        <w:rPr>
          <w:sz w:val="20"/>
          <w:szCs w:val="20"/>
          <w:color w:val="auto"/>
        </w:rPr>
      </w:pPr>
    </w:p>
    <w:p>
      <w:pPr>
        <w:ind w:left="1760" w:right="1600" w:hanging="238"/>
        <w:spacing w:after="0"/>
        <w:tabs>
          <w:tab w:leader="none" w:pos="1760" w:val="left"/>
        </w:tabs>
        <w:numPr>
          <w:ilvl w:val="0"/>
          <w:numId w:val="190"/>
        </w:numPr>
        <w:rPr>
          <w:rFonts w:ascii="Arial" w:cs="Arial" w:eastAsia="Arial" w:hAnsi="Arial"/>
          <w:sz w:val="11"/>
          <w:szCs w:val="11"/>
          <w:color w:val="auto"/>
        </w:rPr>
      </w:pPr>
      <w:r>
        <w:rPr>
          <w:rFonts w:ascii="Arial" w:cs="Arial" w:eastAsia="Arial" w:hAnsi="Arial"/>
          <w:sz w:val="11"/>
          <w:szCs w:val="11"/>
          <w:color w:val="auto"/>
        </w:rPr>
        <w:t>This balance represents the timing difference of when the Company charges customers for certain travel bookin g</w:t>
      </w:r>
    </w:p>
    <w:p>
      <w:pPr>
        <w:spacing w:after="0" w:line="17" w:lineRule="exact"/>
        <w:rPr>
          <w:rFonts w:ascii="Arial" w:cs="Arial" w:eastAsia="Arial" w:hAnsi="Arial"/>
          <w:sz w:val="11"/>
          <w:szCs w:val="11"/>
          <w:color w:val="auto"/>
        </w:rPr>
      </w:pPr>
    </w:p>
    <w:p>
      <w:pPr>
        <w:ind w:left="1760"/>
        <w:spacing w:after="0" w:line="199" w:lineRule="auto"/>
        <w:rPr>
          <w:rFonts w:ascii="Arial" w:cs="Arial" w:eastAsia="Arial" w:hAnsi="Arial"/>
          <w:sz w:val="11"/>
          <w:szCs w:val="11"/>
          <w:color w:val="auto"/>
        </w:rPr>
      </w:pPr>
      <w:r>
        <w:rPr>
          <w:rFonts w:ascii="Arial" w:cs="Arial" w:eastAsia="Arial" w:hAnsi="Arial"/>
          <w:sz w:val="8"/>
          <w:szCs w:val="8"/>
          <w:color w:val="auto"/>
        </w:rPr>
        <w:t>transactions, and when the balance is remitted to travel supply partners or needs to be refunded</w:t>
      </w:r>
    </w:p>
    <w:p>
      <w:pPr>
        <w:ind w:left="1760"/>
        <w:spacing w:after="0" w:line="199" w:lineRule="auto"/>
        <w:rPr>
          <w:rFonts w:ascii="Arial" w:cs="Arial" w:eastAsia="Arial" w:hAnsi="Arial"/>
          <w:sz w:val="11"/>
          <w:szCs w:val="11"/>
          <w:color w:val="auto"/>
        </w:rPr>
      </w:pPr>
      <w:r>
        <w:rPr>
          <w:rFonts w:ascii="Arial" w:cs="Arial" w:eastAsia="Arial" w:hAnsi="Arial"/>
          <w:sz w:val="6"/>
          <w:szCs w:val="6"/>
          <w:color w:val="auto"/>
        </w:rPr>
        <w:t>.</w:t>
      </w:r>
    </w:p>
    <w:p>
      <w:pPr>
        <w:ind w:left="1760" w:hanging="238"/>
        <w:spacing w:after="0" w:line="199" w:lineRule="auto"/>
        <w:tabs>
          <w:tab w:leader="none" w:pos="1760" w:val="left"/>
        </w:tabs>
        <w:numPr>
          <w:ilvl w:val="0"/>
          <w:numId w:val="190"/>
        </w:numPr>
        <w:rPr>
          <w:rFonts w:ascii="Arial" w:cs="Arial" w:eastAsia="Arial" w:hAnsi="Arial"/>
          <w:sz w:val="8"/>
          <w:szCs w:val="8"/>
          <w:color w:val="auto"/>
        </w:rPr>
      </w:pPr>
      <w:r>
        <w:rPr>
          <w:rFonts w:ascii="Arial" w:cs="Arial" w:eastAsia="Arial" w:hAnsi="Arial"/>
          <w:sz w:val="8"/>
          <w:szCs w:val="8"/>
          <w:color w:val="auto"/>
        </w:rPr>
        <w:t>This balance represents the vested and unpaid rewards earned by users of our platform</w:t>
      </w:r>
    </w:p>
    <w:p>
      <w:pPr>
        <w:ind w:left="1760"/>
        <w:spacing w:after="0"/>
        <w:rPr>
          <w:rFonts w:ascii="Arial" w:cs="Arial" w:eastAsia="Arial" w:hAnsi="Arial"/>
          <w:sz w:val="8"/>
          <w:szCs w:val="8"/>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F-61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4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Other Non-Current Liabilities</w:t>
      </w:r>
    </w:p>
    <w:p>
      <w:pPr>
        <w:spacing w:after="0" w:line="12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Other non-current liabilities consisted of the following (in thousands):</w:t>
      </w:r>
    </w:p>
    <w:p>
      <w:pPr>
        <w:spacing w:after="0" w:line="168"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4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restart"/>
          </w:tcPr>
          <w:p>
            <w:pPr>
              <w:jc w:val="right"/>
              <w:ind w:right="20"/>
              <w:spacing w:after="0"/>
              <w:rPr>
                <w:sz w:val="20"/>
                <w:szCs w:val="20"/>
                <w:color w:val="auto"/>
              </w:rPr>
            </w:pPr>
            <w:r>
              <w:rPr>
                <w:rFonts w:ascii="Arial" w:cs="Arial" w:eastAsia="Arial" w:hAnsi="Arial"/>
                <w:sz w:val="11"/>
                <w:szCs w:val="11"/>
                <w:b w:val="1"/>
                <w:bCs w:val="1"/>
                <w:color w:val="auto"/>
                <w:w w:val="94"/>
              </w:rPr>
              <w:t>July 31, 2025</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jc w:val="right"/>
              <w:ind w:right="61"/>
              <w:spacing w:after="0" w:line="86" w:lineRule="exact"/>
              <w:rPr>
                <w:sz w:val="20"/>
                <w:szCs w:val="20"/>
                <w:color w:val="auto"/>
              </w:rPr>
            </w:pPr>
            <w:r>
              <w:rPr>
                <w:rFonts w:ascii="Arial" w:cs="Arial" w:eastAsia="Arial" w:hAnsi="Arial"/>
                <w:sz w:val="9"/>
                <w:szCs w:val="9"/>
                <w:b w:val="1"/>
                <w:bCs w:val="1"/>
                <w:color w:val="auto"/>
              </w:rPr>
              <w:t>January 31,</w:t>
            </w:r>
          </w:p>
        </w:tc>
        <w:tc>
          <w:tcPr>
            <w:tcW w:w="0" w:type="dxa"/>
            <w:vAlign w:val="bottom"/>
          </w:tcPr>
          <w:p>
            <w:pPr>
              <w:spacing w:after="0"/>
              <w:rPr>
                <w:sz w:val="1"/>
                <w:szCs w:val="1"/>
                <w:color w:val="auto"/>
              </w:rPr>
            </w:pPr>
          </w:p>
        </w:tc>
      </w:tr>
      <w:tr>
        <w:trPr>
          <w:trHeight w:val="153"/>
        </w:trPr>
        <w:tc>
          <w:tcPr>
            <w:tcW w:w="4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72"/>
        </w:trPr>
        <w:tc>
          <w:tcPr>
            <w:tcW w:w="4260" w:type="dxa"/>
            <w:vAlign w:val="bottom"/>
            <w:shd w:val="clear" w:color="auto" w:fill="CCEEFF"/>
          </w:tcPr>
          <w:p>
            <w:pPr>
              <w:ind w:left="40"/>
              <w:spacing w:after="0" w:line="171" w:lineRule="exact"/>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Losscontingencyreserves</w:t>
            </w:r>
            <w:r>
              <w:rPr>
                <w:rFonts w:ascii="Arial" w:cs="Arial" w:eastAsia="Arial" w:hAnsi="Arial"/>
                <w:sz w:val="17"/>
                <w:szCs w:val="17"/>
                <w:color w:val="000000"/>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7,618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8,120</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Deferred tax liability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8,126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7,655</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Taxes payable for unrecognized tax benefits </w:t>
            </w:r>
            <w:r>
              <w:rPr>
                <w:rFonts w:ascii="Times New Roman" w:cs="Times New Roman" w:eastAsia="Times New Roman" w:hAnsi="Times New Roman"/>
                <w:sz w:val="12"/>
                <w:szCs w:val="12"/>
                <w:color w:val="B4B4B4"/>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2,573</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2,288</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Redeemable convertible preferred stock warrant liability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427</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line="190" w:lineRule="exact"/>
              <w:rPr>
                <w:sz w:val="20"/>
                <w:szCs w:val="20"/>
                <w:color w:val="auto"/>
              </w:rPr>
            </w:pPr>
            <w:r>
              <w:rPr>
                <w:rFonts w:ascii="Arial" w:cs="Arial" w:eastAsia="Arial" w:hAnsi="Arial"/>
                <w:sz w:val="12"/>
                <w:szCs w:val="12"/>
                <w:color w:val="auto"/>
              </w:rPr>
              <w:t xml:space="preserve">NOW Scheme contingency payable </w:t>
            </w:r>
            <w:r>
              <w:rPr>
                <w:rFonts w:ascii="Arial" w:cs="Arial" w:eastAsia="Arial" w:hAnsi="Arial"/>
                <w:sz w:val="17"/>
                <w:szCs w:val="17"/>
                <w:color w:val="auto"/>
                <w:vertAlign w:val="superscript"/>
              </w:rPr>
              <w:t>(2)</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4,192</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3,806</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Other non-current liabilities </w:t>
            </w:r>
            <w:r>
              <w:rPr>
                <w:rFonts w:ascii="Times New Roman" w:cs="Times New Roman" w:eastAsia="Times New Roman" w:hAnsi="Times New Roman"/>
                <w:sz w:val="12"/>
                <w:szCs w:val="12"/>
                <w:color w:val="B4B4B4"/>
              </w:rPr>
              <w:t>...................................................................................</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736</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653</w:t>
            </w:r>
          </w:p>
        </w:tc>
        <w:tc>
          <w:tcPr>
            <w:tcW w:w="0" w:type="dxa"/>
            <w:vAlign w:val="bottom"/>
          </w:tcPr>
          <w:p>
            <w:pPr>
              <w:spacing w:after="0"/>
              <w:rPr>
                <w:sz w:val="1"/>
                <w:szCs w:val="1"/>
                <w:color w:val="auto"/>
              </w:rPr>
            </w:pPr>
          </w:p>
        </w:tc>
      </w:tr>
      <w:tr>
        <w:trPr>
          <w:trHeight w:val="170"/>
        </w:trPr>
        <w:tc>
          <w:tcPr>
            <w:tcW w:w="4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Totalothernon-currentliabilities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23,678</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22,949</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_______________</w:t>
      </w:r>
    </w:p>
    <w:p>
      <w:pPr>
        <w:spacing w:after="0" w:line="23" w:lineRule="exact"/>
        <w:rPr>
          <w:sz w:val="20"/>
          <w:szCs w:val="20"/>
          <w:color w:val="auto"/>
        </w:rPr>
      </w:pPr>
    </w:p>
    <w:p>
      <w:pPr>
        <w:ind w:left="1760" w:right="3060" w:hanging="238"/>
        <w:spacing w:after="0"/>
        <w:tabs>
          <w:tab w:leader="none" w:pos="1760" w:val="left"/>
        </w:tabs>
        <w:numPr>
          <w:ilvl w:val="0"/>
          <w:numId w:val="191"/>
        </w:numPr>
        <w:rPr>
          <w:rFonts w:ascii="Arial" w:cs="Arial" w:eastAsia="Arial" w:hAnsi="Arial"/>
          <w:sz w:val="11"/>
          <w:szCs w:val="11"/>
          <w:color w:val="auto"/>
        </w:rPr>
      </w:pPr>
      <w:r>
        <w:rPr>
          <w:rFonts w:ascii="Arial" w:cs="Arial" w:eastAsia="Arial" w:hAnsi="Arial"/>
          <w:sz w:val="11"/>
          <w:szCs w:val="11"/>
          <w:color w:val="auto"/>
        </w:rPr>
        <w:t>Loss contingency reserves consist of accruals related primarily to employment taxe s.</w:t>
      </w:r>
    </w:p>
    <w:p>
      <w:pPr>
        <w:spacing w:after="0" w:line="11" w:lineRule="exact"/>
        <w:rPr>
          <w:rFonts w:ascii="Arial" w:cs="Arial" w:eastAsia="Arial" w:hAnsi="Arial"/>
          <w:sz w:val="11"/>
          <w:szCs w:val="11"/>
          <w:color w:val="auto"/>
        </w:rPr>
      </w:pPr>
    </w:p>
    <w:p>
      <w:pPr>
        <w:ind w:left="1760" w:right="2380" w:hanging="238"/>
        <w:spacing w:after="0"/>
        <w:tabs>
          <w:tab w:leader="none" w:pos="1760" w:val="left"/>
        </w:tabs>
        <w:numPr>
          <w:ilvl w:val="0"/>
          <w:numId w:val="191"/>
        </w:numPr>
        <w:rPr>
          <w:rFonts w:ascii="Arial" w:cs="Arial" w:eastAsia="Arial" w:hAnsi="Arial"/>
          <w:sz w:val="11"/>
          <w:szCs w:val="11"/>
          <w:color w:val="auto"/>
        </w:rPr>
      </w:pPr>
      <w:r>
        <w:rPr>
          <w:rFonts w:ascii="Arial" w:cs="Arial" w:eastAsia="Arial" w:hAnsi="Arial"/>
          <w:sz w:val="11"/>
          <w:szCs w:val="11"/>
          <w:color w:val="auto"/>
        </w:rPr>
        <w:t>Refer to Note 12 — Commitments and Contingencies for further information on the NOW Schem e.</w:t>
      </w:r>
    </w:p>
    <w:p>
      <w:pPr>
        <w:spacing w:after="0" w:line="113" w:lineRule="exact"/>
        <w:rPr>
          <w:rFonts w:ascii="Arial" w:cs="Arial" w:eastAsia="Arial" w:hAnsi="Arial"/>
          <w:sz w:val="11"/>
          <w:szCs w:val="11"/>
          <w:color w:val="auto"/>
        </w:rPr>
      </w:pPr>
    </w:p>
    <w:p>
      <w:pPr>
        <w:ind w:left="1760"/>
        <w:spacing w:after="0"/>
        <w:rPr>
          <w:rFonts w:ascii="Arial" w:cs="Arial" w:eastAsia="Arial" w:hAnsi="Arial"/>
          <w:sz w:val="11"/>
          <w:szCs w:val="11"/>
          <w:color w:val="auto"/>
        </w:rPr>
      </w:pPr>
      <w:r>
        <w:rPr>
          <w:rFonts w:ascii="Arial" w:cs="Arial" w:eastAsia="Arial" w:hAnsi="Arial"/>
          <w:sz w:val="12"/>
          <w:szCs w:val="12"/>
          <w:b w:val="1"/>
          <w:bCs w:val="1"/>
          <w:i w:val="1"/>
          <w:iCs w:val="1"/>
          <w:color w:val="auto"/>
        </w:rPr>
        <w:t>Other Income, Net</w:t>
      </w:r>
    </w:p>
    <w:p>
      <w:pPr>
        <w:spacing w:after="0" w:line="127" w:lineRule="exact"/>
        <w:rPr>
          <w:rFonts w:ascii="Arial" w:cs="Arial" w:eastAsia="Arial" w:hAnsi="Arial"/>
          <w:sz w:val="11"/>
          <w:szCs w:val="11"/>
          <w:color w:val="auto"/>
        </w:rPr>
      </w:pPr>
    </w:p>
    <w:p>
      <w:pPr>
        <w:ind w:left="1760"/>
        <w:spacing w:after="0"/>
        <w:rPr>
          <w:rFonts w:ascii="Arial" w:cs="Arial" w:eastAsia="Arial" w:hAnsi="Arial"/>
          <w:sz w:val="11"/>
          <w:szCs w:val="11"/>
          <w:color w:val="auto"/>
        </w:rPr>
      </w:pPr>
      <w:r>
        <w:rPr>
          <w:rFonts w:ascii="Arial" w:cs="Arial" w:eastAsia="Arial" w:hAnsi="Arial"/>
          <w:sz w:val="12"/>
          <w:szCs w:val="12"/>
          <w:color w:val="auto"/>
        </w:rPr>
        <w:t>The components of other income, net were as follows (in thousands):</w:t>
      </w:r>
    </w:p>
    <w:p>
      <w:pPr>
        <w:spacing w:after="0" w:line="147"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4"/>
          </w:tcPr>
          <w:p>
            <w:pPr>
              <w:ind w:left="6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Foreigncurrencyexchangegains(losses),net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7,622</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(651)</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Interest income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2,203</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2,523</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SAFE issuance costs expensed </w:t>
            </w:r>
            <w:r>
              <w:rPr>
                <w:rFonts w:ascii="Times New Roman" w:cs="Times New Roman" w:eastAsia="Times New Roman" w:hAnsi="Times New Roman"/>
                <w:sz w:val="12"/>
                <w:szCs w:val="12"/>
                <w:color w:val="B4B4B4"/>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(2,913)</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Other, net </w:t>
            </w:r>
            <w:r>
              <w:rPr>
                <w:rFonts w:ascii="Times New Roman" w:cs="Times New Roman" w:eastAsia="Times New Roman" w:hAnsi="Times New Roman"/>
                <w:sz w:val="12"/>
                <w:szCs w:val="12"/>
                <w:color w:val="B4B4B4"/>
              </w:rPr>
              <w:t>.................................................................................................................</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(213)</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170"/>
        </w:trPr>
        <w:tc>
          <w:tcPr>
            <w:tcW w:w="4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other income,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6,699</w:t>
            </w:r>
          </w:p>
        </w:tc>
        <w:tc>
          <w:tcPr>
            <w:tcW w:w="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1,953</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5 – BUSINESS COMBINATION</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Regent International S.R.L</w:t>
      </w:r>
    </w:p>
    <w:p>
      <w:pPr>
        <w:spacing w:after="0" w:line="128" w:lineRule="exact"/>
        <w:rPr>
          <w:sz w:val="20"/>
          <w:szCs w:val="20"/>
          <w:color w:val="auto"/>
        </w:rPr>
      </w:pPr>
    </w:p>
    <w:p>
      <w:pPr>
        <w:ind w:left="1520" w:right="1620" w:firstLine="230"/>
        <w:spacing w:after="0" w:line="280" w:lineRule="auto"/>
        <w:rPr>
          <w:sz w:val="20"/>
          <w:szCs w:val="20"/>
          <w:color w:val="auto"/>
        </w:rPr>
      </w:pPr>
      <w:r>
        <w:rPr>
          <w:rFonts w:ascii="Arial" w:cs="Arial" w:eastAsia="Arial" w:hAnsi="Arial"/>
          <w:sz w:val="12"/>
          <w:szCs w:val="12"/>
          <w:color w:val="auto"/>
        </w:rPr>
        <w:t>On June 4, 2024 , the Company acquired all outstanding stock of Regent International S.R.L. ("Regent"), a travel and event management company based in Rome, Italy for an aggregate purchase price of $7.9 million in cash. Of the aggregate purchase price, $6.6 million was paid at closing and the remaining $1.3 million was deferred. As of both July 31, 2025 and January 31, 2025 , $0.7 million of cash payments remain unpaid.</w:t>
      </w:r>
    </w:p>
    <w:p>
      <w:pPr>
        <w:spacing w:after="0" w:line="236" w:lineRule="exact"/>
        <w:rPr>
          <w:sz w:val="20"/>
          <w:szCs w:val="20"/>
          <w:color w:val="auto"/>
        </w:rPr>
      </w:pPr>
    </w:p>
    <w:p>
      <w:pPr>
        <w:ind w:left="1520" w:right="1560" w:firstLine="230"/>
        <w:spacing w:after="0" w:line="286" w:lineRule="auto"/>
        <w:rPr>
          <w:sz w:val="20"/>
          <w:szCs w:val="20"/>
          <w:color w:val="auto"/>
        </w:rPr>
      </w:pPr>
      <w:r>
        <w:rPr>
          <w:rFonts w:ascii="Arial" w:cs="Arial" w:eastAsia="Arial" w:hAnsi="Arial"/>
          <w:sz w:val="12"/>
          <w:szCs w:val="12"/>
          <w:color w:val="auto"/>
        </w:rPr>
        <w:t>The transaction is expected to increase the Company’s market share as a provider of travel, corporate card and expense management solutions in Italy and has been accounted for as a business combination. Acquisition costs related to the Regent acquisition were approximately $0.3 million and were expensed as incurred.</w:t>
      </w:r>
    </w:p>
    <w:p>
      <w:pPr>
        <w:spacing w:after="0" w:line="234" w:lineRule="exact"/>
        <w:rPr>
          <w:sz w:val="20"/>
          <w:szCs w:val="20"/>
          <w:color w:val="auto"/>
        </w:rPr>
      </w:pPr>
    </w:p>
    <w:p>
      <w:pPr>
        <w:ind w:left="1520" w:right="1600" w:firstLine="230"/>
        <w:spacing w:after="0" w:line="289" w:lineRule="auto"/>
        <w:rPr>
          <w:sz w:val="20"/>
          <w:szCs w:val="20"/>
          <w:color w:val="auto"/>
        </w:rPr>
      </w:pPr>
      <w:r>
        <w:rPr>
          <w:rFonts w:ascii="Arial" w:cs="Arial" w:eastAsia="Arial" w:hAnsi="Arial"/>
          <w:sz w:val="12"/>
          <w:szCs w:val="12"/>
          <w:color w:val="auto"/>
        </w:rPr>
        <w:t>The purchase price was allocated to the following assets and liabilities: $11.8 million to current assets, $4.0 million to goodwill, $0.9 million to intangible assets for customer relationships, $0.4 million to other assets, $8.6 million to current liabilities, and $0.6 million to other liabilities.</w:t>
      </w:r>
    </w:p>
    <w:p>
      <w:pPr>
        <w:spacing w:after="0" w:line="76" w:lineRule="exact"/>
        <w:rPr>
          <w:sz w:val="20"/>
          <w:szCs w:val="20"/>
          <w:color w:val="auto"/>
        </w:rPr>
      </w:pPr>
    </w:p>
    <w:p>
      <w:pPr>
        <w:ind w:left="1520" w:right="1680" w:firstLine="230"/>
        <w:spacing w:after="0" w:line="286" w:lineRule="auto"/>
        <w:rPr>
          <w:sz w:val="20"/>
          <w:szCs w:val="20"/>
          <w:color w:val="auto"/>
        </w:rPr>
      </w:pPr>
      <w:r>
        <w:rPr>
          <w:rFonts w:ascii="Arial" w:cs="Arial" w:eastAsia="Arial" w:hAnsi="Arial"/>
          <w:sz w:val="12"/>
          <w:szCs w:val="12"/>
          <w:color w:val="auto"/>
        </w:rPr>
        <w:t>Goodwill was primarily attributed to the assembled workforce and expanded market opportunities from the Regent acquisition. $2.9 million of the goodwill from the Regent acquisition is deductible for U.S. federal income tax purposes. The acquired customer relationships have an estimated useful life of eight years.</w:t>
      </w:r>
    </w:p>
    <w:p>
      <w:pPr>
        <w:sectPr>
          <w:pgSz w:w="11900" w:h="16840" w:orient="portrait"/>
          <w:cols w:equalWidth="0" w:num="1">
            <w:col w:w="9020"/>
          </w:cols>
          <w:pgMar w:left="1440" w:top="600" w:right="1440" w:bottom="132" w:gutter="0" w:footer="0" w:header="0"/>
        </w:sectPr>
      </w:pPr>
    </w:p>
    <w:bookmarkStart w:id="201" w:name="page202"/>
    <w:bookmarkEnd w:id="201"/>
    <w:p>
      <w:pPr>
        <w:jc w:val="center"/>
        <w:ind w:right="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F-62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jc w:val="both"/>
        <w:ind w:left="1520" w:right="1740" w:firstLine="230"/>
        <w:spacing w:after="0" w:line="289" w:lineRule="auto"/>
        <w:rPr>
          <w:sz w:val="20"/>
          <w:szCs w:val="20"/>
          <w:color w:val="auto"/>
        </w:rPr>
      </w:pPr>
      <w:r>
        <w:rPr>
          <w:rFonts w:ascii="Arial" w:cs="Arial" w:eastAsia="Arial" w:hAnsi="Arial"/>
          <w:sz w:val="12"/>
          <w:szCs w:val="12"/>
          <w:color w:val="auto"/>
        </w:rPr>
        <w:t>The financial results of Regent are included in our condensed consolidated financial statements from the date of acquisition. The financial results and pro forma results of Regent from the date of acquisition are not material and are not separately presented.</w:t>
      </w:r>
    </w:p>
    <w:p>
      <w:pPr>
        <w:spacing w:after="0" w:line="76"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6 – GOODWILL AND OTHER INTANGIBLE ASSETS</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Goodwill</w:t>
      </w:r>
    </w:p>
    <w:p>
      <w:pPr>
        <w:spacing w:after="0" w:line="128" w:lineRule="exact"/>
        <w:rPr>
          <w:sz w:val="20"/>
          <w:szCs w:val="20"/>
          <w:color w:val="auto"/>
        </w:rPr>
      </w:pPr>
    </w:p>
    <w:p>
      <w:pPr>
        <w:ind w:left="1520" w:right="1960" w:firstLine="230"/>
        <w:spacing w:after="0" w:line="312" w:lineRule="auto"/>
        <w:rPr>
          <w:sz w:val="20"/>
          <w:szCs w:val="20"/>
          <w:color w:val="auto"/>
        </w:rPr>
      </w:pPr>
      <w:r>
        <w:rPr>
          <w:rFonts w:ascii="Arial" w:cs="Arial" w:eastAsia="Arial" w:hAnsi="Arial"/>
          <w:sz w:val="12"/>
          <w:szCs w:val="12"/>
          <w:color w:val="auto"/>
        </w:rPr>
        <w:t>The goodwill balance as of July 31, 2025 and January 31, 2025, and the change during the six months ended July 31, 2025 are as follows (in thousands):</w:t>
      </w:r>
    </w:p>
    <w:p>
      <w:pPr>
        <w:spacing w:after="0" w:line="70"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1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60"/>
              <w:spacing w:after="0"/>
              <w:rPr>
                <w:sz w:val="20"/>
                <w:szCs w:val="20"/>
                <w:color w:val="auto"/>
              </w:rPr>
            </w:pPr>
            <w:r>
              <w:rPr>
                <w:rFonts w:ascii="Arial" w:cs="Arial" w:eastAsia="Arial" w:hAnsi="Arial"/>
                <w:sz w:val="11"/>
                <w:szCs w:val="11"/>
                <w:b w:val="1"/>
                <w:bCs w:val="1"/>
                <w:color w:val="auto"/>
                <w:w w:val="97"/>
              </w:rPr>
              <w:t>Carrying</w:t>
            </w:r>
          </w:p>
        </w:tc>
        <w:tc>
          <w:tcPr>
            <w:tcW w:w="0" w:type="dxa"/>
            <w:vAlign w:val="bottom"/>
          </w:tcPr>
          <w:p>
            <w:pPr>
              <w:spacing w:after="0"/>
              <w:rPr>
                <w:sz w:val="1"/>
                <w:szCs w:val="1"/>
                <w:color w:val="auto"/>
              </w:rPr>
            </w:pPr>
          </w:p>
        </w:tc>
      </w:tr>
      <w:tr>
        <w:trPr>
          <w:trHeight w:val="153"/>
        </w:trPr>
        <w:tc>
          <w:tcPr>
            <w:tcW w:w="184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60"/>
              <w:spacing w:after="0"/>
              <w:rPr>
                <w:sz w:val="20"/>
                <w:szCs w:val="20"/>
                <w:color w:val="auto"/>
              </w:rPr>
            </w:pPr>
            <w:r>
              <w:rPr>
                <w:rFonts w:ascii="Arial" w:cs="Arial" w:eastAsia="Arial" w:hAnsi="Arial"/>
                <w:sz w:val="11"/>
                <w:szCs w:val="11"/>
                <w:b w:val="1"/>
                <w:bCs w:val="1"/>
                <w:color w:val="auto"/>
                <w:w w:val="96"/>
              </w:rPr>
              <w:t>Amount</w:t>
            </w:r>
          </w:p>
        </w:tc>
        <w:tc>
          <w:tcPr>
            <w:tcW w:w="0" w:type="dxa"/>
            <w:vAlign w:val="bottom"/>
          </w:tcPr>
          <w:p>
            <w:pPr>
              <w:spacing w:after="0"/>
              <w:rPr>
                <w:sz w:val="1"/>
                <w:szCs w:val="1"/>
                <w:color w:val="auto"/>
              </w:rPr>
            </w:pPr>
          </w:p>
        </w:tc>
      </w:tr>
      <w:tr>
        <w:trPr>
          <w:trHeight w:val="172"/>
        </w:trPr>
        <w:tc>
          <w:tcPr>
            <w:tcW w:w="1840" w:type="dxa"/>
            <w:vAlign w:val="bottom"/>
            <w:shd w:val="clear" w:color="auto" w:fill="CCEEFF"/>
          </w:tcPr>
          <w:p>
            <w:pPr>
              <w:ind w:left="40"/>
              <w:spacing w:after="0"/>
              <w:rPr>
                <w:sz w:val="20"/>
                <w:szCs w:val="20"/>
                <w:color w:val="auto"/>
              </w:rPr>
            </w:pPr>
            <w:r>
              <w:rPr>
                <w:rFonts w:ascii="Arial" w:cs="Arial" w:eastAsia="Arial" w:hAnsi="Arial"/>
                <w:sz w:val="12"/>
                <w:szCs w:val="12"/>
                <w:color w:val="auto"/>
              </w:rPr>
              <w:t>Balance as of January 31, 2025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color w:val="B4B4B4"/>
                <w:w w:val="91"/>
              </w:rPr>
              <w:t>......................................................................................................</w:t>
            </w: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219,728</w:t>
            </w:r>
          </w:p>
        </w:tc>
        <w:tc>
          <w:tcPr>
            <w:tcW w:w="0" w:type="dxa"/>
            <w:vAlign w:val="bottom"/>
          </w:tcPr>
          <w:p>
            <w:pPr>
              <w:spacing w:after="0"/>
              <w:rPr>
                <w:sz w:val="1"/>
                <w:szCs w:val="1"/>
                <w:color w:val="auto"/>
              </w:rPr>
            </w:pPr>
          </w:p>
        </w:tc>
      </w:tr>
      <w:tr>
        <w:trPr>
          <w:trHeight w:val="173"/>
        </w:trPr>
        <w:tc>
          <w:tcPr>
            <w:tcW w:w="3380" w:type="dxa"/>
            <w:vAlign w:val="bottom"/>
            <w:gridSpan w:val="5"/>
          </w:tcPr>
          <w:p>
            <w:pPr>
              <w:ind w:left="180"/>
              <w:spacing w:after="0"/>
              <w:rPr>
                <w:sz w:val="20"/>
                <w:szCs w:val="20"/>
                <w:color w:val="auto"/>
              </w:rPr>
            </w:pPr>
            <w:r>
              <w:rPr>
                <w:rFonts w:ascii="Arial" w:cs="Arial" w:eastAsia="Arial" w:hAnsi="Arial"/>
                <w:sz w:val="11"/>
                <w:szCs w:val="11"/>
                <w:color w:val="auto"/>
                <w:w w:val="74"/>
              </w:rPr>
              <w:t xml:space="preserve">Goodwill arising from acquisitions </w:t>
            </w:r>
            <w:r>
              <w:rPr>
                <w:rFonts w:ascii="Times New Roman" w:cs="Times New Roman" w:eastAsia="Times New Roman" w:hAnsi="Times New Roman"/>
                <w:sz w:val="11"/>
                <w:szCs w:val="11"/>
                <w:color w:val="B4B4B4"/>
                <w:w w:val="74"/>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0"/>
        </w:trPr>
        <w:tc>
          <w:tcPr>
            <w:tcW w:w="3380" w:type="dxa"/>
            <w:vAlign w:val="bottom"/>
            <w:gridSpan w:val="5"/>
            <w:shd w:val="clear" w:color="auto" w:fill="CCEEFF"/>
          </w:tcPr>
          <w:p>
            <w:pPr>
              <w:ind w:left="180"/>
              <w:spacing w:after="0"/>
              <w:rPr>
                <w:sz w:val="20"/>
                <w:szCs w:val="20"/>
                <w:color w:val="auto"/>
              </w:rPr>
            </w:pPr>
            <w:r>
              <w:rPr>
                <w:rFonts w:ascii="Arial" w:cs="Arial" w:eastAsia="Arial" w:hAnsi="Arial"/>
                <w:sz w:val="11"/>
                <w:szCs w:val="11"/>
                <w:color w:val="auto"/>
                <w:w w:val="74"/>
              </w:rPr>
              <w:t xml:space="preserve">Foreign currency translation impact </w:t>
            </w:r>
            <w:r>
              <w:rPr>
                <w:rFonts w:ascii="Times New Roman" w:cs="Times New Roman" w:eastAsia="Times New Roman" w:hAnsi="Times New Roman"/>
                <w:sz w:val="11"/>
                <w:szCs w:val="11"/>
                <w:color w:val="B4B4B4"/>
                <w:w w:val="74"/>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14,928</w:t>
            </w:r>
          </w:p>
        </w:tc>
        <w:tc>
          <w:tcPr>
            <w:tcW w:w="0" w:type="dxa"/>
            <w:vAlign w:val="bottom"/>
          </w:tcPr>
          <w:p>
            <w:pPr>
              <w:spacing w:after="0"/>
              <w:rPr>
                <w:sz w:val="1"/>
                <w:szCs w:val="1"/>
                <w:color w:val="auto"/>
              </w:rPr>
            </w:pPr>
          </w:p>
        </w:tc>
      </w:tr>
      <w:tr>
        <w:trPr>
          <w:trHeight w:val="171"/>
        </w:trPr>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BalanceasofJuly31,2025</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234,656</w:t>
            </w:r>
          </w:p>
        </w:tc>
        <w:tc>
          <w:tcPr>
            <w:tcW w:w="0" w:type="dxa"/>
            <w:vAlign w:val="bottom"/>
          </w:tcPr>
          <w:p>
            <w:pPr>
              <w:spacing w:after="0"/>
              <w:rPr>
                <w:sz w:val="1"/>
                <w:szCs w:val="1"/>
                <w:color w:val="auto"/>
              </w:rPr>
            </w:pPr>
          </w:p>
        </w:tc>
      </w:tr>
      <w:tr>
        <w:trPr>
          <w:trHeight w:val="257"/>
        </w:trPr>
        <w:tc>
          <w:tcPr>
            <w:tcW w:w="4600" w:type="dxa"/>
            <w:vAlign w:val="bottom"/>
            <w:gridSpan w:val="13"/>
          </w:tcPr>
          <w:p>
            <w:pPr>
              <w:ind w:left="240"/>
              <w:spacing w:after="0"/>
              <w:rPr>
                <w:sz w:val="20"/>
                <w:szCs w:val="20"/>
                <w:color w:val="auto"/>
              </w:rPr>
            </w:pPr>
            <w:r>
              <w:rPr>
                <w:rFonts w:ascii="Arial" w:cs="Arial" w:eastAsia="Arial" w:hAnsi="Arial"/>
                <w:sz w:val="12"/>
                <w:szCs w:val="12"/>
                <w:color w:val="auto"/>
              </w:rPr>
              <w:t>There were no impairments of goodwill recognized during the six months ended</w:t>
            </w:r>
          </w:p>
        </w:tc>
        <w:tc>
          <w:tcPr>
            <w:tcW w:w="1380" w:type="dxa"/>
            <w:vAlign w:val="bottom"/>
            <w:gridSpan w:val="6"/>
          </w:tcPr>
          <w:p>
            <w:pPr>
              <w:jc w:val="right"/>
              <w:ind w:right="160"/>
              <w:spacing w:after="0"/>
              <w:rPr>
                <w:sz w:val="20"/>
                <w:szCs w:val="20"/>
                <w:color w:val="auto"/>
              </w:rPr>
            </w:pPr>
            <w:r>
              <w:rPr>
                <w:rFonts w:ascii="Arial" w:cs="Arial" w:eastAsia="Arial" w:hAnsi="Arial"/>
                <w:sz w:val="12"/>
                <w:szCs w:val="12"/>
                <w:color w:val="auto"/>
              </w:rPr>
              <w:t>July 31, 2025 and</w:t>
            </w:r>
          </w:p>
        </w:tc>
        <w:tc>
          <w:tcPr>
            <w:tcW w:w="0" w:type="dxa"/>
            <w:vAlign w:val="bottom"/>
          </w:tcPr>
          <w:p>
            <w:pPr>
              <w:spacing w:after="0"/>
              <w:rPr>
                <w:sz w:val="1"/>
                <w:szCs w:val="1"/>
                <w:color w:val="auto"/>
              </w:rPr>
            </w:pPr>
          </w:p>
        </w:tc>
      </w:tr>
      <w:tr>
        <w:trPr>
          <w:trHeight w:val="165"/>
        </w:trPr>
        <w:tc>
          <w:tcPr>
            <w:tcW w:w="1840" w:type="dxa"/>
            <w:vAlign w:val="bottom"/>
          </w:tcPr>
          <w:p>
            <w:pPr>
              <w:spacing w:after="0"/>
              <w:rPr>
                <w:sz w:val="20"/>
                <w:szCs w:val="20"/>
                <w:color w:val="auto"/>
              </w:rPr>
            </w:pPr>
            <w:r>
              <w:rPr>
                <w:rFonts w:ascii="Arial" w:cs="Arial" w:eastAsia="Arial" w:hAnsi="Arial"/>
                <w:sz w:val="12"/>
                <w:szCs w:val="12"/>
                <w:color w:val="auto"/>
              </w:rPr>
              <w:t>2024.</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1840" w:type="dxa"/>
            <w:vAlign w:val="bottom"/>
          </w:tcPr>
          <w:p>
            <w:pPr>
              <w:ind w:left="240"/>
              <w:spacing w:after="0"/>
              <w:rPr>
                <w:sz w:val="20"/>
                <w:szCs w:val="20"/>
                <w:color w:val="auto"/>
              </w:rPr>
            </w:pPr>
            <w:r>
              <w:rPr>
                <w:rFonts w:ascii="Arial" w:cs="Arial" w:eastAsia="Arial" w:hAnsi="Arial"/>
                <w:sz w:val="12"/>
                <w:szCs w:val="12"/>
                <w:b w:val="1"/>
                <w:bCs w:val="1"/>
                <w:i w:val="1"/>
                <w:iCs w:val="1"/>
                <w:color w:val="auto"/>
              </w:rPr>
              <w:t>Intangible Assets</w:t>
            </w: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600" w:type="dxa"/>
            <w:vAlign w:val="bottom"/>
            <w:gridSpan w:val="13"/>
          </w:tcPr>
          <w:p>
            <w:pPr>
              <w:ind w:left="240"/>
              <w:spacing w:after="0"/>
              <w:rPr>
                <w:sz w:val="20"/>
                <w:szCs w:val="20"/>
                <w:color w:val="auto"/>
              </w:rPr>
            </w:pPr>
            <w:r>
              <w:rPr>
                <w:rFonts w:ascii="Arial" w:cs="Arial" w:eastAsia="Arial" w:hAnsi="Arial"/>
                <w:sz w:val="12"/>
                <w:szCs w:val="12"/>
                <w:color w:val="auto"/>
              </w:rPr>
              <w:t>Intangible assets consisted of the following (in thousands, except years data):</w:t>
            </w: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8"/>
          </w:tcPr>
          <w:p>
            <w:pPr>
              <w:ind w:left="220"/>
              <w:spacing w:after="0"/>
              <w:rPr>
                <w:sz w:val="20"/>
                <w:szCs w:val="20"/>
                <w:color w:val="auto"/>
              </w:rPr>
            </w:pPr>
            <w:r>
              <w:rPr>
                <w:rFonts w:ascii="Arial" w:cs="Arial" w:eastAsia="Arial" w:hAnsi="Arial"/>
                <w:sz w:val="11"/>
                <w:szCs w:val="11"/>
                <w:b w:val="1"/>
                <w:bCs w:val="1"/>
                <w:color w:val="auto"/>
              </w:rPr>
              <w:t>As of July 31, 202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3"/>
              </w:rPr>
              <w:t>Weighted-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6"/>
              </w:rPr>
              <w:t>Average</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7"/>
              </w:rPr>
              <w:t>Gross Carrying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gridSpan w:val="4"/>
            <w:vMerge w:val="restart"/>
          </w:tcPr>
          <w:p>
            <w:pPr>
              <w:jc w:val="right"/>
              <w:ind w:right="140"/>
              <w:spacing w:after="0"/>
              <w:rPr>
                <w:sz w:val="20"/>
                <w:szCs w:val="20"/>
                <w:color w:val="auto"/>
              </w:rPr>
            </w:pPr>
            <w:r>
              <w:rPr>
                <w:rFonts w:ascii="Arial" w:cs="Arial" w:eastAsia="Arial" w:hAnsi="Arial"/>
                <w:sz w:val="11"/>
                <w:szCs w:val="11"/>
                <w:b w:val="1"/>
                <w:bCs w:val="1"/>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jc w:val="center"/>
              <w:spacing w:after="0" w:line="96" w:lineRule="exact"/>
              <w:rPr>
                <w:sz w:val="20"/>
                <w:szCs w:val="20"/>
                <w:color w:val="auto"/>
              </w:rPr>
            </w:pPr>
            <w:r>
              <w:rPr>
                <w:rFonts w:ascii="Arial" w:cs="Arial" w:eastAsia="Arial" w:hAnsi="Arial"/>
                <w:sz w:val="11"/>
                <w:szCs w:val="11"/>
                <w:b w:val="1"/>
                <w:bCs w:val="1"/>
                <w:color w:val="auto"/>
                <w:w w:val="93"/>
              </w:rPr>
              <w:t>Remaining Life</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restart"/>
          </w:tcPr>
          <w:p>
            <w:pPr>
              <w:jc w:val="center"/>
              <w:ind w:right="60"/>
              <w:spacing w:after="0"/>
              <w:rPr>
                <w:sz w:val="20"/>
                <w:szCs w:val="20"/>
                <w:color w:val="auto"/>
              </w:rPr>
            </w:pPr>
            <w:r>
              <w:rPr>
                <w:rFonts w:ascii="Arial" w:cs="Arial" w:eastAsia="Arial" w:hAnsi="Arial"/>
                <w:sz w:val="11"/>
                <w:szCs w:val="11"/>
                <w:b w:val="1"/>
                <w:bCs w:val="1"/>
                <w:color w:val="auto"/>
                <w:w w:val="96"/>
              </w:rPr>
              <w:t>Net Amount</w:t>
            </w:r>
          </w:p>
        </w:tc>
        <w:tc>
          <w:tcPr>
            <w:tcW w:w="0" w:type="dxa"/>
            <w:vAlign w:val="bottom"/>
          </w:tcPr>
          <w:p>
            <w:pPr>
              <w:spacing w:after="0"/>
              <w:rPr>
                <w:sz w:val="1"/>
                <w:szCs w:val="1"/>
                <w:color w:val="auto"/>
              </w:rPr>
            </w:pPr>
          </w:p>
        </w:tc>
      </w:tr>
      <w:tr>
        <w:trPr>
          <w:trHeight w:val="153"/>
        </w:trPr>
        <w:tc>
          <w:tcPr>
            <w:tcW w:w="1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6"/>
              </w:rPr>
              <w:t>(Years)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1"/>
                <w:szCs w:val="11"/>
                <w:b w:val="1"/>
                <w:bCs w:val="1"/>
                <w:color w:val="auto"/>
              </w:rPr>
              <w:t>Amortization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52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Tradenames</w:t>
            </w:r>
          </w:p>
        </w:tc>
        <w:tc>
          <w:tcPr>
            <w:tcW w:w="840" w:type="dxa"/>
            <w:vAlign w:val="bottom"/>
            <w:tcBorders>
              <w:top w:val="single" w:sz="8" w:color="auto"/>
            </w:tcBorders>
            <w:gridSpan w:val="2"/>
            <w:shd w:val="clear" w:color="auto" w:fill="CCEEFF"/>
          </w:tcPr>
          <w:p>
            <w:pPr>
              <w:jc w:val="right"/>
              <w:ind w:right="246"/>
              <w:spacing w:after="0"/>
              <w:rPr>
                <w:sz w:val="20"/>
                <w:szCs w:val="20"/>
                <w:color w:val="auto"/>
              </w:rPr>
            </w:pPr>
            <w:r>
              <w:rPr>
                <w:rFonts w:ascii="Arial" w:cs="Arial" w:eastAsia="Arial" w:hAnsi="Arial"/>
                <w:sz w:val="12"/>
                <w:szCs w:val="12"/>
                <w:color w:val="auto"/>
              </w:rPr>
              <w:t>14.7</w:t>
            </w: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rPr>
              <w:t>46,540</w:t>
            </w: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gridSpan w:val="2"/>
            <w:shd w:val="clear" w:color="auto" w:fill="CCEEFF"/>
          </w:tcPr>
          <w:p>
            <w:pPr>
              <w:jc w:val="right"/>
              <w:ind w:right="184"/>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(10,410)</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36,130</w:t>
            </w:r>
          </w:p>
        </w:tc>
        <w:tc>
          <w:tcPr>
            <w:tcW w:w="0" w:type="dxa"/>
            <w:vAlign w:val="bottom"/>
          </w:tcPr>
          <w:p>
            <w:pPr>
              <w:spacing w:after="0"/>
              <w:rPr>
                <w:sz w:val="1"/>
                <w:szCs w:val="1"/>
                <w:color w:val="auto"/>
              </w:rPr>
            </w:pPr>
          </w:p>
        </w:tc>
      </w:tr>
      <w:tr>
        <w:trPr>
          <w:trHeight w:val="173"/>
        </w:trPr>
        <w:tc>
          <w:tcPr>
            <w:tcW w:w="1840" w:type="dxa"/>
            <w:vAlign w:val="bottom"/>
          </w:tcPr>
          <w:p>
            <w:pPr>
              <w:ind w:left="40"/>
              <w:spacing w:after="0"/>
              <w:rPr>
                <w:sz w:val="20"/>
                <w:szCs w:val="20"/>
                <w:color w:val="auto"/>
              </w:rPr>
            </w:pPr>
            <w:r>
              <w:rPr>
                <w:rFonts w:ascii="Arial" w:cs="Arial" w:eastAsia="Arial" w:hAnsi="Arial"/>
                <w:sz w:val="12"/>
                <w:szCs w:val="12"/>
                <w:color w:val="auto"/>
                <w:w w:val="76"/>
              </w:rPr>
              <w:t xml:space="preserve">Customer relationships </w:t>
            </w:r>
            <w:r>
              <w:rPr>
                <w:rFonts w:ascii="Times New Roman" w:cs="Times New Roman" w:eastAsia="Times New Roman" w:hAnsi="Times New Roman"/>
                <w:sz w:val="12"/>
                <w:szCs w:val="12"/>
                <w:color w:val="B4B4B4"/>
                <w:w w:val="76"/>
              </w:rPr>
              <w:t>....................................</w:t>
            </w:r>
          </w:p>
        </w:tc>
        <w:tc>
          <w:tcPr>
            <w:tcW w:w="1520" w:type="dxa"/>
            <w:vAlign w:val="bottom"/>
            <w:gridSpan w:val="3"/>
          </w:tcPr>
          <w:p>
            <w:pPr>
              <w:jc w:val="center"/>
              <w:ind w:left="624"/>
              <w:spacing w:after="0"/>
              <w:rPr>
                <w:sz w:val="20"/>
                <w:szCs w:val="20"/>
                <w:color w:val="auto"/>
              </w:rPr>
            </w:pPr>
            <w:r>
              <w:rPr>
                <w:rFonts w:ascii="Arial" w:cs="Arial" w:eastAsia="Arial" w:hAnsi="Arial"/>
                <w:sz w:val="12"/>
                <w:szCs w:val="12"/>
                <w:color w:val="auto"/>
                <w:w w:val="95"/>
              </w:rPr>
              <w:t>8.2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ind w:left="200"/>
              <w:spacing w:after="0"/>
              <w:rPr>
                <w:sz w:val="20"/>
                <w:szCs w:val="20"/>
                <w:color w:val="auto"/>
              </w:rPr>
            </w:pPr>
            <w:r>
              <w:rPr>
                <w:rFonts w:ascii="Arial" w:cs="Arial" w:eastAsia="Arial" w:hAnsi="Arial"/>
                <w:sz w:val="12"/>
                <w:szCs w:val="12"/>
                <w:color w:val="auto"/>
              </w:rPr>
              <w:t>29,353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(9,620)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19,733</w:t>
            </w:r>
          </w:p>
        </w:tc>
        <w:tc>
          <w:tcPr>
            <w:tcW w:w="0" w:type="dxa"/>
            <w:vAlign w:val="bottom"/>
          </w:tcPr>
          <w:p>
            <w:pPr>
              <w:spacing w:after="0"/>
              <w:rPr>
                <w:sz w:val="1"/>
                <w:szCs w:val="1"/>
                <w:color w:val="auto"/>
              </w:rPr>
            </w:pPr>
          </w:p>
        </w:tc>
      </w:tr>
      <w:tr>
        <w:trPr>
          <w:trHeight w:val="190"/>
        </w:trPr>
        <w:tc>
          <w:tcPr>
            <w:tcW w:w="1840" w:type="dxa"/>
            <w:vAlign w:val="bottom"/>
            <w:shd w:val="clear" w:color="auto" w:fill="CCEEFF"/>
          </w:tcPr>
          <w:p>
            <w:pPr>
              <w:ind w:left="40"/>
              <w:spacing w:after="0"/>
              <w:rPr>
                <w:sz w:val="20"/>
                <w:szCs w:val="20"/>
                <w:color w:val="auto"/>
              </w:rPr>
            </w:pPr>
            <w:r>
              <w:rPr>
                <w:rFonts w:ascii="Arial" w:cs="Arial" w:eastAsia="Arial" w:hAnsi="Arial"/>
                <w:sz w:val="12"/>
                <w:szCs w:val="12"/>
                <w:color w:val="auto"/>
                <w:w w:val="76"/>
              </w:rPr>
              <w:t xml:space="preserve">Domain names </w:t>
            </w:r>
            <w:r>
              <w:rPr>
                <w:rFonts w:ascii="Times New Roman" w:cs="Times New Roman" w:eastAsia="Times New Roman" w:hAnsi="Times New Roman"/>
                <w:sz w:val="12"/>
                <w:szCs w:val="12"/>
                <w:color w:val="B4B4B4"/>
                <w:w w:val="76"/>
              </w:rPr>
              <w:t>..................................................</w:t>
            </w:r>
          </w:p>
        </w:tc>
        <w:tc>
          <w:tcPr>
            <w:tcW w:w="1520" w:type="dxa"/>
            <w:vAlign w:val="bottom"/>
            <w:gridSpan w:val="3"/>
            <w:shd w:val="clear" w:color="auto" w:fill="CCEEFF"/>
          </w:tcPr>
          <w:p>
            <w:pPr>
              <w:jc w:val="right"/>
              <w:ind w:right="246"/>
              <w:spacing w:after="0"/>
              <w:rPr>
                <w:sz w:val="20"/>
                <w:szCs w:val="20"/>
                <w:color w:val="auto"/>
              </w:rPr>
            </w:pPr>
            <w:r>
              <w:rPr>
                <w:rFonts w:ascii="Arial" w:cs="Arial" w:eastAsia="Arial" w:hAnsi="Arial"/>
                <w:sz w:val="12"/>
                <w:szCs w:val="12"/>
                <w:color w:val="auto"/>
              </w:rPr>
              <w:t>12.3</w:t>
            </w:r>
          </w:p>
        </w:tc>
        <w:tc>
          <w:tcPr>
            <w:tcW w:w="220" w:type="dxa"/>
            <w:vAlign w:val="bottom"/>
            <w:gridSpan w:val="4"/>
            <w:shd w:val="clear" w:color="auto" w:fill="CCEEFF"/>
          </w:tcPr>
          <w:p>
            <w:pPr>
              <w:ind w:left="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587</w:t>
            </w:r>
          </w:p>
        </w:tc>
        <w:tc>
          <w:tcPr>
            <w:tcW w:w="360" w:type="dxa"/>
            <w:vAlign w:val="bottom"/>
            <w:gridSpan w:val="4"/>
            <w:shd w:val="clear" w:color="auto" w:fill="CCEEFF"/>
          </w:tcPr>
          <w:p>
            <w:pPr>
              <w:jc w:val="right"/>
              <w:ind w:right="184"/>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w:t>
            </w:r>
          </w:p>
        </w:tc>
        <w:tc>
          <w:tcPr>
            <w:tcW w:w="0" w:type="dxa"/>
            <w:vAlign w:val="bottom"/>
          </w:tcPr>
          <w:p>
            <w:pPr>
              <w:spacing w:after="0"/>
              <w:rPr>
                <w:sz w:val="1"/>
                <w:szCs w:val="1"/>
                <w:color w:val="auto"/>
              </w:rPr>
            </w:pPr>
          </w:p>
        </w:tc>
      </w:tr>
      <w:tr>
        <w:trPr>
          <w:trHeight w:val="171"/>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Totalintangibleassets</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2"/>
                <w:szCs w:val="12"/>
                <w:color w:val="auto"/>
              </w:rPr>
              <w:t>76,480</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top w:val="single" w:sz="8" w:color="auto"/>
              <w:bottom w:val="single" w:sz="8" w:color="auto"/>
            </w:tcBorders>
            <w:gridSpan w:val="2"/>
          </w:tcPr>
          <w:p>
            <w:pPr>
              <w:jc w:val="right"/>
              <w:ind w:right="184"/>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(20,134)</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56,346</w:t>
            </w:r>
          </w:p>
        </w:tc>
        <w:tc>
          <w:tcPr>
            <w:tcW w:w="0" w:type="dxa"/>
            <w:vAlign w:val="bottom"/>
          </w:tcPr>
          <w:p>
            <w:pPr>
              <w:spacing w:after="0"/>
              <w:rPr>
                <w:sz w:val="1"/>
                <w:szCs w:val="1"/>
                <w:color w:val="auto"/>
              </w:rPr>
            </w:pPr>
          </w:p>
        </w:tc>
      </w:tr>
      <w:tr>
        <w:trPr>
          <w:trHeight w:val="257"/>
        </w:trPr>
        <w:tc>
          <w:tcPr>
            <w:tcW w:w="18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gridSpan w:val="8"/>
          </w:tcPr>
          <w:p>
            <w:pPr>
              <w:ind w:left="140"/>
              <w:spacing w:after="0"/>
              <w:rPr>
                <w:sz w:val="20"/>
                <w:szCs w:val="20"/>
                <w:color w:val="auto"/>
              </w:rPr>
            </w:pPr>
            <w:r>
              <w:rPr>
                <w:rFonts w:ascii="Arial" w:cs="Arial" w:eastAsia="Arial" w:hAnsi="Arial"/>
                <w:sz w:val="11"/>
                <w:szCs w:val="11"/>
                <w:b w:val="1"/>
                <w:bCs w:val="1"/>
                <w:color w:val="auto"/>
              </w:rPr>
              <w:t>As of January 31, 202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1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3"/>
              </w:rPr>
              <w:t>Weighted-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1"/>
                <w:szCs w:val="11"/>
                <w:b w:val="1"/>
                <w:bCs w:val="1"/>
                <w:color w:val="auto"/>
              </w:rPr>
              <w:t>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6"/>
              </w:rPr>
              <w:t>Average</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w w:val="94"/>
              </w:rPr>
              <w:t>Gross Carrying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gridSpan w:val="4"/>
            <w:vMerge w:val="restart"/>
          </w:tcPr>
          <w:p>
            <w:pPr>
              <w:ind w:left="100"/>
              <w:spacing w:after="0"/>
              <w:rPr>
                <w:sz w:val="20"/>
                <w:szCs w:val="20"/>
                <w:color w:val="auto"/>
              </w:rPr>
            </w:pPr>
            <w:r>
              <w:rPr>
                <w:rFonts w:ascii="Arial" w:cs="Arial" w:eastAsia="Arial" w:hAnsi="Arial"/>
                <w:sz w:val="11"/>
                <w:szCs w:val="11"/>
                <w:b w:val="1"/>
                <w:bCs w:val="1"/>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jc w:val="center"/>
              <w:spacing w:after="0" w:line="96" w:lineRule="exact"/>
              <w:rPr>
                <w:sz w:val="20"/>
                <w:szCs w:val="20"/>
                <w:color w:val="auto"/>
              </w:rPr>
            </w:pPr>
            <w:r>
              <w:rPr>
                <w:rFonts w:ascii="Arial" w:cs="Arial" w:eastAsia="Arial" w:hAnsi="Arial"/>
                <w:sz w:val="11"/>
                <w:szCs w:val="11"/>
                <w:b w:val="1"/>
                <w:bCs w:val="1"/>
                <w:color w:val="auto"/>
                <w:w w:val="96"/>
              </w:rPr>
              <w:t>Remaining Life</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restart"/>
          </w:tcPr>
          <w:p>
            <w:pPr>
              <w:jc w:val="center"/>
              <w:ind w:right="20"/>
              <w:spacing w:after="0"/>
              <w:rPr>
                <w:sz w:val="20"/>
                <w:szCs w:val="20"/>
                <w:color w:val="auto"/>
              </w:rPr>
            </w:pPr>
            <w:r>
              <w:rPr>
                <w:rFonts w:ascii="Arial" w:cs="Arial" w:eastAsia="Arial" w:hAnsi="Arial"/>
                <w:sz w:val="11"/>
                <w:szCs w:val="11"/>
                <w:b w:val="1"/>
                <w:bCs w:val="1"/>
                <w:color w:val="auto"/>
                <w:w w:val="96"/>
              </w:rPr>
              <w:t>Net Amount</w:t>
            </w:r>
          </w:p>
        </w:tc>
        <w:tc>
          <w:tcPr>
            <w:tcW w:w="0" w:type="dxa"/>
            <w:vAlign w:val="bottom"/>
          </w:tcPr>
          <w:p>
            <w:pPr>
              <w:spacing w:after="0"/>
              <w:rPr>
                <w:sz w:val="1"/>
                <w:szCs w:val="1"/>
                <w:color w:val="auto"/>
              </w:rPr>
            </w:pPr>
          </w:p>
        </w:tc>
      </w:tr>
      <w:tr>
        <w:trPr>
          <w:trHeight w:val="153"/>
        </w:trPr>
        <w:tc>
          <w:tcPr>
            <w:tcW w:w="1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6"/>
              </w:rPr>
              <w:t>(Years)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4"/>
          </w:tcPr>
          <w:p>
            <w:pPr>
              <w:ind w:left="100"/>
              <w:spacing w:after="0"/>
              <w:rPr>
                <w:sz w:val="20"/>
                <w:szCs w:val="20"/>
                <w:color w:val="auto"/>
              </w:rPr>
            </w:pPr>
            <w:r>
              <w:rPr>
                <w:rFonts w:ascii="Arial" w:cs="Arial" w:eastAsia="Arial" w:hAnsi="Arial"/>
                <w:sz w:val="11"/>
                <w:szCs w:val="11"/>
                <w:b w:val="1"/>
                <w:bCs w:val="1"/>
                <w:color w:val="auto"/>
              </w:rPr>
              <w:t>Amortization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560" w:type="dxa"/>
            <w:vAlign w:val="bottom"/>
            <w:tcBorders>
              <w:top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Tradenames</w:t>
            </w: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rPr>
              <w:t>15.2</w:t>
            </w: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43,579</w:t>
            </w: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(8,601)</w:t>
            </w: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34,978</w:t>
            </w:r>
          </w:p>
        </w:tc>
        <w:tc>
          <w:tcPr>
            <w:tcW w:w="0" w:type="dxa"/>
            <w:vAlign w:val="bottom"/>
          </w:tcPr>
          <w:p>
            <w:pPr>
              <w:spacing w:after="0"/>
              <w:rPr>
                <w:sz w:val="1"/>
                <w:szCs w:val="1"/>
                <w:color w:val="auto"/>
              </w:rPr>
            </w:pPr>
          </w:p>
        </w:tc>
      </w:tr>
      <w:tr>
        <w:trPr>
          <w:trHeight w:val="173"/>
        </w:trPr>
        <w:tc>
          <w:tcPr>
            <w:tcW w:w="1840" w:type="dxa"/>
            <w:vAlign w:val="bottom"/>
          </w:tcPr>
          <w:p>
            <w:pPr>
              <w:ind w:left="40"/>
              <w:spacing w:after="0"/>
              <w:rPr>
                <w:sz w:val="20"/>
                <w:szCs w:val="20"/>
                <w:color w:val="auto"/>
              </w:rPr>
            </w:pPr>
            <w:r>
              <w:rPr>
                <w:rFonts w:ascii="Arial" w:cs="Arial" w:eastAsia="Arial" w:hAnsi="Arial"/>
                <w:sz w:val="12"/>
                <w:szCs w:val="12"/>
                <w:color w:val="auto"/>
                <w:w w:val="75"/>
              </w:rPr>
              <w:t xml:space="preserve">Customer relationships </w:t>
            </w:r>
            <w:r>
              <w:rPr>
                <w:rFonts w:ascii="Times New Roman" w:cs="Times New Roman" w:eastAsia="Times New Roman" w:hAnsi="Times New Roman"/>
                <w:sz w:val="12"/>
                <w:szCs w:val="12"/>
                <w:color w:val="B4B4B4"/>
                <w:w w:val="75"/>
              </w:rPr>
              <w:t>.....................................</w:t>
            </w:r>
          </w:p>
        </w:tc>
        <w:tc>
          <w:tcPr>
            <w:tcW w:w="1520" w:type="dxa"/>
            <w:vAlign w:val="bottom"/>
            <w:gridSpan w:val="3"/>
          </w:tcPr>
          <w:p>
            <w:pPr>
              <w:jc w:val="right"/>
              <w:ind w:right="246"/>
              <w:spacing w:after="0"/>
              <w:rPr>
                <w:sz w:val="20"/>
                <w:szCs w:val="20"/>
                <w:color w:val="auto"/>
              </w:rPr>
            </w:pPr>
            <w:r>
              <w:rPr>
                <w:rFonts w:ascii="Arial" w:cs="Arial" w:eastAsia="Arial" w:hAnsi="Arial"/>
                <w:sz w:val="12"/>
                <w:szCs w:val="12"/>
                <w:color w:val="auto"/>
              </w:rPr>
              <w:t>8.6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27,989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(7,921)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20,068</w:t>
            </w:r>
          </w:p>
        </w:tc>
        <w:tc>
          <w:tcPr>
            <w:tcW w:w="0" w:type="dxa"/>
            <w:vAlign w:val="bottom"/>
          </w:tcPr>
          <w:p>
            <w:pPr>
              <w:spacing w:after="0"/>
              <w:rPr>
                <w:sz w:val="1"/>
                <w:szCs w:val="1"/>
                <w:color w:val="auto"/>
              </w:rPr>
            </w:pPr>
          </w:p>
        </w:tc>
      </w:tr>
      <w:tr>
        <w:trPr>
          <w:trHeight w:val="190"/>
        </w:trPr>
        <w:tc>
          <w:tcPr>
            <w:tcW w:w="1840" w:type="dxa"/>
            <w:vAlign w:val="bottom"/>
            <w:shd w:val="clear" w:color="auto" w:fill="CCEEFF"/>
          </w:tcPr>
          <w:p>
            <w:pPr>
              <w:ind w:left="40"/>
              <w:spacing w:after="0"/>
              <w:rPr>
                <w:sz w:val="20"/>
                <w:szCs w:val="20"/>
                <w:color w:val="auto"/>
              </w:rPr>
            </w:pPr>
            <w:r>
              <w:rPr>
                <w:rFonts w:ascii="Arial" w:cs="Arial" w:eastAsia="Arial" w:hAnsi="Arial"/>
                <w:sz w:val="12"/>
                <w:szCs w:val="12"/>
                <w:color w:val="auto"/>
                <w:w w:val="75"/>
              </w:rPr>
              <w:t xml:space="preserve">Developed technology </w:t>
            </w:r>
            <w:r>
              <w:rPr>
                <w:rFonts w:ascii="Times New Roman" w:cs="Times New Roman" w:eastAsia="Times New Roman" w:hAnsi="Times New Roman"/>
                <w:sz w:val="12"/>
                <w:szCs w:val="12"/>
                <w:color w:val="B4B4B4"/>
                <w:w w:val="75"/>
              </w:rPr>
              <w:t>......................................</w:t>
            </w:r>
          </w:p>
        </w:tc>
        <w:tc>
          <w:tcPr>
            <w:tcW w:w="1520" w:type="dxa"/>
            <w:vAlign w:val="bottom"/>
            <w:gridSpan w:val="3"/>
            <w:shd w:val="clear" w:color="auto" w:fill="CCEEFF"/>
          </w:tcPr>
          <w:p>
            <w:pPr>
              <w:jc w:val="right"/>
              <w:ind w:right="246"/>
              <w:spacing w:after="0"/>
              <w:rPr>
                <w:sz w:val="20"/>
                <w:szCs w:val="20"/>
                <w:color w:val="auto"/>
              </w:rPr>
            </w:pPr>
            <w:r>
              <w:rPr>
                <w:rFonts w:ascii="Arial" w:cs="Arial" w:eastAsia="Arial" w:hAnsi="Arial"/>
                <w:sz w:val="12"/>
                <w:szCs w:val="12"/>
                <w:color w:val="auto"/>
              </w:rPr>
              <w:t>0.3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(422)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85</w:t>
            </w:r>
          </w:p>
        </w:tc>
        <w:tc>
          <w:tcPr>
            <w:tcW w:w="0" w:type="dxa"/>
            <w:vAlign w:val="bottom"/>
          </w:tcPr>
          <w:p>
            <w:pPr>
              <w:spacing w:after="0"/>
              <w:rPr>
                <w:sz w:val="1"/>
                <w:szCs w:val="1"/>
                <w:color w:val="auto"/>
              </w:rPr>
            </w:pPr>
          </w:p>
        </w:tc>
      </w:tr>
      <w:tr>
        <w:trPr>
          <w:trHeight w:val="173"/>
        </w:trPr>
        <w:tc>
          <w:tcPr>
            <w:tcW w:w="184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w w:val="75"/>
              </w:rPr>
              <w:t xml:space="preserve">Domain names </w:t>
            </w:r>
            <w:r>
              <w:rPr>
                <w:rFonts w:ascii="Times New Roman" w:cs="Times New Roman" w:eastAsia="Times New Roman" w:hAnsi="Times New Roman"/>
                <w:sz w:val="12"/>
                <w:szCs w:val="12"/>
                <w:color w:val="B4B4B4"/>
                <w:w w:val="75"/>
              </w:rPr>
              <w:t>...................................................</w:t>
            </w:r>
          </w:p>
        </w:tc>
        <w:tc>
          <w:tcPr>
            <w:tcW w:w="1520" w:type="dxa"/>
            <w:vAlign w:val="bottom"/>
            <w:tcBorders>
              <w:bottom w:val="single" w:sz="8" w:color="CCEEFF"/>
            </w:tcBorders>
            <w:gridSpan w:val="3"/>
          </w:tcPr>
          <w:p>
            <w:pPr>
              <w:jc w:val="center"/>
              <w:ind w:left="664"/>
              <w:spacing w:after="0"/>
              <w:rPr>
                <w:sz w:val="20"/>
                <w:szCs w:val="20"/>
                <w:color w:val="auto"/>
              </w:rPr>
            </w:pPr>
            <w:r>
              <w:rPr>
                <w:rFonts w:ascii="Arial" w:cs="Arial" w:eastAsia="Arial" w:hAnsi="Arial"/>
                <w:sz w:val="12"/>
                <w:szCs w:val="12"/>
                <w:color w:val="auto"/>
              </w:rPr>
              <w:t>12.8</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587</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(85)</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502</w:t>
            </w:r>
          </w:p>
        </w:tc>
        <w:tc>
          <w:tcPr>
            <w:tcW w:w="0" w:type="dxa"/>
            <w:vAlign w:val="bottom"/>
          </w:tcPr>
          <w:p>
            <w:pPr>
              <w:spacing w:after="0"/>
              <w:rPr>
                <w:sz w:val="1"/>
                <w:szCs w:val="1"/>
                <w:color w:val="auto"/>
              </w:rPr>
            </w:pPr>
          </w:p>
        </w:tc>
      </w:tr>
      <w:tr>
        <w:trPr>
          <w:trHeight w:val="160"/>
        </w:trPr>
        <w:tc>
          <w:tcPr>
            <w:tcW w:w="2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Totalintangibleassets</w:t>
            </w:r>
          </w:p>
        </w:tc>
        <w:tc>
          <w:tcPr>
            <w:tcW w:w="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gridSpan w:val="3"/>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72,662</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(17,029)</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55,633</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840" w:type="dxa"/>
            <w:vAlign w:val="bottom"/>
          </w:tcPr>
          <w:p>
            <w:pPr>
              <w:ind w:left="240"/>
              <w:spacing w:after="0"/>
              <w:rPr>
                <w:sz w:val="20"/>
                <w:szCs w:val="20"/>
                <w:color w:val="auto"/>
              </w:rPr>
            </w:pPr>
            <w:r>
              <w:rPr>
                <w:rFonts w:ascii="Arial" w:cs="Arial" w:eastAsia="Arial" w:hAnsi="Arial"/>
                <w:sz w:val="12"/>
                <w:szCs w:val="12"/>
                <w:color w:val="auto"/>
              </w:rPr>
              <w:t>During the six months ended</w:t>
            </w:r>
          </w:p>
        </w:tc>
        <w:tc>
          <w:tcPr>
            <w:tcW w:w="4140" w:type="dxa"/>
            <w:vAlign w:val="bottom"/>
            <w:gridSpan w:val="18"/>
          </w:tcPr>
          <w:p>
            <w:pPr>
              <w:jc w:val="right"/>
              <w:ind w:right="340"/>
              <w:spacing w:after="0"/>
              <w:rPr>
                <w:sz w:val="20"/>
                <w:szCs w:val="20"/>
                <w:color w:val="auto"/>
              </w:rPr>
            </w:pPr>
            <w:r>
              <w:rPr>
                <w:rFonts w:ascii="Arial" w:cs="Arial" w:eastAsia="Arial" w:hAnsi="Arial"/>
                <w:sz w:val="12"/>
                <w:szCs w:val="12"/>
                <w:color w:val="auto"/>
              </w:rPr>
              <w:t>July 31, 2025 and 2024, amortization expense related to intangible</w:t>
            </w:r>
          </w:p>
        </w:tc>
        <w:tc>
          <w:tcPr>
            <w:tcW w:w="0" w:type="dxa"/>
            <w:vAlign w:val="bottom"/>
          </w:tcPr>
          <w:p>
            <w:pPr>
              <w:spacing w:after="0"/>
              <w:rPr>
                <w:sz w:val="1"/>
                <w:szCs w:val="1"/>
                <w:color w:val="auto"/>
              </w:rPr>
            </w:pPr>
          </w:p>
        </w:tc>
      </w:tr>
    </w:tbl>
    <w:p>
      <w:pPr>
        <w:ind w:left="1520" w:right="1780"/>
        <w:spacing w:after="0" w:line="279" w:lineRule="auto"/>
        <w:rPr>
          <w:sz w:val="20"/>
          <w:szCs w:val="20"/>
          <w:color w:val="auto"/>
        </w:rPr>
      </w:pPr>
      <w:r>
        <w:rPr>
          <w:rFonts w:ascii="Arial" w:cs="Arial" w:eastAsia="Arial" w:hAnsi="Arial"/>
          <w:sz w:val="12"/>
          <w:szCs w:val="12"/>
          <w:color w:val="auto"/>
        </w:rPr>
        <w:t>assets of $2.5 million and $2.5 million, respectively, was recorded in sales and marketing expense, and $0.1 million and $0.1 million, respectively was recorded in cost of revenue within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F-63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tbl>
      <w:tblPr>
        <w:tblLayout w:type="fixed"/>
        <w:tblInd w:w="1520" w:type="dxa"/>
        <w:tblCellMar>
          <w:top w:w="0" w:type="dxa"/>
          <w:left w:w="0" w:type="dxa"/>
          <w:bottom w:w="0" w:type="dxa"/>
          <w:right w:w="0" w:type="dxa"/>
        </w:tblCellMar>
      </w:tblPr>
      <w:tr>
        <w:trPr>
          <w:trHeight w:val="137"/>
        </w:trPr>
        <w:tc>
          <w:tcPr>
            <w:tcW w:w="4580" w:type="dxa"/>
            <w:vAlign w:val="bottom"/>
            <w:gridSpan w:val="2"/>
          </w:tcPr>
          <w:p>
            <w:pPr>
              <w:spacing w:after="0"/>
              <w:rPr>
                <w:rFonts w:ascii="Arial" w:cs="Arial" w:eastAsia="Arial" w:hAnsi="Arial"/>
                <w:sz w:val="12"/>
                <w:szCs w:val="12"/>
                <w:color w:val="0000FF"/>
              </w:rPr>
            </w:pPr>
            <w:hyperlink w:anchor="page3">
              <w:r>
                <w:rPr>
                  <w:rFonts w:ascii="Arial" w:cs="Arial" w:eastAsia="Arial" w:hAnsi="Arial"/>
                  <w:sz w:val="12"/>
                  <w:szCs w:val="12"/>
                  <w:color w:val="0000FF"/>
                </w:rPr>
                <w:t>Table of Contents</w:t>
              </w:r>
            </w:hyperlink>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286"/>
        </w:trPr>
        <w:tc>
          <w:tcPr>
            <w:tcW w:w="4580" w:type="dxa"/>
            <w:vAlign w:val="bottom"/>
            <w:gridSpan w:val="2"/>
          </w:tcPr>
          <w:p>
            <w:pPr>
              <w:ind w:left="240"/>
              <w:spacing w:after="0"/>
              <w:rPr>
                <w:sz w:val="20"/>
                <w:szCs w:val="20"/>
                <w:color w:val="auto"/>
              </w:rPr>
            </w:pPr>
            <w:r>
              <w:rPr>
                <w:rFonts w:ascii="Arial" w:cs="Arial" w:eastAsia="Arial" w:hAnsi="Arial"/>
                <w:sz w:val="12"/>
                <w:szCs w:val="12"/>
                <w:color w:val="auto"/>
              </w:rPr>
              <w:t>The expected future amortization expenses related to intangible assets as of</w:t>
            </w:r>
          </w:p>
        </w:tc>
        <w:tc>
          <w:tcPr>
            <w:tcW w:w="1400" w:type="dxa"/>
            <w:vAlign w:val="bottom"/>
            <w:gridSpan w:val="3"/>
          </w:tcPr>
          <w:p>
            <w:pPr>
              <w:jc w:val="center"/>
              <w:ind w:right="119"/>
              <w:spacing w:after="0"/>
              <w:rPr>
                <w:sz w:val="20"/>
                <w:szCs w:val="20"/>
                <w:color w:val="auto"/>
              </w:rPr>
            </w:pPr>
            <w:r>
              <w:rPr>
                <w:rFonts w:ascii="Arial" w:cs="Arial" w:eastAsia="Arial" w:hAnsi="Arial"/>
                <w:sz w:val="12"/>
                <w:szCs w:val="12"/>
                <w:color w:val="auto"/>
              </w:rPr>
              <w:t>July 31, 2025 were as</w:t>
            </w:r>
          </w:p>
        </w:tc>
      </w:tr>
      <w:tr>
        <w:trPr>
          <w:trHeight w:val="165"/>
        </w:trPr>
        <w:tc>
          <w:tcPr>
            <w:tcW w:w="4580" w:type="dxa"/>
            <w:vAlign w:val="bottom"/>
            <w:gridSpan w:val="2"/>
          </w:tcPr>
          <w:p>
            <w:pPr>
              <w:spacing w:after="0"/>
              <w:rPr>
                <w:sz w:val="20"/>
                <w:szCs w:val="20"/>
                <w:color w:val="auto"/>
              </w:rPr>
            </w:pPr>
            <w:r>
              <w:rPr>
                <w:rFonts w:ascii="Arial" w:cs="Arial" w:eastAsia="Arial" w:hAnsi="Arial"/>
                <w:sz w:val="12"/>
                <w:szCs w:val="12"/>
                <w:color w:val="auto"/>
              </w:rPr>
              <w:t>follows (in thousands):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95"/>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1"/>
                <w:szCs w:val="11"/>
                <w:b w:val="1"/>
                <w:bCs w:val="1"/>
                <w:color w:val="auto"/>
              </w:rPr>
              <w:t>Year Ended January 31,</w:t>
            </w: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Amount</w:t>
            </w:r>
          </w:p>
        </w:tc>
      </w:tr>
      <w:tr>
        <w:trPr>
          <w:trHeight w:val="172"/>
        </w:trPr>
        <w:tc>
          <w:tcPr>
            <w:tcW w:w="51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Remainderof2026</w:t>
            </w:r>
          </w:p>
        </w:tc>
        <w:tc>
          <w:tcPr>
            <w:tcW w:w="1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2,560</w:t>
            </w:r>
          </w:p>
        </w:tc>
      </w:tr>
      <w:tr>
        <w:trPr>
          <w:trHeight w:val="173"/>
        </w:trPr>
        <w:tc>
          <w:tcPr>
            <w:tcW w:w="4580" w:type="dxa"/>
            <w:vAlign w:val="bottom"/>
            <w:gridSpan w:val="2"/>
          </w:tcPr>
          <w:p>
            <w:pPr>
              <w:ind w:left="40"/>
              <w:spacing w:after="0"/>
              <w:rPr>
                <w:sz w:val="20"/>
                <w:szCs w:val="20"/>
                <w:color w:val="auto"/>
              </w:rPr>
            </w:pPr>
            <w:r>
              <w:rPr>
                <w:rFonts w:ascii="Arial" w:cs="Arial" w:eastAsia="Arial" w:hAnsi="Arial"/>
                <w:sz w:val="12"/>
                <w:szCs w:val="12"/>
                <w:color w:val="auto"/>
                <w:w w:val="94"/>
              </w:rPr>
              <w:t>2027</w:t>
            </w:r>
            <w:r>
              <w:rPr>
                <w:rFonts w:ascii="Times New Roman" w:cs="Times New Roman" w:eastAsia="Times New Roman" w:hAnsi="Times New Roman"/>
                <w:sz w:val="12"/>
                <w:szCs w:val="12"/>
                <w:color w:val="B4B4B4"/>
                <w:w w:val="94"/>
              </w:rPr>
              <w:t>......................................................................................................................................................</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5,121</w:t>
            </w:r>
          </w:p>
        </w:tc>
      </w:tr>
      <w:tr>
        <w:trPr>
          <w:trHeight w:val="19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w w:val="94"/>
              </w:rPr>
              <w:t>2028</w:t>
            </w:r>
            <w:r>
              <w:rPr>
                <w:rFonts w:ascii="Times New Roman" w:cs="Times New Roman" w:eastAsia="Times New Roman" w:hAnsi="Times New Roman"/>
                <w:sz w:val="12"/>
                <w:szCs w:val="12"/>
                <w:color w:val="B4B4B4"/>
                <w:w w:val="94"/>
              </w:rPr>
              <w: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4,920</w:t>
            </w:r>
          </w:p>
        </w:tc>
      </w:tr>
      <w:tr>
        <w:trPr>
          <w:trHeight w:val="173"/>
        </w:trPr>
        <w:tc>
          <w:tcPr>
            <w:tcW w:w="4580" w:type="dxa"/>
            <w:vAlign w:val="bottom"/>
            <w:gridSpan w:val="2"/>
          </w:tcPr>
          <w:p>
            <w:pPr>
              <w:ind w:left="40"/>
              <w:spacing w:after="0"/>
              <w:rPr>
                <w:sz w:val="20"/>
                <w:szCs w:val="20"/>
                <w:color w:val="auto"/>
              </w:rPr>
            </w:pPr>
            <w:r>
              <w:rPr>
                <w:rFonts w:ascii="Arial" w:cs="Arial" w:eastAsia="Arial" w:hAnsi="Arial"/>
                <w:sz w:val="12"/>
                <w:szCs w:val="12"/>
                <w:color w:val="auto"/>
                <w:w w:val="94"/>
              </w:rPr>
              <w:t>2029</w:t>
            </w:r>
            <w:r>
              <w:rPr>
                <w:rFonts w:ascii="Times New Roman" w:cs="Times New Roman" w:eastAsia="Times New Roman" w:hAnsi="Times New Roman"/>
                <w:sz w:val="12"/>
                <w:szCs w:val="12"/>
                <w:color w:val="B4B4B4"/>
                <w:w w:val="94"/>
              </w:rPr>
              <w:t>......................................................................................................................................................</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4,902</w:t>
            </w:r>
          </w:p>
        </w:tc>
      </w:tr>
      <w:tr>
        <w:trPr>
          <w:trHeight w:val="19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w w:val="94"/>
              </w:rPr>
              <w:t>2030</w:t>
            </w:r>
            <w:r>
              <w:rPr>
                <w:rFonts w:ascii="Times New Roman" w:cs="Times New Roman" w:eastAsia="Times New Roman" w:hAnsi="Times New Roman"/>
                <w:sz w:val="12"/>
                <w:szCs w:val="12"/>
                <w:color w:val="B4B4B4"/>
                <w:w w:val="94"/>
              </w:rPr>
              <w:t>......................................................................................................................................................</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4,825</w:t>
            </w:r>
          </w:p>
        </w:tc>
      </w:tr>
      <w:tr>
        <w:trPr>
          <w:trHeight w:val="173"/>
        </w:trPr>
        <w:tc>
          <w:tcPr>
            <w:tcW w:w="5140" w:type="dxa"/>
            <w:vAlign w:val="bottom"/>
            <w:tcBorders>
              <w:bottom w:val="single" w:sz="8" w:color="CCEEFF"/>
            </w:tcBorders>
            <w:gridSpan w:val="3"/>
          </w:tcPr>
          <w:p>
            <w:pPr>
              <w:ind w:left="40"/>
              <w:spacing w:after="0"/>
              <w:rPr>
                <w:sz w:val="20"/>
                <w:szCs w:val="20"/>
                <w:color w:val="auto"/>
              </w:rPr>
            </w:pPr>
            <w:r>
              <w:rPr>
                <w:rFonts w:ascii="Arial" w:cs="Arial" w:eastAsia="Arial" w:hAnsi="Arial"/>
                <w:sz w:val="12"/>
                <w:szCs w:val="12"/>
                <w:color w:val="auto"/>
              </w:rPr>
              <w:t xml:space="preserve">Thereafter </w:t>
            </w:r>
            <w:r>
              <w:rPr>
                <w:rFonts w:ascii="Times New Roman" w:cs="Times New Roman" w:eastAsia="Times New Roman" w:hAnsi="Times New Roman"/>
                <w:sz w:val="12"/>
                <w:szCs w:val="12"/>
                <w:color w:val="B4B4B4"/>
              </w:rPr>
              <w:t>............................................................................................................................................</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34,018</w:t>
            </w:r>
          </w:p>
        </w:tc>
      </w:tr>
      <w:tr>
        <w:trPr>
          <w:trHeight w:val="180"/>
        </w:trPr>
        <w:tc>
          <w:tcPr>
            <w:tcW w:w="51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w:t>
            </w: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56,346</w:t>
            </w:r>
          </w:p>
        </w:tc>
      </w:tr>
      <w:tr>
        <w:trPr>
          <w:trHeight w:val="269"/>
        </w:trPr>
        <w:tc>
          <w:tcPr>
            <w:tcW w:w="5140" w:type="dxa"/>
            <w:vAlign w:val="bottom"/>
            <w:gridSpan w:val="3"/>
          </w:tcPr>
          <w:p>
            <w:pPr>
              <w:ind w:left="240"/>
              <w:spacing w:after="0"/>
              <w:rPr>
                <w:sz w:val="20"/>
                <w:szCs w:val="20"/>
                <w:color w:val="auto"/>
              </w:rPr>
            </w:pPr>
            <w:r>
              <w:rPr>
                <w:rFonts w:ascii="Arial" w:cs="Arial" w:eastAsia="Arial" w:hAnsi="Arial"/>
                <w:sz w:val="12"/>
                <w:szCs w:val="12"/>
                <w:color w:val="auto"/>
              </w:rPr>
              <w:t>There were no impairments of intangible assets recognized during the six months ended</w:t>
            </w:r>
          </w:p>
        </w:tc>
        <w:tc>
          <w:tcPr>
            <w:tcW w:w="1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jc w:val="right"/>
              <w:ind w:right="259"/>
              <w:spacing w:after="0"/>
              <w:rPr>
                <w:sz w:val="20"/>
                <w:szCs w:val="20"/>
                <w:color w:val="auto"/>
              </w:rPr>
            </w:pPr>
            <w:r>
              <w:rPr>
                <w:rFonts w:ascii="Arial" w:cs="Arial" w:eastAsia="Arial" w:hAnsi="Arial"/>
                <w:sz w:val="12"/>
                <w:szCs w:val="12"/>
                <w:color w:val="auto"/>
                <w:w w:val="96"/>
              </w:rPr>
              <w:t>July 31,</w:t>
            </w:r>
          </w:p>
        </w:tc>
      </w:tr>
    </w:tbl>
    <w:p>
      <w:pPr>
        <w:ind w:left="1520"/>
        <w:spacing w:after="0"/>
        <w:rPr>
          <w:sz w:val="20"/>
          <w:szCs w:val="20"/>
          <w:color w:val="auto"/>
        </w:rPr>
      </w:pPr>
      <w:r>
        <w:rPr>
          <w:rFonts w:ascii="Arial" w:cs="Arial" w:eastAsia="Arial" w:hAnsi="Arial"/>
          <w:sz w:val="12"/>
          <w:szCs w:val="12"/>
          <w:color w:val="auto"/>
        </w:rPr>
        <w:t>2025 and 2024.</w:t>
      </w:r>
    </w:p>
    <w:p>
      <w:pPr>
        <w:spacing w:after="0" w:line="11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7 – DEBT</w:t>
      </w:r>
    </w:p>
    <w:p>
      <w:pPr>
        <w:spacing w:after="0" w:line="130"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The Company had the following debt outstanding (in thousands):</w:t>
      </w:r>
    </w:p>
    <w:p>
      <w:pPr>
        <w:spacing w:after="0" w:line="168" w:lineRule="exact"/>
        <w:rPr>
          <w:sz w:val="20"/>
          <w:szCs w:val="20"/>
          <w:color w:val="auto"/>
        </w:rPr>
      </w:pPr>
    </w:p>
    <w:p>
      <w:pPr>
        <w:ind w:left="6500"/>
        <w:spacing w:after="0"/>
        <w:rPr>
          <w:sz w:val="20"/>
          <w:szCs w:val="20"/>
          <w:color w:val="auto"/>
        </w:rPr>
      </w:pPr>
      <w:r>
        <w:rPr>
          <w:rFonts w:ascii="Arial" w:cs="Arial" w:eastAsia="Arial" w:hAnsi="Arial"/>
          <w:sz w:val="11"/>
          <w:szCs w:val="11"/>
          <w:b w:val="1"/>
          <w:bCs w:val="1"/>
          <w:color w:val="auto"/>
        </w:rPr>
        <w:t>As of</w:t>
      </w:r>
    </w:p>
    <w:p>
      <w:pPr>
        <w:spacing w:after="0" w:line="27" w:lineRule="exact"/>
        <w:rPr>
          <w:sz w:val="20"/>
          <w:szCs w:val="20"/>
          <w:color w:val="auto"/>
        </w:rPr>
      </w:pPr>
    </w:p>
    <w:p>
      <w:pPr>
        <w:ind w:left="6800"/>
        <w:spacing w:after="0"/>
        <w:rPr>
          <w:sz w:val="20"/>
          <w:szCs w:val="20"/>
          <w:color w:val="auto"/>
        </w:rPr>
      </w:pPr>
      <w:r>
        <w:rPr>
          <w:rFonts w:ascii="Arial" w:cs="Arial" w:eastAsia="Arial" w:hAnsi="Arial"/>
          <w:sz w:val="11"/>
          <w:szCs w:val="11"/>
          <w:b w:val="1"/>
          <w:bCs w:val="1"/>
          <w:color w:val="auto"/>
        </w:rPr>
        <w:t>January 31,</w:t>
      </w:r>
    </w:p>
    <w:p>
      <w:pPr>
        <w:sectPr>
          <w:pgSz w:w="11900" w:h="16840" w:orient="portrait"/>
          <w:cols w:equalWidth="0" w:num="1">
            <w:col w:w="9020"/>
          </w:cols>
          <w:pgMar w:left="1440" w:top="1000" w:right="1440" w:bottom="107" w:gutter="0" w:footer="0" w:header="0"/>
        </w:sectPr>
      </w:pPr>
    </w:p>
    <w:bookmarkStart w:id="202" w:name="page203"/>
    <w:bookmarkEnd w:id="202"/>
    <w:tbl>
      <w:tblPr>
        <w:tblLayout w:type="fixed"/>
        <w:tblInd w:w="1520" w:type="dxa"/>
        <w:tblCellMar>
          <w:top w:w="0" w:type="dxa"/>
          <w:left w:w="0" w:type="dxa"/>
          <w:bottom w:w="0" w:type="dxa"/>
          <w:right w:w="0" w:type="dxa"/>
        </w:tblCellMar>
      </w:tblPr>
      <w:tr>
        <w:trPr>
          <w:trHeight w:val="126"/>
        </w:trPr>
        <w:tc>
          <w:tcPr>
            <w:tcW w:w="4260" w:type="dxa"/>
            <w:vAlign w:val="bottom"/>
            <w:vMerge w:val="restart"/>
          </w:tcPr>
          <w:p>
            <w:pPr>
              <w:ind w:left="40"/>
              <w:spacing w:after="0"/>
              <w:rPr>
                <w:sz w:val="20"/>
                <w:szCs w:val="20"/>
                <w:color w:val="auto"/>
              </w:rPr>
            </w:pPr>
            <w:r>
              <w:rPr>
                <w:rFonts w:ascii="Arial" w:cs="Arial" w:eastAsia="Arial" w:hAnsi="Arial"/>
                <w:sz w:val="12"/>
                <w:szCs w:val="12"/>
                <w:color w:val="auto"/>
              </w:rPr>
              <w:t xml:space="preserve">Convertible notes </w:t>
            </w:r>
            <w:r>
              <w:rPr>
                <w:rFonts w:ascii="Times New Roman" w:cs="Times New Roman" w:eastAsia="Times New Roman" w:hAnsi="Times New Roman"/>
                <w:sz w:val="12"/>
                <w:szCs w:val="12"/>
                <w:color w:val="B4B4B4"/>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20"/>
              <w:spacing w:after="0"/>
              <w:rPr>
                <w:sz w:val="20"/>
                <w:szCs w:val="20"/>
                <w:color w:val="auto"/>
              </w:rPr>
            </w:pPr>
            <w:r>
              <w:rPr>
                <w:rFonts w:ascii="Arial" w:cs="Arial" w:eastAsia="Arial" w:hAnsi="Arial"/>
                <w:sz w:val="11"/>
                <w:szCs w:val="11"/>
                <w:b w:val="1"/>
                <w:bCs w:val="1"/>
                <w:color w:val="auto"/>
                <w:w w:val="94"/>
              </w:rPr>
              <w:t>July 31, 2025</w:t>
            </w:r>
          </w:p>
        </w:tc>
        <w:tc>
          <w:tcPr>
            <w:tcW w:w="240" w:type="dxa"/>
            <w:vAlign w:val="bottom"/>
            <w:gridSpan w:val="2"/>
            <w:vMerge w:val="restart"/>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40"/>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67"/>
        </w:trPr>
        <w:tc>
          <w:tcPr>
            <w:tcW w:w="4260" w:type="dxa"/>
            <w:vAlign w:val="bottom"/>
            <w:vMerge w:val="continue"/>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tcPr>
          <w:p>
            <w:pPr>
              <w:jc w:val="right"/>
              <w:spacing w:after="0" w:line="67" w:lineRule="exact"/>
              <w:rPr>
                <w:sz w:val="20"/>
                <w:szCs w:val="20"/>
                <w:color w:val="auto"/>
              </w:rPr>
            </w:pPr>
            <w:r>
              <w:rPr>
                <w:rFonts w:ascii="Arial" w:cs="Arial" w:eastAsia="Arial" w:hAnsi="Arial"/>
                <w:sz w:val="7"/>
                <w:szCs w:val="7"/>
                <w:color w:val="auto"/>
              </w:rPr>
              <w:t>125,000</w:t>
            </w:r>
          </w:p>
        </w:tc>
        <w:tc>
          <w:tcPr>
            <w:tcW w:w="240" w:type="dxa"/>
            <w:vAlign w:val="bottom"/>
            <w:tcBorders>
              <w:bottom w:val="single" w:sz="8" w:color="auto"/>
            </w:tcBorders>
            <w:gridSpan w:val="2"/>
            <w:vMerge w:val="continue"/>
          </w:tcPr>
          <w:p>
            <w:pPr>
              <w:spacing w:after="0"/>
              <w:rPr>
                <w:sz w:val="5"/>
                <w:szCs w:val="5"/>
                <w:color w:val="auto"/>
              </w:rPr>
            </w:pPr>
          </w:p>
        </w:tc>
        <w:tc>
          <w:tcPr>
            <w:tcW w:w="640" w:type="dxa"/>
            <w:vAlign w:val="bottom"/>
            <w:tcBorders>
              <w:bottom w:val="single" w:sz="8" w:color="auto"/>
            </w:tcBorders>
          </w:tcPr>
          <w:p>
            <w:pPr>
              <w:jc w:val="right"/>
              <w:ind w:right="20"/>
              <w:spacing w:after="0" w:line="67" w:lineRule="exact"/>
              <w:rPr>
                <w:sz w:val="20"/>
                <w:szCs w:val="20"/>
                <w:color w:val="auto"/>
              </w:rPr>
            </w:pPr>
            <w:r>
              <w:rPr>
                <w:rFonts w:ascii="Arial" w:cs="Arial" w:eastAsia="Arial" w:hAnsi="Arial"/>
                <w:sz w:val="7"/>
                <w:szCs w:val="7"/>
                <w:color w:val="auto"/>
              </w:rPr>
              <w:t>125,000</w:t>
            </w:r>
          </w:p>
        </w:tc>
        <w:tc>
          <w:tcPr>
            <w:tcW w:w="0" w:type="dxa"/>
            <w:vAlign w:val="bottom"/>
          </w:tcPr>
          <w:p>
            <w:pPr>
              <w:spacing w:after="0"/>
              <w:rPr>
                <w:sz w:val="1"/>
                <w:szCs w:val="1"/>
                <w:color w:val="auto"/>
              </w:rPr>
            </w:pPr>
          </w:p>
        </w:tc>
      </w:tr>
      <w:tr>
        <w:trPr>
          <w:trHeight w:val="192"/>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SAFEs </w:t>
            </w:r>
            <w:r>
              <w:rPr>
                <w:rFonts w:ascii="Times New Roman" w:cs="Times New Roman" w:eastAsia="Times New Roman" w:hAnsi="Times New Roman"/>
                <w:sz w:val="12"/>
                <w:szCs w:val="12"/>
                <w:color w:val="B4B4B4"/>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163,000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6"/>
        </w:trPr>
        <w:tc>
          <w:tcPr>
            <w:tcW w:w="42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Warehousecreditfacility</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148,174</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214,238</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Trade loan facility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20"/>
              <w:spacing w:after="0"/>
              <w:rPr>
                <w:sz w:val="20"/>
                <w:szCs w:val="20"/>
                <w:color w:val="auto"/>
              </w:rPr>
            </w:pPr>
            <w:r>
              <w:rPr>
                <w:rFonts w:ascii="Arial" w:cs="Arial" w:eastAsia="Arial" w:hAnsi="Arial"/>
                <w:sz w:val="12"/>
                <w:szCs w:val="12"/>
                <w:color w:val="auto"/>
              </w:rPr>
              <w:t>45,000</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ABL facility </w:t>
            </w:r>
            <w:r>
              <w:rPr>
                <w:rFonts w:ascii="Times New Roman" w:cs="Times New Roman" w:eastAsia="Times New Roman" w:hAnsi="Times New Roman"/>
                <w:sz w:val="12"/>
                <w:szCs w:val="12"/>
                <w:color w:val="B4B4B4"/>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34,500</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Notes payable:</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2022 promissory note </w:t>
            </w:r>
            <w:r>
              <w:rPr>
                <w:rFonts w:ascii="Times New Roman" w:cs="Times New Roman" w:eastAsia="Times New Roman" w:hAnsi="Times New Roman"/>
                <w:sz w:val="12"/>
                <w:szCs w:val="12"/>
                <w:color w:val="B4B4B4"/>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150,000</w:t>
            </w:r>
          </w:p>
        </w:tc>
        <w:tc>
          <w:tcPr>
            <w:tcW w:w="0" w:type="dxa"/>
            <w:vAlign w:val="bottom"/>
          </w:tcPr>
          <w:p>
            <w:pPr>
              <w:spacing w:after="0"/>
              <w:rPr>
                <w:sz w:val="1"/>
                <w:szCs w:val="1"/>
                <w:color w:val="auto"/>
              </w:rPr>
            </w:pPr>
          </w:p>
        </w:tc>
      </w:tr>
      <w:tr>
        <w:trPr>
          <w:trHeight w:val="173"/>
        </w:trPr>
        <w:tc>
          <w:tcPr>
            <w:tcW w:w="4260" w:type="dxa"/>
            <w:vAlign w:val="bottom"/>
          </w:tcPr>
          <w:p>
            <w:pPr>
              <w:ind w:left="180"/>
              <w:spacing w:after="0"/>
              <w:rPr>
                <w:sz w:val="20"/>
                <w:szCs w:val="20"/>
                <w:color w:val="auto"/>
              </w:rPr>
            </w:pPr>
            <w:r>
              <w:rPr>
                <w:rFonts w:ascii="Arial" w:cs="Arial" w:eastAsia="Arial" w:hAnsi="Arial"/>
                <w:sz w:val="12"/>
                <w:szCs w:val="12"/>
                <w:color w:val="auto"/>
              </w:rPr>
              <w:t xml:space="preserve">Vista facility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130,000</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Other debt </w:t>
            </w:r>
            <w:r>
              <w:rPr>
                <w:rFonts w:ascii="Times New Roman" w:cs="Times New Roman" w:eastAsia="Times New Roman" w:hAnsi="Times New Roman"/>
                <w:sz w:val="12"/>
                <w:szCs w:val="12"/>
                <w:color w:val="B4B4B4"/>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1,823</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968</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Total notes payable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131,823</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20"/>
              <w:spacing w:after="0"/>
              <w:rPr>
                <w:sz w:val="20"/>
                <w:szCs w:val="20"/>
                <w:color w:val="auto"/>
              </w:rPr>
            </w:pPr>
            <w:r>
              <w:rPr>
                <w:rFonts w:ascii="Arial" w:cs="Arial" w:eastAsia="Arial" w:hAnsi="Arial"/>
                <w:sz w:val="12"/>
                <w:szCs w:val="12"/>
                <w:color w:val="auto"/>
              </w:rPr>
              <w:t>150,968</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Total principal amount of debt and borrowings </w:t>
            </w:r>
            <w:r>
              <w:rPr>
                <w:rFonts w:ascii="Times New Roman" w:cs="Times New Roman" w:eastAsia="Times New Roman" w:hAnsi="Times New Roman"/>
                <w:sz w:val="12"/>
                <w:szCs w:val="12"/>
                <w:color w:val="B4B4B4"/>
              </w:rPr>
              <w:t>..................................................</w:t>
            </w: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602,497</w:t>
            </w: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535,206</w:t>
            </w:r>
          </w:p>
        </w:tc>
        <w:tc>
          <w:tcPr>
            <w:tcW w:w="0" w:type="dxa"/>
            <w:vAlign w:val="bottom"/>
          </w:tcPr>
          <w:p>
            <w:pPr>
              <w:spacing w:after="0"/>
              <w:rPr>
                <w:sz w:val="1"/>
                <w:szCs w:val="1"/>
                <w:color w:val="auto"/>
              </w:rPr>
            </w:pPr>
          </w:p>
        </w:tc>
      </w:tr>
      <w:tr>
        <w:trPr>
          <w:trHeight w:val="158"/>
        </w:trPr>
        <w:tc>
          <w:tcPr>
            <w:tcW w:w="4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Less:unamortizeddebtdiscountandissuancecosts</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(20,834)</w:t>
            </w: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(11,324)</w:t>
            </w:r>
          </w:p>
        </w:tc>
        <w:tc>
          <w:tcPr>
            <w:tcW w:w="0" w:type="dxa"/>
            <w:vAlign w:val="bottom"/>
          </w:tcPr>
          <w:p>
            <w:pPr>
              <w:spacing w:after="0"/>
              <w:rPr>
                <w:sz w:val="1"/>
                <w:szCs w:val="1"/>
                <w:color w:val="auto"/>
              </w:rPr>
            </w:pPr>
          </w:p>
        </w:tc>
      </w:tr>
      <w:tr>
        <w:trPr>
          <w:trHeight w:val="166"/>
        </w:trPr>
        <w:tc>
          <w:tcPr>
            <w:tcW w:w="4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Plus:accruedinterest</w:t>
            </w: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78,097</w:t>
            </w:r>
          </w:p>
        </w:tc>
        <w:tc>
          <w:tcPr>
            <w:tcW w:w="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94,056</w:t>
            </w:r>
          </w:p>
        </w:tc>
        <w:tc>
          <w:tcPr>
            <w:tcW w:w="0" w:type="dxa"/>
            <w:vAlign w:val="bottom"/>
          </w:tcPr>
          <w:p>
            <w:pPr>
              <w:spacing w:after="0"/>
              <w:rPr>
                <w:sz w:val="1"/>
                <w:szCs w:val="1"/>
                <w:color w:val="auto"/>
              </w:rPr>
            </w:pPr>
          </w:p>
        </w:tc>
      </w:tr>
      <w:tr>
        <w:trPr>
          <w:trHeight w:val="162"/>
        </w:trPr>
        <w:tc>
          <w:tcPr>
            <w:tcW w:w="4260" w:type="dxa"/>
            <w:vAlign w:val="bottom"/>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Netcarryingvalueofdebtandborrowings</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659,760</w:t>
            </w:r>
          </w:p>
        </w:tc>
        <w:tc>
          <w:tcPr>
            <w:tcW w:w="40" w:type="dxa"/>
            <w:vAlign w:val="bottom"/>
          </w:tcPr>
          <w:p>
            <w:pPr>
              <w:spacing w:after="0"/>
              <w:rPr>
                <w:sz w:val="14"/>
                <w:szCs w:val="14"/>
                <w:color w:val="auto"/>
              </w:rPr>
            </w:pP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0"/>
              <w:spacing w:after="0"/>
              <w:rPr>
                <w:sz w:val="20"/>
                <w:szCs w:val="20"/>
                <w:color w:val="auto"/>
              </w:rPr>
            </w:pPr>
            <w:r>
              <w:rPr>
                <w:rFonts w:ascii="Arial" w:cs="Arial" w:eastAsia="Arial" w:hAnsi="Arial"/>
                <w:sz w:val="12"/>
                <w:szCs w:val="12"/>
                <w:color w:val="auto"/>
              </w:rPr>
              <w:t>617,938</w:t>
            </w:r>
          </w:p>
        </w:tc>
        <w:tc>
          <w:tcPr>
            <w:tcW w:w="0" w:type="dxa"/>
            <w:vAlign w:val="bottom"/>
          </w:tcPr>
          <w:p>
            <w:pPr>
              <w:spacing w:after="0"/>
              <w:rPr>
                <w:sz w:val="1"/>
                <w:szCs w:val="1"/>
                <w:color w:val="auto"/>
              </w:rPr>
            </w:pP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760"/>
        <w:spacing w:after="0"/>
        <w:rPr>
          <w:sz w:val="20"/>
          <w:szCs w:val="20"/>
          <w:color w:val="auto"/>
        </w:rPr>
      </w:pPr>
      <w:r>
        <w:rPr>
          <w:rFonts w:ascii="Arial" w:cs="Arial" w:eastAsia="Arial" w:hAnsi="Arial"/>
          <w:sz w:val="12"/>
          <w:szCs w:val="12"/>
          <w:b w:val="1"/>
          <w:bCs w:val="1"/>
          <w:i w:val="1"/>
          <w:iCs w:val="1"/>
          <w:color w:val="auto"/>
        </w:rPr>
        <w:t>Convertible Notes</w:t>
      </w:r>
    </w:p>
    <w:p>
      <w:pPr>
        <w:spacing w:after="0" w:line="128" w:lineRule="exact"/>
        <w:rPr>
          <w:sz w:val="20"/>
          <w:szCs w:val="20"/>
          <w:color w:val="auto"/>
        </w:rPr>
      </w:pPr>
    </w:p>
    <w:p>
      <w:pPr>
        <w:ind w:left="1520" w:right="1560" w:firstLine="230"/>
        <w:spacing w:after="0" w:line="270" w:lineRule="auto"/>
        <w:rPr>
          <w:sz w:val="20"/>
          <w:szCs w:val="20"/>
          <w:color w:val="auto"/>
        </w:rPr>
      </w:pPr>
      <w:r>
        <w:rPr>
          <w:rFonts w:ascii="Arial" w:cs="Arial" w:eastAsia="Arial" w:hAnsi="Arial"/>
          <w:sz w:val="12"/>
          <w:szCs w:val="12"/>
          <w:color w:val="auto"/>
        </w:rPr>
        <w:t>In June 2020 , we issued convertible notes of $125.0 million in aggregate principal amount, net of $2.9 million in debt issuance costs, with an initial maturity of June 2025 . During the year ended January 31, 2025, the holders exercised their option to extend the term of the convertible notes by two years from June 2025 to June 2027 . Interest accrues on the principal amount at an initial rate of 7.5% per annum and is added to the principal as payment in kind (“PIK”) interest and compounded semi-annually.</w:t>
      </w:r>
    </w:p>
    <w:p>
      <w:pPr>
        <w:spacing w:after="0" w:line="1" w:lineRule="exact"/>
        <w:rPr>
          <w:sz w:val="20"/>
          <w:szCs w:val="20"/>
          <w:color w:val="auto"/>
        </w:rPr>
      </w:pPr>
    </w:p>
    <w:p>
      <w:pPr>
        <w:ind w:left="1520" w:right="1740"/>
        <w:spacing w:after="0" w:line="275" w:lineRule="auto"/>
        <w:rPr>
          <w:sz w:val="20"/>
          <w:szCs w:val="20"/>
          <w:color w:val="auto"/>
        </w:rPr>
      </w:pPr>
      <w:r>
        <w:rPr>
          <w:rFonts w:ascii="Arial" w:cs="Arial" w:eastAsia="Arial" w:hAnsi="Arial"/>
          <w:sz w:val="12"/>
          <w:szCs w:val="12"/>
          <w:color w:val="auto"/>
        </w:rPr>
        <w:t>Beginning in June 2022, the stated interest rate escalated 1.0% biannually to the current rate of 12.5% per annum through maturity. The interest rate remained unchanged through the extended term. The convertible notes contain certain affirmative or negative covenants applicable to the Company, including, among other things, restrictions on repurchases of stock, dividends and other distributions.</w:t>
      </w:r>
    </w:p>
    <w:p>
      <w:pPr>
        <w:spacing w:after="0" w:line="83" w:lineRule="exact"/>
        <w:rPr>
          <w:sz w:val="20"/>
          <w:szCs w:val="20"/>
          <w:color w:val="auto"/>
        </w:rPr>
      </w:pPr>
    </w:p>
    <w:p>
      <w:pPr>
        <w:ind w:left="1520" w:right="1820" w:firstLine="230"/>
        <w:spacing w:after="0" w:line="312" w:lineRule="auto"/>
        <w:rPr>
          <w:sz w:val="20"/>
          <w:szCs w:val="20"/>
          <w:color w:val="auto"/>
        </w:rPr>
      </w:pPr>
      <w:r>
        <w:rPr>
          <w:rFonts w:ascii="Arial" w:cs="Arial" w:eastAsia="Arial" w:hAnsi="Arial"/>
          <w:sz w:val="12"/>
          <w:szCs w:val="12"/>
          <w:color w:val="auto"/>
        </w:rPr>
        <w:t>The convertible notes also contain embedded features, including conversion options that are exercisable upon the occurrence of various contingencies. The conversion options involve a discount to</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F-64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ind w:left="1520" w:right="1640"/>
        <w:spacing w:after="0" w:line="272" w:lineRule="auto"/>
        <w:rPr>
          <w:sz w:val="20"/>
          <w:szCs w:val="20"/>
          <w:color w:val="auto"/>
        </w:rPr>
      </w:pPr>
      <w:r>
        <w:rPr>
          <w:rFonts w:ascii="Arial" w:cs="Arial" w:eastAsia="Arial" w:hAnsi="Arial"/>
          <w:sz w:val="12"/>
          <w:szCs w:val="12"/>
          <w:color w:val="auto"/>
        </w:rPr>
        <w:t>the conversion price ranging from 20% to 35% that increases with the passage of time. The share-settled redemption features of the convertible notes represent embedded derivatives requiring bifurcation. We recorded the initial fair value of the embedded derivative liability of $43.1 million as a discount on the convertible notes’ face amount. Refer to Note 3 — Fair Value Measurements for additional detail regarding the embedded derivative liability. The debt discount is amortized to interest expense at an effective interest rate of 13.5% through the extended maturity date. If no conversion or settlement event is triggered prior to the notes’ maturity, the convertible notes will be redeemed at a 12.5% internal rate of return (“IRR”). The 12.5% IRR payout at maturity is incorporated into the effective interest rate calculation.</w:t>
      </w:r>
    </w:p>
    <w:p>
      <w:pPr>
        <w:spacing w:after="0" w:line="88" w:lineRule="exact"/>
        <w:rPr>
          <w:sz w:val="20"/>
          <w:szCs w:val="20"/>
          <w:color w:val="auto"/>
        </w:rPr>
      </w:pPr>
    </w:p>
    <w:p>
      <w:pPr>
        <w:ind w:left="1520" w:right="1700" w:firstLine="230"/>
        <w:spacing w:after="0" w:line="289" w:lineRule="auto"/>
        <w:rPr>
          <w:sz w:val="20"/>
          <w:szCs w:val="20"/>
          <w:color w:val="auto"/>
        </w:rPr>
      </w:pPr>
      <w:r>
        <w:rPr>
          <w:rFonts w:ascii="Arial" w:cs="Arial" w:eastAsia="Arial" w:hAnsi="Arial"/>
          <w:sz w:val="12"/>
          <w:szCs w:val="12"/>
          <w:color w:val="auto"/>
        </w:rPr>
        <w:t>The convertible notes are presented within convertible notes and SAFEs on the condensed consolidated balance sheets at their original issuance value plus PIK interest, net of the unamortized debt discount and issuance costs, and are not marked to fair value at each reporting period.</w:t>
      </w:r>
    </w:p>
    <w:p>
      <w:pPr>
        <w:spacing w:after="0" w:line="76"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The net carrying amount of the convertible notes was as follows (in thousands):</w:t>
      </w:r>
    </w:p>
    <w:p>
      <w:pPr>
        <w:spacing w:after="0" w:line="168"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4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restart"/>
          </w:tcPr>
          <w:p>
            <w:pPr>
              <w:jc w:val="right"/>
              <w:ind w:right="21"/>
              <w:spacing w:after="0"/>
              <w:rPr>
                <w:sz w:val="20"/>
                <w:szCs w:val="20"/>
                <w:color w:val="auto"/>
              </w:rPr>
            </w:pPr>
            <w:r>
              <w:rPr>
                <w:rFonts w:ascii="Arial" w:cs="Arial" w:eastAsia="Arial" w:hAnsi="Arial"/>
                <w:sz w:val="11"/>
                <w:szCs w:val="11"/>
                <w:b w:val="1"/>
                <w:bCs w:val="1"/>
                <w:color w:val="auto"/>
                <w:w w:val="94"/>
              </w:rPr>
              <w:t>July 31, 2025</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jc w:val="right"/>
              <w:ind w:right="61"/>
              <w:spacing w:after="0" w:line="86" w:lineRule="exact"/>
              <w:rPr>
                <w:sz w:val="20"/>
                <w:szCs w:val="20"/>
                <w:color w:val="auto"/>
              </w:rPr>
            </w:pPr>
            <w:r>
              <w:rPr>
                <w:rFonts w:ascii="Arial" w:cs="Arial" w:eastAsia="Arial" w:hAnsi="Arial"/>
                <w:sz w:val="9"/>
                <w:szCs w:val="9"/>
                <w:b w:val="1"/>
                <w:bCs w:val="1"/>
                <w:color w:val="auto"/>
              </w:rPr>
              <w:t>January 31,</w:t>
            </w:r>
          </w:p>
        </w:tc>
        <w:tc>
          <w:tcPr>
            <w:tcW w:w="0" w:type="dxa"/>
            <w:vAlign w:val="bottom"/>
          </w:tcPr>
          <w:p>
            <w:pPr>
              <w:spacing w:after="0"/>
              <w:rPr>
                <w:sz w:val="1"/>
                <w:szCs w:val="1"/>
                <w:color w:val="auto"/>
              </w:rPr>
            </w:pPr>
          </w:p>
        </w:tc>
      </w:tr>
      <w:tr>
        <w:trPr>
          <w:trHeight w:val="153"/>
        </w:trPr>
        <w:tc>
          <w:tcPr>
            <w:tcW w:w="4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72"/>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Principal</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125,000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125,000</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Unamortized debt discount </w:t>
            </w:r>
            <w:r>
              <w:rPr>
                <w:rFonts w:ascii="Times New Roman" w:cs="Times New Roman" w:eastAsia="Times New Roman" w:hAnsi="Times New Roman"/>
                <w:sz w:val="12"/>
                <w:szCs w:val="12"/>
                <w:color w:val="B4B4B4"/>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(6,638)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(7,456)</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Unamortized debt issuance costs </w:t>
            </w:r>
            <w:r>
              <w:rPr>
                <w:rFonts w:ascii="Times New Roman" w:cs="Times New Roman" w:eastAsia="Times New Roman" w:hAnsi="Times New Roman"/>
                <w:sz w:val="12"/>
                <w:szCs w:val="12"/>
                <w:color w:val="B4B4B4"/>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(443)</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(498)</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PIK interest added to principal balance </w:t>
            </w:r>
            <w:r>
              <w:rPr>
                <w:rFonts w:ascii="Times New Roman" w:cs="Times New Roman" w:eastAsia="Times New Roman" w:hAnsi="Times New Roman"/>
                <w:sz w:val="12"/>
                <w:szCs w:val="12"/>
                <w:color w:val="B4B4B4"/>
              </w:rPr>
              <w:t>...............................................................</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77,244</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65,348</w:t>
            </w:r>
          </w:p>
        </w:tc>
        <w:tc>
          <w:tcPr>
            <w:tcW w:w="0" w:type="dxa"/>
            <w:vAlign w:val="bottom"/>
          </w:tcPr>
          <w:p>
            <w:pPr>
              <w:spacing w:after="0"/>
              <w:rPr>
                <w:sz w:val="1"/>
                <w:szCs w:val="1"/>
                <w:color w:val="auto"/>
              </w:rPr>
            </w:pPr>
          </w:p>
        </w:tc>
      </w:tr>
      <w:tr>
        <w:trPr>
          <w:trHeight w:val="170"/>
        </w:trPr>
        <w:tc>
          <w:tcPr>
            <w:tcW w:w="4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Netcarryingamount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195,163</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182,394</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Interest expense related to the convertible notes was as follows (in thousands):</w:t>
      </w:r>
    </w:p>
    <w:p>
      <w:pPr>
        <w:spacing w:after="0" w:line="147"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4"/>
          </w:tcPr>
          <w:p>
            <w:pPr>
              <w:ind w:left="6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restart"/>
          </w:tcPr>
          <w:p>
            <w:pPr>
              <w:jc w:val="right"/>
              <w:ind w:right="24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Amortizationofdebtdiscount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818</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4,608</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Amortization of debt issuance costs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Arial" w:cs="Arial" w:eastAsia="Arial" w:hAnsi="Arial"/>
                <w:sz w:val="12"/>
                <w:szCs w:val="12"/>
                <w:color w:val="auto"/>
              </w:rPr>
              <w:t>55</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308</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PIK interest </w:t>
            </w:r>
            <w:r>
              <w:rPr>
                <w:rFonts w:ascii="Times New Roman" w:cs="Times New Roman" w:eastAsia="Times New Roman" w:hAnsi="Times New Roman"/>
                <w:sz w:val="12"/>
                <w:szCs w:val="12"/>
                <w:color w:val="B4B4B4"/>
              </w:rPr>
              <w:t>...............................................................................................................</w:t>
            </w: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11,897</w:t>
            </w: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9,977</w:t>
            </w:r>
          </w:p>
        </w:tc>
        <w:tc>
          <w:tcPr>
            <w:tcW w:w="0" w:type="dxa"/>
            <w:vAlign w:val="bottom"/>
          </w:tcPr>
          <w:p>
            <w:pPr>
              <w:spacing w:after="0"/>
              <w:rPr>
                <w:sz w:val="1"/>
                <w:szCs w:val="1"/>
                <w:color w:val="auto"/>
              </w:rPr>
            </w:pPr>
          </w:p>
        </w:tc>
      </w:tr>
      <w:tr>
        <w:trPr>
          <w:trHeight w:val="143"/>
        </w:trPr>
        <w:tc>
          <w:tcPr>
            <w:tcW w:w="4260" w:type="dxa"/>
            <w:vAlign w:val="bottom"/>
          </w:tcPr>
          <w:p>
            <w:pPr>
              <w:ind w:left="18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Totalnon-cashinterestexpense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12,770</w:t>
            </w:r>
          </w:p>
        </w:tc>
        <w:tc>
          <w:tcPr>
            <w:tcW w:w="40" w:type="dxa"/>
            <w:vAlign w:val="bottom"/>
          </w:tcPr>
          <w:p>
            <w:pPr>
              <w:spacing w:after="0"/>
              <w:rPr>
                <w:sz w:val="12"/>
                <w:szCs w:val="12"/>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14,893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SAFEs</w:t>
      </w:r>
    </w:p>
    <w:p>
      <w:pPr>
        <w:spacing w:after="0" w:line="128" w:lineRule="exact"/>
        <w:rPr>
          <w:sz w:val="20"/>
          <w:szCs w:val="20"/>
          <w:color w:val="auto"/>
        </w:rPr>
      </w:pPr>
    </w:p>
    <w:p>
      <w:pPr>
        <w:ind w:left="1520" w:right="1680" w:firstLine="230"/>
        <w:spacing w:after="0" w:line="305" w:lineRule="auto"/>
        <w:rPr>
          <w:sz w:val="20"/>
          <w:szCs w:val="20"/>
          <w:color w:val="auto"/>
        </w:rPr>
      </w:pPr>
      <w:r>
        <w:rPr>
          <w:rFonts w:ascii="Arial" w:cs="Arial" w:eastAsia="Arial" w:hAnsi="Arial"/>
          <w:sz w:val="12"/>
          <w:szCs w:val="12"/>
          <w:color w:val="auto"/>
        </w:rPr>
        <w:t>During the six months ended July 31, 2025 , we entered into SAFEs with multiple investors in exchange for cash proceeds (the “Purchase Amount”) of $155.0 million , with an interest rate of 12% per annum.</w:t>
      </w:r>
    </w:p>
    <w:p>
      <w:pPr>
        <w:spacing w:after="0" w:line="223" w:lineRule="exact"/>
        <w:rPr>
          <w:sz w:val="20"/>
          <w:szCs w:val="20"/>
          <w:color w:val="auto"/>
        </w:rPr>
      </w:pPr>
    </w:p>
    <w:p>
      <w:pPr>
        <w:ind w:left="1520" w:right="1720" w:firstLine="230"/>
        <w:spacing w:after="0" w:line="277" w:lineRule="auto"/>
        <w:rPr>
          <w:sz w:val="20"/>
          <w:szCs w:val="20"/>
          <w:color w:val="auto"/>
        </w:rPr>
      </w:pPr>
      <w:r>
        <w:rPr>
          <w:rFonts w:ascii="Arial" w:cs="Arial" w:eastAsia="Arial" w:hAnsi="Arial"/>
          <w:sz w:val="12"/>
          <w:szCs w:val="12"/>
          <w:color w:val="auto"/>
        </w:rPr>
        <w:t>The SAFEs provide for conversion or repayment depending on the nature of the triggering event. In a qualified equity financing or a liquidity event, such as a qualifying initial public offering, direct listing, or reverse merger, the outstanding Purchase Amount plus accrued interest converts into equity at a 15% discount to the price paid by new investors. In a qualified equity financing, the SAFEs convert into preferred stock, while in a liquidity event, they convert into common stock.</w:t>
      </w:r>
    </w:p>
    <w:p>
      <w:pPr>
        <w:spacing w:after="0" w:line="84" w:lineRule="exact"/>
        <w:rPr>
          <w:sz w:val="20"/>
          <w:szCs w:val="20"/>
          <w:color w:val="auto"/>
        </w:rPr>
      </w:pPr>
    </w:p>
    <w:p>
      <w:pPr>
        <w:ind w:left="1520" w:right="1980" w:firstLine="230"/>
        <w:spacing w:after="0" w:line="312" w:lineRule="auto"/>
        <w:rPr>
          <w:sz w:val="20"/>
          <w:szCs w:val="20"/>
          <w:color w:val="auto"/>
        </w:rPr>
      </w:pPr>
      <w:r>
        <w:rPr>
          <w:rFonts w:ascii="Arial" w:cs="Arial" w:eastAsia="Arial" w:hAnsi="Arial"/>
          <w:sz w:val="12"/>
          <w:szCs w:val="12"/>
          <w:color w:val="auto"/>
        </w:rPr>
        <w:t>If a deemed liquidation event occurs, including a change of control or dissolution, the SAFEs are automatically repaid in the same form of proceeds offered to other security holders.</w:t>
      </w:r>
    </w:p>
    <w:p>
      <w:pPr>
        <w:spacing w:after="0" w:line="62" w:lineRule="exact"/>
        <w:rPr>
          <w:sz w:val="20"/>
          <w:szCs w:val="20"/>
          <w:color w:val="auto"/>
        </w:rPr>
      </w:pPr>
    </w:p>
    <w:p>
      <w:pPr>
        <w:ind w:left="1520" w:right="1760" w:firstLine="230"/>
        <w:spacing w:after="0" w:line="276" w:lineRule="auto"/>
        <w:rPr>
          <w:sz w:val="20"/>
          <w:szCs w:val="20"/>
          <w:color w:val="auto"/>
        </w:rPr>
      </w:pPr>
      <w:r>
        <w:rPr>
          <w:rFonts w:ascii="Arial" w:cs="Arial" w:eastAsia="Arial" w:hAnsi="Arial"/>
          <w:sz w:val="12"/>
          <w:szCs w:val="12"/>
          <w:color w:val="auto"/>
        </w:rPr>
        <w:t>If none of these events occur within 36 months of issuance, the investors may elect to convert the outstanding Purchase Amount plus accrued interest into the then most senior series of preferred stock at a 15% discount to the fair market value per share. Upon a deemed liquidation event, the SAFEs operate like non-participating preferred stock. The investors’ rights are junior to outstanding indebtedness and creditor claims, and are on par with other SAFEs and the most senior series of preferred stock then outstanding.</w:t>
      </w:r>
    </w:p>
    <w:p>
      <w:pPr>
        <w:sectPr>
          <w:pgSz w:w="11900" w:h="16840" w:orient="portrait"/>
          <w:cols w:equalWidth="0" w:num="1">
            <w:col w:w="9020"/>
          </w:cols>
          <w:pgMar w:left="1440" w:top="539" w:right="1440" w:bottom="25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F-65</w:t>
      </w:r>
    </w:p>
    <w:p>
      <w:pPr>
        <w:sectPr>
          <w:pgSz w:w="11900" w:h="16840" w:orient="portrait"/>
          <w:cols w:equalWidth="0" w:num="1">
            <w:col w:w="9020"/>
          </w:cols>
          <w:pgMar w:left="1440" w:top="539" w:right="1440" w:bottom="250" w:gutter="0" w:footer="0" w:header="0"/>
          <w:type w:val="continuous"/>
        </w:sectPr>
      </w:pPr>
    </w:p>
    <w:bookmarkStart w:id="203" w:name="page204"/>
    <w:bookmarkEnd w:id="203"/>
    <w:p>
      <w:pPr>
        <w:jc w:val="center"/>
        <w:ind w:right="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ind w:left="1520" w:right="1980" w:firstLine="230"/>
        <w:spacing w:after="0" w:line="312" w:lineRule="auto"/>
        <w:rPr>
          <w:sz w:val="20"/>
          <w:szCs w:val="20"/>
          <w:color w:val="auto"/>
        </w:rPr>
      </w:pPr>
      <w:r>
        <w:rPr>
          <w:rFonts w:ascii="Arial" w:cs="Arial" w:eastAsia="Arial" w:hAnsi="Arial"/>
          <w:sz w:val="12"/>
          <w:szCs w:val="12"/>
          <w:color w:val="auto"/>
        </w:rPr>
        <w:t>We issued common stock warrants to investors together with the SAFEs. Refer to Note 3 — Fair Value for further information regarding the common stock warrants.</w:t>
      </w:r>
    </w:p>
    <w:p>
      <w:pPr>
        <w:spacing w:after="0" w:line="62" w:lineRule="exact"/>
        <w:rPr>
          <w:sz w:val="20"/>
          <w:szCs w:val="20"/>
          <w:color w:val="auto"/>
        </w:rPr>
      </w:pPr>
    </w:p>
    <w:p>
      <w:pPr>
        <w:ind w:left="1520" w:right="1720" w:firstLine="230"/>
        <w:spacing w:after="0" w:line="289" w:lineRule="auto"/>
        <w:rPr>
          <w:sz w:val="20"/>
          <w:szCs w:val="20"/>
          <w:color w:val="auto"/>
        </w:rPr>
      </w:pPr>
      <w:r>
        <w:rPr>
          <w:rFonts w:ascii="Arial" w:cs="Arial" w:eastAsia="Arial" w:hAnsi="Arial"/>
          <w:sz w:val="12"/>
          <w:szCs w:val="12"/>
          <w:color w:val="auto"/>
        </w:rPr>
        <w:t>We incurred debt issuance costs of $2.9 million in connection with the issuance of the SAFEs and common stock warrants, which were expensed when incurred and are presented within other income, net in the accompanying condensed consolidated statements of operations.</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Warehouse Credit Facility</w:t>
      </w:r>
    </w:p>
    <w:p>
      <w:pPr>
        <w:spacing w:after="0" w:line="128" w:lineRule="exact"/>
        <w:rPr>
          <w:sz w:val="20"/>
          <w:szCs w:val="20"/>
          <w:color w:val="auto"/>
        </w:rPr>
      </w:pPr>
    </w:p>
    <w:p>
      <w:pPr>
        <w:ind w:left="1520" w:right="1780" w:firstLine="230"/>
        <w:spacing w:after="0" w:line="270" w:lineRule="auto"/>
        <w:rPr>
          <w:sz w:val="20"/>
          <w:szCs w:val="20"/>
          <w:color w:val="auto"/>
        </w:rPr>
      </w:pPr>
      <w:r>
        <w:rPr>
          <w:rFonts w:ascii="Arial" w:cs="Arial" w:eastAsia="Arial" w:hAnsi="Arial"/>
          <w:sz w:val="12"/>
          <w:szCs w:val="12"/>
          <w:color w:val="auto"/>
        </w:rPr>
        <w:t>In November 2022 , Liquid Labs SPV, LLC (“Liquid Labs”), a wholly-owned subsidiary of the Company, entered into a loan agreement with a group of lenders for a revolving warehouse credit facility (“Warehouse Credit Facility”). Under the original terms of the agreement, the Warehouse Credit Facility had a maturity date of February 18, 2025 , or earlier pursuant to the loan agreement, and had a total commitment amount of $200.0 million , consisting of a Class A facility and a Class B facility for $171.1 million and $28.9 million , respectively. The Warehouse Credit Facility was established to finance the Company’s corporate payments offering. Borrowings on the Warehouse Credit Facility bear interest at a floating rate based on SOFR plus an applicable margin, as defined by the loan agreement. The Warehouse Credit Facility has a minimum utilization of 50% of the committed amount, and any unused portion of the Warehouse Credit Facility will bear interest at 0.5% per annum. Borrowings under the Warehouse Credit Facility are secured by the corporate card receivables.</w:t>
      </w:r>
    </w:p>
    <w:p>
      <w:pPr>
        <w:spacing w:after="0" w:line="91" w:lineRule="exact"/>
        <w:rPr>
          <w:sz w:val="20"/>
          <w:szCs w:val="20"/>
          <w:color w:val="auto"/>
        </w:rPr>
      </w:pPr>
    </w:p>
    <w:p>
      <w:pPr>
        <w:ind w:left="1520" w:right="1620" w:firstLine="230"/>
        <w:spacing w:after="0" w:line="281" w:lineRule="auto"/>
        <w:rPr>
          <w:sz w:val="20"/>
          <w:szCs w:val="20"/>
          <w:color w:val="auto"/>
        </w:rPr>
      </w:pPr>
      <w:r>
        <w:rPr>
          <w:rFonts w:ascii="Arial" w:cs="Arial" w:eastAsia="Arial" w:hAnsi="Arial"/>
          <w:sz w:val="12"/>
          <w:szCs w:val="12"/>
          <w:color w:val="auto"/>
        </w:rPr>
        <w:t>The Warehouse Credit Facility has been amended multiple times over the term to change the borrowing capacity and maturity date. In April 2025, we executed an amendment to extend the term of the Warehouse Credit Facility through February 18, 2028 . As of July 31, 2025 , the borrowing capacity under the Warehouse Credit Facility is $250.0 million .</w:t>
      </w:r>
    </w:p>
    <w:p>
      <w:pPr>
        <w:spacing w:after="0" w:line="81" w:lineRule="exact"/>
        <w:rPr>
          <w:sz w:val="20"/>
          <w:szCs w:val="20"/>
          <w:color w:val="auto"/>
        </w:rPr>
      </w:pPr>
    </w:p>
    <w:p>
      <w:pPr>
        <w:ind w:left="1520" w:right="1560" w:firstLine="230"/>
        <w:spacing w:after="0" w:line="277" w:lineRule="auto"/>
        <w:rPr>
          <w:sz w:val="20"/>
          <w:szCs w:val="20"/>
          <w:color w:val="auto"/>
        </w:rPr>
      </w:pPr>
      <w:r>
        <w:rPr>
          <w:rFonts w:ascii="Arial" w:cs="Arial" w:eastAsia="Arial" w:hAnsi="Arial"/>
          <w:sz w:val="12"/>
          <w:szCs w:val="12"/>
          <w:color w:val="auto"/>
        </w:rPr>
        <w:t xml:space="preserve">The Warehouse Credit Facility contains mandatory and optional redemption features upon an event of default and other potential additional interest provisions that are bifurcated and treated as embedded derivative liabilities under the accounting guidance ASC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xml:space="preserve"> . At inception of the Warehouse Credit Facility, and as of July 31, 2025 , the fair value of the embedded derivative liabilities was determined to be immaterial.</w:t>
      </w:r>
    </w:p>
    <w:p>
      <w:pPr>
        <w:spacing w:after="0" w:line="84" w:lineRule="exact"/>
        <w:rPr>
          <w:sz w:val="20"/>
          <w:szCs w:val="20"/>
          <w:color w:val="auto"/>
        </w:rPr>
      </w:pPr>
    </w:p>
    <w:p>
      <w:pPr>
        <w:ind w:left="1520" w:right="1660" w:firstLine="230"/>
        <w:spacing w:after="0" w:line="275" w:lineRule="auto"/>
        <w:rPr>
          <w:sz w:val="20"/>
          <w:szCs w:val="20"/>
          <w:color w:val="auto"/>
        </w:rPr>
      </w:pPr>
      <w:r>
        <w:rPr>
          <w:rFonts w:ascii="Arial" w:cs="Arial" w:eastAsia="Arial" w:hAnsi="Arial"/>
          <w:sz w:val="12"/>
          <w:szCs w:val="12"/>
          <w:color w:val="auto"/>
        </w:rPr>
        <w:t>We incurred upfront commitment fees of $2.0 million for the Warehouse Credit Facility when the agreement was executed, an incremental $1.4 million upon the execution of various amendments in the year ended January 31, 2025 , and an incremental $2.8 million upon the extension of the Warehouse Credit Facility during the six months ended July 31, 2025 . These upfront commitment fees were recorded as a deferred cost asset on the balance sheet and are amortized on a straight-line basis as incremental interest expense.</w:t>
      </w:r>
    </w:p>
    <w:p>
      <w:pPr>
        <w:spacing w:after="0" w:line="85" w:lineRule="exact"/>
        <w:rPr>
          <w:sz w:val="20"/>
          <w:szCs w:val="20"/>
          <w:color w:val="auto"/>
        </w:rPr>
      </w:pPr>
    </w:p>
    <w:p>
      <w:pPr>
        <w:ind w:left="1520" w:right="1660" w:firstLine="230"/>
        <w:spacing w:after="0" w:line="281" w:lineRule="auto"/>
        <w:rPr>
          <w:sz w:val="20"/>
          <w:szCs w:val="20"/>
          <w:color w:val="auto"/>
        </w:rPr>
      </w:pPr>
      <w:r>
        <w:rPr>
          <w:rFonts w:ascii="Arial" w:cs="Arial" w:eastAsia="Arial" w:hAnsi="Arial"/>
          <w:sz w:val="12"/>
          <w:szCs w:val="12"/>
          <w:color w:val="auto"/>
        </w:rPr>
        <w:t>During the six months ended July 31, 2025 and 2024, we drew down an aggregate of $15.0 million and $37.8 million , respectively. During the six months ended July 31, 2025 and 2024, we repaid $81.1 million and $0.0 million of the Warehouse Credit Facility, respectively. The amounts outstanding under the Warehouse Credit Facility are payable in February 2028 .</w:t>
      </w:r>
    </w:p>
    <w:p>
      <w:pPr>
        <w:spacing w:after="0" w:line="81" w:lineRule="exact"/>
        <w:rPr>
          <w:sz w:val="20"/>
          <w:szCs w:val="20"/>
          <w:color w:val="auto"/>
        </w:rPr>
      </w:pPr>
    </w:p>
    <w:p>
      <w:pPr>
        <w:ind w:left="1520" w:right="1600" w:firstLine="230"/>
        <w:spacing w:after="0" w:line="286" w:lineRule="auto"/>
        <w:rPr>
          <w:sz w:val="20"/>
          <w:szCs w:val="20"/>
          <w:color w:val="auto"/>
        </w:rPr>
      </w:pPr>
      <w:r>
        <w:rPr>
          <w:rFonts w:ascii="Arial" w:cs="Arial" w:eastAsia="Arial" w:hAnsi="Arial"/>
          <w:sz w:val="12"/>
          <w:szCs w:val="12"/>
          <w:color w:val="auto"/>
        </w:rPr>
        <w:t>During the six months ended July 31, 2025 and 2024, we recognized $8.8 million and $11.4 million , respectively, of interest expense, comprised of $8.1 million and $10.7 million , respectively, of interest paid and payable, and $0.7 million and $0.7 million, respectively, interest for the amortization of debt issuance costs.</w:t>
      </w:r>
    </w:p>
    <w:p>
      <w:pPr>
        <w:spacing w:after="0" w:line="234" w:lineRule="exact"/>
        <w:rPr>
          <w:sz w:val="20"/>
          <w:szCs w:val="20"/>
          <w:color w:val="auto"/>
        </w:rPr>
      </w:pPr>
    </w:p>
    <w:p>
      <w:pPr>
        <w:ind w:left="1520" w:right="1840" w:firstLine="230"/>
        <w:spacing w:after="0" w:line="312" w:lineRule="auto"/>
        <w:rPr>
          <w:sz w:val="20"/>
          <w:szCs w:val="20"/>
          <w:color w:val="auto"/>
        </w:rPr>
      </w:pPr>
      <w:r>
        <w:rPr>
          <w:rFonts w:ascii="Arial" w:cs="Arial" w:eastAsia="Arial" w:hAnsi="Arial"/>
          <w:sz w:val="12"/>
          <w:szCs w:val="12"/>
          <w:color w:val="auto"/>
        </w:rPr>
        <w:t>As of July 31, 2025 and January 31, 2025, we remain in compliance with the covenants of the loan agreement.</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Vista Facility</w:t>
      </w:r>
    </w:p>
    <w:p>
      <w:pPr>
        <w:spacing w:after="0" w:line="128" w:lineRule="exact"/>
        <w:rPr>
          <w:sz w:val="20"/>
          <w:szCs w:val="20"/>
          <w:color w:val="auto"/>
        </w:rPr>
      </w:pPr>
    </w:p>
    <w:p>
      <w:pPr>
        <w:ind w:left="1520" w:right="1860" w:firstLine="230"/>
        <w:spacing w:after="0" w:line="312" w:lineRule="auto"/>
        <w:rPr>
          <w:sz w:val="20"/>
          <w:szCs w:val="20"/>
          <w:color w:val="auto"/>
        </w:rPr>
      </w:pPr>
      <w:r>
        <w:rPr>
          <w:rFonts w:ascii="Arial" w:cs="Arial" w:eastAsia="Arial" w:hAnsi="Arial"/>
          <w:sz w:val="12"/>
          <w:szCs w:val="12"/>
          <w:color w:val="auto"/>
        </w:rPr>
        <w:t>In February 2025, we entered into a credit agreement with VCP Capital Markets, LLC, under which we issued term loans to lenders in exchange for proceeds of $130.0 million , which mature on</w:t>
      </w: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F-66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ind w:left="1520" w:right="1720"/>
        <w:spacing w:after="0" w:line="271" w:lineRule="auto"/>
        <w:rPr>
          <w:sz w:val="20"/>
          <w:szCs w:val="20"/>
          <w:color w:val="auto"/>
        </w:rPr>
      </w:pPr>
      <w:r>
        <w:rPr>
          <w:rFonts w:ascii="Arial" w:cs="Arial" w:eastAsia="Arial" w:hAnsi="Arial"/>
          <w:sz w:val="12"/>
          <w:szCs w:val="12"/>
          <w:color w:val="auto"/>
        </w:rPr>
        <w:t>February 24, 2030 (the “Vista Facility”). In connection with the Vista Facility, we issued warrants covering 486,588 shares of common stock. The principal amount accrues cash interest at a floating rate based on SOFR plus 5%, and PIK interest of 1.5% . Interest is payable every three months in arrears, and PIK interest is added to the principal balance and compounded every three months. We may prepay the Vista Facility at any time, in whole or in part, prior to the maturity date. Prepayment is required upon certain qualified indebtedness, asset sales, or recovery events. Upon both optional and mandatory prepayments, we are required to pay a prepayment premium of (i) 3.0% of the principal amount prior to the first anniversary of the closing date, and (ii) 1.5% of the principal amount on or after the first anniversary but prior to the second anniversary of the closing date. We may prepay the Vista Facility in connection with a qualified IPO without incurring a prepayment penalty. The Vista Facility is senior secured debt.</w:t>
      </w:r>
    </w:p>
    <w:p>
      <w:pPr>
        <w:spacing w:after="0" w:line="88" w:lineRule="exact"/>
        <w:rPr>
          <w:sz w:val="20"/>
          <w:szCs w:val="20"/>
          <w:color w:val="auto"/>
        </w:rPr>
      </w:pPr>
    </w:p>
    <w:p>
      <w:pPr>
        <w:ind w:left="1520" w:right="1800" w:firstLine="230"/>
        <w:spacing w:after="0" w:line="277" w:lineRule="auto"/>
        <w:rPr>
          <w:sz w:val="20"/>
          <w:szCs w:val="20"/>
          <w:color w:val="auto"/>
        </w:rPr>
      </w:pPr>
      <w:r>
        <w:rPr>
          <w:rFonts w:ascii="Arial" w:cs="Arial" w:eastAsia="Arial" w:hAnsi="Arial"/>
          <w:sz w:val="12"/>
          <w:szCs w:val="12"/>
          <w:color w:val="auto"/>
        </w:rPr>
        <w:t>Upon issuance of the Vista Facility, the common stock warrants had a fair value of $11.0 million which was recorded as a debt discount. We incurred $3.6 million of debt issuance costs, which were recorded as a reduction to the debt liability. The debt discount and debt issuance costs are amortized to interest expense at an effective interest rate of 12.8% over the term of the loan. The common stock warrants are recorded within the condensed consolidated balance sheets as additional paid-in capital.</w:t>
      </w:r>
    </w:p>
    <w:p>
      <w:pPr>
        <w:spacing w:after="0" w:line="84" w:lineRule="exact"/>
        <w:rPr>
          <w:sz w:val="20"/>
          <w:szCs w:val="20"/>
          <w:color w:val="auto"/>
        </w:rPr>
      </w:pPr>
    </w:p>
    <w:p>
      <w:pPr>
        <w:ind w:left="1520" w:right="2020" w:firstLine="230"/>
        <w:spacing w:after="0" w:line="312" w:lineRule="auto"/>
        <w:rPr>
          <w:sz w:val="20"/>
          <w:szCs w:val="20"/>
          <w:color w:val="auto"/>
        </w:rPr>
      </w:pPr>
      <w:r>
        <w:rPr>
          <w:rFonts w:ascii="Arial" w:cs="Arial" w:eastAsia="Arial" w:hAnsi="Arial"/>
          <w:sz w:val="12"/>
          <w:szCs w:val="12"/>
          <w:color w:val="auto"/>
        </w:rPr>
        <w:t>The Vista Facility is classified within notes payable, non-current on our condensed consolidated balance sheets.</w:t>
      </w:r>
    </w:p>
    <w:p>
      <w:pPr>
        <w:spacing w:after="0" w:line="62" w:lineRule="exact"/>
        <w:rPr>
          <w:sz w:val="20"/>
          <w:szCs w:val="20"/>
          <w:color w:val="auto"/>
        </w:rPr>
      </w:pPr>
    </w:p>
    <w:p>
      <w:pPr>
        <w:ind w:left="1520" w:right="1660" w:firstLine="230"/>
        <w:spacing w:after="0" w:line="281" w:lineRule="auto"/>
        <w:rPr>
          <w:sz w:val="20"/>
          <w:szCs w:val="20"/>
          <w:color w:val="auto"/>
        </w:rPr>
      </w:pPr>
      <w:r>
        <w:rPr>
          <w:rFonts w:ascii="Arial" w:cs="Arial" w:eastAsia="Arial" w:hAnsi="Arial"/>
          <w:sz w:val="12"/>
          <w:szCs w:val="12"/>
          <w:color w:val="auto"/>
        </w:rPr>
        <w:t>The Vista Facility contains certain affirmative or negative covenants including, among other things, restrictions on repurchases of stock, dividends and other distributions. As of July 31, 2025 , we remain in compliance with all covenants. The net carrying amount of the term loans issued under the Vista Facility was as follows (in thousands):</w:t>
      </w:r>
    </w:p>
    <w:p>
      <w:pPr>
        <w:spacing w:after="0" w:line="119" w:lineRule="exact"/>
        <w:rPr>
          <w:sz w:val="20"/>
          <w:szCs w:val="20"/>
          <w:color w:val="auto"/>
        </w:rPr>
      </w:pPr>
    </w:p>
    <w:tbl>
      <w:tblPr>
        <w:tblLayout w:type="fixed"/>
        <w:tblInd w:w="5880" w:type="dxa"/>
        <w:tblCellMar>
          <w:top w:w="0" w:type="dxa"/>
          <w:left w:w="0" w:type="dxa"/>
          <w:bottom w:w="0" w:type="dxa"/>
          <w:right w:w="0" w:type="dxa"/>
        </w:tblCellMar>
      </w:tblPr>
      <w:tr>
        <w:trPr>
          <w:trHeight w:val="143"/>
        </w:trPr>
        <w:tc>
          <w:tcPr>
            <w:tcW w:w="900" w:type="dxa"/>
            <w:vAlign w:val="bottom"/>
          </w:tcPr>
          <w:p>
            <w:pPr>
              <w:ind w:left="620"/>
              <w:spacing w:after="0"/>
              <w:rPr>
                <w:sz w:val="20"/>
                <w:szCs w:val="20"/>
                <w:color w:val="auto"/>
              </w:rPr>
            </w:pPr>
            <w:r>
              <w:rPr>
                <w:rFonts w:ascii="Arial" w:cs="Arial" w:eastAsia="Arial" w:hAnsi="Arial"/>
                <w:sz w:val="11"/>
                <w:szCs w:val="11"/>
                <w:b w:val="1"/>
                <w:bCs w:val="1"/>
                <w:color w:val="auto"/>
                <w:w w:val="94"/>
              </w:rPr>
              <w:t>As of</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900" w:type="dxa"/>
            <w:vAlign w:val="bottom"/>
            <w:vMerge w:val="restart"/>
          </w:tcPr>
          <w:p>
            <w:pPr>
              <w:spacing w:after="0"/>
              <w:rPr>
                <w:sz w:val="20"/>
                <w:szCs w:val="20"/>
                <w:color w:val="auto"/>
              </w:rPr>
            </w:pPr>
            <w:r>
              <w:rPr>
                <w:rFonts w:ascii="Arial" w:cs="Arial" w:eastAsia="Arial" w:hAnsi="Arial"/>
                <w:sz w:val="11"/>
                <w:szCs w:val="11"/>
                <w:b w:val="1"/>
                <w:bCs w:val="1"/>
                <w:color w:val="auto"/>
              </w:rPr>
              <w:t>July 31, 2025</w:t>
            </w:r>
          </w:p>
        </w:tc>
        <w:tc>
          <w:tcPr>
            <w:tcW w:w="6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5"/>
              </w:rPr>
              <w:t>January 31,</w:t>
            </w:r>
          </w:p>
        </w:tc>
        <w:tc>
          <w:tcPr>
            <w:tcW w:w="0" w:type="dxa"/>
            <w:vAlign w:val="bottom"/>
          </w:tcPr>
          <w:p>
            <w:pPr>
              <w:spacing w:after="0"/>
              <w:rPr>
                <w:sz w:val="1"/>
                <w:szCs w:val="1"/>
                <w:color w:val="auto"/>
              </w:rPr>
            </w:pPr>
          </w:p>
        </w:tc>
      </w:tr>
      <w:tr>
        <w:trPr>
          <w:trHeight w:val="143"/>
        </w:trPr>
        <w:tc>
          <w:tcPr>
            <w:tcW w:w="900" w:type="dxa"/>
            <w:vAlign w:val="bottom"/>
            <w:vMerge w:val="continue"/>
          </w:tcPr>
          <w:p>
            <w:pPr>
              <w:spacing w:after="0"/>
              <w:rPr>
                <w:sz w:val="12"/>
                <w:szCs w:val="12"/>
                <w:color w:val="auto"/>
              </w:rPr>
            </w:pPr>
          </w:p>
        </w:tc>
        <w:tc>
          <w:tcPr>
            <w:tcW w:w="600" w:type="dxa"/>
            <w:vAlign w:val="bottom"/>
          </w:tcPr>
          <w:p>
            <w:pPr>
              <w:jc w:val="right"/>
              <w:ind w:right="127"/>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bl>
    <w:p>
      <w:pPr>
        <w:sectPr>
          <w:pgSz w:w="11900" w:h="16840" w:orient="portrait"/>
          <w:cols w:equalWidth="0" w:num="1">
            <w:col w:w="9020"/>
          </w:cols>
          <w:pgMar w:left="1440" w:top="1115" w:right="1440" w:bottom="100" w:gutter="0" w:footer="0" w:header="0"/>
        </w:sectPr>
      </w:pPr>
    </w:p>
    <w:bookmarkStart w:id="204" w:name="page205"/>
    <w:bookmarkEnd w:id="204"/>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39"/>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Principal </w:t>
            </w:r>
            <w:r>
              <w:rPr>
                <w:rFonts w:ascii="Times New Roman" w:cs="Times New Roman" w:eastAsia="Times New Roman" w:hAnsi="Times New Roman"/>
                <w:sz w:val="12"/>
                <w:szCs w:val="12"/>
                <w:color w:val="B4B4B4"/>
              </w:rPr>
              <w:t>....................................................................................................................</w:t>
            </w:r>
          </w:p>
        </w:tc>
        <w:tc>
          <w:tcPr>
            <w:tcW w:w="2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130,000</w:t>
            </w:r>
          </w:p>
        </w:tc>
        <w:tc>
          <w:tcPr>
            <w:tcW w:w="4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460" w:type="dxa"/>
            <w:vAlign w:val="bottom"/>
          </w:tcPr>
          <w:p>
            <w:pPr>
              <w:ind w:left="280"/>
              <w:spacing w:after="0"/>
              <w:rPr>
                <w:sz w:val="20"/>
                <w:szCs w:val="20"/>
                <w:color w:val="auto"/>
              </w:rPr>
            </w:pPr>
            <w:r>
              <w:rPr>
                <w:rFonts w:ascii="Arial" w:cs="Arial" w:eastAsia="Arial" w:hAnsi="Arial"/>
                <w:sz w:val="12"/>
                <w:szCs w:val="12"/>
                <w:color w:val="auto"/>
              </w:rPr>
              <w:t>—</w:t>
            </w:r>
          </w:p>
        </w:tc>
      </w:tr>
      <w:tr>
        <w:trPr>
          <w:trHeight w:val="162"/>
        </w:trPr>
        <w:tc>
          <w:tcPr>
            <w:tcW w:w="426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Unamortizeddebtdiscount</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(10,336)</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ind w:left="280"/>
              <w:spacing w:after="0"/>
              <w:rPr>
                <w:sz w:val="20"/>
                <w:szCs w:val="20"/>
                <w:color w:val="auto"/>
              </w:rPr>
            </w:pPr>
            <w:r>
              <w:rPr>
                <w:rFonts w:ascii="Arial" w:cs="Arial" w:eastAsia="Arial" w:hAnsi="Arial"/>
                <w:sz w:val="12"/>
                <w:szCs w:val="12"/>
                <w:color w:val="auto"/>
              </w:rPr>
              <w:t>—</w:t>
            </w:r>
          </w:p>
        </w:tc>
      </w:tr>
      <w:tr>
        <w:trPr>
          <w:trHeight w:val="144"/>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Unamortized debt issuance costs </w:t>
            </w:r>
            <w:r>
              <w:rPr>
                <w:rFonts w:ascii="Times New Roman" w:cs="Times New Roman" w:eastAsia="Times New Roman" w:hAnsi="Times New Roman"/>
                <w:sz w:val="12"/>
                <w:szCs w:val="12"/>
                <w:color w:val="B4B4B4"/>
              </w:rPr>
              <w:t>........................................................................</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(3,417)</w:t>
            </w:r>
          </w:p>
        </w:tc>
        <w:tc>
          <w:tcPr>
            <w:tcW w:w="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auto"/>
              </w:rPr>
              <w:t>—</w:t>
            </w:r>
          </w:p>
        </w:tc>
      </w:tr>
      <w:tr>
        <w:trPr>
          <w:trHeight w:val="162"/>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PIK interest added to principal balance </w:t>
            </w:r>
            <w:r>
              <w:rPr>
                <w:rFonts w:ascii="Times New Roman" w:cs="Times New Roman" w:eastAsia="Times New Roman" w:hAnsi="Times New Roman"/>
                <w:sz w:val="12"/>
                <w:szCs w:val="12"/>
                <w:color w:val="B4B4B4"/>
              </w:rPr>
              <w:t>...............................................................</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853</w:t>
            </w: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r>
      <w:tr>
        <w:trPr>
          <w:trHeight w:val="182"/>
        </w:trPr>
        <w:tc>
          <w:tcPr>
            <w:tcW w:w="4260" w:type="dxa"/>
            <w:vAlign w:val="bottom"/>
          </w:tcPr>
          <w:p>
            <w:pPr>
              <w:jc w:val="right"/>
              <w:ind w:right="38"/>
              <w:spacing w:after="0"/>
              <w:rPr>
                <w:sz w:val="20"/>
                <w:szCs w:val="20"/>
                <w:color w:val="auto"/>
              </w:rPr>
            </w:pPr>
            <w:r>
              <w:rPr>
                <w:rFonts w:ascii="Arial" w:cs="Arial" w:eastAsia="Arial" w:hAnsi="Arial"/>
                <w:sz w:val="12"/>
                <w:szCs w:val="12"/>
                <w:color w:val="auto"/>
              </w:rPr>
              <w:t xml:space="preserve">Net carrying amount </w:t>
            </w:r>
            <w:r>
              <w:rPr>
                <w:rFonts w:ascii="Times New Roman" w:cs="Times New Roman" w:eastAsia="Times New Roman" w:hAnsi="Times New Roman"/>
                <w:sz w:val="12"/>
                <w:szCs w:val="12"/>
                <w:color w:val="B4B4B4"/>
              </w:rPr>
              <w:t>..........................................................................................</w:t>
            </w:r>
          </w:p>
        </w:tc>
        <w:tc>
          <w:tcPr>
            <w:tcW w:w="2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117,100</w:t>
            </w:r>
          </w:p>
        </w:tc>
        <w:tc>
          <w:tcPr>
            <w:tcW w:w="4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460" w:type="dxa"/>
            <w:vAlign w:val="bottom"/>
          </w:tcPr>
          <w:p>
            <w:pPr>
              <w:ind w:left="280"/>
              <w:spacing w:after="0"/>
              <w:rPr>
                <w:sz w:val="20"/>
                <w:szCs w:val="20"/>
                <w:color w:val="auto"/>
              </w:rPr>
            </w:pPr>
            <w:r>
              <w:rPr>
                <w:rFonts w:ascii="Arial" w:cs="Arial" w:eastAsia="Arial" w:hAnsi="Arial"/>
                <w:sz w:val="12"/>
                <w:szCs w:val="12"/>
                <w:color w:val="auto"/>
              </w:rPr>
              <w:t>—</w:t>
            </w:r>
          </w:p>
        </w:tc>
      </w:tr>
      <w:tr>
        <w:trPr>
          <w:trHeight w:val="182"/>
        </w:trPr>
        <w:tc>
          <w:tcPr>
            <w:tcW w:w="4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-612775</wp:posOffset>
            </wp:positionV>
            <wp:extent cx="6732270" cy="99707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760"/>
        <w:spacing w:after="0"/>
        <w:rPr>
          <w:sz w:val="20"/>
          <w:szCs w:val="20"/>
          <w:color w:val="auto"/>
        </w:rPr>
      </w:pPr>
      <w:r>
        <w:rPr>
          <w:rFonts w:ascii="Arial" w:cs="Arial" w:eastAsia="Arial" w:hAnsi="Arial"/>
          <w:sz w:val="12"/>
          <w:szCs w:val="12"/>
          <w:color w:val="auto"/>
        </w:rPr>
        <w:t>Interest expense related to the Vista Facility was as follows (in thousands):</w:t>
      </w:r>
    </w:p>
    <w:p>
      <w:pPr>
        <w:spacing w:after="0" w:line="44" w:lineRule="exact"/>
        <w:rPr>
          <w:sz w:val="20"/>
          <w:szCs w:val="20"/>
          <w:color w:val="auto"/>
        </w:rPr>
      </w:pPr>
    </w:p>
    <w:tbl>
      <w:tblPr>
        <w:tblLayout w:type="fixed"/>
        <w:tblInd w:w="1520" w:type="dxa"/>
        <w:tblCellMar>
          <w:top w:w="0" w:type="dxa"/>
          <w:left w:w="0" w:type="dxa"/>
          <w:bottom w:w="0" w:type="dxa"/>
          <w:right w:w="0" w:type="dxa"/>
        </w:tblCellMar>
      </w:tblPr>
      <w:tr>
        <w:trPr>
          <w:trHeight w:val="230"/>
        </w:trPr>
        <w:tc>
          <w:tcPr>
            <w:tcW w:w="4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Six Months</w:t>
            </w:r>
          </w:p>
        </w:tc>
        <w:tc>
          <w:tcPr>
            <w:tcW w:w="40" w:type="dxa"/>
            <w:vAlign w:val="bottom"/>
          </w:tcPr>
          <w:p>
            <w:pPr>
              <w:spacing w:after="0"/>
              <w:rPr>
                <w:sz w:val="19"/>
                <w:szCs w:val="19"/>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Ended July 31</w:t>
            </w: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Amortizationofdebtdiscount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671</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Amortization of debt issuance costs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222</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ind w:left="4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PIK interest </w:t>
            </w:r>
            <w:r>
              <w:rPr>
                <w:rFonts w:ascii="Times New Roman" w:cs="Times New Roman" w:eastAsia="Times New Roman" w:hAnsi="Times New Roman"/>
                <w:sz w:val="12"/>
                <w:szCs w:val="12"/>
                <w:color w:val="B4B4B4"/>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853</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Cash interest </w:t>
            </w:r>
            <w:r>
              <w:rPr>
                <w:rFonts w:ascii="Times New Roman" w:cs="Times New Roman" w:eastAsia="Times New Roman" w:hAnsi="Times New Roman"/>
                <w:sz w:val="12"/>
                <w:szCs w:val="12"/>
                <w:color w:val="B4B4B4"/>
              </w:rPr>
              <w:t>............................................................................................................</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5,303</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0"/>
        </w:trPr>
        <w:tc>
          <w:tcPr>
            <w:tcW w:w="42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Totalinterestexpense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7,049</w:t>
            </w:r>
          </w:p>
        </w:tc>
        <w:tc>
          <w:tcPr>
            <w:tcW w:w="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ABL Facility</w:t>
      </w:r>
    </w:p>
    <w:p>
      <w:pPr>
        <w:spacing w:after="0" w:line="128" w:lineRule="exact"/>
        <w:rPr>
          <w:sz w:val="20"/>
          <w:szCs w:val="20"/>
          <w:color w:val="auto"/>
        </w:rPr>
      </w:pPr>
    </w:p>
    <w:p>
      <w:pPr>
        <w:ind w:left="1520" w:right="1680" w:firstLine="230"/>
        <w:spacing w:after="0" w:line="275" w:lineRule="auto"/>
        <w:rPr>
          <w:sz w:val="20"/>
          <w:szCs w:val="20"/>
          <w:color w:val="auto"/>
        </w:rPr>
      </w:pPr>
      <w:r>
        <w:rPr>
          <w:rFonts w:ascii="Arial" w:cs="Arial" w:eastAsia="Arial" w:hAnsi="Arial"/>
          <w:sz w:val="12"/>
          <w:szCs w:val="12"/>
          <w:color w:val="auto"/>
        </w:rPr>
        <w:t>In March 2025 , the Company executed an asset-based lending revolving line of credit (the “ABL Facility”) with Citibank, N.A. (“Citibank”) which matures in March 2028 . The ABL Facility has a borrowing limit of $100.0 million and incurs interest at SOFR plus 2.5% . Any unused portion of the ABL Facility will bear interest at 0.25% per annum. The available borrowings are based on eligible U.S. and UK travel receivables. Repayment is required if borrowings exceed stated limits. We may voluntarily prepay outstanding borrowings at any time without premium or penalty, other than customary breakage costs.</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F-67</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ind w:left="1520" w:right="1900"/>
        <w:spacing w:after="0" w:line="312" w:lineRule="auto"/>
        <w:rPr>
          <w:sz w:val="20"/>
          <w:szCs w:val="20"/>
          <w:color w:val="auto"/>
        </w:rPr>
      </w:pPr>
      <w:r>
        <w:rPr>
          <w:rFonts w:ascii="Arial" w:cs="Arial" w:eastAsia="Arial" w:hAnsi="Arial"/>
          <w:sz w:val="12"/>
          <w:szCs w:val="12"/>
          <w:color w:val="auto"/>
        </w:rPr>
        <w:t>We incurred fees of $1.6 million associated with the ABL Facility, which are capitalized and amortized over the term.</w:t>
      </w:r>
    </w:p>
    <w:p>
      <w:pPr>
        <w:spacing w:after="0" w:line="62" w:lineRule="exact"/>
        <w:rPr>
          <w:sz w:val="20"/>
          <w:szCs w:val="20"/>
          <w:color w:val="auto"/>
        </w:rPr>
      </w:pPr>
    </w:p>
    <w:p>
      <w:pPr>
        <w:ind w:left="1520" w:right="1680" w:firstLine="230"/>
        <w:spacing w:after="0" w:line="281" w:lineRule="auto"/>
        <w:rPr>
          <w:sz w:val="20"/>
          <w:szCs w:val="20"/>
          <w:color w:val="auto"/>
        </w:rPr>
      </w:pPr>
      <w:r>
        <w:rPr>
          <w:rFonts w:ascii="Arial" w:cs="Arial" w:eastAsia="Arial" w:hAnsi="Arial"/>
          <w:sz w:val="12"/>
          <w:szCs w:val="12"/>
          <w:color w:val="auto"/>
        </w:rPr>
        <w:t>As of July 31, 2025 , the Company had a total outstanding balance of $34.5 million on the ABL Facility. The ABL Facility contains certain affirmative or negative covenants including, among other things, restrictions on repurchases of stock, dividends and other distributions. As of July 31, 2025 , we were in compliance with all covenants.</w:t>
      </w:r>
    </w:p>
    <w:p>
      <w:pPr>
        <w:spacing w:after="0" w:line="81" w:lineRule="exact"/>
        <w:rPr>
          <w:sz w:val="20"/>
          <w:szCs w:val="20"/>
          <w:color w:val="auto"/>
        </w:rPr>
      </w:pPr>
    </w:p>
    <w:p>
      <w:pPr>
        <w:ind w:left="1520" w:right="2020" w:firstLine="230"/>
        <w:spacing w:after="0" w:line="289" w:lineRule="auto"/>
        <w:rPr>
          <w:sz w:val="20"/>
          <w:szCs w:val="20"/>
          <w:color w:val="auto"/>
        </w:rPr>
      </w:pPr>
      <w:r>
        <w:rPr>
          <w:rFonts w:ascii="Arial" w:cs="Arial" w:eastAsia="Arial" w:hAnsi="Arial"/>
          <w:sz w:val="12"/>
          <w:szCs w:val="12"/>
          <w:color w:val="auto"/>
        </w:rPr>
        <w:t>During the six months ended July 31, 2025 , we recognized $1.4 million , of interest expense, comprised of $1.2 million of interest paid and payable, and $0.2 million for the amortization of debt issuance costs.</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Contractual principal payments</w:t>
      </w:r>
    </w:p>
    <w:p>
      <w:pPr>
        <w:spacing w:after="0" w:line="128" w:lineRule="exact"/>
        <w:rPr>
          <w:sz w:val="20"/>
          <w:szCs w:val="20"/>
          <w:color w:val="auto"/>
        </w:rPr>
      </w:pPr>
    </w:p>
    <w:p>
      <w:pPr>
        <w:ind w:left="1520" w:right="1720" w:firstLine="230"/>
        <w:spacing w:after="0" w:line="312" w:lineRule="auto"/>
        <w:rPr>
          <w:sz w:val="20"/>
          <w:szCs w:val="20"/>
          <w:color w:val="auto"/>
        </w:rPr>
      </w:pPr>
      <w:r>
        <w:rPr>
          <w:rFonts w:ascii="Arial" w:cs="Arial" w:eastAsia="Arial" w:hAnsi="Arial"/>
          <w:sz w:val="12"/>
          <w:szCs w:val="12"/>
          <w:color w:val="auto"/>
        </w:rPr>
        <w:t>Future payments of principal associated with the Vista Facility and other notes payable are as follows (in thousands):</w:t>
      </w:r>
    </w:p>
    <w:p>
      <w:pPr>
        <w:spacing w:after="0" w:line="101"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Fiscal Year</w:t>
            </w: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Amount</w:t>
            </w:r>
          </w:p>
        </w:tc>
      </w:tr>
      <w:tr>
        <w:trPr>
          <w:trHeight w:val="172"/>
        </w:trPr>
        <w:tc>
          <w:tcPr>
            <w:tcW w:w="510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Remainder of 2026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1,425</w:t>
            </w:r>
          </w:p>
        </w:tc>
      </w:tr>
      <w:tr>
        <w:trPr>
          <w:trHeight w:val="173"/>
        </w:trPr>
        <w:tc>
          <w:tcPr>
            <w:tcW w:w="5100" w:type="dxa"/>
            <w:vAlign w:val="bottom"/>
          </w:tcPr>
          <w:p>
            <w:pPr>
              <w:ind w:left="40"/>
              <w:spacing w:after="0"/>
              <w:rPr>
                <w:sz w:val="20"/>
                <w:szCs w:val="20"/>
                <w:color w:val="auto"/>
              </w:rPr>
            </w:pPr>
            <w:r>
              <w:rPr>
                <w:rFonts w:ascii="Arial" w:cs="Arial" w:eastAsia="Arial" w:hAnsi="Arial"/>
                <w:sz w:val="12"/>
                <w:szCs w:val="12"/>
                <w:color w:val="auto"/>
              </w:rPr>
              <w:t xml:space="preserve">2027 </w:t>
            </w:r>
            <w:r>
              <w:rPr>
                <w:rFonts w:ascii="Times New Roman" w:cs="Times New Roman" w:eastAsia="Times New Roman" w:hAnsi="Times New Roman"/>
                <w:sz w:val="12"/>
                <w:szCs w:val="12"/>
                <w:color w:val="B4B4B4"/>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332</w:t>
            </w:r>
          </w:p>
        </w:tc>
      </w:tr>
      <w:tr>
        <w:trPr>
          <w:trHeight w:val="190"/>
        </w:trPr>
        <w:tc>
          <w:tcPr>
            <w:tcW w:w="510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2028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66</w:t>
            </w:r>
          </w:p>
        </w:tc>
      </w:tr>
      <w:tr>
        <w:trPr>
          <w:trHeight w:val="173"/>
        </w:trPr>
        <w:tc>
          <w:tcPr>
            <w:tcW w:w="5100" w:type="dxa"/>
            <w:vAlign w:val="bottom"/>
          </w:tcPr>
          <w:p>
            <w:pPr>
              <w:ind w:left="40"/>
              <w:spacing w:after="0"/>
              <w:rPr>
                <w:sz w:val="20"/>
                <w:szCs w:val="20"/>
                <w:color w:val="auto"/>
              </w:rPr>
            </w:pPr>
            <w:r>
              <w:rPr>
                <w:rFonts w:ascii="Arial" w:cs="Arial" w:eastAsia="Arial" w:hAnsi="Arial"/>
                <w:sz w:val="12"/>
                <w:szCs w:val="12"/>
                <w:color w:val="auto"/>
              </w:rPr>
              <w:t xml:space="preserve">2029 </w:t>
            </w:r>
            <w:r>
              <w:rPr>
                <w:rFonts w:ascii="Times New Roman" w:cs="Times New Roman" w:eastAsia="Times New Roman" w:hAnsi="Times New Roman"/>
                <w:sz w:val="12"/>
                <w:szCs w:val="12"/>
                <w:color w:val="B4B4B4"/>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0"/>
        </w:trPr>
        <w:tc>
          <w:tcPr>
            <w:tcW w:w="510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2030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130,000</w:t>
            </w:r>
          </w:p>
        </w:tc>
      </w:tr>
      <w:tr>
        <w:trPr>
          <w:trHeight w:val="173"/>
        </w:trPr>
        <w:tc>
          <w:tcPr>
            <w:tcW w:w="510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Thereafter </w:t>
            </w:r>
            <w:r>
              <w:rPr>
                <w:rFonts w:ascii="Times New Roman" w:cs="Times New Roman" w:eastAsia="Times New Roman" w:hAnsi="Times New Roman"/>
                <w:sz w:val="12"/>
                <w:szCs w:val="12"/>
                <w:color w:val="B4B4B4"/>
              </w:rPr>
              <w:t>...........................................................................................................................................</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5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Totaldebtoutstanding</w:t>
            </w:r>
          </w:p>
        </w:tc>
        <w:tc>
          <w:tcPr>
            <w:tcW w:w="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131,823</w:t>
            </w:r>
          </w:p>
        </w:tc>
      </w:tr>
      <w:tr>
        <w:trPr>
          <w:trHeight w:val="161"/>
        </w:trPr>
        <w:tc>
          <w:tcPr>
            <w:tcW w:w="5100" w:type="dxa"/>
            <w:vAlign w:val="bottom"/>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Less:Unamortizedissuancecostsanddebtdiscounts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(13,753)</w:t>
            </w:r>
          </w:p>
        </w:tc>
      </w:tr>
      <w:tr>
        <w:trPr>
          <w:trHeight w:val="182"/>
        </w:trPr>
        <w:tc>
          <w:tcPr>
            <w:tcW w:w="510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Plus: PIK interest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853</w:t>
            </w:r>
          </w:p>
        </w:tc>
      </w:tr>
      <w:tr>
        <w:trPr>
          <w:trHeight w:val="173"/>
        </w:trPr>
        <w:tc>
          <w:tcPr>
            <w:tcW w:w="510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Less: Notes payable, current </w:t>
            </w:r>
            <w:r>
              <w:rPr>
                <w:rFonts w:ascii="Times New Roman" w:cs="Times New Roman" w:eastAsia="Times New Roman" w:hAnsi="Times New Roman"/>
                <w:sz w:val="12"/>
                <w:szCs w:val="12"/>
                <w:color w:val="B4B4B4"/>
              </w:rPr>
              <w:t>..........................................................................................................</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(1,602)</w:t>
            </w:r>
          </w:p>
        </w:tc>
      </w:tr>
      <w:tr>
        <w:trPr>
          <w:trHeight w:val="170"/>
        </w:trPr>
        <w:tc>
          <w:tcPr>
            <w:tcW w:w="5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Notespayable,non-current</w:t>
            </w:r>
          </w:p>
        </w:tc>
        <w:tc>
          <w:tcPr>
            <w:tcW w:w="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117,321</w:t>
            </w:r>
          </w:p>
        </w:tc>
      </w:tr>
    </w:tbl>
    <w:p>
      <w:pPr>
        <w:spacing w:after="0" w:line="117"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Trade Loan Facility</w:t>
      </w:r>
    </w:p>
    <w:p>
      <w:pPr>
        <w:spacing w:after="0" w:line="128" w:lineRule="exact"/>
        <w:rPr>
          <w:sz w:val="20"/>
          <w:szCs w:val="20"/>
          <w:color w:val="auto"/>
        </w:rPr>
      </w:pPr>
    </w:p>
    <w:p>
      <w:pPr>
        <w:ind w:left="1520" w:right="1560" w:firstLine="230"/>
        <w:spacing w:after="0" w:line="270" w:lineRule="auto"/>
        <w:rPr>
          <w:sz w:val="20"/>
          <w:szCs w:val="20"/>
          <w:color w:val="auto"/>
        </w:rPr>
      </w:pPr>
      <w:r>
        <w:rPr>
          <w:rFonts w:ascii="Arial" w:cs="Arial" w:eastAsia="Arial" w:hAnsi="Arial"/>
          <w:sz w:val="12"/>
          <w:szCs w:val="12"/>
          <w:color w:val="auto"/>
        </w:rPr>
        <w:t>In June 2024 , the Company entered into a loan agreement with Citibank for an uncommitted revolving line of credit facility (“Trade Loan Facility”), which was subsequently amended in July 2024 with changes to certain legal requirements. The loan agreement provided for a credit facility of up to $45.0 million and is effective until 30 days after the Company receives written notice from the lender, or until the date specified in a notice from the Company to the lender, the latter of which may be contingent upon the completion of another transaction. Borrowings under the facility must be repaid subject to the terms of each borrowing request, subject to a maximum term of 90 days. Borrowings on the Trade Loan Facility bear interest on a floating rate based on SOFR plus 2%. Borrowings under the Trade Loan Facility were secured by the Company’s billed accounts receivables. During the six months ended July 31, 2025 , we paid $45.3 million to settle the Trade Loan Facility, comprised of $45.0 million for the outstanding balance and $0.3 million for interest. No balances remain outstanding as of July 31, 2025 .</w:t>
      </w:r>
    </w:p>
    <w:p>
      <w:pPr>
        <w:spacing w:after="0" w:line="9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2022 Promissory Note</w:t>
      </w:r>
    </w:p>
    <w:p>
      <w:pPr>
        <w:spacing w:after="0" w:line="128" w:lineRule="exact"/>
        <w:rPr>
          <w:sz w:val="20"/>
          <w:szCs w:val="20"/>
          <w:color w:val="auto"/>
        </w:rPr>
      </w:pPr>
    </w:p>
    <w:p>
      <w:pPr>
        <w:jc w:val="both"/>
        <w:ind w:left="1520" w:right="1720" w:firstLine="230"/>
        <w:spacing w:after="0" w:line="272" w:lineRule="auto"/>
        <w:rPr>
          <w:sz w:val="20"/>
          <w:szCs w:val="20"/>
          <w:color w:val="auto"/>
        </w:rPr>
      </w:pPr>
      <w:r>
        <w:rPr>
          <w:rFonts w:ascii="Arial" w:cs="Arial" w:eastAsia="Arial" w:hAnsi="Arial"/>
          <w:sz w:val="12"/>
          <w:szCs w:val="12"/>
          <w:color w:val="auto"/>
        </w:rPr>
        <w:t>In September 2022, the Company issued a promissory note (the “2022 Promissory Note”) to a lender for $150.0 million with a maturity date of September 26, 2025 . In conjunction with the 2022 Promissory Note, the Company issued 599,280 common stock warrants. Interest accrues on the principal amount at</w:t>
      </w:r>
    </w:p>
    <w:p>
      <w:pPr>
        <w:spacing w:after="0" w:line="2" w:lineRule="exact"/>
        <w:rPr>
          <w:sz w:val="20"/>
          <w:szCs w:val="20"/>
          <w:color w:val="auto"/>
        </w:rPr>
      </w:pPr>
    </w:p>
    <w:p>
      <w:pPr>
        <w:ind w:left="1520" w:right="1620"/>
        <w:spacing w:after="0" w:line="275" w:lineRule="auto"/>
        <w:rPr>
          <w:sz w:val="20"/>
          <w:szCs w:val="20"/>
          <w:color w:val="auto"/>
        </w:rPr>
      </w:pPr>
      <w:r>
        <w:rPr>
          <w:rFonts w:ascii="Arial" w:cs="Arial" w:eastAsia="Arial" w:hAnsi="Arial"/>
          <w:sz w:val="12"/>
          <w:szCs w:val="12"/>
          <w:color w:val="auto"/>
        </w:rPr>
        <w:t>11.5% per annum and is comprised of cash interest of 4% and PIK interest of 7.5% . Interest was payable quarterly in arrears and PIK interest was added to the principal balance and compounded on a quarterly basis. The Company had the option to prepay the 2022 Promissory Note at any time for a prepayment amount equal to the greater of: (a) 1.3 times the original promissory note amount of $150.0 million , plus</w:t>
      </w: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F-68</w:t>
      </w:r>
    </w:p>
    <w:p>
      <w:pPr>
        <w:sectPr>
          <w:pgSz w:w="11900" w:h="16840" w:orient="portrait"/>
          <w:cols w:equalWidth="0" w:num="1">
            <w:col w:w="9020"/>
          </w:cols>
          <w:pgMar w:left="1440" w:top="546" w:right="1440" w:bottom="1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ectPr>
          <w:pgSz w:w="11900" w:h="16840" w:orient="portrait"/>
          <w:cols w:equalWidth="0" w:num="1">
            <w:col w:w="9020"/>
          </w:cols>
          <w:pgMar w:left="1440" w:top="546" w:right="1440" w:bottom="124" w:gutter="0" w:footer="0" w:header="0"/>
          <w:type w:val="continuous"/>
        </w:sectPr>
      </w:pPr>
    </w:p>
    <w:bookmarkStart w:id="205" w:name="page206"/>
    <w:bookmarkEnd w:id="205"/>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-37465</wp:posOffset>
            </wp:positionV>
            <wp:extent cx="6732270" cy="99707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ind w:left="1520" w:right="1820"/>
        <w:spacing w:after="0" w:line="289" w:lineRule="auto"/>
        <w:rPr>
          <w:sz w:val="20"/>
          <w:szCs w:val="20"/>
          <w:color w:val="auto"/>
        </w:rPr>
      </w:pPr>
      <w:r>
        <w:rPr>
          <w:rFonts w:ascii="Arial" w:cs="Arial" w:eastAsia="Arial" w:hAnsi="Arial"/>
          <w:sz w:val="12"/>
          <w:szCs w:val="12"/>
          <w:color w:val="auto"/>
        </w:rPr>
        <w:t>any unpaid interest and expenses then accrued and unpaid as of such date, and (b) the aggregate principal amount as of such date, plus any unpaid interest and expenses then accrued and unpaid as of such date.</w:t>
      </w:r>
    </w:p>
    <w:p>
      <w:pPr>
        <w:spacing w:after="0" w:line="76"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At issuance of the 2022 Promissory Note, the fair value of the common stock warrants was</w:t>
      </w:r>
    </w:p>
    <w:p>
      <w:pPr>
        <w:spacing w:after="0" w:line="27" w:lineRule="exact"/>
        <w:rPr>
          <w:sz w:val="20"/>
          <w:szCs w:val="20"/>
          <w:color w:val="auto"/>
        </w:rPr>
      </w:pPr>
    </w:p>
    <w:p>
      <w:pPr>
        <w:ind w:left="1520" w:right="1600"/>
        <w:spacing w:after="0" w:line="272" w:lineRule="auto"/>
        <w:rPr>
          <w:sz w:val="20"/>
          <w:szCs w:val="20"/>
          <w:color w:val="auto"/>
        </w:rPr>
      </w:pPr>
      <w:r>
        <w:rPr>
          <w:rFonts w:ascii="Arial" w:cs="Arial" w:eastAsia="Arial" w:hAnsi="Arial"/>
          <w:sz w:val="12"/>
          <w:szCs w:val="12"/>
          <w:color w:val="auto"/>
        </w:rPr>
        <w:t>$11.8 million and was recorded as a debt discount. Debt issuance costs were approximately $0.1 million, consisting of advisor fees, legal fees and other related expenses. Both amounts were recorded as a reduction of the carrying amount of the debt liability. The debt discount and debt issuance costs were amortized to interest expense at an effective interest rate of 14.5% over the term of the loan. The common stock warrants were subsequently exercised during the year ended January 31, 2023 .</w:t>
      </w:r>
    </w:p>
    <w:p>
      <w:pPr>
        <w:spacing w:after="0" w:line="87"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In February 2025 , we paid $198.1 million to settle the 2022 Promissory Note and recognized a</w:t>
      </w:r>
    </w:p>
    <w:p>
      <w:pPr>
        <w:spacing w:after="0" w:line="27"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$20.5 million loss on the debt extinguishment. The loss on extinguishment of debt is recognized within the</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condensed consolidated statements of operations. We were in compliance with all affirmative or negative</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covenants as of the settlement date.</w:t>
      </w:r>
    </w:p>
    <w:p>
      <w:pPr>
        <w:spacing w:after="0" w:line="11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Interest expense related to the 2022 Promissory Note was as follows (in thousands):</w:t>
      </w:r>
    </w:p>
    <w:p>
      <w:pPr>
        <w:spacing w:after="0" w:line="147"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4"/>
          </w:tcPr>
          <w:p>
            <w:pPr>
              <w:ind w:left="6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Amortizationofdebtdiscount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298</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1,914</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Amortization of debt issuance costs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3</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PIK interest </w:t>
            </w:r>
            <w:r>
              <w:rPr>
                <w:rFonts w:ascii="Times New Roman" w:cs="Times New Roman" w:eastAsia="Times New Roman" w:hAnsi="Times New Roman"/>
                <w:sz w:val="12"/>
                <w:szCs w:val="12"/>
                <w:color w:val="B4B4B4"/>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839</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6,261</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Cash interest </w:t>
            </w:r>
            <w:r>
              <w:rPr>
                <w:rFonts w:ascii="Times New Roman" w:cs="Times New Roman" w:eastAsia="Times New Roman" w:hAnsi="Times New Roman"/>
                <w:sz w:val="12"/>
                <w:szCs w:val="12"/>
                <w:color w:val="B4B4B4"/>
              </w:rPr>
              <w:t>............................................................................................................</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448</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3,340</w:t>
            </w:r>
          </w:p>
        </w:tc>
        <w:tc>
          <w:tcPr>
            <w:tcW w:w="0" w:type="dxa"/>
            <w:vAlign w:val="bottom"/>
          </w:tcPr>
          <w:p>
            <w:pPr>
              <w:spacing w:after="0"/>
              <w:rPr>
                <w:sz w:val="1"/>
                <w:szCs w:val="1"/>
                <w:color w:val="auto"/>
              </w:rPr>
            </w:pPr>
          </w:p>
        </w:tc>
      </w:tr>
      <w:tr>
        <w:trPr>
          <w:trHeight w:val="170"/>
        </w:trPr>
        <w:tc>
          <w:tcPr>
            <w:tcW w:w="42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Totalinterestexpense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1,588</w:t>
            </w:r>
          </w:p>
        </w:tc>
        <w:tc>
          <w:tcPr>
            <w:tcW w:w="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11,531</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8 – VARIABLE INTEREST ENTITIES</w:t>
      </w:r>
    </w:p>
    <w:p>
      <w:pPr>
        <w:spacing w:after="0" w:line="130" w:lineRule="exact"/>
        <w:rPr>
          <w:sz w:val="20"/>
          <w:szCs w:val="20"/>
          <w:color w:val="auto"/>
        </w:rPr>
      </w:pPr>
    </w:p>
    <w:p>
      <w:pPr>
        <w:ind w:left="1520" w:right="1700" w:firstLine="230"/>
        <w:spacing w:after="0" w:line="289" w:lineRule="auto"/>
        <w:rPr>
          <w:sz w:val="20"/>
          <w:szCs w:val="20"/>
          <w:color w:val="auto"/>
        </w:rPr>
      </w:pPr>
      <w:r>
        <w:rPr>
          <w:rFonts w:ascii="Arial" w:cs="Arial" w:eastAsia="Arial" w:hAnsi="Arial"/>
          <w:sz w:val="12"/>
          <w:szCs w:val="12"/>
          <w:color w:val="auto"/>
        </w:rPr>
        <w:t>VIEs are legal entities that lack sufficient equity to finance their activities without future subordinated financial support. We consolidate the assets and liabilities of VIEs in which we hold a variable interest and are the primary beneficiary.</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Liquid Labs</w:t>
      </w:r>
    </w:p>
    <w:p>
      <w:pPr>
        <w:spacing w:after="0" w:line="128" w:lineRule="exact"/>
        <w:rPr>
          <w:sz w:val="20"/>
          <w:szCs w:val="20"/>
          <w:color w:val="auto"/>
        </w:rPr>
      </w:pPr>
    </w:p>
    <w:p>
      <w:pPr>
        <w:jc w:val="both"/>
        <w:ind w:left="1520" w:right="1800" w:firstLine="230"/>
        <w:spacing w:after="0" w:line="281" w:lineRule="auto"/>
        <w:rPr>
          <w:sz w:val="20"/>
          <w:szCs w:val="20"/>
          <w:color w:val="auto"/>
        </w:rPr>
      </w:pPr>
      <w:r>
        <w:rPr>
          <w:rFonts w:ascii="Arial" w:cs="Arial" w:eastAsia="Arial" w:hAnsi="Arial"/>
          <w:sz w:val="12"/>
          <w:szCs w:val="12"/>
          <w:color w:val="auto"/>
        </w:rPr>
        <w:t>In August 2022, we created Liquid Labs, a Delaware limited liability company, with the Company as the sole shareholder. Liquid Labs was established to facilitate the funding of the corporate card offering by purchasing receivables from the Company using proceeds from the Warehouse Credit Facility. Refer to Note 7 — Debt for further information on the Warehouse Credit Facility.</w:t>
      </w:r>
    </w:p>
    <w:p>
      <w:pPr>
        <w:spacing w:after="0" w:line="81" w:lineRule="exact"/>
        <w:rPr>
          <w:sz w:val="20"/>
          <w:szCs w:val="20"/>
          <w:color w:val="auto"/>
        </w:rPr>
      </w:pPr>
    </w:p>
    <w:p>
      <w:pPr>
        <w:jc w:val="both"/>
        <w:ind w:left="1520" w:right="1860" w:firstLine="230"/>
        <w:spacing w:after="0" w:line="281" w:lineRule="auto"/>
        <w:rPr>
          <w:sz w:val="20"/>
          <w:szCs w:val="20"/>
          <w:color w:val="auto"/>
        </w:rPr>
      </w:pPr>
      <w:r>
        <w:rPr>
          <w:rFonts w:ascii="Arial" w:cs="Arial" w:eastAsia="Arial" w:hAnsi="Arial"/>
          <w:sz w:val="12"/>
          <w:szCs w:val="12"/>
          <w:color w:val="auto"/>
        </w:rPr>
        <w:t>The Company is a limited guarantor of certain obligations of Liquid Labs related to the Warehouse Credit Facility. During the periods presented, the Company has not provided financial support to Liquid Labs. Under the Warehouse Credit Facility, Liquid Labs pledges corporate card receivables purchased from the Company as collateral.</w:t>
      </w:r>
    </w:p>
    <w:p>
      <w:pPr>
        <w:spacing w:after="0" w:line="81" w:lineRule="exact"/>
        <w:rPr>
          <w:sz w:val="20"/>
          <w:szCs w:val="20"/>
          <w:color w:val="auto"/>
        </w:rPr>
      </w:pPr>
    </w:p>
    <w:p>
      <w:pPr>
        <w:ind w:left="1520" w:right="1780" w:firstLine="230"/>
        <w:spacing w:after="0" w:line="289" w:lineRule="auto"/>
        <w:rPr>
          <w:sz w:val="20"/>
          <w:szCs w:val="20"/>
          <w:color w:val="auto"/>
        </w:rPr>
      </w:pPr>
      <w:r>
        <w:rPr>
          <w:rFonts w:ascii="Arial" w:cs="Arial" w:eastAsia="Arial" w:hAnsi="Arial"/>
          <w:sz w:val="12"/>
          <w:szCs w:val="12"/>
          <w:color w:val="auto"/>
        </w:rPr>
        <w:t>We have determined Liquid Labs is a VIE as the equity at risk is not sufficient to finance Liquid Labs operations. As the sole shareholder and holder of 100% of the equity investment in the entity, we consolidate Liquid Labs as we are the primary beneficiary.</w:t>
      </w:r>
    </w:p>
    <w:p>
      <w:pPr>
        <w:spacing w:after="0" w:line="76" w:lineRule="exact"/>
        <w:rPr>
          <w:sz w:val="20"/>
          <w:szCs w:val="20"/>
          <w:color w:val="auto"/>
        </w:rPr>
      </w:pPr>
    </w:p>
    <w:p>
      <w:pPr>
        <w:ind w:left="1520" w:right="1780" w:firstLine="230"/>
        <w:spacing w:after="0" w:line="275" w:lineRule="auto"/>
        <w:rPr>
          <w:sz w:val="20"/>
          <w:szCs w:val="20"/>
          <w:color w:val="auto"/>
        </w:rPr>
      </w:pPr>
      <w:r>
        <w:rPr>
          <w:rFonts w:ascii="Arial" w:cs="Arial" w:eastAsia="Arial" w:hAnsi="Arial"/>
          <w:sz w:val="12"/>
          <w:szCs w:val="12"/>
          <w:color w:val="auto"/>
        </w:rPr>
        <w:t>Pursuant to the contractual arrangements with Liquid Labs, the Company has the power to direct activities of the VIE and can have assets transferred freely out of the VIE without any restrictions. Therefore, we have determined that there is no asset of the consolidated VIE that can be used only to settle obligations of the VIE. The creditors of the consolidated VIE do not have recourse to the Company other than to the assets of the consolidated VIE. As a result, the material liabilities of the VIE are separately presented within the condensed consolidated balance sheets.</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F-69</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ind w:left="1520" w:right="1880" w:firstLine="230"/>
        <w:spacing w:after="0" w:line="312" w:lineRule="auto"/>
        <w:rPr>
          <w:sz w:val="20"/>
          <w:szCs w:val="20"/>
          <w:color w:val="auto"/>
        </w:rPr>
      </w:pPr>
      <w:r>
        <w:rPr>
          <w:rFonts w:ascii="Arial" w:cs="Arial" w:eastAsia="Arial" w:hAnsi="Arial"/>
          <w:sz w:val="12"/>
          <w:szCs w:val="12"/>
          <w:color w:val="auto"/>
        </w:rPr>
        <w:t>The carrying amounts of Liquid Labs’ assets and liabilities included in our condensed consolidated balance sheets are summarized below (in thousands):</w:t>
      </w:r>
    </w:p>
    <w:p>
      <w:pPr>
        <w:spacing w:after="0" w:line="101"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4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restart"/>
          </w:tcPr>
          <w:p>
            <w:pPr>
              <w:jc w:val="right"/>
              <w:ind w:right="20"/>
              <w:spacing w:after="0"/>
              <w:rPr>
                <w:sz w:val="20"/>
                <w:szCs w:val="20"/>
                <w:color w:val="auto"/>
              </w:rPr>
            </w:pPr>
            <w:r>
              <w:rPr>
                <w:rFonts w:ascii="Arial" w:cs="Arial" w:eastAsia="Arial" w:hAnsi="Arial"/>
                <w:sz w:val="11"/>
                <w:szCs w:val="11"/>
                <w:b w:val="1"/>
                <w:bCs w:val="1"/>
                <w:color w:val="auto"/>
                <w:w w:val="94"/>
              </w:rPr>
              <w:t>July 31, 2025</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jc w:val="right"/>
              <w:ind w:right="61"/>
              <w:spacing w:after="0" w:line="86" w:lineRule="exact"/>
              <w:rPr>
                <w:sz w:val="20"/>
                <w:szCs w:val="20"/>
                <w:color w:val="auto"/>
              </w:rPr>
            </w:pPr>
            <w:r>
              <w:rPr>
                <w:rFonts w:ascii="Arial" w:cs="Arial" w:eastAsia="Arial" w:hAnsi="Arial"/>
                <w:sz w:val="9"/>
                <w:szCs w:val="9"/>
                <w:b w:val="1"/>
                <w:bCs w:val="1"/>
                <w:color w:val="auto"/>
              </w:rPr>
              <w:t>January 31,</w:t>
            </w:r>
          </w:p>
        </w:tc>
        <w:tc>
          <w:tcPr>
            <w:tcW w:w="0" w:type="dxa"/>
            <w:vAlign w:val="bottom"/>
          </w:tcPr>
          <w:p>
            <w:pPr>
              <w:spacing w:after="0"/>
              <w:rPr>
                <w:sz w:val="1"/>
                <w:szCs w:val="1"/>
                <w:color w:val="auto"/>
              </w:rPr>
            </w:pPr>
          </w:p>
        </w:tc>
      </w:tr>
      <w:tr>
        <w:trPr>
          <w:trHeight w:val="153"/>
        </w:trPr>
        <w:tc>
          <w:tcPr>
            <w:tcW w:w="4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72"/>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Balance Sheet Data of Liquid Labs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Restricted cash, current </w:t>
            </w:r>
            <w:r>
              <w:rPr>
                <w:rFonts w:ascii="Times New Roman" w:cs="Times New Roman" w:eastAsia="Times New Roman" w:hAnsi="Times New Roman"/>
                <w:sz w:val="12"/>
                <w:szCs w:val="12"/>
                <w:color w:val="B4B4B4"/>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12,706</w:t>
            </w: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1"/>
              <w:spacing w:after="0"/>
              <w:rPr>
                <w:sz w:val="20"/>
                <w:szCs w:val="20"/>
                <w:color w:val="auto"/>
              </w:rPr>
            </w:pPr>
            <w:r>
              <w:rPr>
                <w:rFonts w:ascii="Arial" w:cs="Arial" w:eastAsia="Arial" w:hAnsi="Arial"/>
                <w:sz w:val="12"/>
                <w:szCs w:val="12"/>
                <w:color w:val="auto"/>
              </w:rPr>
              <w:t>57,535</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line="190" w:lineRule="exact"/>
              <w:rPr>
                <w:sz w:val="20"/>
                <w:szCs w:val="20"/>
                <w:color w:val="auto"/>
              </w:rPr>
            </w:pPr>
            <w:r>
              <w:rPr>
                <w:rFonts w:ascii="Arial" w:cs="Arial" w:eastAsia="Arial" w:hAnsi="Arial"/>
                <w:sz w:val="12"/>
                <w:szCs w:val="12"/>
                <w:color w:val="auto"/>
              </w:rPr>
              <w:t xml:space="preserve">Corporate card receivables </w:t>
            </w:r>
            <w:r>
              <w:rPr>
                <w:rFonts w:ascii="Arial" w:cs="Arial" w:eastAsia="Arial" w:hAnsi="Arial"/>
                <w:sz w:val="17"/>
                <w:szCs w:val="17"/>
                <w:color w:val="auto"/>
                <w:vertAlign w:val="superscript"/>
              </w:rPr>
              <w:t>(1)</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B4B4B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159,408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158,124</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Prepaid expenses and other current assets </w:t>
            </w:r>
            <w:r>
              <w:rPr>
                <w:rFonts w:ascii="Times New Roman" w:cs="Times New Roman" w:eastAsia="Times New Roman" w:hAnsi="Times New Roman"/>
                <w:sz w:val="12"/>
                <w:szCs w:val="12"/>
                <w:color w:val="B4B4B4"/>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1,281</w:t>
            </w: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1,001</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Other non-current assets </w:t>
            </w:r>
            <w:r>
              <w:rPr>
                <w:rFonts w:ascii="Times New Roman" w:cs="Times New Roman" w:eastAsia="Times New Roman" w:hAnsi="Times New Roman"/>
                <w:sz w:val="12"/>
                <w:szCs w:val="12"/>
                <w:color w:val="B4B4B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2,029</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r>
        <w:trPr>
          <w:trHeight w:val="173"/>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Accrued expenses and other current liabilities  </w:t>
            </w:r>
            <w:r>
              <w:rPr>
                <w:rFonts w:ascii="Times New Roman" w:cs="Times New Roman" w:eastAsia="Times New Roman" w:hAnsi="Times New Roman"/>
                <w:sz w:val="12"/>
                <w:szCs w:val="12"/>
                <w:color w:val="B4B4B4"/>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1,140</w:t>
            </w: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1,552</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Warehouse Credit Facility </w:t>
            </w:r>
            <w:r>
              <w:rPr>
                <w:rFonts w:ascii="Times New Roman" w:cs="Times New Roman" w:eastAsia="Times New Roman" w:hAnsi="Times New Roman"/>
                <w:sz w:val="12"/>
                <w:szCs w:val="12"/>
                <w:color w:val="B4B4B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148,174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214,238</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w:t>
      </w:r>
    </w:p>
    <w:p>
      <w:pPr>
        <w:spacing w:after="0" w:line="23" w:lineRule="exact"/>
        <w:rPr>
          <w:sz w:val="20"/>
          <w:szCs w:val="20"/>
          <w:color w:val="auto"/>
        </w:rPr>
      </w:pPr>
    </w:p>
    <w:p>
      <w:pPr>
        <w:ind w:left="1760" w:right="1700" w:hanging="238"/>
        <w:spacing w:after="0" w:line="203" w:lineRule="auto"/>
        <w:tabs>
          <w:tab w:leader="none" w:pos="1760" w:val="left"/>
        </w:tabs>
        <w:numPr>
          <w:ilvl w:val="0"/>
          <w:numId w:val="192"/>
        </w:numPr>
        <w:rPr>
          <w:rFonts w:ascii="Arial" w:cs="Arial" w:eastAsia="Arial" w:hAnsi="Arial"/>
          <w:sz w:val="11"/>
          <w:szCs w:val="11"/>
          <w:color w:val="auto"/>
        </w:rPr>
      </w:pPr>
      <w:r>
        <w:rPr>
          <w:rFonts w:ascii="Arial" w:cs="Arial" w:eastAsia="Arial" w:hAnsi="Arial"/>
          <w:sz w:val="11"/>
          <w:szCs w:val="11"/>
          <w:color w:val="auto"/>
        </w:rPr>
        <w:t>Corporate card receivables as of July 31, 2025 and January 31, 2025 represent pledged customer receivables from Navan, Inc. to Liquid Labs</w:t>
      </w:r>
    </w:p>
    <w:p>
      <w:pPr>
        <w:ind w:left="1760"/>
        <w:spacing w:after="0"/>
        <w:rPr>
          <w:rFonts w:ascii="Arial" w:cs="Arial" w:eastAsia="Arial" w:hAnsi="Arial"/>
          <w:sz w:val="11"/>
          <w:szCs w:val="11"/>
          <w:color w:val="auto"/>
        </w:rPr>
      </w:pPr>
      <w:r>
        <w:rPr>
          <w:rFonts w:ascii="Arial" w:cs="Arial" w:eastAsia="Arial" w:hAnsi="Arial"/>
          <w:sz w:val="11"/>
          <w:szCs w:val="11"/>
          <w:color w:val="auto"/>
        </w:rPr>
        <w:t>.</w:t>
      </w:r>
    </w:p>
    <w:p>
      <w:pPr>
        <w:spacing w:after="0" w:line="35"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9 – EQUITY INCENTIVE PLAN</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2015 Equity Incentive Plan</w:t>
      </w:r>
    </w:p>
    <w:p>
      <w:pPr>
        <w:spacing w:after="0" w:line="128" w:lineRule="exact"/>
        <w:rPr>
          <w:sz w:val="20"/>
          <w:szCs w:val="20"/>
          <w:color w:val="auto"/>
        </w:rPr>
      </w:pPr>
    </w:p>
    <w:p>
      <w:pPr>
        <w:ind w:left="1520" w:right="1800" w:firstLine="230"/>
        <w:spacing w:after="0" w:line="281" w:lineRule="auto"/>
        <w:rPr>
          <w:sz w:val="20"/>
          <w:szCs w:val="20"/>
          <w:color w:val="auto"/>
        </w:rPr>
      </w:pPr>
      <w:r>
        <w:rPr>
          <w:rFonts w:ascii="Arial" w:cs="Arial" w:eastAsia="Arial" w:hAnsi="Arial"/>
          <w:sz w:val="12"/>
          <w:szCs w:val="12"/>
          <w:color w:val="auto"/>
        </w:rPr>
        <w:t>In 2015, the Company’s Board of Directors (the “Board of Directors”) approved the adoption of the 2015 Equity Incentive Plan (the “Plan”). The Plan provides for the grant of incentive and nonstatutory stock options and restricted stock units (“RSUs”) to employees, non-employee directors and consultants of the Company.</w:t>
      </w:r>
    </w:p>
    <w:p>
      <w:pPr>
        <w:spacing w:after="0" w:line="81" w:lineRule="exact"/>
        <w:rPr>
          <w:sz w:val="20"/>
          <w:szCs w:val="20"/>
          <w:color w:val="auto"/>
        </w:rPr>
      </w:pPr>
    </w:p>
    <w:p>
      <w:pPr>
        <w:ind w:left="1520" w:right="1540" w:firstLine="230"/>
        <w:spacing w:after="0" w:line="289" w:lineRule="auto"/>
        <w:rPr>
          <w:sz w:val="20"/>
          <w:szCs w:val="20"/>
          <w:color w:val="auto"/>
        </w:rPr>
      </w:pPr>
      <w:r>
        <w:rPr>
          <w:rFonts w:ascii="Arial" w:cs="Arial" w:eastAsia="Arial" w:hAnsi="Arial"/>
          <w:sz w:val="12"/>
          <w:szCs w:val="12"/>
          <w:color w:val="auto"/>
        </w:rPr>
        <w:t>During the six months ended July 31, 2025 , the Board of Directors approved an increase of 4,666,666 shares reserved for issuance, for a total of 69,378,362 shares reserved under the Plan. As of July 31, 2025, 5,876,145 shares of common stock remain available for future grants under the Plan.</w:t>
      </w:r>
    </w:p>
    <w:p>
      <w:pPr>
        <w:spacing w:after="0" w:line="76" w:lineRule="exact"/>
        <w:rPr>
          <w:sz w:val="20"/>
          <w:szCs w:val="20"/>
          <w:color w:val="auto"/>
        </w:rPr>
      </w:pPr>
    </w:p>
    <w:p>
      <w:pPr>
        <w:jc w:val="both"/>
        <w:ind w:left="1520" w:right="1740" w:firstLine="230"/>
        <w:spacing w:after="0" w:line="289" w:lineRule="auto"/>
        <w:rPr>
          <w:sz w:val="20"/>
          <w:szCs w:val="20"/>
          <w:color w:val="auto"/>
        </w:rPr>
      </w:pPr>
      <w:r>
        <w:rPr>
          <w:rFonts w:ascii="Arial" w:cs="Arial" w:eastAsia="Arial" w:hAnsi="Arial"/>
          <w:sz w:val="12"/>
          <w:szCs w:val="12"/>
          <w:color w:val="auto"/>
        </w:rPr>
        <w:t>The exercise price of options granted under the Plan must be at least equal to 100% of the fair value of the Company’s common stock at the date of grant as determined by the Board of Directors. During the six months ended July 31, 2025 , no options have been granted to purchase stock at a price less than its</w:t>
      </w:r>
    </w:p>
    <w:p>
      <w:pPr>
        <w:sectPr>
          <w:pgSz w:w="11900" w:h="16840" w:orient="portrait"/>
          <w:cols w:equalWidth="0" w:num="1">
            <w:col w:w="9020"/>
          </w:cols>
          <w:pgMar w:left="1440" w:top="491" w:right="1440" w:bottom="0" w:gutter="0" w:footer="0" w:header="0"/>
        </w:sectPr>
      </w:pPr>
    </w:p>
    <w:bookmarkStart w:id="206" w:name="page207"/>
    <w:bookmarkEnd w:id="206"/>
    <w:p>
      <w:pPr>
        <w:ind w:left="1520"/>
        <w:spacing w:after="0"/>
        <w:rPr>
          <w:sz w:val="20"/>
          <w:szCs w:val="20"/>
          <w:color w:val="auto"/>
        </w:rPr>
      </w:pPr>
      <w:r>
        <w:rPr>
          <w:rFonts w:ascii="Arial" w:cs="Arial" w:eastAsia="Arial" w:hAnsi="Arial"/>
          <w:sz w:val="12"/>
          <w:szCs w:val="12"/>
          <w:color w:val="auto"/>
        </w:rPr>
        <w:t>fair value as determined by the Board of Directors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100" w:lineRule="exact"/>
        <w:rPr>
          <w:sz w:val="20"/>
          <w:szCs w:val="20"/>
          <w:color w:val="auto"/>
        </w:rPr>
      </w:pPr>
    </w:p>
    <w:p>
      <w:pPr>
        <w:ind w:left="1520" w:right="1780" w:firstLine="230"/>
        <w:spacing w:after="0" w:line="270" w:lineRule="auto"/>
        <w:rPr>
          <w:sz w:val="20"/>
          <w:szCs w:val="20"/>
          <w:color w:val="auto"/>
        </w:rPr>
      </w:pPr>
      <w:r>
        <w:rPr>
          <w:rFonts w:ascii="Arial" w:cs="Arial" w:eastAsia="Arial" w:hAnsi="Arial"/>
          <w:sz w:val="12"/>
          <w:szCs w:val="12"/>
          <w:b w:val="1"/>
          <w:bCs w:val="1"/>
          <w:color w:val="auto"/>
        </w:rPr>
        <w:t xml:space="preserve">Early Exercise of Common Stock </w:t>
      </w:r>
      <w:r>
        <w:rPr>
          <w:rFonts w:ascii="Arial" w:cs="Arial" w:eastAsia="Arial" w:hAnsi="Arial"/>
          <w:sz w:val="12"/>
          <w:szCs w:val="12"/>
          <w:color w:val="auto"/>
        </w:rPr>
        <w:t>— Certain stock options granted under the Plan provide option</w:t>
      </w:r>
      <w:r>
        <w:rPr>
          <w:rFonts w:ascii="Arial" w:cs="Arial" w:eastAsia="Arial" w:hAnsi="Arial"/>
          <w:sz w:val="12"/>
          <w:szCs w:val="12"/>
          <w:b w:val="1"/>
          <w:bCs w:val="1"/>
          <w:color w:val="auto"/>
        </w:rPr>
        <w:t xml:space="preserve"> </w:t>
      </w:r>
      <w:r>
        <w:rPr>
          <w:rFonts w:ascii="Arial" w:cs="Arial" w:eastAsia="Arial" w:hAnsi="Arial"/>
          <w:sz w:val="12"/>
          <w:szCs w:val="12"/>
          <w:color w:val="auto"/>
        </w:rPr>
        <w:t>holders the right to elect to exercise unvested options in exchange for shares of common stock. Such unvested shares of common stock are subject to a repurchase right held by the Company at the original issuance price in the event the optionee’s service to the Company is terminated either voluntarily or involuntarily. The repurchase right lapses as the underlying shares vest. The proceeds from the early exercise of stock options are treated as a refundable deposit and are recorded within accrued expenses and other liabilities on the condensed consolidated balance sheets, and reclassified to additional paid-in capital as the Company’s repurchase right lapses. Common stock purchased pursuant to an early exercise of stock options is not deemed to be outstanding for accounting purposes until those shares vest. The Company includes unvested shares subject to repurchase in the number of shares of common stock outstanding in the condensed consolidated balance sheets and statements of redeemable convertible preferred stock and stockholders’ deficit.</w:t>
      </w:r>
    </w:p>
    <w:p>
      <w:pPr>
        <w:spacing w:after="0" w:line="89" w:lineRule="exact"/>
        <w:rPr>
          <w:sz w:val="20"/>
          <w:szCs w:val="20"/>
          <w:color w:val="auto"/>
        </w:rPr>
      </w:pPr>
    </w:p>
    <w:p>
      <w:pPr>
        <w:ind w:left="1520" w:right="1820" w:firstLine="230"/>
        <w:spacing w:after="0" w:line="289" w:lineRule="auto"/>
        <w:rPr>
          <w:sz w:val="20"/>
          <w:szCs w:val="20"/>
          <w:color w:val="auto"/>
        </w:rPr>
      </w:pPr>
      <w:r>
        <w:rPr>
          <w:rFonts w:ascii="Arial" w:cs="Arial" w:eastAsia="Arial" w:hAnsi="Arial"/>
          <w:sz w:val="12"/>
          <w:szCs w:val="12"/>
          <w:color w:val="auto"/>
        </w:rPr>
        <w:t>As of July 31, 2025 and January 31, 2025, there were 21,751 and 49,761 shares, respectively, subject to repurchase due to early exercises and the corresponding liability was $0.4 million and $1.0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F-70</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ind w:left="1520" w:right="1660" w:firstLine="230"/>
        <w:spacing w:after="0" w:line="289" w:lineRule="auto"/>
        <w:rPr>
          <w:sz w:val="20"/>
          <w:szCs w:val="20"/>
          <w:color w:val="auto"/>
        </w:rPr>
      </w:pPr>
      <w:r>
        <w:rPr>
          <w:rFonts w:ascii="Arial" w:cs="Arial" w:eastAsia="Arial" w:hAnsi="Arial"/>
          <w:sz w:val="12"/>
          <w:szCs w:val="12"/>
          <w:b w:val="1"/>
          <w:bCs w:val="1"/>
          <w:color w:val="auto"/>
        </w:rPr>
        <w:t xml:space="preserve">Stock Options — </w:t>
      </w:r>
      <w:r>
        <w:rPr>
          <w:rFonts w:ascii="Arial" w:cs="Arial" w:eastAsia="Arial" w:hAnsi="Arial"/>
          <w:sz w:val="12"/>
          <w:szCs w:val="12"/>
          <w:color w:val="auto"/>
        </w:rPr>
        <w:t>Options granted under the Plan continue to vest until the last day of employment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and generally vest over four years and expire 10 years from the date of grant. The fair value of the stock options granted w </w:t>
      </w:r>
      <w:r>
        <w:rPr>
          <w:rFonts w:ascii="Arial" w:cs="Arial" w:eastAsia="Arial" w:hAnsi="Arial"/>
          <w:sz w:val="12"/>
          <w:szCs w:val="12"/>
          <w:color w:val="auto"/>
          <w:highlight w:val="white"/>
        </w:rPr>
        <w:t>as estimated using the following assumptions in the Black-Scholes option pricing model:</w:t>
      </w:r>
    </w:p>
    <w:p>
      <w:pPr>
        <w:spacing w:after="0" w:line="93"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3700" w:type="dxa"/>
            <w:vAlign w:val="bottom"/>
          </w:tcPr>
          <w:p>
            <w:pPr>
              <w:spacing w:after="0"/>
              <w:rPr>
                <w:sz w:val="10"/>
                <w:szCs w:val="10"/>
                <w:color w:val="auto"/>
              </w:rPr>
            </w:pPr>
          </w:p>
        </w:tc>
        <w:tc>
          <w:tcPr>
            <w:tcW w:w="2260" w:type="dxa"/>
            <w:vAlign w:val="bottom"/>
            <w:gridSpan w:val="3"/>
          </w:tcPr>
          <w:p>
            <w:pPr>
              <w:ind w:left="48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67"/>
        </w:trPr>
        <w:tc>
          <w:tcPr>
            <w:tcW w:w="3700" w:type="dxa"/>
            <w:vAlign w:val="bottom"/>
          </w:tcPr>
          <w:p>
            <w:pPr>
              <w:spacing w:after="0"/>
              <w:rPr>
                <w:sz w:val="5"/>
                <w:szCs w:val="5"/>
                <w:color w:val="auto"/>
              </w:rPr>
            </w:pPr>
          </w:p>
        </w:tc>
        <w:tc>
          <w:tcPr>
            <w:tcW w:w="1120" w:type="dxa"/>
            <w:vAlign w:val="bottom"/>
          </w:tcPr>
          <w:p>
            <w:pPr>
              <w:ind w:left="480"/>
              <w:spacing w:after="0" w:line="67" w:lineRule="exact"/>
              <w:rPr>
                <w:sz w:val="20"/>
                <w:szCs w:val="20"/>
                <w:color w:val="auto"/>
              </w:rPr>
            </w:pPr>
            <w:r>
              <w:rPr>
                <w:rFonts w:ascii="Arial" w:cs="Arial" w:eastAsia="Arial" w:hAnsi="Arial"/>
                <w:sz w:val="7"/>
                <w:szCs w:val="7"/>
                <w:b w:val="1"/>
                <w:bCs w:val="1"/>
                <w:color w:val="auto"/>
              </w:rPr>
              <w:t>,</w:t>
            </w:r>
          </w:p>
        </w:tc>
        <w:tc>
          <w:tcPr>
            <w:tcW w:w="1140" w:type="dxa"/>
            <w:vAlign w:val="bottom"/>
            <w:gridSpan w:val="2"/>
            <w:vMerge w:val="restart"/>
          </w:tcPr>
          <w:p>
            <w:pPr>
              <w:jc w:val="right"/>
              <w:ind w:right="378"/>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120" w:type="dxa"/>
            <w:vAlign w:val="bottom"/>
          </w:tcPr>
          <w:p>
            <w:pPr>
              <w:jc w:val="right"/>
              <w:ind w:right="384"/>
              <w:spacing w:after="0"/>
              <w:rPr>
                <w:sz w:val="20"/>
                <w:szCs w:val="20"/>
                <w:color w:val="auto"/>
              </w:rPr>
            </w:pPr>
            <w:r>
              <w:rPr>
                <w:rFonts w:ascii="Arial" w:cs="Arial" w:eastAsia="Arial" w:hAnsi="Arial"/>
                <w:sz w:val="11"/>
                <w:szCs w:val="11"/>
                <w:b w:val="1"/>
                <w:bCs w:val="1"/>
                <w:color w:val="auto"/>
              </w:rPr>
              <w:t>2025</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00" w:type="dxa"/>
            <w:vAlign w:val="bottom"/>
            <w:tcBorders>
              <w:top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shd w:val="clear" w:color="auto" w:fill="CCEEFF"/>
              </w:rPr>
              <w:t>.................................................................................</w:t>
            </w:r>
            <w:r>
              <w:rPr>
                <w:rFonts w:ascii="Arial" w:cs="Arial" w:eastAsia="Arial" w:hAnsi="Arial"/>
                <w:sz w:val="12"/>
                <w:szCs w:val="12"/>
                <w:color w:val="000000"/>
                <w:shd w:val="clear" w:color="auto" w:fill="CCEEFF"/>
              </w:rPr>
              <w:t>Expectedvolatility</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56.76% - 58.49%</w:t>
            </w:r>
          </w:p>
        </w:tc>
        <w:tc>
          <w:tcPr>
            <w:tcW w:w="4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58.93% - 60.19%</w:t>
            </w:r>
          </w:p>
        </w:tc>
        <w:tc>
          <w:tcPr>
            <w:tcW w:w="0" w:type="dxa"/>
            <w:vAlign w:val="bottom"/>
          </w:tcPr>
          <w:p>
            <w:pPr>
              <w:spacing w:after="0"/>
              <w:rPr>
                <w:sz w:val="1"/>
                <w:szCs w:val="1"/>
                <w:color w:val="auto"/>
              </w:rPr>
            </w:pPr>
          </w:p>
        </w:tc>
      </w:tr>
      <w:tr>
        <w:trPr>
          <w:trHeight w:val="173"/>
        </w:trPr>
        <w:tc>
          <w:tcPr>
            <w:tcW w:w="3700" w:type="dxa"/>
            <w:vAlign w:val="bottom"/>
          </w:tcPr>
          <w:p>
            <w:pPr>
              <w:jc w:val="right"/>
              <w:ind w:right="38"/>
              <w:spacing w:after="0"/>
              <w:rPr>
                <w:sz w:val="20"/>
                <w:szCs w:val="20"/>
                <w:color w:val="auto"/>
              </w:rPr>
            </w:pPr>
            <w:r>
              <w:rPr>
                <w:rFonts w:ascii="Arial" w:cs="Arial" w:eastAsia="Arial" w:hAnsi="Arial"/>
                <w:sz w:val="12"/>
                <w:szCs w:val="12"/>
                <w:color w:val="auto"/>
              </w:rPr>
              <w:t xml:space="preserve">Risk-free interest rate </w:t>
            </w:r>
            <w:r>
              <w:rPr>
                <w:rFonts w:ascii="Times New Roman" w:cs="Times New Roman" w:eastAsia="Times New Roman" w:hAnsi="Times New Roman"/>
                <w:sz w:val="12"/>
                <w:szCs w:val="12"/>
                <w:color w:val="B4B4B4"/>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3.93% - 4.07%</w:t>
            </w: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4.33% - 4.60%</w:t>
            </w:r>
          </w:p>
        </w:tc>
        <w:tc>
          <w:tcPr>
            <w:tcW w:w="0" w:type="dxa"/>
            <w:vAlign w:val="bottom"/>
          </w:tcPr>
          <w:p>
            <w:pPr>
              <w:spacing w:after="0"/>
              <w:rPr>
                <w:sz w:val="1"/>
                <w:szCs w:val="1"/>
                <w:color w:val="auto"/>
              </w:rPr>
            </w:pPr>
          </w:p>
        </w:tc>
      </w:tr>
      <w:tr>
        <w:trPr>
          <w:trHeight w:val="190"/>
        </w:trPr>
        <w:tc>
          <w:tcPr>
            <w:tcW w:w="370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 xml:space="preserve">Expected term (in years) </w:t>
            </w:r>
            <w:r>
              <w:rPr>
                <w:rFonts w:ascii="Times New Roman" w:cs="Times New Roman" w:eastAsia="Times New Roman" w:hAnsi="Times New Roman"/>
                <w:sz w:val="12"/>
                <w:szCs w:val="12"/>
                <w:color w:val="B4B4B4"/>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5.23 - 6.07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5.41 - 6.06</w:t>
            </w:r>
          </w:p>
        </w:tc>
        <w:tc>
          <w:tcPr>
            <w:tcW w:w="0" w:type="dxa"/>
            <w:vAlign w:val="bottom"/>
          </w:tcPr>
          <w:p>
            <w:pPr>
              <w:spacing w:after="0"/>
              <w:rPr>
                <w:sz w:val="1"/>
                <w:szCs w:val="1"/>
                <w:color w:val="auto"/>
              </w:rPr>
            </w:pPr>
          </w:p>
        </w:tc>
      </w:tr>
      <w:tr>
        <w:trPr>
          <w:trHeight w:val="182"/>
        </w:trPr>
        <w:tc>
          <w:tcPr>
            <w:tcW w:w="3700" w:type="dxa"/>
            <w:vAlign w:val="bottom"/>
          </w:tcPr>
          <w:p>
            <w:pPr>
              <w:jc w:val="right"/>
              <w:ind w:right="38"/>
              <w:spacing w:after="0"/>
              <w:rPr>
                <w:sz w:val="20"/>
                <w:szCs w:val="20"/>
                <w:color w:val="auto"/>
              </w:rPr>
            </w:pPr>
            <w:r>
              <w:rPr>
                <w:rFonts w:ascii="Arial" w:cs="Arial" w:eastAsia="Arial" w:hAnsi="Arial"/>
                <w:sz w:val="12"/>
                <w:szCs w:val="12"/>
                <w:color w:val="auto"/>
              </w:rPr>
              <w:t xml:space="preserve">Expected dividend yield </w:t>
            </w:r>
            <w:r>
              <w:rPr>
                <w:rFonts w:ascii="Times New Roman" w:cs="Times New Roman" w:eastAsia="Times New Roman" w:hAnsi="Times New Roman"/>
                <w:sz w:val="12"/>
                <w:szCs w:val="12"/>
                <w:color w:val="B4B4B4"/>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 %</w:t>
            </w:r>
          </w:p>
        </w:tc>
        <w:tc>
          <w:tcPr>
            <w:tcW w:w="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520" w:right="1740" w:firstLine="230"/>
        <w:spacing w:after="0" w:line="270" w:lineRule="auto"/>
        <w:rPr>
          <w:sz w:val="20"/>
          <w:szCs w:val="20"/>
          <w:color w:val="auto"/>
        </w:rPr>
      </w:pPr>
      <w:r>
        <w:rPr>
          <w:rFonts w:ascii="Arial" w:cs="Arial" w:eastAsia="Arial" w:hAnsi="Arial"/>
          <w:sz w:val="12"/>
          <w:szCs w:val="12"/>
          <w:i w:val="1"/>
          <w:iCs w:val="1"/>
          <w:color w:val="auto"/>
        </w:rPr>
        <w:t xml:space="preserve">Fair Value of Common Stock </w:t>
      </w:r>
      <w:r>
        <w:rPr>
          <w:rFonts w:ascii="Arial" w:cs="Arial" w:eastAsia="Arial" w:hAnsi="Arial"/>
          <w:sz w:val="12"/>
          <w:szCs w:val="12"/>
          <w:color w:val="auto"/>
        </w:rPr>
        <w:t>— Given the absence of a public trading market, the fair value of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Company’s common stock is determined by the Board of Directors based on a number of factors, including contemporaneous valuations of common stock performed by an unrelated valuation specialist, developments in the business and stage of development, the Company’s operational and financial performance and condition, issuances of redeemable convertible preferred stock and the rights and preferences of redeemable convertible preferred stock relative to common stock, current condition of capital markets and the likelihood of achieving a liquidity event, such as an initial public offering or sale of the Company, and the lack of marketability of the Company’s common stock. For financial reporting purposes, the Company considered the amount of time between the valuation date and the grant date to determine whether to use the latest common stock valuation or a straight-line interpolation between the two valuation dates. The determination included an evaluation of whether the subsequent valuation indicated that any significant change in valuation had occurred between the previous valuation and the grant date.</w:t>
      </w:r>
    </w:p>
    <w:p>
      <w:pPr>
        <w:spacing w:after="0" w:line="242" w:lineRule="exact"/>
        <w:rPr>
          <w:sz w:val="20"/>
          <w:szCs w:val="20"/>
          <w:color w:val="auto"/>
        </w:rPr>
      </w:pPr>
    </w:p>
    <w:p>
      <w:pPr>
        <w:ind w:left="1520" w:right="1800" w:firstLine="230"/>
        <w:spacing w:after="0" w:line="305" w:lineRule="auto"/>
        <w:rPr>
          <w:sz w:val="20"/>
          <w:szCs w:val="20"/>
          <w:color w:val="auto"/>
        </w:rPr>
      </w:pPr>
      <w:r>
        <w:rPr>
          <w:rFonts w:ascii="Arial" w:cs="Arial" w:eastAsia="Arial" w:hAnsi="Arial"/>
          <w:sz w:val="12"/>
          <w:szCs w:val="12"/>
          <w:i w:val="1"/>
          <w:iCs w:val="1"/>
          <w:color w:val="auto"/>
        </w:rPr>
        <w:t xml:space="preserve">Dividend Yield </w:t>
      </w:r>
      <w:r>
        <w:rPr>
          <w:rFonts w:ascii="Arial" w:cs="Arial" w:eastAsia="Arial" w:hAnsi="Arial"/>
          <w:sz w:val="12"/>
          <w:szCs w:val="12"/>
          <w:color w:val="auto"/>
        </w:rPr>
        <w:t>— The Company has never declared or paid any cash dividends and does not</w:t>
      </w:r>
      <w:r>
        <w:rPr>
          <w:rFonts w:ascii="Arial" w:cs="Arial" w:eastAsia="Arial" w:hAnsi="Arial"/>
          <w:sz w:val="12"/>
          <w:szCs w:val="12"/>
          <w:i w:val="1"/>
          <w:iCs w:val="1"/>
          <w:color w:val="auto"/>
        </w:rPr>
        <w:t xml:space="preserve"> </w:t>
      </w:r>
      <w:r>
        <w:rPr>
          <w:rFonts w:ascii="Arial" w:cs="Arial" w:eastAsia="Arial" w:hAnsi="Arial"/>
          <w:sz w:val="12"/>
          <w:szCs w:val="12"/>
          <w:color w:val="auto"/>
        </w:rPr>
        <w:t>presently plan to pay cash dividends in the foreseeable future and applied an expected dividend yield of zero.</w:t>
      </w:r>
    </w:p>
    <w:p>
      <w:pPr>
        <w:spacing w:after="0" w:line="223" w:lineRule="exact"/>
        <w:rPr>
          <w:sz w:val="20"/>
          <w:szCs w:val="20"/>
          <w:color w:val="auto"/>
        </w:rPr>
      </w:pPr>
    </w:p>
    <w:p>
      <w:pPr>
        <w:ind w:left="1520" w:right="1720" w:firstLine="230"/>
        <w:spacing w:after="0" w:line="312" w:lineRule="auto"/>
        <w:rPr>
          <w:sz w:val="20"/>
          <w:szCs w:val="20"/>
          <w:color w:val="auto"/>
        </w:rPr>
      </w:pPr>
      <w:r>
        <w:rPr>
          <w:rFonts w:ascii="Arial" w:cs="Arial" w:eastAsia="Arial" w:hAnsi="Arial"/>
          <w:sz w:val="12"/>
          <w:szCs w:val="12"/>
          <w:i w:val="1"/>
          <w:iCs w:val="1"/>
          <w:color w:val="auto"/>
        </w:rPr>
        <w:t xml:space="preserve">Risk-Free Interest Rate </w:t>
      </w:r>
      <w:r>
        <w:rPr>
          <w:rFonts w:ascii="Arial" w:cs="Arial" w:eastAsia="Arial" w:hAnsi="Arial"/>
          <w:sz w:val="12"/>
          <w:szCs w:val="12"/>
          <w:color w:val="auto"/>
        </w:rPr>
        <w:t>— The risk-free interest rate is based on the yield available on U.S. Treasury</w:t>
      </w:r>
      <w:r>
        <w:rPr>
          <w:rFonts w:ascii="Arial" w:cs="Arial" w:eastAsia="Arial" w:hAnsi="Arial"/>
          <w:sz w:val="12"/>
          <w:szCs w:val="12"/>
          <w:i w:val="1"/>
          <w:iCs w:val="1"/>
          <w:color w:val="auto"/>
        </w:rPr>
        <w:t xml:space="preserve"> </w:t>
      </w:r>
      <w:r>
        <w:rPr>
          <w:rFonts w:ascii="Arial" w:cs="Arial" w:eastAsia="Arial" w:hAnsi="Arial"/>
          <w:sz w:val="12"/>
          <w:szCs w:val="12"/>
          <w:color w:val="auto"/>
        </w:rPr>
        <w:t>zero-coupon issues with a term that approximates the expected term of the option.</w:t>
      </w:r>
    </w:p>
    <w:p>
      <w:pPr>
        <w:spacing w:after="0" w:line="62" w:lineRule="exact"/>
        <w:rPr>
          <w:sz w:val="20"/>
          <w:szCs w:val="20"/>
          <w:color w:val="auto"/>
        </w:rPr>
      </w:pPr>
    </w:p>
    <w:p>
      <w:pPr>
        <w:ind w:left="1520" w:right="1960" w:firstLine="230"/>
        <w:spacing w:after="0" w:line="289" w:lineRule="auto"/>
        <w:rPr>
          <w:sz w:val="20"/>
          <w:szCs w:val="20"/>
          <w:color w:val="auto"/>
        </w:rPr>
      </w:pPr>
      <w:r>
        <w:rPr>
          <w:rFonts w:ascii="Arial" w:cs="Arial" w:eastAsia="Arial" w:hAnsi="Arial"/>
          <w:sz w:val="12"/>
          <w:szCs w:val="12"/>
          <w:i w:val="1"/>
          <w:iCs w:val="1"/>
          <w:color w:val="auto"/>
        </w:rPr>
        <w:t xml:space="preserve">Expected Volatility </w:t>
      </w:r>
      <w:r>
        <w:rPr>
          <w:rFonts w:ascii="Arial" w:cs="Arial" w:eastAsia="Arial" w:hAnsi="Arial"/>
          <w:sz w:val="12"/>
          <w:szCs w:val="12"/>
          <w:color w:val="auto"/>
        </w:rPr>
        <w:t>— The volatility is derived from the average historical stock volatilities of peer</w:t>
      </w:r>
      <w:r>
        <w:rPr>
          <w:rFonts w:ascii="Arial" w:cs="Arial" w:eastAsia="Arial" w:hAnsi="Arial"/>
          <w:sz w:val="12"/>
          <w:szCs w:val="12"/>
          <w:i w:val="1"/>
          <w:iCs w:val="1"/>
          <w:color w:val="auto"/>
        </w:rPr>
        <w:t xml:space="preserve"> </w:t>
      </w:r>
      <w:r>
        <w:rPr>
          <w:rFonts w:ascii="Arial" w:cs="Arial" w:eastAsia="Arial" w:hAnsi="Arial"/>
          <w:sz w:val="12"/>
          <w:szCs w:val="12"/>
          <w:color w:val="auto"/>
        </w:rPr>
        <w:t>group public companies that the Company considers to be comparable to its business over a period equivalent to the expected term of the stock-based grants.</w:t>
      </w:r>
    </w:p>
    <w:p>
      <w:pPr>
        <w:spacing w:after="0" w:line="76" w:lineRule="exact"/>
        <w:rPr>
          <w:sz w:val="20"/>
          <w:szCs w:val="20"/>
          <w:color w:val="auto"/>
        </w:rPr>
      </w:pPr>
    </w:p>
    <w:p>
      <w:pPr>
        <w:ind w:left="1520" w:right="1680" w:firstLine="230"/>
        <w:spacing w:after="0" w:line="277" w:lineRule="auto"/>
        <w:rPr>
          <w:sz w:val="20"/>
          <w:szCs w:val="20"/>
          <w:color w:val="auto"/>
        </w:rPr>
      </w:pPr>
      <w:r>
        <w:rPr>
          <w:rFonts w:ascii="Arial" w:cs="Arial" w:eastAsia="Arial" w:hAnsi="Arial"/>
          <w:sz w:val="12"/>
          <w:szCs w:val="12"/>
          <w:i w:val="1"/>
          <w:iCs w:val="1"/>
          <w:color w:val="auto"/>
        </w:rPr>
        <w:t xml:space="preserve">Expected Term </w:t>
      </w:r>
      <w:r>
        <w:rPr>
          <w:rFonts w:ascii="Arial" w:cs="Arial" w:eastAsia="Arial" w:hAnsi="Arial"/>
          <w:sz w:val="12"/>
          <w:szCs w:val="12"/>
          <w:color w:val="auto"/>
        </w:rPr>
        <w:t>— The expected term represents the period that stock-based awards are expected to</w:t>
      </w:r>
      <w:r>
        <w:rPr>
          <w:rFonts w:ascii="Arial" w:cs="Arial" w:eastAsia="Arial" w:hAnsi="Arial"/>
          <w:sz w:val="12"/>
          <w:szCs w:val="12"/>
          <w:i w:val="1"/>
          <w:iCs w:val="1"/>
          <w:color w:val="auto"/>
        </w:rPr>
        <w:t xml:space="preserve"> </w:t>
      </w:r>
      <w:r>
        <w:rPr>
          <w:rFonts w:ascii="Arial" w:cs="Arial" w:eastAsia="Arial" w:hAnsi="Arial"/>
          <w:sz w:val="12"/>
          <w:szCs w:val="12"/>
          <w:color w:val="auto"/>
        </w:rPr>
        <w:t>be outstanding. Since the Company did not have sufficient historical information to develop reasonable expectations about future exercise behavior, the expected term for options issued to employees was calculated as the mean of the option vesting period and contractual term (the “Simplified Method”). The expected term for options issued to non-employees is the contractual term.</w:t>
      </w:r>
    </w:p>
    <w:p>
      <w:pPr>
        <w:spacing w:after="0" w:line="84" w:lineRule="exact"/>
        <w:rPr>
          <w:sz w:val="20"/>
          <w:szCs w:val="20"/>
          <w:color w:val="auto"/>
        </w:rPr>
      </w:pPr>
    </w:p>
    <w:p>
      <w:pPr>
        <w:ind w:left="1520" w:right="1580" w:firstLine="230"/>
        <w:spacing w:after="0" w:line="275" w:lineRule="auto"/>
        <w:rPr>
          <w:sz w:val="20"/>
          <w:szCs w:val="20"/>
          <w:color w:val="auto"/>
        </w:rPr>
      </w:pPr>
      <w:r>
        <w:rPr>
          <w:rFonts w:ascii="Arial" w:cs="Arial" w:eastAsia="Arial" w:hAnsi="Arial"/>
          <w:sz w:val="12"/>
          <w:szCs w:val="12"/>
          <w:b w:val="1"/>
          <w:bCs w:val="1"/>
          <w:color w:val="auto"/>
        </w:rPr>
        <w:t xml:space="preserve">Stock Option Modifications — </w:t>
      </w:r>
      <w:r>
        <w:rPr>
          <w:rFonts w:ascii="Arial" w:cs="Arial" w:eastAsia="Arial" w:hAnsi="Arial"/>
          <w:sz w:val="12"/>
          <w:szCs w:val="12"/>
          <w:color w:val="auto"/>
        </w:rPr>
        <w:t>During the six months ended July 31, 2025 , the Company modified</w:t>
      </w:r>
      <w:r>
        <w:rPr>
          <w:rFonts w:ascii="Arial" w:cs="Arial" w:eastAsia="Arial" w:hAnsi="Arial"/>
          <w:sz w:val="12"/>
          <w:szCs w:val="12"/>
          <w:b w:val="1"/>
          <w:bCs w:val="1"/>
          <w:color w:val="auto"/>
        </w:rPr>
        <w:t xml:space="preserve"> </w:t>
      </w:r>
      <w:r>
        <w:rPr>
          <w:rFonts w:ascii="Arial" w:cs="Arial" w:eastAsia="Arial" w:hAnsi="Arial"/>
          <w:sz w:val="12"/>
          <w:szCs w:val="12"/>
          <w:color w:val="auto"/>
        </w:rPr>
        <w:t>certain stock option awards in connection with the termination of one former employee to extend the post-termination exercise period. The Company measured the modification charge as the difference between the fair value of the modified awards and the fair value of the original awards immediately prior to the modification. The incremental fair value associated with the modified awards during the six months ended July 31, 2025 was $0.3 million, which was recognized at the modification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F-71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ind w:left="1520" w:right="1940" w:firstLine="230"/>
        <w:spacing w:after="0" w:line="312" w:lineRule="auto"/>
        <w:rPr>
          <w:sz w:val="20"/>
          <w:szCs w:val="20"/>
          <w:color w:val="auto"/>
        </w:rPr>
      </w:pPr>
      <w:r>
        <w:rPr>
          <w:rFonts w:ascii="Arial" w:cs="Arial" w:eastAsia="Arial" w:hAnsi="Arial"/>
          <w:sz w:val="12"/>
          <w:szCs w:val="12"/>
          <w:color w:val="auto"/>
          <w:highlight w:val="white"/>
        </w:rPr>
        <w:t xml:space="preserve">The following table summarizes stock option activity for the six months ended </w:t>
      </w:r>
      <w:r>
        <w:rPr>
          <w:rFonts w:ascii="Arial" w:cs="Arial" w:eastAsia="Arial" w:hAnsi="Arial"/>
          <w:sz w:val="12"/>
          <w:szCs w:val="12"/>
          <w:color w:val="auto"/>
        </w:rPr>
        <w:t>July 31, 2025 (in</w:t>
      </w:r>
      <w:r>
        <w:rPr>
          <w:rFonts w:ascii="Arial" w:cs="Arial" w:eastAsia="Arial" w:hAnsi="Arial"/>
          <w:sz w:val="12"/>
          <w:szCs w:val="12"/>
          <w:color w:val="auto"/>
          <w:highlight w:val="white"/>
        </w:rPr>
        <w:t xml:space="preserve"> thousands, except price per share, share and years data):</w:t>
      </w:r>
    </w:p>
    <w:p>
      <w:pPr>
        <w:sectPr>
          <w:pgSz w:w="11900" w:h="16840" w:orient="portrait"/>
          <w:cols w:equalWidth="0" w:num="1">
            <w:col w:w="9020"/>
          </w:cols>
          <w:pgMar w:left="1440" w:top="560" w:right="1440" w:bottom="0" w:gutter="0" w:footer="0" w:header="0"/>
        </w:sectPr>
      </w:pPr>
    </w:p>
    <w:bookmarkStart w:id="207" w:name="page208"/>
    <w:bookmarkEnd w:id="207"/>
    <w:tbl>
      <w:tblPr>
        <w:tblLayout w:type="fixed"/>
        <w:tblInd w:w="1520" w:type="dxa"/>
        <w:tblCellMar>
          <w:top w:w="0" w:type="dxa"/>
          <w:left w:w="0" w:type="dxa"/>
          <w:bottom w:w="0" w:type="dxa"/>
          <w:right w:w="0" w:type="dxa"/>
        </w:tblCellMar>
      </w:tblPr>
      <w:tr>
        <w:trPr>
          <w:trHeight w:val="126"/>
        </w:trPr>
        <w:tc>
          <w:tcPr>
            <w:tcW w:w="2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3"/>
              </w:rPr>
              <w:t>Weighted-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6"/>
              </w:rPr>
              <w:t>Average</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81"/>
              <w:spacing w:after="0" w:line="125" w:lineRule="exact"/>
              <w:rPr>
                <w:sz w:val="20"/>
                <w:szCs w:val="20"/>
                <w:color w:val="auto"/>
              </w:rPr>
            </w:pPr>
            <w:r>
              <w:rPr>
                <w:rFonts w:ascii="Arial" w:cs="Arial" w:eastAsia="Arial" w:hAnsi="Arial"/>
                <w:sz w:val="11"/>
                <w:szCs w:val="11"/>
                <w:b w:val="1"/>
                <w:bCs w:val="1"/>
                <w:color w:val="auto"/>
                <w:w w:val="93"/>
              </w:rPr>
              <w:t>Weighted-</w:t>
            </w:r>
          </w:p>
        </w:tc>
        <w:tc>
          <w:tcPr>
            <w:tcW w:w="20" w:type="dxa"/>
            <w:vAlign w:val="bottom"/>
          </w:tcPr>
          <w:p>
            <w:pPr>
              <w:spacing w:after="0"/>
              <w:rPr>
                <w:sz w:val="10"/>
                <w:szCs w:val="10"/>
                <w:color w:val="auto"/>
              </w:rPr>
            </w:pPr>
          </w:p>
        </w:tc>
        <w:tc>
          <w:tcPr>
            <w:tcW w:w="8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2"/>
              </w:rPr>
              <w:t>Remaining</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540" w:type="dxa"/>
            <w:vAlign w:val="bottom"/>
          </w:tcPr>
          <w:p>
            <w:pPr>
              <w:spacing w:after="0"/>
              <w:rPr>
                <w:sz w:val="10"/>
                <w:szCs w:val="10"/>
                <w:color w:val="auto"/>
              </w:rPr>
            </w:pPr>
          </w:p>
        </w:tc>
        <w:tc>
          <w:tcPr>
            <w:tcW w:w="8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4"/>
              </w:rPr>
              <w:t>Number of</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81"/>
              <w:spacing w:after="0" w:line="125" w:lineRule="exact"/>
              <w:rPr>
                <w:sz w:val="20"/>
                <w:szCs w:val="20"/>
                <w:color w:val="auto"/>
              </w:rPr>
            </w:pPr>
            <w:r>
              <w:rPr>
                <w:rFonts w:ascii="Arial" w:cs="Arial" w:eastAsia="Arial" w:hAnsi="Arial"/>
                <w:sz w:val="11"/>
                <w:szCs w:val="11"/>
                <w:b w:val="1"/>
                <w:bCs w:val="1"/>
                <w:color w:val="auto"/>
                <w:w w:val="96"/>
              </w:rPr>
              <w:t>Average</w:t>
            </w:r>
          </w:p>
        </w:tc>
        <w:tc>
          <w:tcPr>
            <w:tcW w:w="20" w:type="dxa"/>
            <w:vAlign w:val="bottom"/>
          </w:tcPr>
          <w:p>
            <w:pPr>
              <w:spacing w:after="0"/>
              <w:rPr>
                <w:sz w:val="10"/>
                <w:szCs w:val="10"/>
                <w:color w:val="auto"/>
              </w:rPr>
            </w:pPr>
          </w:p>
        </w:tc>
        <w:tc>
          <w:tcPr>
            <w:tcW w:w="8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4"/>
              </w:rPr>
              <w:t>Contractual</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540" w:type="dxa"/>
            <w:vAlign w:val="bottom"/>
          </w:tcPr>
          <w:p>
            <w:pPr>
              <w:spacing w:after="0"/>
              <w:rPr>
                <w:sz w:val="10"/>
                <w:szCs w:val="10"/>
                <w:color w:val="auto"/>
              </w:rPr>
            </w:pPr>
          </w:p>
        </w:tc>
        <w:tc>
          <w:tcPr>
            <w:tcW w:w="8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3"/>
              </w:rPr>
              <w:t>Stock Options</w:t>
            </w:r>
          </w:p>
        </w:tc>
        <w:tc>
          <w:tcPr>
            <w:tcW w:w="40" w:type="dxa"/>
            <w:vAlign w:val="bottom"/>
          </w:tcPr>
          <w:p>
            <w:pPr>
              <w:spacing w:after="0"/>
              <w:rPr>
                <w:sz w:val="10"/>
                <w:szCs w:val="10"/>
                <w:color w:val="auto"/>
              </w:rPr>
            </w:pPr>
          </w:p>
        </w:tc>
        <w:tc>
          <w:tcPr>
            <w:tcW w:w="84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w w:val="95"/>
              </w:rPr>
              <w:t>Exercise Price</w:t>
            </w:r>
          </w:p>
        </w:tc>
        <w:tc>
          <w:tcPr>
            <w:tcW w:w="20" w:type="dxa"/>
            <w:vAlign w:val="bottom"/>
          </w:tcPr>
          <w:p>
            <w:pPr>
              <w:spacing w:after="0"/>
              <w:rPr>
                <w:sz w:val="10"/>
                <w:szCs w:val="10"/>
                <w:color w:val="auto"/>
              </w:rPr>
            </w:pPr>
          </w:p>
        </w:tc>
        <w:tc>
          <w:tcPr>
            <w:tcW w:w="8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Life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ind w:right="99"/>
              <w:spacing w:after="0" w:line="125" w:lineRule="exact"/>
              <w:rPr>
                <w:sz w:val="20"/>
                <w:szCs w:val="20"/>
                <w:color w:val="auto"/>
              </w:rPr>
            </w:pPr>
            <w:r>
              <w:rPr>
                <w:rFonts w:ascii="Arial" w:cs="Arial" w:eastAsia="Arial" w:hAnsi="Arial"/>
                <w:sz w:val="11"/>
                <w:szCs w:val="11"/>
                <w:b w:val="1"/>
                <w:bCs w:val="1"/>
                <w:color w:val="auto"/>
                <w:w w:val="95"/>
              </w:rPr>
              <w:t>Aggregate</w:t>
            </w:r>
          </w:p>
        </w:tc>
        <w:tc>
          <w:tcPr>
            <w:tcW w:w="0" w:type="dxa"/>
            <w:vAlign w:val="bottom"/>
          </w:tcPr>
          <w:p>
            <w:pPr>
              <w:spacing w:after="0"/>
              <w:rPr>
                <w:sz w:val="1"/>
                <w:szCs w:val="1"/>
                <w:color w:val="auto"/>
              </w:rPr>
            </w:pPr>
          </w:p>
        </w:tc>
      </w:tr>
      <w:tr>
        <w:trPr>
          <w:trHeight w:val="153"/>
        </w:trPr>
        <w:tc>
          <w:tcPr>
            <w:tcW w:w="25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Outstanding</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61"/>
              <w:spacing w:after="0"/>
              <w:rPr>
                <w:sz w:val="20"/>
                <w:szCs w:val="20"/>
                <w:color w:val="auto"/>
              </w:rPr>
            </w:pPr>
            <w:r>
              <w:rPr>
                <w:rFonts w:ascii="Arial" w:cs="Arial" w:eastAsia="Arial" w:hAnsi="Arial"/>
                <w:sz w:val="11"/>
                <w:szCs w:val="11"/>
                <w:b w:val="1"/>
                <w:bCs w:val="1"/>
                <w:color w:val="auto"/>
                <w:w w:val="94"/>
              </w:rPr>
              <w:t>per Share</w:t>
            </w:r>
          </w:p>
        </w:tc>
        <w:tc>
          <w:tcPr>
            <w:tcW w:w="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(Years)</w:t>
            </w:r>
          </w:p>
        </w:tc>
        <w:tc>
          <w:tcPr>
            <w:tcW w:w="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Intrinsic Value</w:t>
            </w:r>
          </w:p>
        </w:tc>
        <w:tc>
          <w:tcPr>
            <w:tcW w:w="0" w:type="dxa"/>
            <w:vAlign w:val="bottom"/>
          </w:tcPr>
          <w:p>
            <w:pPr>
              <w:spacing w:after="0"/>
              <w:rPr>
                <w:sz w:val="1"/>
                <w:szCs w:val="1"/>
                <w:color w:val="auto"/>
              </w:rPr>
            </w:pPr>
          </w:p>
        </w:tc>
      </w:tr>
      <w:tr>
        <w:trPr>
          <w:trHeight w:val="172"/>
        </w:trPr>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BalanceasofJanuary31,2025</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40,971,097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12.80</w:t>
            </w: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7.0</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402,471</w:t>
            </w:r>
          </w:p>
        </w:tc>
        <w:tc>
          <w:tcPr>
            <w:tcW w:w="0" w:type="dxa"/>
            <w:vAlign w:val="bottom"/>
          </w:tcPr>
          <w:p>
            <w:pPr>
              <w:spacing w:after="0"/>
              <w:rPr>
                <w:sz w:val="1"/>
                <w:szCs w:val="1"/>
                <w:color w:val="auto"/>
              </w:rPr>
            </w:pPr>
          </w:p>
        </w:tc>
      </w:tr>
      <w:tr>
        <w:trPr>
          <w:trHeight w:val="173"/>
        </w:trPr>
        <w:tc>
          <w:tcPr>
            <w:tcW w:w="2540" w:type="dxa"/>
            <w:vAlign w:val="bottom"/>
          </w:tcPr>
          <w:p>
            <w:pPr>
              <w:jc w:val="right"/>
              <w:ind w:right="18"/>
              <w:spacing w:after="0"/>
              <w:rPr>
                <w:sz w:val="20"/>
                <w:szCs w:val="20"/>
                <w:color w:val="auto"/>
              </w:rPr>
            </w:pPr>
            <w:r>
              <w:rPr>
                <w:rFonts w:ascii="Arial" w:cs="Arial" w:eastAsia="Arial" w:hAnsi="Arial"/>
                <w:sz w:val="12"/>
                <w:szCs w:val="12"/>
                <w:color w:val="auto"/>
              </w:rPr>
              <w:t xml:space="preserve">Granted </w:t>
            </w:r>
            <w:r>
              <w:rPr>
                <w:rFonts w:ascii="Times New Roman" w:cs="Times New Roman" w:eastAsia="Times New Roman" w:hAnsi="Times New Roman"/>
                <w:sz w:val="12"/>
                <w:szCs w:val="12"/>
                <w:color w:val="B4B4B4"/>
              </w:rPr>
              <w:t>..........................................................</w:t>
            </w: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2,574,917</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1"/>
              <w:spacing w:after="0"/>
              <w:rPr>
                <w:sz w:val="20"/>
                <w:szCs w:val="20"/>
                <w:color w:val="auto"/>
              </w:rPr>
            </w:pPr>
            <w:r>
              <w:rPr>
                <w:rFonts w:ascii="Arial" w:cs="Arial" w:eastAsia="Arial" w:hAnsi="Arial"/>
                <w:sz w:val="12"/>
                <w:szCs w:val="12"/>
                <w:color w:val="auto"/>
              </w:rPr>
              <w:t>22.66</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 xml:space="preserve">Exercised </w:t>
            </w:r>
            <w:r>
              <w:rPr>
                <w:rFonts w:ascii="Times New Roman" w:cs="Times New Roman" w:eastAsia="Times New Roman" w:hAnsi="Times New Roman"/>
                <w:sz w:val="12"/>
                <w:szCs w:val="12"/>
                <w:color w:val="B4B4B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(548,401)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10.67</w:t>
            </w:r>
          </w:p>
        </w:tc>
        <w:tc>
          <w:tcPr>
            <w:tcW w:w="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7,412</w:t>
            </w:r>
          </w:p>
        </w:tc>
        <w:tc>
          <w:tcPr>
            <w:tcW w:w="0" w:type="dxa"/>
            <w:vAlign w:val="bottom"/>
          </w:tcPr>
          <w:p>
            <w:pPr>
              <w:spacing w:after="0"/>
              <w:rPr>
                <w:sz w:val="1"/>
                <w:szCs w:val="1"/>
                <w:color w:val="auto"/>
              </w:rPr>
            </w:pPr>
          </w:p>
        </w:tc>
      </w:tr>
      <w:tr>
        <w:trPr>
          <w:trHeight w:val="173"/>
        </w:trPr>
        <w:tc>
          <w:tcPr>
            <w:tcW w:w="25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 xml:space="preserve">Cancelled/forfeited/expired </w:t>
            </w:r>
            <w:r>
              <w:rPr>
                <w:rFonts w:ascii="Times New Roman" w:cs="Times New Roman" w:eastAsia="Times New Roman" w:hAnsi="Times New Roman"/>
                <w:sz w:val="12"/>
                <w:szCs w:val="12"/>
                <w:color w:val="B4B4B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(1,415,880)</w:t>
            </w:r>
          </w:p>
        </w:tc>
        <w:tc>
          <w:tcPr>
            <w:tcW w:w="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EFF"/>
            </w:tcBorders>
          </w:tcPr>
          <w:p>
            <w:pPr>
              <w:jc w:val="right"/>
              <w:ind w:right="21"/>
              <w:spacing w:after="0"/>
              <w:rPr>
                <w:sz w:val="20"/>
                <w:szCs w:val="20"/>
                <w:color w:val="auto"/>
              </w:rPr>
            </w:pPr>
            <w:r>
              <w:rPr>
                <w:rFonts w:ascii="Arial" w:cs="Arial" w:eastAsia="Arial" w:hAnsi="Arial"/>
                <w:sz w:val="12"/>
                <w:szCs w:val="12"/>
                <w:color w:val="auto"/>
              </w:rPr>
              <w:t>16.29</w:t>
            </w:r>
          </w:p>
        </w:tc>
        <w:tc>
          <w:tcPr>
            <w:tcW w:w="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BalanceasofJuly31,2025</w:t>
            </w: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41,581,733</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13.32</w:t>
            </w:r>
          </w:p>
        </w:tc>
        <w:tc>
          <w:tcPr>
            <w:tcW w:w="86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2"/>
                <w:szCs w:val="12"/>
                <w:color w:val="auto"/>
              </w:rPr>
              <w:t>6.6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500,356</w:t>
            </w:r>
          </w:p>
        </w:tc>
        <w:tc>
          <w:tcPr>
            <w:tcW w:w="0" w:type="dxa"/>
            <w:vAlign w:val="bottom"/>
          </w:tcPr>
          <w:p>
            <w:pPr>
              <w:spacing w:after="0"/>
              <w:rPr>
                <w:sz w:val="1"/>
                <w:szCs w:val="1"/>
                <w:color w:val="auto"/>
              </w:rPr>
            </w:pPr>
          </w:p>
        </w:tc>
      </w:tr>
      <w:tr>
        <w:trPr>
          <w:trHeight w:val="104"/>
        </w:trPr>
        <w:tc>
          <w:tcPr>
            <w:tcW w:w="2540" w:type="dxa"/>
            <w:vAlign w:val="bottom"/>
          </w:tcPr>
          <w:p>
            <w:pPr>
              <w:jc w:val="right"/>
              <w:ind w:right="118"/>
              <w:spacing w:after="0" w:line="104" w:lineRule="exact"/>
              <w:rPr>
                <w:sz w:val="20"/>
                <w:szCs w:val="20"/>
                <w:color w:val="auto"/>
              </w:rPr>
            </w:pPr>
            <w:r>
              <w:rPr>
                <w:rFonts w:ascii="Arial" w:cs="Arial" w:eastAsia="Arial" w:hAnsi="Arial"/>
                <w:sz w:val="12"/>
                <w:szCs w:val="12"/>
                <w:color w:val="auto"/>
              </w:rPr>
              <w:t>Vested and expected to vest as of July 31,</w:t>
            </w:r>
          </w:p>
        </w:tc>
        <w:tc>
          <w:tcPr>
            <w:tcW w:w="840" w:type="dxa"/>
            <w:vAlign w:val="bottom"/>
            <w:vMerge w:val="restart"/>
          </w:tcPr>
          <w:p>
            <w:pPr>
              <w:jc w:val="right"/>
              <w:ind w:right="21"/>
              <w:spacing w:after="0"/>
              <w:rPr>
                <w:sz w:val="20"/>
                <w:szCs w:val="20"/>
                <w:color w:val="auto"/>
              </w:rPr>
            </w:pPr>
            <w:r>
              <w:rPr>
                <w:rFonts w:ascii="Arial" w:cs="Arial" w:eastAsia="Arial" w:hAnsi="Arial"/>
                <w:sz w:val="12"/>
                <w:szCs w:val="12"/>
                <w:color w:val="auto"/>
              </w:rPr>
              <w:t>41,581,733</w:t>
            </w:r>
          </w:p>
        </w:tc>
        <w:tc>
          <w:tcPr>
            <w:tcW w:w="16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ind w:right="21"/>
              <w:spacing w:after="0"/>
              <w:rPr>
                <w:sz w:val="20"/>
                <w:szCs w:val="20"/>
                <w:color w:val="auto"/>
              </w:rPr>
            </w:pPr>
            <w:r>
              <w:rPr>
                <w:rFonts w:ascii="Arial" w:cs="Arial" w:eastAsia="Arial" w:hAnsi="Arial"/>
                <w:sz w:val="12"/>
                <w:szCs w:val="12"/>
                <w:color w:val="auto"/>
              </w:rPr>
              <w:t>13.32</w:t>
            </w:r>
          </w:p>
        </w:tc>
        <w:tc>
          <w:tcPr>
            <w:tcW w:w="860" w:type="dxa"/>
            <w:vAlign w:val="bottom"/>
            <w:gridSpan w:val="2"/>
            <w:vMerge w:val="restart"/>
          </w:tcPr>
          <w:p>
            <w:pPr>
              <w:jc w:val="right"/>
              <w:ind w:right="6"/>
              <w:spacing w:after="0"/>
              <w:rPr>
                <w:sz w:val="20"/>
                <w:szCs w:val="20"/>
                <w:color w:val="auto"/>
              </w:rPr>
            </w:pPr>
            <w:r>
              <w:rPr>
                <w:rFonts w:ascii="Arial" w:cs="Arial" w:eastAsia="Arial" w:hAnsi="Arial"/>
                <w:sz w:val="12"/>
                <w:szCs w:val="12"/>
                <w:color w:val="auto"/>
              </w:rPr>
              <w:t>6.6</w:t>
            </w:r>
          </w:p>
        </w:tc>
        <w:tc>
          <w:tcPr>
            <w:tcW w:w="16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ind w:right="19"/>
              <w:spacing w:after="0"/>
              <w:rPr>
                <w:sz w:val="20"/>
                <w:szCs w:val="20"/>
                <w:color w:val="auto"/>
              </w:rPr>
            </w:pPr>
            <w:r>
              <w:rPr>
                <w:rFonts w:ascii="Arial" w:cs="Arial" w:eastAsia="Arial" w:hAnsi="Arial"/>
                <w:sz w:val="12"/>
                <w:szCs w:val="12"/>
                <w:color w:val="auto"/>
              </w:rPr>
              <w:t>500,356</w:t>
            </w:r>
          </w:p>
        </w:tc>
        <w:tc>
          <w:tcPr>
            <w:tcW w:w="0" w:type="dxa"/>
            <w:vAlign w:val="bottom"/>
          </w:tcPr>
          <w:p>
            <w:pPr>
              <w:spacing w:after="0"/>
              <w:rPr>
                <w:sz w:val="1"/>
                <w:szCs w:val="1"/>
                <w:color w:val="auto"/>
              </w:rPr>
            </w:pPr>
          </w:p>
        </w:tc>
      </w:tr>
      <w:tr>
        <w:trPr>
          <w:trHeight w:val="191"/>
        </w:trPr>
        <w:tc>
          <w:tcPr>
            <w:tcW w:w="2540" w:type="dxa"/>
            <w:vAlign w:val="bottom"/>
            <w:tcBorders>
              <w:bottom w:val="single" w:sz="8" w:color="CCEEFF"/>
            </w:tcBorders>
          </w:tcPr>
          <w:p>
            <w:pPr>
              <w:jc w:val="right"/>
              <w:ind w:right="18"/>
              <w:spacing w:after="0"/>
              <w:rPr>
                <w:sz w:val="20"/>
                <w:szCs w:val="20"/>
                <w:color w:val="auto"/>
              </w:rPr>
            </w:pPr>
            <w:r>
              <w:rPr>
                <w:rFonts w:ascii="Arial" w:cs="Arial" w:eastAsia="Arial" w:hAnsi="Arial"/>
                <w:sz w:val="12"/>
                <w:szCs w:val="12"/>
                <w:color w:val="auto"/>
              </w:rPr>
              <w:t>2025</w:t>
            </w:r>
            <w:r>
              <w:rPr>
                <w:rFonts w:ascii="Times New Roman" w:cs="Times New Roman" w:eastAsia="Times New Roman" w:hAnsi="Times New Roman"/>
                <w:sz w:val="12"/>
                <w:szCs w:val="12"/>
                <w:color w:val="B4B4B4"/>
              </w:rPr>
              <w:t>.................................................................</w:t>
            </w: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gridSpan w:val="2"/>
            <w:vMerge w:val="continue"/>
          </w:tcPr>
          <w:p>
            <w:pPr>
              <w:spacing w:after="0"/>
              <w:rPr>
                <w:sz w:val="16"/>
                <w:szCs w:val="16"/>
                <w:color w:val="auto"/>
              </w:rPr>
            </w:pPr>
          </w:p>
        </w:tc>
        <w:tc>
          <w:tcPr>
            <w:tcW w:w="72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CCEEFF"/>
            </w:tcBorders>
            <w:gridSpan w:val="2"/>
            <w:vMerge w:val="continue"/>
          </w:tcPr>
          <w:p>
            <w:pPr>
              <w:spacing w:after="0"/>
              <w:rPr>
                <w:sz w:val="16"/>
                <w:szCs w:val="16"/>
                <w:color w:val="auto"/>
              </w:rPr>
            </w:pPr>
          </w:p>
        </w:tc>
        <w:tc>
          <w:tcPr>
            <w:tcW w:w="70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ExercisableasofJuly31,2025</w:t>
            </w: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33,247,634</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11.99</w:t>
            </w:r>
          </w:p>
        </w:tc>
        <w:tc>
          <w:tcPr>
            <w:tcW w:w="86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2"/>
                <w:szCs w:val="12"/>
                <w:color w:val="auto"/>
              </w:rPr>
              <w:t>6.1</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444,352</w:t>
            </w:r>
          </w:p>
        </w:tc>
        <w:tc>
          <w:tcPr>
            <w:tcW w:w="0" w:type="dxa"/>
            <w:vAlign w:val="bottom"/>
          </w:tcPr>
          <w:p>
            <w:pPr>
              <w:spacing w:after="0"/>
              <w:rPr>
                <w:sz w:val="1"/>
                <w:szCs w:val="1"/>
                <w:color w:val="auto"/>
              </w:rPr>
            </w:pPr>
          </w:p>
        </w:tc>
      </w:tr>
    </w:tbl>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ind w:left="1520" w:right="1700" w:firstLine="230"/>
        <w:spacing w:after="0" w:line="273" w:lineRule="auto"/>
        <w:rPr>
          <w:sz w:val="20"/>
          <w:szCs w:val="20"/>
          <w:color w:val="auto"/>
        </w:rPr>
      </w:pPr>
      <w:r>
        <w:rPr>
          <w:rFonts w:ascii="Arial" w:cs="Arial" w:eastAsia="Arial" w:hAnsi="Arial"/>
          <w:sz w:val="12"/>
          <w:szCs w:val="12"/>
          <w:color w:val="auto"/>
        </w:rPr>
        <w:t>The weighted-average grant date fair value of options granted during the six months ended July 31, 2025 and 2024, was $13.56 and $11.44 per share, respectively. The intrinsic value of options exercised for the six months ended July 31, 2025 and 2024 was $7.4 million and $2.4 million, respectively. The aggregate grant-date fair value of options that vested during the six months ended July 31, 2025 and 2024, was $37.0 million and $35.0 million , respectively. As of July 31, 2025 , there was approximately $123.6 million of unrecognized compensation cost related to unvested stock options granted, which is expected to be recognized over a weighted-average period of 2.3 years.</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Restricted Stock Units with Performance Conditions</w:t>
      </w:r>
    </w:p>
    <w:p>
      <w:pPr>
        <w:spacing w:after="0" w:line="128" w:lineRule="exact"/>
        <w:rPr>
          <w:sz w:val="20"/>
          <w:szCs w:val="20"/>
          <w:color w:val="auto"/>
        </w:rPr>
      </w:pPr>
    </w:p>
    <w:p>
      <w:pPr>
        <w:ind w:left="1520" w:right="1720" w:firstLine="230"/>
        <w:spacing w:after="0" w:line="275" w:lineRule="auto"/>
        <w:rPr>
          <w:sz w:val="20"/>
          <w:szCs w:val="20"/>
          <w:color w:val="auto"/>
        </w:rPr>
      </w:pPr>
      <w:r>
        <w:rPr>
          <w:rFonts w:ascii="Arial" w:cs="Arial" w:eastAsia="Arial" w:hAnsi="Arial"/>
          <w:sz w:val="12"/>
          <w:szCs w:val="12"/>
          <w:color w:val="auto"/>
        </w:rPr>
        <w:t>The Company has granted RSUs that vest upon the satisfaction of both time-based service and performance-based conditions. The time-based service condition for these RSUs is generally four years. The performance-based vesting conditions are satisfied upon a liquidity event, defined as a change of control transaction or following the consummation of an initial public offering. Upon employee termination, RSUs that have satisfied the service condition remain outstanding until the earlier of a liquidity event or the expiration date, which is 10 years from the date of grant.</w:t>
      </w:r>
    </w:p>
    <w:p>
      <w:pPr>
        <w:spacing w:after="0" w:line="85" w:lineRule="exact"/>
        <w:rPr>
          <w:sz w:val="20"/>
          <w:szCs w:val="20"/>
          <w:color w:val="auto"/>
        </w:rPr>
      </w:pPr>
    </w:p>
    <w:p>
      <w:pPr>
        <w:ind w:left="1520" w:right="1860" w:firstLine="230"/>
        <w:spacing w:after="0" w:line="312" w:lineRule="auto"/>
        <w:rPr>
          <w:sz w:val="20"/>
          <w:szCs w:val="20"/>
          <w:color w:val="auto"/>
        </w:rPr>
      </w:pPr>
      <w:r>
        <w:rPr>
          <w:rFonts w:ascii="Arial" w:cs="Arial" w:eastAsia="Arial" w:hAnsi="Arial"/>
          <w:sz w:val="12"/>
          <w:szCs w:val="12"/>
          <w:color w:val="auto"/>
          <w:highlight w:val="white"/>
        </w:rPr>
        <w:t xml:space="preserve">The following table summarizes the activity related to RSUs with performance-based conditions for the six months ended </w:t>
      </w:r>
      <w:r>
        <w:rPr>
          <w:rFonts w:ascii="Arial" w:cs="Arial" w:eastAsia="Arial" w:hAnsi="Arial"/>
          <w:sz w:val="12"/>
          <w:szCs w:val="12"/>
          <w:color w:val="auto"/>
        </w:rPr>
        <w:t>July 31, 2025</w:t>
      </w:r>
      <w:r>
        <w:rPr>
          <w:rFonts w:ascii="Arial" w:cs="Arial" w:eastAsia="Arial" w:hAnsi="Arial"/>
          <w:sz w:val="12"/>
          <w:szCs w:val="12"/>
          <w:color w:val="auto"/>
          <w:highlight w:val="white"/>
        </w:rPr>
        <w:t xml:space="preserve"> :</w:t>
      </w:r>
    </w:p>
    <w:p>
      <w:pPr>
        <w:spacing w:after="0" w:line="99"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840" w:type="dxa"/>
            <w:vAlign w:val="bottom"/>
          </w:tcPr>
          <w:p>
            <w:pPr>
              <w:jc w:val="right"/>
              <w:ind w:right="105"/>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79"/>
              <w:spacing w:after="0"/>
              <w:rPr>
                <w:sz w:val="20"/>
                <w:szCs w:val="20"/>
                <w:color w:val="auto"/>
              </w:rPr>
            </w:pPr>
            <w:r>
              <w:rPr>
                <w:rFonts w:ascii="Arial" w:cs="Arial" w:eastAsia="Arial" w:hAnsi="Arial"/>
                <w:sz w:val="11"/>
                <w:szCs w:val="11"/>
                <w:b w:val="1"/>
                <w:bCs w:val="1"/>
                <w:color w:val="auto"/>
                <w:w w:val="97"/>
              </w:rPr>
              <w:t>Weighted-</w:t>
            </w:r>
          </w:p>
        </w:tc>
        <w:tc>
          <w:tcPr>
            <w:tcW w:w="0" w:type="dxa"/>
            <w:vAlign w:val="bottom"/>
          </w:tcPr>
          <w:p>
            <w:pPr>
              <w:spacing w:after="0"/>
              <w:rPr>
                <w:sz w:val="1"/>
                <w:szCs w:val="1"/>
                <w:color w:val="auto"/>
              </w:rPr>
            </w:pPr>
          </w:p>
        </w:tc>
      </w:tr>
      <w:tr>
        <w:trPr>
          <w:trHeight w:val="124"/>
        </w:trPr>
        <w:tc>
          <w:tcPr>
            <w:tcW w:w="426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b w:val="1"/>
                <w:bCs w:val="1"/>
                <w:color w:val="auto"/>
              </w:rPr>
              <w:t>Shares Subject</w:t>
            </w:r>
          </w:p>
        </w:tc>
        <w:tc>
          <w:tcPr>
            <w:tcW w:w="40" w:type="dxa"/>
            <w:vAlign w:val="bottom"/>
          </w:tcPr>
          <w:p>
            <w:pPr>
              <w:spacing w:after="0"/>
              <w:rPr>
                <w:sz w:val="10"/>
                <w:szCs w:val="10"/>
                <w:color w:val="auto"/>
              </w:rPr>
            </w:pPr>
          </w:p>
        </w:tc>
        <w:tc>
          <w:tcPr>
            <w:tcW w:w="84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w w:val="94"/>
              </w:rPr>
              <w:t>Average Grant</w:t>
            </w:r>
          </w:p>
        </w:tc>
        <w:tc>
          <w:tcPr>
            <w:tcW w:w="0" w:type="dxa"/>
            <w:vAlign w:val="bottom"/>
          </w:tcPr>
          <w:p>
            <w:pPr>
              <w:spacing w:after="0"/>
              <w:rPr>
                <w:sz w:val="1"/>
                <w:szCs w:val="1"/>
                <w:color w:val="auto"/>
              </w:rPr>
            </w:pPr>
          </w:p>
        </w:tc>
      </w:tr>
      <w:tr>
        <w:trPr>
          <w:trHeight w:val="105"/>
        </w:trPr>
        <w:tc>
          <w:tcPr>
            <w:tcW w:w="4260" w:type="dxa"/>
            <w:vAlign w:val="bottom"/>
          </w:tcPr>
          <w:p>
            <w:pPr>
              <w:spacing w:after="0"/>
              <w:rPr>
                <w:sz w:val="9"/>
                <w:szCs w:val="9"/>
                <w:color w:val="auto"/>
              </w:rPr>
            </w:pPr>
          </w:p>
        </w:tc>
        <w:tc>
          <w:tcPr>
            <w:tcW w:w="840" w:type="dxa"/>
            <w:vAlign w:val="bottom"/>
          </w:tcPr>
          <w:p>
            <w:pPr>
              <w:ind w:left="220"/>
              <w:spacing w:after="0" w:line="105" w:lineRule="exact"/>
              <w:rPr>
                <w:sz w:val="20"/>
                <w:szCs w:val="20"/>
                <w:color w:val="auto"/>
              </w:rPr>
            </w:pPr>
            <w:r>
              <w:rPr>
                <w:rFonts w:ascii="Arial" w:cs="Arial" w:eastAsia="Arial" w:hAnsi="Arial"/>
                <w:sz w:val="11"/>
                <w:szCs w:val="11"/>
                <w:b w:val="1"/>
                <w:bCs w:val="1"/>
                <w:color w:val="auto"/>
              </w:rPr>
              <w:t>to RSU</w:t>
            </w:r>
          </w:p>
        </w:tc>
        <w:tc>
          <w:tcPr>
            <w:tcW w:w="40" w:type="dxa"/>
            <w:vAlign w:val="bottom"/>
          </w:tcPr>
          <w:p>
            <w:pPr>
              <w:spacing w:after="0"/>
              <w:rPr>
                <w:sz w:val="9"/>
                <w:szCs w:val="9"/>
                <w:color w:val="auto"/>
              </w:rPr>
            </w:pPr>
          </w:p>
        </w:tc>
        <w:tc>
          <w:tcPr>
            <w:tcW w:w="84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auto"/>
                <w:w w:val="95"/>
              </w:rPr>
              <w:t>Date Fair Value</w:t>
            </w:r>
          </w:p>
        </w:tc>
        <w:tc>
          <w:tcPr>
            <w:tcW w:w="0" w:type="dxa"/>
            <w:vAlign w:val="bottom"/>
          </w:tcPr>
          <w:p>
            <w:pPr>
              <w:spacing w:after="0"/>
              <w:rPr>
                <w:sz w:val="1"/>
                <w:szCs w:val="1"/>
                <w:color w:val="auto"/>
              </w:rPr>
            </w:pPr>
          </w:p>
        </w:tc>
      </w:tr>
      <w:tr>
        <w:trPr>
          <w:trHeight w:val="57"/>
        </w:trPr>
        <w:tc>
          <w:tcPr>
            <w:tcW w:w="4260" w:type="dxa"/>
            <w:vAlign w:val="bottom"/>
            <w:vMerge w:val="restart"/>
          </w:tcPr>
          <w:p>
            <w:pPr>
              <w:ind w:left="40"/>
              <w:spacing w:after="0"/>
              <w:rPr>
                <w:sz w:val="20"/>
                <w:szCs w:val="20"/>
                <w:color w:val="auto"/>
              </w:rPr>
            </w:pPr>
            <w:r>
              <w:rPr>
                <w:rFonts w:ascii="Arial" w:cs="Arial" w:eastAsia="Arial" w:hAnsi="Arial"/>
                <w:sz w:val="12"/>
                <w:szCs w:val="12"/>
                <w:color w:val="auto"/>
              </w:rPr>
              <w:t xml:space="preserve">Unvested balance as of January 31, 2025  </w:t>
            </w:r>
            <w:r>
              <w:rPr>
                <w:rFonts w:ascii="Times New Roman" w:cs="Times New Roman" w:eastAsia="Times New Roman" w:hAnsi="Times New Roman"/>
                <w:sz w:val="12"/>
                <w:szCs w:val="12"/>
                <w:color w:val="B4B4B4"/>
              </w:rPr>
              <w:t>.........................................................</w:t>
            </w:r>
          </w:p>
        </w:tc>
        <w:tc>
          <w:tcPr>
            <w:tcW w:w="840" w:type="dxa"/>
            <w:vAlign w:val="bottom"/>
          </w:tcPr>
          <w:p>
            <w:pPr>
              <w:ind w:left="220"/>
              <w:spacing w:after="0" w:line="47" w:lineRule="exact"/>
              <w:rPr>
                <w:sz w:val="20"/>
                <w:szCs w:val="20"/>
                <w:color w:val="auto"/>
              </w:rPr>
            </w:pPr>
            <w:r>
              <w:rPr>
                <w:rFonts w:ascii="Arial" w:cs="Arial" w:eastAsia="Arial" w:hAnsi="Arial"/>
                <w:sz w:val="5"/>
                <w:szCs w:val="5"/>
                <w:b w:val="1"/>
                <w:bCs w:val="1"/>
                <w:color w:val="auto"/>
              </w:rPr>
              <w:t>s</w:t>
            </w: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4260" w:type="dxa"/>
            <w:vAlign w:val="bottom"/>
            <w:vMerge w:val="continue"/>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2"/>
                <w:szCs w:val="12"/>
                <w:color w:val="auto"/>
              </w:rPr>
              <w:t>4,551,847</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20.14</w:t>
            </w:r>
          </w:p>
        </w:tc>
        <w:tc>
          <w:tcPr>
            <w:tcW w:w="0" w:type="dxa"/>
            <w:vAlign w:val="bottom"/>
          </w:tcPr>
          <w:p>
            <w:pPr>
              <w:spacing w:after="0"/>
              <w:rPr>
                <w:sz w:val="1"/>
                <w:szCs w:val="1"/>
                <w:color w:val="auto"/>
              </w:rPr>
            </w:pPr>
          </w:p>
        </w:tc>
      </w:tr>
      <w:tr>
        <w:trPr>
          <w:trHeight w:val="177"/>
        </w:trPr>
        <w:tc>
          <w:tcPr>
            <w:tcW w:w="4260" w:type="dxa"/>
            <w:vAlign w:val="bottom"/>
          </w:tcPr>
          <w:p>
            <w:pPr>
              <w:ind w:left="180"/>
              <w:spacing w:after="0"/>
              <w:rPr>
                <w:sz w:val="20"/>
                <w:szCs w:val="20"/>
                <w:color w:val="auto"/>
              </w:rPr>
            </w:pPr>
            <w:r>
              <w:rPr>
                <w:rFonts w:ascii="Arial" w:cs="Arial" w:eastAsia="Arial" w:hAnsi="Arial"/>
                <w:sz w:val="12"/>
                <w:szCs w:val="12"/>
                <w:color w:val="auto"/>
              </w:rPr>
              <w:t xml:space="preserve">Granted </w:t>
            </w:r>
            <w:r>
              <w:rPr>
                <w:rFonts w:ascii="Times New Roman" w:cs="Times New Roman" w:eastAsia="Times New Roman" w:hAnsi="Times New Roman"/>
                <w:sz w:val="12"/>
                <w:szCs w:val="12"/>
                <w:color w:val="B4B4B4"/>
              </w:rPr>
              <w:t>................................................................................................................</w:t>
            </w:r>
          </w:p>
        </w:tc>
        <w:tc>
          <w:tcPr>
            <w:tcW w:w="840" w:type="dxa"/>
            <w:vAlign w:val="bottom"/>
          </w:tcPr>
          <w:p>
            <w:pPr>
              <w:jc w:val="right"/>
              <w:ind w:right="5"/>
              <w:spacing w:after="0"/>
              <w:rPr>
                <w:sz w:val="20"/>
                <w:szCs w:val="20"/>
                <w:color w:val="auto"/>
              </w:rPr>
            </w:pPr>
            <w:r>
              <w:rPr>
                <w:rFonts w:ascii="Arial" w:cs="Arial" w:eastAsia="Arial" w:hAnsi="Arial"/>
                <w:sz w:val="12"/>
                <w:szCs w:val="12"/>
                <w:color w:val="auto"/>
              </w:rPr>
              <w:t>2,744,173</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23.30</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Forfeited </w:t>
            </w:r>
            <w:r>
              <w:rPr>
                <w:rFonts w:ascii="Times New Roman" w:cs="Times New Roman" w:eastAsia="Times New Roman" w:hAnsi="Times New Roman"/>
                <w:sz w:val="12"/>
                <w:szCs w:val="12"/>
                <w:color w:val="B4B4B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(153,371)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21.46</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 xml:space="preserve">Vested </w:t>
            </w:r>
            <w:r>
              <w:rPr>
                <w:rFonts w:ascii="Times New Roman" w:cs="Times New Roman" w:eastAsia="Times New Roman" w:hAnsi="Times New Roman"/>
                <w:sz w:val="12"/>
                <w:szCs w:val="12"/>
                <w:color w:val="B4B4B4"/>
              </w:rPr>
              <w:t>..................................................................................................................</w:t>
            </w: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9"/>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UnvestedbalanceasofJuly31,2025</w:t>
            </w:r>
          </w:p>
        </w:tc>
        <w:tc>
          <w:tcPr>
            <w:tcW w:w="8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7,142,649</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21.32</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520" w:right="1860" w:firstLine="230"/>
        <w:spacing w:after="0" w:line="273" w:lineRule="auto"/>
        <w:rPr>
          <w:sz w:val="20"/>
          <w:szCs w:val="20"/>
          <w:color w:val="auto"/>
        </w:rPr>
      </w:pPr>
      <w:r>
        <w:rPr>
          <w:rFonts w:ascii="Arial" w:cs="Arial" w:eastAsia="Arial" w:hAnsi="Arial"/>
          <w:sz w:val="12"/>
          <w:szCs w:val="12"/>
          <w:color w:val="auto"/>
        </w:rPr>
        <w:t>As of July 31, 2025 , no stock-based compensation expense had been recognized for RSUs with performance-based conditions because a liquidity event had not yet occurred. When a liquidity event occurs, the Company will record cumulative stock-based compensation expense using the accelerated attribution method for those RSUs for which the service condition has been satisfied prior to the occurrence of the liquidity event. If the liquidity event had occurred on or was probable as of July 31, 2025, the Company would have recorded cumulative stock-based compensation expense of approximately $61.2 million related to RSUs that had previously satisfied the service condition.</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F-72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ind w:left="1520" w:right="2000"/>
        <w:spacing w:after="0" w:line="289" w:lineRule="auto"/>
        <w:rPr>
          <w:sz w:val="20"/>
          <w:szCs w:val="20"/>
          <w:color w:val="auto"/>
        </w:rPr>
      </w:pPr>
      <w:r>
        <w:rPr>
          <w:rFonts w:ascii="Arial" w:cs="Arial" w:eastAsia="Arial" w:hAnsi="Arial"/>
          <w:sz w:val="12"/>
          <w:szCs w:val="12"/>
          <w:color w:val="auto"/>
        </w:rPr>
        <w:t>Unrecognized stock-based compensation expense related to unvested RSUs that have not met the service condition is $91.1 million , which would be recognized over a weighted-average period of approximately 3.5 years if the liquidity event had occurred on or was probable as of July 31, 2025 .</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Restricted Stock Units with Service-Only Conditions</w:t>
      </w:r>
    </w:p>
    <w:p>
      <w:pPr>
        <w:spacing w:after="0" w:line="128" w:lineRule="exact"/>
        <w:rPr>
          <w:sz w:val="20"/>
          <w:szCs w:val="20"/>
          <w:color w:val="auto"/>
        </w:rPr>
      </w:pPr>
    </w:p>
    <w:p>
      <w:pPr>
        <w:ind w:left="1520" w:right="1880" w:firstLine="230"/>
        <w:spacing w:after="0" w:line="312" w:lineRule="auto"/>
        <w:rPr>
          <w:sz w:val="20"/>
          <w:szCs w:val="20"/>
          <w:color w:val="auto"/>
        </w:rPr>
      </w:pPr>
      <w:r>
        <w:rPr>
          <w:rFonts w:ascii="Arial" w:cs="Arial" w:eastAsia="Arial" w:hAnsi="Arial"/>
          <w:sz w:val="12"/>
          <w:szCs w:val="12"/>
          <w:color w:val="auto"/>
        </w:rPr>
        <w:t>The following table summarizes the activity related to RSUs with service-only conditions for the six months ended July 31, 2025 :</w:t>
      </w:r>
    </w:p>
    <w:p>
      <w:pPr>
        <w:spacing w:after="0" w:line="99"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840" w:type="dxa"/>
            <w:vAlign w:val="bottom"/>
          </w:tcPr>
          <w:p>
            <w:pPr>
              <w:jc w:val="right"/>
              <w:ind w:right="105"/>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79"/>
              <w:spacing w:after="0"/>
              <w:rPr>
                <w:sz w:val="20"/>
                <w:szCs w:val="20"/>
                <w:color w:val="auto"/>
              </w:rPr>
            </w:pPr>
            <w:r>
              <w:rPr>
                <w:rFonts w:ascii="Arial" w:cs="Arial" w:eastAsia="Arial" w:hAnsi="Arial"/>
                <w:sz w:val="11"/>
                <w:szCs w:val="11"/>
                <w:b w:val="1"/>
                <w:bCs w:val="1"/>
                <w:color w:val="auto"/>
                <w:w w:val="97"/>
              </w:rPr>
              <w:t>Weighted-</w:t>
            </w:r>
          </w:p>
        </w:tc>
        <w:tc>
          <w:tcPr>
            <w:tcW w:w="0" w:type="dxa"/>
            <w:vAlign w:val="bottom"/>
          </w:tcPr>
          <w:p>
            <w:pPr>
              <w:spacing w:after="0"/>
              <w:rPr>
                <w:sz w:val="1"/>
                <w:szCs w:val="1"/>
                <w:color w:val="auto"/>
              </w:rPr>
            </w:pPr>
          </w:p>
        </w:tc>
      </w:tr>
      <w:tr>
        <w:trPr>
          <w:trHeight w:val="124"/>
        </w:trPr>
        <w:tc>
          <w:tcPr>
            <w:tcW w:w="426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b w:val="1"/>
                <w:bCs w:val="1"/>
                <w:color w:val="auto"/>
              </w:rPr>
              <w:t>Shares Subject</w:t>
            </w:r>
          </w:p>
        </w:tc>
        <w:tc>
          <w:tcPr>
            <w:tcW w:w="40" w:type="dxa"/>
            <w:vAlign w:val="bottom"/>
          </w:tcPr>
          <w:p>
            <w:pPr>
              <w:spacing w:after="0"/>
              <w:rPr>
                <w:sz w:val="10"/>
                <w:szCs w:val="10"/>
                <w:color w:val="auto"/>
              </w:rPr>
            </w:pPr>
          </w:p>
        </w:tc>
        <w:tc>
          <w:tcPr>
            <w:tcW w:w="84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w w:val="94"/>
              </w:rPr>
              <w:t>Average Grant</w:t>
            </w:r>
          </w:p>
        </w:tc>
        <w:tc>
          <w:tcPr>
            <w:tcW w:w="0" w:type="dxa"/>
            <w:vAlign w:val="bottom"/>
          </w:tcPr>
          <w:p>
            <w:pPr>
              <w:spacing w:after="0"/>
              <w:rPr>
                <w:sz w:val="1"/>
                <w:szCs w:val="1"/>
                <w:color w:val="auto"/>
              </w:rPr>
            </w:pPr>
          </w:p>
        </w:tc>
      </w:tr>
      <w:tr>
        <w:trPr>
          <w:trHeight w:val="105"/>
        </w:trPr>
        <w:tc>
          <w:tcPr>
            <w:tcW w:w="4260" w:type="dxa"/>
            <w:vAlign w:val="bottom"/>
          </w:tcPr>
          <w:p>
            <w:pPr>
              <w:spacing w:after="0"/>
              <w:rPr>
                <w:sz w:val="9"/>
                <w:szCs w:val="9"/>
                <w:color w:val="auto"/>
              </w:rPr>
            </w:pPr>
          </w:p>
        </w:tc>
        <w:tc>
          <w:tcPr>
            <w:tcW w:w="840" w:type="dxa"/>
            <w:vAlign w:val="bottom"/>
          </w:tcPr>
          <w:p>
            <w:pPr>
              <w:ind w:left="220"/>
              <w:spacing w:after="0" w:line="105" w:lineRule="exact"/>
              <w:rPr>
                <w:sz w:val="20"/>
                <w:szCs w:val="20"/>
                <w:color w:val="auto"/>
              </w:rPr>
            </w:pPr>
            <w:r>
              <w:rPr>
                <w:rFonts w:ascii="Arial" w:cs="Arial" w:eastAsia="Arial" w:hAnsi="Arial"/>
                <w:sz w:val="11"/>
                <w:szCs w:val="11"/>
                <w:b w:val="1"/>
                <w:bCs w:val="1"/>
                <w:color w:val="auto"/>
              </w:rPr>
              <w:t>to RSU</w:t>
            </w:r>
          </w:p>
        </w:tc>
        <w:tc>
          <w:tcPr>
            <w:tcW w:w="40" w:type="dxa"/>
            <w:vAlign w:val="bottom"/>
          </w:tcPr>
          <w:p>
            <w:pPr>
              <w:spacing w:after="0"/>
              <w:rPr>
                <w:sz w:val="9"/>
                <w:szCs w:val="9"/>
                <w:color w:val="auto"/>
              </w:rPr>
            </w:pPr>
          </w:p>
        </w:tc>
        <w:tc>
          <w:tcPr>
            <w:tcW w:w="84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auto"/>
                <w:w w:val="95"/>
              </w:rPr>
              <w:t>Date Fair Value</w:t>
            </w:r>
          </w:p>
        </w:tc>
        <w:tc>
          <w:tcPr>
            <w:tcW w:w="0" w:type="dxa"/>
            <w:vAlign w:val="bottom"/>
          </w:tcPr>
          <w:p>
            <w:pPr>
              <w:spacing w:after="0"/>
              <w:rPr>
                <w:sz w:val="1"/>
                <w:szCs w:val="1"/>
                <w:color w:val="auto"/>
              </w:rPr>
            </w:pPr>
          </w:p>
        </w:tc>
      </w:tr>
      <w:tr>
        <w:trPr>
          <w:trHeight w:val="57"/>
        </w:trPr>
        <w:tc>
          <w:tcPr>
            <w:tcW w:w="4260" w:type="dxa"/>
            <w:vAlign w:val="bottom"/>
            <w:vMerge w:val="restart"/>
          </w:tcPr>
          <w:p>
            <w:pPr>
              <w:ind w:left="40"/>
              <w:spacing w:after="0"/>
              <w:rPr>
                <w:sz w:val="20"/>
                <w:szCs w:val="20"/>
                <w:color w:val="auto"/>
              </w:rPr>
            </w:pPr>
            <w:r>
              <w:rPr>
                <w:rFonts w:ascii="Arial" w:cs="Arial" w:eastAsia="Arial" w:hAnsi="Arial"/>
                <w:sz w:val="12"/>
                <w:szCs w:val="12"/>
                <w:color w:val="auto"/>
              </w:rPr>
              <w:t>Unvested balance as of January 31, 2025</w:t>
            </w:r>
          </w:p>
        </w:tc>
        <w:tc>
          <w:tcPr>
            <w:tcW w:w="840" w:type="dxa"/>
            <w:vAlign w:val="bottom"/>
          </w:tcPr>
          <w:p>
            <w:pPr>
              <w:ind w:left="220"/>
              <w:spacing w:after="0" w:line="47" w:lineRule="exact"/>
              <w:rPr>
                <w:sz w:val="20"/>
                <w:szCs w:val="20"/>
                <w:color w:val="auto"/>
              </w:rPr>
            </w:pPr>
            <w:r>
              <w:rPr>
                <w:rFonts w:ascii="Arial" w:cs="Arial" w:eastAsia="Arial" w:hAnsi="Arial"/>
                <w:sz w:val="5"/>
                <w:szCs w:val="5"/>
                <w:b w:val="1"/>
                <w:bCs w:val="1"/>
                <w:color w:val="auto"/>
              </w:rPr>
              <w:t>s</w:t>
            </w:r>
          </w:p>
        </w:tc>
        <w:tc>
          <w:tcPr>
            <w:tcW w:w="40" w:type="dxa"/>
            <w:vAlign w:val="bottom"/>
            <w:vMerge w:val="restart"/>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4260" w:type="dxa"/>
            <w:vAlign w:val="bottom"/>
            <w:vMerge w:val="continue"/>
          </w:tcPr>
          <w:p>
            <w:pPr>
              <w:ind w:left="2420"/>
              <w:spacing w:after="0" w:line="95" w:lineRule="exact"/>
              <w:rPr>
                <w:sz w:val="20"/>
                <w:szCs w:val="20"/>
                <w:color w:val="auto"/>
              </w:rPr>
            </w:pPr>
            <w:r>
              <w:rPr>
                <w:rFonts w:ascii="Times New Roman" w:cs="Times New Roman" w:eastAsia="Times New Roman" w:hAnsi="Times New Roman"/>
                <w:sz w:val="10"/>
                <w:szCs w:val="10"/>
                <w:color w:val="B4B4B4"/>
              </w:rPr>
              <w:t>.........................................................</w:t>
            </w:r>
          </w:p>
        </w:tc>
        <w:tc>
          <w:tcPr>
            <w:tcW w:w="840" w:type="dxa"/>
            <w:vAlign w:val="bottom"/>
          </w:tcPr>
          <w:p>
            <w:pPr>
              <w:jc w:val="right"/>
              <w:ind w:right="5"/>
              <w:spacing w:after="0"/>
              <w:rPr>
                <w:sz w:val="20"/>
                <w:szCs w:val="20"/>
                <w:color w:val="auto"/>
              </w:rPr>
            </w:pPr>
            <w:r>
              <w:rPr>
                <w:rFonts w:ascii="Arial" w:cs="Arial" w:eastAsia="Arial" w:hAnsi="Arial"/>
                <w:sz w:val="12"/>
                <w:szCs w:val="12"/>
                <w:color w:val="auto"/>
              </w:rPr>
              <w:t>102,000</w:t>
            </w:r>
          </w:p>
        </w:tc>
        <w:tc>
          <w:tcPr>
            <w:tcW w:w="4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22.38</w:t>
            </w:r>
          </w:p>
        </w:tc>
        <w:tc>
          <w:tcPr>
            <w:tcW w:w="0" w:type="dxa"/>
            <w:vAlign w:val="bottom"/>
          </w:tcPr>
          <w:p>
            <w:pPr>
              <w:spacing w:after="0"/>
              <w:rPr>
                <w:sz w:val="1"/>
                <w:szCs w:val="1"/>
                <w:color w:val="auto"/>
              </w:rPr>
            </w:pPr>
          </w:p>
        </w:tc>
      </w:tr>
      <w:tr>
        <w:trPr>
          <w:trHeight w:val="177"/>
        </w:trPr>
        <w:tc>
          <w:tcPr>
            <w:tcW w:w="4260" w:type="dxa"/>
            <w:vAlign w:val="bottom"/>
          </w:tcPr>
          <w:p>
            <w:pPr>
              <w:ind w:left="180"/>
              <w:spacing w:after="0"/>
              <w:rPr>
                <w:sz w:val="20"/>
                <w:szCs w:val="20"/>
                <w:color w:val="auto"/>
              </w:rPr>
            </w:pPr>
            <w:r>
              <w:rPr>
                <w:rFonts w:ascii="Arial" w:cs="Arial" w:eastAsia="Arial" w:hAnsi="Arial"/>
                <w:sz w:val="12"/>
                <w:szCs w:val="12"/>
                <w:color w:val="auto"/>
              </w:rPr>
              <w:t xml:space="preserve">Granted </w:t>
            </w:r>
            <w:r>
              <w:rPr>
                <w:rFonts w:ascii="Times New Roman" w:cs="Times New Roman" w:eastAsia="Times New Roman" w:hAnsi="Times New Roman"/>
                <w:sz w:val="12"/>
                <w:szCs w:val="12"/>
                <w:color w:val="B4B4B4"/>
              </w:rPr>
              <w:t>................................................................................................................</w:t>
            </w:r>
          </w:p>
        </w:tc>
        <w:tc>
          <w:tcPr>
            <w:tcW w:w="840" w:type="dxa"/>
            <w:vAlign w:val="bottom"/>
          </w:tcPr>
          <w:p>
            <w:pPr>
              <w:jc w:val="right"/>
              <w:ind w:right="5"/>
              <w:spacing w:after="0"/>
              <w:rPr>
                <w:sz w:val="20"/>
                <w:szCs w:val="20"/>
                <w:color w:val="auto"/>
              </w:rPr>
            </w:pPr>
            <w:r>
              <w:rPr>
                <w:rFonts w:ascii="Arial" w:cs="Arial" w:eastAsia="Arial" w:hAnsi="Arial"/>
                <w:sz w:val="12"/>
                <w:szCs w:val="12"/>
                <w:color w:val="auto"/>
              </w:rPr>
              <w:t>527,117</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23.28</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 xml:space="preserve">Forfeited </w:t>
            </w:r>
            <w:r>
              <w:rPr>
                <w:rFonts w:ascii="Times New Roman" w:cs="Times New Roman" w:eastAsia="Times New Roman" w:hAnsi="Times New Roman"/>
                <w:sz w:val="12"/>
                <w:szCs w:val="12"/>
                <w:color w:val="B4B4B4"/>
              </w:rPr>
              <w:t>...............................................................................................................</w:t>
            </w: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 xml:space="preserve">Vested </w:t>
            </w:r>
            <w:r>
              <w:rPr>
                <w:rFonts w:ascii="Times New Roman" w:cs="Times New Roman" w:eastAsia="Times New Roman" w:hAnsi="Times New Roman"/>
                <w:sz w:val="12"/>
                <w:szCs w:val="12"/>
                <w:color w:val="B4B4B4"/>
              </w:rPr>
              <w:t>..................................................................................................................</w:t>
            </w: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0"/>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UnvestedbalanceasofJuly31,2025</w:t>
            </w:r>
          </w:p>
        </w:tc>
        <w:tc>
          <w:tcPr>
            <w:tcW w:w="8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629,117</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23.14</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520" w:right="1640" w:firstLine="230"/>
        <w:spacing w:after="0" w:line="277" w:lineRule="auto"/>
        <w:rPr>
          <w:sz w:val="20"/>
          <w:szCs w:val="20"/>
          <w:color w:val="auto"/>
        </w:rPr>
      </w:pPr>
      <w:r>
        <w:rPr>
          <w:rFonts w:ascii="Arial" w:cs="Arial" w:eastAsia="Arial" w:hAnsi="Arial"/>
          <w:sz w:val="12"/>
          <w:szCs w:val="12"/>
          <w:color w:val="auto"/>
        </w:rPr>
        <w:t>During the six months ended July 31, 2025 , the Company recognized $1.3 million of stock-based compensation expense for these RSUs. No stock-based compensation expense was recognized for RSUs with service-only conditions during the six months ended July 31, 2024 . As of July 31, 2025 , there was approximately $13.2 million of unrecognized compensation cost related to these unvested RSUs, which is expected to be recognized over a weighted-average period of 3.6 years .</w:t>
      </w:r>
    </w:p>
    <w:p>
      <w:pPr>
        <w:spacing w:after="0" w:line="8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Stock-based Compensation Expense</w:t>
      </w:r>
    </w:p>
    <w:p>
      <w:pPr>
        <w:spacing w:after="0" w:line="128" w:lineRule="exact"/>
        <w:rPr>
          <w:sz w:val="20"/>
          <w:szCs w:val="20"/>
          <w:color w:val="auto"/>
        </w:rPr>
      </w:pPr>
    </w:p>
    <w:p>
      <w:pPr>
        <w:ind w:left="1520" w:right="2320" w:firstLine="230"/>
        <w:spacing w:after="0" w:line="312" w:lineRule="auto"/>
        <w:rPr>
          <w:sz w:val="20"/>
          <w:szCs w:val="20"/>
          <w:color w:val="auto"/>
        </w:rPr>
      </w:pPr>
      <w:r>
        <w:rPr>
          <w:rFonts w:ascii="Arial" w:cs="Arial" w:eastAsia="Arial" w:hAnsi="Arial"/>
          <w:sz w:val="12"/>
          <w:szCs w:val="12"/>
          <w:color w:val="auto"/>
        </w:rPr>
        <w:t>Stock-based compensation is included in the following components of expenses within the condensed consolidated statements of operations (in thousands):</w:t>
      </w:r>
    </w:p>
    <w:p>
      <w:pPr>
        <w:spacing w:after="0" w:line="79" w:lineRule="exact"/>
        <w:rPr>
          <w:sz w:val="20"/>
          <w:szCs w:val="20"/>
          <w:color w:val="auto"/>
        </w:rPr>
      </w:pPr>
    </w:p>
    <w:tbl>
      <w:tblPr>
        <w:tblLayout w:type="fixed"/>
        <w:tblInd w:w="1560" w:type="dxa"/>
        <w:tblCellMar>
          <w:top w:w="0" w:type="dxa"/>
          <w:left w:w="0" w:type="dxa"/>
          <w:bottom w:w="0" w:type="dxa"/>
          <w:right w:w="0" w:type="dxa"/>
        </w:tblCellMar>
      </w:tblPr>
      <w:tr>
        <w:trPr>
          <w:trHeight w:val="126"/>
        </w:trPr>
        <w:tc>
          <w:tcPr>
            <w:tcW w:w="4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gridSpan w:val="3"/>
          </w:tcPr>
          <w:p>
            <w:pPr>
              <w:jc w:val="right"/>
              <w:ind w:right="99"/>
              <w:spacing w:after="0"/>
              <w:rPr>
                <w:sz w:val="20"/>
                <w:szCs w:val="20"/>
                <w:color w:val="auto"/>
              </w:rPr>
            </w:pPr>
            <w:r>
              <w:rPr>
                <w:rFonts w:ascii="Arial" w:cs="Arial" w:eastAsia="Arial" w:hAnsi="Arial"/>
                <w:sz w:val="11"/>
                <w:szCs w:val="11"/>
                <w:b w:val="1"/>
                <w:bCs w:val="1"/>
                <w:color w:val="auto"/>
                <w:w w:val="97"/>
              </w:rPr>
              <w:t>Six Months Ended July 31</w:t>
            </w:r>
          </w:p>
        </w:tc>
        <w:tc>
          <w:tcPr>
            <w:tcW w:w="0" w:type="dxa"/>
            <w:vAlign w:val="bottom"/>
          </w:tcPr>
          <w:p>
            <w:pPr>
              <w:spacing w:after="0"/>
              <w:rPr>
                <w:sz w:val="1"/>
                <w:szCs w:val="1"/>
                <w:color w:val="auto"/>
              </w:rPr>
            </w:pPr>
          </w:p>
        </w:tc>
      </w:tr>
      <w:tr>
        <w:trPr>
          <w:trHeight w:val="67"/>
        </w:trPr>
        <w:tc>
          <w:tcPr>
            <w:tcW w:w="4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jc w:val="right"/>
              <w:ind w:right="543"/>
              <w:spacing w:after="0" w:line="67" w:lineRule="exact"/>
              <w:rPr>
                <w:sz w:val="20"/>
                <w:szCs w:val="20"/>
                <w:color w:val="auto"/>
              </w:rPr>
            </w:pPr>
            <w:r>
              <w:rPr>
                <w:rFonts w:ascii="Arial" w:cs="Arial" w:eastAsia="Arial" w:hAnsi="Arial"/>
                <w:sz w:val="7"/>
                <w:szCs w:val="7"/>
                <w:b w:val="1"/>
                <w:bCs w:val="1"/>
                <w:color w:val="auto"/>
              </w:rPr>
              <w:t>,</w:t>
            </w:r>
          </w:p>
        </w:tc>
        <w:tc>
          <w:tcPr>
            <w:tcW w:w="240" w:type="dxa"/>
            <w:vAlign w:val="bottom"/>
          </w:tcPr>
          <w:p>
            <w:pPr>
              <w:spacing w:after="0"/>
              <w:rPr>
                <w:sz w:val="5"/>
                <w:szCs w:val="5"/>
                <w:color w:val="auto"/>
              </w:rPr>
            </w:pPr>
          </w:p>
        </w:tc>
        <w:tc>
          <w:tcPr>
            <w:tcW w:w="580" w:type="dxa"/>
            <w:vAlign w:val="bottom"/>
            <w:vMerge w:val="restart"/>
          </w:tcPr>
          <w:p>
            <w:pPr>
              <w:jc w:val="right"/>
              <w:ind w:right="179"/>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3"/>
        </w:trPr>
        <w:tc>
          <w:tcPr>
            <w:tcW w:w="4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43"/>
              <w:spacing w:after="0"/>
              <w:rPr>
                <w:sz w:val="20"/>
                <w:szCs w:val="20"/>
                <w:color w:val="auto"/>
              </w:rPr>
            </w:pPr>
            <w:r>
              <w:rPr>
                <w:rFonts w:ascii="Arial" w:cs="Arial" w:eastAsia="Arial" w:hAnsi="Arial"/>
                <w:sz w:val="11"/>
                <w:szCs w:val="11"/>
                <w:b w:val="1"/>
                <w:bCs w:val="1"/>
                <w:color w:val="auto"/>
              </w:rPr>
              <w:t>2025</w:t>
            </w:r>
          </w:p>
        </w:tc>
        <w:tc>
          <w:tcPr>
            <w:tcW w:w="2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20"/>
                <w:szCs w:val="20"/>
                <w:color w:val="auto"/>
              </w:rPr>
            </w:pPr>
            <w:r>
              <w:rPr>
                <w:rFonts w:ascii="Arial" w:cs="Arial" w:eastAsia="Arial" w:hAnsi="Arial"/>
                <w:sz w:val="12"/>
                <w:szCs w:val="12"/>
                <w:color w:val="auto"/>
              </w:rPr>
              <w:t xml:space="preserve">Cost of revenue </w:t>
            </w:r>
            <w:r>
              <w:rPr>
                <w:rFonts w:ascii="Times New Roman" w:cs="Times New Roman" w:eastAsia="Times New Roman" w:hAnsi="Times New Roman"/>
                <w:sz w:val="12"/>
                <w:szCs w:val="12"/>
                <w:color w:val="B4B4B4"/>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1,902</w:t>
            </w:r>
          </w:p>
        </w:tc>
        <w:tc>
          <w:tcPr>
            <w:tcW w:w="2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1,842</w:t>
            </w:r>
          </w:p>
        </w:tc>
        <w:tc>
          <w:tcPr>
            <w:tcW w:w="0" w:type="dxa"/>
            <w:vAlign w:val="bottom"/>
          </w:tcPr>
          <w:p>
            <w:pPr>
              <w:spacing w:after="0"/>
              <w:rPr>
                <w:sz w:val="1"/>
                <w:szCs w:val="1"/>
                <w:color w:val="auto"/>
              </w:rPr>
            </w:pPr>
          </w:p>
        </w:tc>
      </w:tr>
      <w:tr>
        <w:trPr>
          <w:trHeight w:val="182"/>
        </w:trPr>
        <w:tc>
          <w:tcPr>
            <w:tcW w:w="4380" w:type="dxa"/>
            <w:vAlign w:val="bottom"/>
            <w:gridSpan w:val="2"/>
          </w:tcPr>
          <w:p>
            <w:pPr>
              <w:spacing w:after="0"/>
              <w:rPr>
                <w:sz w:val="20"/>
                <w:szCs w:val="20"/>
                <w:color w:val="auto"/>
              </w:rPr>
            </w:pPr>
            <w:r>
              <w:rPr>
                <w:rFonts w:ascii="Arial" w:cs="Arial" w:eastAsia="Arial" w:hAnsi="Arial"/>
                <w:sz w:val="12"/>
                <w:szCs w:val="12"/>
                <w:color w:val="auto"/>
              </w:rPr>
              <w:t xml:space="preserve">Research and development </w:t>
            </w:r>
            <w:r>
              <w:rPr>
                <w:rFonts w:ascii="Times New Roman" w:cs="Times New Roman" w:eastAsia="Times New Roman" w:hAnsi="Times New Roman"/>
                <w:sz w:val="12"/>
                <w:szCs w:val="12"/>
                <w:color w:val="B4B4B4"/>
              </w:rPr>
              <w:t>..................................................................................</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14,371</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13,619</w:t>
            </w:r>
          </w:p>
        </w:tc>
        <w:tc>
          <w:tcPr>
            <w:tcW w:w="0" w:type="dxa"/>
            <w:vAlign w:val="bottom"/>
          </w:tcPr>
          <w:p>
            <w:pPr>
              <w:spacing w:after="0"/>
              <w:rPr>
                <w:sz w:val="1"/>
                <w:szCs w:val="1"/>
                <w:color w:val="auto"/>
              </w:rPr>
            </w:pPr>
          </w:p>
        </w:tc>
      </w:tr>
      <w:tr>
        <w:trPr>
          <w:trHeight w:val="182"/>
        </w:trPr>
        <w:tc>
          <w:tcPr>
            <w:tcW w:w="4380" w:type="dxa"/>
            <w:vAlign w:val="bottom"/>
            <w:gridSpan w:val="2"/>
          </w:tcPr>
          <w:p>
            <w:pPr>
              <w:spacing w:after="0"/>
              <w:rPr>
                <w:sz w:val="20"/>
                <w:szCs w:val="20"/>
                <w:color w:val="auto"/>
              </w:rPr>
            </w:pPr>
            <w:r>
              <w:rPr>
                <w:rFonts w:ascii="Arial" w:cs="Arial" w:eastAsia="Arial" w:hAnsi="Arial"/>
                <w:sz w:val="12"/>
                <w:szCs w:val="12"/>
                <w:color w:val="auto"/>
              </w:rPr>
              <w:t xml:space="preserve">Sales and marketing </w:t>
            </w:r>
            <w:r>
              <w:rPr>
                <w:rFonts w:ascii="Times New Roman" w:cs="Times New Roman" w:eastAsia="Times New Roman" w:hAnsi="Times New Roman"/>
                <w:sz w:val="12"/>
                <w:szCs w:val="12"/>
                <w:color w:val="B4B4B4"/>
              </w:rPr>
              <w:t>...............................................................................................</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7,738</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7,614</w:t>
            </w:r>
          </w:p>
        </w:tc>
        <w:tc>
          <w:tcPr>
            <w:tcW w:w="0" w:type="dxa"/>
            <w:vAlign w:val="bottom"/>
          </w:tcPr>
          <w:p>
            <w:pPr>
              <w:spacing w:after="0"/>
              <w:rPr>
                <w:sz w:val="1"/>
                <w:szCs w:val="1"/>
                <w:color w:val="auto"/>
              </w:rPr>
            </w:pPr>
          </w:p>
        </w:tc>
      </w:tr>
      <w:tr>
        <w:trPr>
          <w:trHeight w:val="182"/>
        </w:trPr>
        <w:tc>
          <w:tcPr>
            <w:tcW w:w="4380" w:type="dxa"/>
            <w:vAlign w:val="bottom"/>
            <w:gridSpan w:val="2"/>
          </w:tcPr>
          <w:p>
            <w:pPr>
              <w:spacing w:after="0"/>
              <w:rPr>
                <w:sz w:val="20"/>
                <w:szCs w:val="20"/>
                <w:color w:val="auto"/>
              </w:rPr>
            </w:pPr>
            <w:r>
              <w:rPr>
                <w:rFonts w:ascii="Arial" w:cs="Arial" w:eastAsia="Arial" w:hAnsi="Arial"/>
                <w:sz w:val="12"/>
                <w:szCs w:val="12"/>
                <w:color w:val="auto"/>
              </w:rPr>
              <w:t xml:space="preserve">General and administrative </w:t>
            </w:r>
            <w:r>
              <w:rPr>
                <w:rFonts w:ascii="Times New Roman" w:cs="Times New Roman" w:eastAsia="Times New Roman" w:hAnsi="Times New Roman"/>
                <w:sz w:val="12"/>
                <w:szCs w:val="12"/>
                <w:color w:val="B4B4B4"/>
              </w:rPr>
              <w:t>...................................................................................</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11,898</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11,838</w:t>
            </w:r>
          </w:p>
        </w:tc>
        <w:tc>
          <w:tcPr>
            <w:tcW w:w="0" w:type="dxa"/>
            <w:vAlign w:val="bottom"/>
          </w:tcPr>
          <w:p>
            <w:pPr>
              <w:spacing w:after="0"/>
              <w:rPr>
                <w:sz w:val="1"/>
                <w:szCs w:val="1"/>
                <w:color w:val="auto"/>
              </w:rPr>
            </w:pPr>
          </w:p>
        </w:tc>
      </w:tr>
      <w:tr>
        <w:trPr>
          <w:trHeight w:val="182"/>
        </w:trPr>
        <w:tc>
          <w:tcPr>
            <w:tcW w:w="4060" w:type="dxa"/>
            <w:vAlign w:val="bottom"/>
          </w:tcPr>
          <w:p>
            <w:pPr>
              <w:ind w:left="140"/>
              <w:spacing w:after="0"/>
              <w:rPr>
                <w:sz w:val="20"/>
                <w:szCs w:val="20"/>
                <w:color w:val="auto"/>
              </w:rPr>
            </w:pPr>
            <w:r>
              <w:rPr>
                <w:rFonts w:ascii="Arial" w:cs="Arial" w:eastAsia="Arial" w:hAnsi="Arial"/>
                <w:sz w:val="12"/>
                <w:szCs w:val="12"/>
                <w:color w:val="auto"/>
              </w:rPr>
              <w:t>Total stock-based compensation expense, net of amounts capitalized</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B4B4B4"/>
              </w:rPr>
              <w:t xml:space="preserve">.... </w:t>
            </w:r>
            <w:r>
              <w:rPr>
                <w:rFonts w:ascii="Arial" w:cs="Arial" w:eastAsia="Arial" w:hAnsi="Arial"/>
                <w:sz w:val="12"/>
                <w:szCs w:val="12"/>
                <w:color w:val="000000"/>
              </w:rPr>
              <w:t>$</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35,909</w:t>
            </w:r>
          </w:p>
        </w:tc>
        <w:tc>
          <w:tcPr>
            <w:tcW w:w="2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34,913</w:t>
            </w:r>
          </w:p>
        </w:tc>
        <w:tc>
          <w:tcPr>
            <w:tcW w:w="0" w:type="dxa"/>
            <w:vAlign w:val="bottom"/>
          </w:tcPr>
          <w:p>
            <w:pPr>
              <w:spacing w:after="0"/>
              <w:rPr>
                <w:sz w:val="1"/>
                <w:szCs w:val="1"/>
                <w:color w:val="auto"/>
              </w:rPr>
            </w:pPr>
          </w:p>
        </w:tc>
      </w:tr>
      <w:tr>
        <w:trPr>
          <w:trHeight w:val="182"/>
        </w:trPr>
        <w:tc>
          <w:tcPr>
            <w:tcW w:w="4380" w:type="dxa"/>
            <w:vAlign w:val="bottom"/>
            <w:gridSpan w:val="2"/>
          </w:tcPr>
          <w:p>
            <w:pPr>
              <w:spacing w:after="0"/>
              <w:rPr>
                <w:sz w:val="20"/>
                <w:szCs w:val="20"/>
                <w:color w:val="auto"/>
              </w:rPr>
            </w:pPr>
            <w:r>
              <w:rPr>
                <w:rFonts w:ascii="Arial" w:cs="Arial" w:eastAsia="Arial" w:hAnsi="Arial"/>
                <w:sz w:val="12"/>
                <w:szCs w:val="12"/>
                <w:color w:val="auto"/>
              </w:rPr>
              <w:t xml:space="preserve">Capitalized stock-based compensation </w:t>
            </w:r>
            <w:r>
              <w:rPr>
                <w:rFonts w:ascii="Times New Roman" w:cs="Times New Roman" w:eastAsia="Times New Roman" w:hAnsi="Times New Roman"/>
                <w:sz w:val="12"/>
                <w:szCs w:val="12"/>
                <w:color w:val="B4B4B4"/>
              </w:rPr>
              <w:t>...............................................................</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1,395</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1,096</w:t>
            </w:r>
          </w:p>
        </w:tc>
        <w:tc>
          <w:tcPr>
            <w:tcW w:w="0" w:type="dxa"/>
            <w:vAlign w:val="bottom"/>
          </w:tcPr>
          <w:p>
            <w:pPr>
              <w:spacing w:after="0"/>
              <w:rPr>
                <w:sz w:val="1"/>
                <w:szCs w:val="1"/>
                <w:color w:val="auto"/>
              </w:rPr>
            </w:pPr>
          </w:p>
        </w:tc>
      </w:tr>
    </w:tbl>
    <w:p>
      <w:pPr>
        <w:sectPr>
          <w:pgSz w:w="11900" w:h="16840" w:orient="portrait"/>
          <w:cols w:equalWidth="0" w:num="1">
            <w:col w:w="9020"/>
          </w:cols>
          <w:pgMar w:left="1440" w:top="711" w:right="1440" w:bottom="69" w:gutter="0" w:footer="0" w:header="0"/>
        </w:sectPr>
      </w:pPr>
    </w:p>
    <w:bookmarkStart w:id="208" w:name="page209"/>
    <w:bookmarkEnd w:id="208"/>
    <w:p>
      <w:pPr>
        <w:ind w:left="1700"/>
        <w:spacing w:after="0"/>
        <w:tabs>
          <w:tab w:leader="none" w:pos="5800" w:val="left"/>
          <w:tab w:leader="none" w:pos="6160" w:val="left"/>
          <w:tab w:leader="none" w:pos="6660" w:val="left"/>
          <w:tab w:leader="none" w:pos="7020" w:val="left"/>
        </w:tabs>
        <w:rPr>
          <w:sz w:val="20"/>
          <w:szCs w:val="20"/>
          <w:color w:val="auto"/>
        </w:rPr>
      </w:pPr>
      <w:r>
        <w:rPr>
          <w:rFonts w:ascii="Arial" w:cs="Arial" w:eastAsia="Arial" w:hAnsi="Arial"/>
          <w:sz w:val="12"/>
          <w:szCs w:val="12"/>
          <w:color w:val="auto"/>
        </w:rPr>
        <w:t xml:space="preserve">Total stock-based compensation cost </w:t>
      </w:r>
      <w:r>
        <w:rPr>
          <w:rFonts w:ascii="Times New Roman" w:cs="Times New Roman" w:eastAsia="Times New Roman" w:hAnsi="Times New Roman"/>
          <w:sz w:val="12"/>
          <w:szCs w:val="12"/>
          <w:color w:val="B4B4B4"/>
        </w:rPr>
        <w:t>............................................................</w:t>
      </w:r>
      <w:r>
        <w:rPr>
          <w:rFonts w:ascii="Arial" w:cs="Arial" w:eastAsia="Arial" w:hAnsi="Arial"/>
          <w:sz w:val="12"/>
          <w:szCs w:val="12"/>
          <w:color w:val="auto"/>
        </w:rPr>
        <w:tab/>
        <w:t>$</w:t>
      </w:r>
      <w:r>
        <w:rPr>
          <w:sz w:val="20"/>
          <w:szCs w:val="20"/>
          <w:color w:val="auto"/>
        </w:rPr>
        <w:tab/>
      </w:r>
      <w:r>
        <w:rPr>
          <w:rFonts w:ascii="Arial" w:cs="Arial" w:eastAsia="Arial" w:hAnsi="Arial"/>
          <w:sz w:val="12"/>
          <w:szCs w:val="12"/>
          <w:color w:val="auto"/>
        </w:rPr>
        <w:t>37,304</w:t>
        <w:tab/>
        <w:t>$</w:t>
      </w:r>
      <w:r>
        <w:rPr>
          <w:sz w:val="20"/>
          <w:szCs w:val="20"/>
          <w:color w:val="auto"/>
        </w:rPr>
        <w:tab/>
      </w:r>
      <w:r>
        <w:rPr>
          <w:rFonts w:ascii="Arial" w:cs="Arial" w:eastAsia="Arial" w:hAnsi="Arial"/>
          <w:sz w:val="12"/>
          <w:szCs w:val="12"/>
          <w:color w:val="auto"/>
        </w:rPr>
        <w:t>36,009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-81280</wp:posOffset>
            </wp:positionV>
            <wp:extent cx="6732270" cy="99707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F-73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10 – STOCKHOLDERS’ DEFICIT</w:t>
      </w:r>
    </w:p>
    <w:p>
      <w:pPr>
        <w:spacing w:after="0" w:line="132"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Redeemable Convertible Preferred Stock</w:t>
      </w:r>
    </w:p>
    <w:p>
      <w:pPr>
        <w:spacing w:after="0" w:line="128" w:lineRule="exact"/>
        <w:rPr>
          <w:sz w:val="20"/>
          <w:szCs w:val="20"/>
          <w:color w:val="auto"/>
        </w:rPr>
      </w:pPr>
    </w:p>
    <w:p>
      <w:pPr>
        <w:jc w:val="both"/>
        <w:ind w:left="1520" w:right="1700"/>
        <w:spacing w:after="0" w:line="305" w:lineRule="auto"/>
        <w:rPr>
          <w:sz w:val="20"/>
          <w:szCs w:val="20"/>
          <w:color w:val="auto"/>
        </w:rPr>
      </w:pPr>
      <w:r>
        <w:rPr>
          <w:rFonts w:ascii="Arial" w:cs="Arial" w:eastAsia="Arial" w:hAnsi="Arial"/>
          <w:sz w:val="12"/>
          <w:szCs w:val="12"/>
          <w:color w:val="auto"/>
        </w:rPr>
        <w:t>The Company’s authorized, issued and outstanding redeemable convertible preferred stock (collectively, the “Preferred Stock”) consisted of the following (in thousands, except price per share amounts and share data):</w:t>
      </w:r>
    </w:p>
    <w:p>
      <w:pPr>
        <w:spacing w:after="0" w:line="212" w:lineRule="exact"/>
        <w:rPr>
          <w:sz w:val="20"/>
          <w:szCs w:val="20"/>
          <w:color w:val="auto"/>
        </w:rPr>
      </w:pPr>
    </w:p>
    <w:p>
      <w:pPr>
        <w:ind w:left="4340"/>
        <w:spacing w:after="0"/>
        <w:rPr>
          <w:sz w:val="20"/>
          <w:szCs w:val="20"/>
          <w:color w:val="auto"/>
        </w:rPr>
      </w:pPr>
      <w:r>
        <w:rPr>
          <w:rFonts w:ascii="Arial" w:cs="Arial" w:eastAsia="Arial" w:hAnsi="Arial"/>
          <w:sz w:val="11"/>
          <w:szCs w:val="11"/>
          <w:b w:val="1"/>
          <w:bCs w:val="1"/>
          <w:color w:val="auto"/>
        </w:rPr>
        <w:t>As of July 31, 2025 and January 31, 202</w:t>
      </w:r>
    </w:p>
    <w:p>
      <w:pPr>
        <w:ind w:left="4340"/>
        <w:spacing w:after="0" w:line="199" w:lineRule="auto"/>
        <w:rPr>
          <w:sz w:val="20"/>
          <w:szCs w:val="20"/>
          <w:color w:val="auto"/>
        </w:rPr>
      </w:pPr>
      <w:r>
        <w:rPr>
          <w:rFonts w:ascii="Arial" w:cs="Arial" w:eastAsia="Arial" w:hAnsi="Arial"/>
          <w:sz w:val="11"/>
          <w:szCs w:val="11"/>
          <w:b w:val="1"/>
          <w:bCs w:val="1"/>
          <w:color w:val="auto"/>
        </w:rPr>
        <w:t>5</w:t>
      </w:r>
    </w:p>
    <w:tbl>
      <w:tblPr>
        <w:tblLayout w:type="fixed"/>
        <w:tblInd w:w="1520" w:type="dxa"/>
        <w:tblCellMar>
          <w:top w:w="0" w:type="dxa"/>
          <w:left w:w="0" w:type="dxa"/>
          <w:bottom w:w="0" w:type="dxa"/>
          <w:right w:w="0" w:type="dxa"/>
        </w:tblCellMar>
      </w:tblPr>
      <w:tr>
        <w:trPr>
          <w:trHeight w:val="96"/>
        </w:trPr>
        <w:tc>
          <w:tcPr>
            <w:tcW w:w="1660" w:type="dxa"/>
            <w:vAlign w:val="bottom"/>
          </w:tcPr>
          <w:p>
            <w:pPr>
              <w:spacing w:after="0"/>
              <w:rPr>
                <w:sz w:val="8"/>
                <w:szCs w:val="8"/>
                <w:color w:val="auto"/>
              </w:rPr>
            </w:pPr>
          </w:p>
        </w:tc>
        <w:tc>
          <w:tcPr>
            <w:tcW w:w="820" w:type="dxa"/>
            <w:vAlign w:val="bottom"/>
            <w:vMerge w:val="restart"/>
          </w:tcPr>
          <w:p>
            <w:pPr>
              <w:jc w:val="right"/>
              <w:ind w:right="179"/>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8"/>
                <w:szCs w:val="8"/>
                <w:color w:val="auto"/>
              </w:rPr>
            </w:pPr>
          </w:p>
        </w:tc>
        <w:tc>
          <w:tcPr>
            <w:tcW w:w="840" w:type="dxa"/>
            <w:vAlign w:val="bottom"/>
          </w:tcPr>
          <w:p>
            <w:pPr>
              <w:jc w:val="center"/>
              <w:spacing w:after="0" w:line="96" w:lineRule="exact"/>
              <w:rPr>
                <w:sz w:val="20"/>
                <w:szCs w:val="20"/>
                <w:color w:val="auto"/>
              </w:rPr>
            </w:pPr>
            <w:r>
              <w:rPr>
                <w:rFonts w:ascii="Arial" w:cs="Arial" w:eastAsia="Arial" w:hAnsi="Arial"/>
                <w:sz w:val="11"/>
                <w:szCs w:val="11"/>
                <w:b w:val="1"/>
                <w:bCs w:val="1"/>
                <w:color w:val="auto"/>
                <w:w w:val="93"/>
              </w:rPr>
              <w:t>Shares Issued</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jc w:val="center"/>
              <w:ind w:right="79"/>
              <w:spacing w:after="0" w:line="96" w:lineRule="exact"/>
              <w:rPr>
                <w:sz w:val="20"/>
                <w:szCs w:val="20"/>
                <w:color w:val="auto"/>
              </w:rPr>
            </w:pPr>
            <w:r>
              <w:rPr>
                <w:rFonts w:ascii="Arial" w:cs="Arial" w:eastAsia="Arial" w:hAnsi="Arial"/>
                <w:sz w:val="11"/>
                <w:szCs w:val="11"/>
                <w:b w:val="1"/>
                <w:bCs w:val="1"/>
                <w:color w:val="auto"/>
                <w:w w:val="96"/>
              </w:rPr>
              <w:t>Original</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restart"/>
          </w:tcPr>
          <w:p>
            <w:pPr>
              <w:jc w:val="right"/>
              <w:ind w:right="79"/>
              <w:spacing w:after="0"/>
              <w:rPr>
                <w:sz w:val="20"/>
                <w:szCs w:val="20"/>
                <w:color w:val="auto"/>
              </w:rPr>
            </w:pPr>
            <w:r>
              <w:rPr>
                <w:rFonts w:ascii="Arial" w:cs="Arial" w:eastAsia="Arial" w:hAnsi="Arial"/>
                <w:sz w:val="11"/>
                <w:szCs w:val="11"/>
                <w:b w:val="1"/>
                <w:bCs w:val="1"/>
                <w:color w:val="auto"/>
                <w:w w:val="94"/>
              </w:rPr>
              <w:t>Liquidation</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jc w:val="center"/>
              <w:spacing w:after="0" w:line="96" w:lineRule="exact"/>
              <w:rPr>
                <w:sz w:val="20"/>
                <w:szCs w:val="20"/>
                <w:color w:val="auto"/>
              </w:rPr>
            </w:pPr>
            <w:r>
              <w:rPr>
                <w:rFonts w:ascii="Arial" w:cs="Arial" w:eastAsia="Arial" w:hAnsi="Arial"/>
                <w:sz w:val="11"/>
                <w:szCs w:val="11"/>
                <w:b w:val="1"/>
                <w:bCs w:val="1"/>
                <w:color w:val="auto"/>
                <w:w w:val="91"/>
              </w:rPr>
              <w:t>and</w:t>
            </w:r>
          </w:p>
        </w:tc>
        <w:tc>
          <w:tcPr>
            <w:tcW w:w="40" w:type="dxa"/>
            <w:vAlign w:val="bottom"/>
          </w:tcPr>
          <w:p>
            <w:pPr>
              <w:spacing w:after="0"/>
              <w:rPr>
                <w:sz w:val="8"/>
                <w:szCs w:val="8"/>
                <w:color w:val="auto"/>
              </w:rPr>
            </w:pPr>
          </w:p>
        </w:tc>
        <w:tc>
          <w:tcPr>
            <w:tcW w:w="840" w:type="dxa"/>
            <w:vAlign w:val="bottom"/>
            <w:gridSpan w:val="2"/>
          </w:tcPr>
          <w:p>
            <w:pPr>
              <w:jc w:val="center"/>
              <w:spacing w:after="0" w:line="96" w:lineRule="exact"/>
              <w:rPr>
                <w:sz w:val="20"/>
                <w:szCs w:val="20"/>
                <w:color w:val="auto"/>
              </w:rPr>
            </w:pPr>
            <w:r>
              <w:rPr>
                <w:rFonts w:ascii="Arial" w:cs="Arial" w:eastAsia="Arial" w:hAnsi="Arial"/>
                <w:sz w:val="11"/>
                <w:szCs w:val="11"/>
                <w:b w:val="1"/>
                <w:bCs w:val="1"/>
                <w:color w:val="auto"/>
                <w:w w:val="95"/>
              </w:rPr>
              <w:t>Issuance Price</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7"/>
              </w:rPr>
              <w:t>Carrying Value</w:t>
            </w:r>
          </w:p>
        </w:tc>
        <w:tc>
          <w:tcPr>
            <w:tcW w:w="0" w:type="dxa"/>
            <w:vAlign w:val="bottom"/>
          </w:tcPr>
          <w:p>
            <w:pPr>
              <w:spacing w:after="0"/>
              <w:rPr>
                <w:sz w:val="1"/>
                <w:szCs w:val="1"/>
                <w:color w:val="auto"/>
              </w:rPr>
            </w:pPr>
          </w:p>
        </w:tc>
      </w:tr>
      <w:tr>
        <w:trPr>
          <w:trHeight w:val="153"/>
        </w:trPr>
        <w:tc>
          <w:tcPr>
            <w:tcW w:w="16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Authorized</w:t>
            </w:r>
          </w:p>
        </w:tc>
        <w:tc>
          <w:tcPr>
            <w:tcW w:w="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Outstanding</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79"/>
              <w:spacing w:after="0"/>
              <w:rPr>
                <w:sz w:val="20"/>
                <w:szCs w:val="20"/>
                <w:color w:val="auto"/>
              </w:rPr>
            </w:pPr>
            <w:r>
              <w:rPr>
                <w:rFonts w:ascii="Arial" w:cs="Arial" w:eastAsia="Arial" w:hAnsi="Arial"/>
                <w:sz w:val="11"/>
                <w:szCs w:val="11"/>
                <w:b w:val="1"/>
                <w:bCs w:val="1"/>
                <w:color w:val="auto"/>
                <w:w w:val="93"/>
              </w:rPr>
              <w:t>Per Share</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Amount</w:t>
            </w:r>
          </w:p>
        </w:tc>
        <w:tc>
          <w:tcPr>
            <w:tcW w:w="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SeriesSeed</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16,934,856</w:t>
            </w: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rPr>
              <w:t>16,934,839</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0.25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4,181</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4,729</w:t>
            </w:r>
          </w:p>
        </w:tc>
        <w:tc>
          <w:tcPr>
            <w:tcW w:w="0" w:type="dxa"/>
            <w:vAlign w:val="bottom"/>
          </w:tcPr>
          <w:p>
            <w:pPr>
              <w:spacing w:after="0"/>
              <w:rPr>
                <w:sz w:val="1"/>
                <w:szCs w:val="1"/>
                <w:color w:val="auto"/>
              </w:rPr>
            </w:pPr>
          </w:p>
        </w:tc>
      </w:tr>
      <w:tr>
        <w:trPr>
          <w:trHeight w:val="173"/>
        </w:trPr>
        <w:tc>
          <w:tcPr>
            <w:tcW w:w="1660" w:type="dxa"/>
            <w:vAlign w:val="bottom"/>
          </w:tcPr>
          <w:p>
            <w:pPr>
              <w:ind w:left="40"/>
              <w:spacing w:after="0"/>
              <w:rPr>
                <w:sz w:val="20"/>
                <w:szCs w:val="20"/>
                <w:color w:val="auto"/>
              </w:rPr>
            </w:pPr>
            <w:r>
              <w:rPr>
                <w:rFonts w:ascii="Arial" w:cs="Arial" w:eastAsia="Arial" w:hAnsi="Arial"/>
                <w:sz w:val="12"/>
                <w:szCs w:val="12"/>
                <w:color w:val="auto"/>
              </w:rPr>
              <w:t xml:space="preserve">Series A </w:t>
            </w:r>
            <w:r>
              <w:rPr>
                <w:rFonts w:ascii="Times New Roman" w:cs="Times New Roman" w:eastAsia="Times New Roman" w:hAnsi="Times New Roman"/>
                <w:sz w:val="12"/>
                <w:szCs w:val="12"/>
                <w:color w:val="B4B4B4"/>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20,382,688</w:t>
            </w:r>
          </w:p>
        </w:tc>
        <w:tc>
          <w:tcPr>
            <w:tcW w:w="880" w:type="dxa"/>
            <w:vAlign w:val="bottom"/>
            <w:gridSpan w:val="2"/>
          </w:tcPr>
          <w:p>
            <w:pPr>
              <w:jc w:val="right"/>
              <w:ind w:right="24"/>
              <w:spacing w:after="0"/>
              <w:rPr>
                <w:sz w:val="20"/>
                <w:szCs w:val="20"/>
                <w:color w:val="auto"/>
              </w:rPr>
            </w:pPr>
            <w:r>
              <w:rPr>
                <w:rFonts w:ascii="Arial" w:cs="Arial" w:eastAsia="Arial" w:hAnsi="Arial"/>
                <w:sz w:val="12"/>
                <w:szCs w:val="12"/>
                <w:color w:val="auto"/>
              </w:rPr>
              <w:t>20,382,673</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9"/>
              <w:spacing w:after="0"/>
              <w:rPr>
                <w:sz w:val="20"/>
                <w:szCs w:val="20"/>
                <w:color w:val="auto"/>
              </w:rPr>
            </w:pPr>
            <w:r>
              <w:rPr>
                <w:rFonts w:ascii="Arial" w:cs="Arial" w:eastAsia="Arial" w:hAnsi="Arial"/>
                <w:sz w:val="12"/>
                <w:szCs w:val="12"/>
                <w:color w:val="auto"/>
              </w:rPr>
              <w:t>0.50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10,125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10,288</w:t>
            </w:r>
          </w:p>
        </w:tc>
        <w:tc>
          <w:tcPr>
            <w:tcW w:w="0" w:type="dxa"/>
            <w:vAlign w:val="bottom"/>
          </w:tcPr>
          <w:p>
            <w:pPr>
              <w:spacing w:after="0"/>
              <w:rPr>
                <w:sz w:val="1"/>
                <w:szCs w:val="1"/>
                <w:color w:val="auto"/>
              </w:rPr>
            </w:pPr>
          </w:p>
        </w:tc>
      </w:tr>
      <w:tr>
        <w:trPr>
          <w:trHeight w:val="190"/>
        </w:trPr>
        <w:tc>
          <w:tcPr>
            <w:tcW w:w="16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Series A-1 </w:t>
            </w:r>
            <w:r>
              <w:rPr>
                <w:rFonts w:ascii="Times New Roman" w:cs="Times New Roman" w:eastAsia="Times New Roman" w:hAnsi="Times New Roman"/>
                <w:sz w:val="12"/>
                <w:szCs w:val="12"/>
                <w:color w:val="B4B4B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21,353,147</w:t>
            </w:r>
          </w:p>
        </w:tc>
        <w:tc>
          <w:tcPr>
            <w:tcW w:w="880" w:type="dxa"/>
            <w:vAlign w:val="bottom"/>
            <w:gridSpan w:val="2"/>
            <w:shd w:val="clear" w:color="auto" w:fill="CCEEFF"/>
          </w:tcPr>
          <w:p>
            <w:pPr>
              <w:jc w:val="right"/>
              <w:ind w:right="24"/>
              <w:spacing w:after="0"/>
              <w:rPr>
                <w:sz w:val="20"/>
                <w:szCs w:val="20"/>
                <w:color w:val="auto"/>
              </w:rPr>
            </w:pPr>
            <w:r>
              <w:rPr>
                <w:rFonts w:ascii="Arial" w:cs="Arial" w:eastAsia="Arial" w:hAnsi="Arial"/>
                <w:sz w:val="12"/>
                <w:szCs w:val="12"/>
                <w:color w:val="auto"/>
              </w:rPr>
              <w:t>21,353,143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0.59</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12,500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12,670</w:t>
            </w:r>
          </w:p>
        </w:tc>
        <w:tc>
          <w:tcPr>
            <w:tcW w:w="0" w:type="dxa"/>
            <w:vAlign w:val="bottom"/>
          </w:tcPr>
          <w:p>
            <w:pPr>
              <w:spacing w:after="0"/>
              <w:rPr>
                <w:sz w:val="1"/>
                <w:szCs w:val="1"/>
                <w:color w:val="auto"/>
              </w:rPr>
            </w:pPr>
          </w:p>
        </w:tc>
      </w:tr>
      <w:tr>
        <w:trPr>
          <w:trHeight w:val="173"/>
        </w:trPr>
        <w:tc>
          <w:tcPr>
            <w:tcW w:w="1660" w:type="dxa"/>
            <w:vAlign w:val="bottom"/>
          </w:tcPr>
          <w:p>
            <w:pPr>
              <w:ind w:left="40"/>
              <w:spacing w:after="0"/>
              <w:rPr>
                <w:sz w:val="20"/>
                <w:szCs w:val="20"/>
                <w:color w:val="auto"/>
              </w:rPr>
            </w:pPr>
            <w:r>
              <w:rPr>
                <w:rFonts w:ascii="Arial" w:cs="Arial" w:eastAsia="Arial" w:hAnsi="Arial"/>
                <w:sz w:val="12"/>
                <w:szCs w:val="12"/>
                <w:color w:val="auto"/>
              </w:rPr>
              <w:t xml:space="preserve">Series B </w:t>
            </w:r>
            <w:r>
              <w:rPr>
                <w:rFonts w:ascii="Times New Roman" w:cs="Times New Roman" w:eastAsia="Times New Roman" w:hAnsi="Times New Roman"/>
                <w:sz w:val="12"/>
                <w:szCs w:val="12"/>
                <w:color w:val="B4B4B4"/>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27,505,170</w:t>
            </w:r>
          </w:p>
        </w:tc>
        <w:tc>
          <w:tcPr>
            <w:tcW w:w="880" w:type="dxa"/>
            <w:vAlign w:val="bottom"/>
            <w:gridSpan w:val="2"/>
          </w:tcPr>
          <w:p>
            <w:pPr>
              <w:jc w:val="right"/>
              <w:ind w:right="24"/>
              <w:spacing w:after="0"/>
              <w:rPr>
                <w:sz w:val="20"/>
                <w:szCs w:val="20"/>
                <w:color w:val="auto"/>
              </w:rPr>
            </w:pPr>
            <w:r>
              <w:rPr>
                <w:rFonts w:ascii="Arial" w:cs="Arial" w:eastAsia="Arial" w:hAnsi="Arial"/>
                <w:sz w:val="12"/>
                <w:szCs w:val="12"/>
                <w:color w:val="auto"/>
              </w:rPr>
              <w:t>27,465,006</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9"/>
              <w:spacing w:after="0"/>
              <w:rPr>
                <w:sz w:val="20"/>
                <w:szCs w:val="20"/>
                <w:color w:val="auto"/>
              </w:rPr>
            </w:pPr>
            <w:r>
              <w:rPr>
                <w:rFonts w:ascii="Arial" w:cs="Arial" w:eastAsia="Arial" w:hAnsi="Arial"/>
                <w:sz w:val="12"/>
                <w:szCs w:val="12"/>
                <w:color w:val="auto"/>
              </w:rPr>
              <w:t>1.87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51,225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51,153</w:t>
            </w:r>
          </w:p>
        </w:tc>
        <w:tc>
          <w:tcPr>
            <w:tcW w:w="0" w:type="dxa"/>
            <w:vAlign w:val="bottom"/>
          </w:tcPr>
          <w:p>
            <w:pPr>
              <w:spacing w:after="0"/>
              <w:rPr>
                <w:sz w:val="1"/>
                <w:szCs w:val="1"/>
                <w:color w:val="auto"/>
              </w:rPr>
            </w:pPr>
          </w:p>
        </w:tc>
      </w:tr>
      <w:tr>
        <w:trPr>
          <w:trHeight w:val="190"/>
        </w:trPr>
        <w:tc>
          <w:tcPr>
            <w:tcW w:w="16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Series C </w:t>
            </w:r>
            <w:r>
              <w:rPr>
                <w:rFonts w:ascii="Times New Roman" w:cs="Times New Roman" w:eastAsia="Times New Roman" w:hAnsi="Times New Roman"/>
                <w:sz w:val="12"/>
                <w:szCs w:val="12"/>
                <w:color w:val="B4B4B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21,158,278</w:t>
            </w:r>
          </w:p>
        </w:tc>
        <w:tc>
          <w:tcPr>
            <w:tcW w:w="880" w:type="dxa"/>
            <w:vAlign w:val="bottom"/>
            <w:gridSpan w:val="2"/>
            <w:shd w:val="clear" w:color="auto" w:fill="CCEEFF"/>
          </w:tcPr>
          <w:p>
            <w:pPr>
              <w:jc w:val="right"/>
              <w:ind w:right="24"/>
              <w:spacing w:after="0"/>
              <w:rPr>
                <w:sz w:val="20"/>
                <w:szCs w:val="20"/>
                <w:color w:val="auto"/>
              </w:rPr>
            </w:pPr>
            <w:r>
              <w:rPr>
                <w:rFonts w:ascii="Arial" w:cs="Arial" w:eastAsia="Arial" w:hAnsi="Arial"/>
                <w:sz w:val="12"/>
                <w:szCs w:val="12"/>
                <w:color w:val="auto"/>
              </w:rPr>
              <w:t>19,770,427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7.21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142,454</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142,398</w:t>
            </w:r>
          </w:p>
        </w:tc>
        <w:tc>
          <w:tcPr>
            <w:tcW w:w="0" w:type="dxa"/>
            <w:vAlign w:val="bottom"/>
          </w:tcPr>
          <w:p>
            <w:pPr>
              <w:spacing w:after="0"/>
              <w:rPr>
                <w:sz w:val="1"/>
                <w:szCs w:val="1"/>
                <w:color w:val="auto"/>
              </w:rPr>
            </w:pPr>
          </w:p>
        </w:tc>
      </w:tr>
      <w:tr>
        <w:trPr>
          <w:trHeight w:val="173"/>
        </w:trPr>
        <w:tc>
          <w:tcPr>
            <w:tcW w:w="1660" w:type="dxa"/>
            <w:vAlign w:val="bottom"/>
          </w:tcPr>
          <w:p>
            <w:pPr>
              <w:ind w:left="40"/>
              <w:spacing w:after="0"/>
              <w:rPr>
                <w:sz w:val="20"/>
                <w:szCs w:val="20"/>
                <w:color w:val="auto"/>
              </w:rPr>
            </w:pPr>
            <w:r>
              <w:rPr>
                <w:rFonts w:ascii="Arial" w:cs="Arial" w:eastAsia="Arial" w:hAnsi="Arial"/>
                <w:sz w:val="12"/>
                <w:szCs w:val="12"/>
                <w:color w:val="auto"/>
              </w:rPr>
              <w:t xml:space="preserve">Series C-1 </w:t>
            </w:r>
            <w:r>
              <w:rPr>
                <w:rFonts w:ascii="Times New Roman" w:cs="Times New Roman" w:eastAsia="Times New Roman" w:hAnsi="Times New Roman"/>
                <w:sz w:val="12"/>
                <w:szCs w:val="12"/>
                <w:color w:val="B4B4B4"/>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1,387,848</w:t>
            </w:r>
          </w:p>
        </w:tc>
        <w:tc>
          <w:tcPr>
            <w:tcW w:w="880" w:type="dxa"/>
            <w:vAlign w:val="bottom"/>
            <w:gridSpan w:val="2"/>
          </w:tcPr>
          <w:p>
            <w:pPr>
              <w:jc w:val="right"/>
              <w:ind w:right="4"/>
              <w:spacing w:after="0"/>
              <w:rPr>
                <w:sz w:val="20"/>
                <w:szCs w:val="20"/>
                <w:color w:val="auto"/>
              </w:rPr>
            </w:pPr>
            <w:r>
              <w:rPr>
                <w:rFonts w:ascii="Arial" w:cs="Arial" w:eastAsia="Arial" w:hAnsi="Arial"/>
                <w:sz w:val="12"/>
                <w:szCs w:val="12"/>
                <w:color w:val="auto"/>
              </w:rPr>
              <w:t>1,387,848</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9"/>
              <w:spacing w:after="0"/>
              <w:rPr>
                <w:sz w:val="20"/>
                <w:szCs w:val="20"/>
                <w:color w:val="auto"/>
              </w:rPr>
            </w:pPr>
            <w:r>
              <w:rPr>
                <w:rFonts w:ascii="Arial" w:cs="Arial" w:eastAsia="Arial" w:hAnsi="Arial"/>
                <w:sz w:val="12"/>
                <w:szCs w:val="12"/>
                <w:color w:val="auto"/>
              </w:rPr>
              <w:t>7.21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9,996</w:t>
            </w:r>
          </w:p>
        </w:tc>
        <w:tc>
          <w:tcPr>
            <w:tcW w:w="0" w:type="dxa"/>
            <w:vAlign w:val="bottom"/>
          </w:tcPr>
          <w:p>
            <w:pPr>
              <w:spacing w:after="0"/>
              <w:rPr>
                <w:sz w:val="1"/>
                <w:szCs w:val="1"/>
                <w:color w:val="auto"/>
              </w:rPr>
            </w:pPr>
          </w:p>
        </w:tc>
      </w:tr>
      <w:tr>
        <w:trPr>
          <w:trHeight w:val="190"/>
        </w:trPr>
        <w:tc>
          <w:tcPr>
            <w:tcW w:w="16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Series D </w:t>
            </w:r>
            <w:r>
              <w:rPr>
                <w:rFonts w:ascii="Times New Roman" w:cs="Times New Roman" w:eastAsia="Times New Roman" w:hAnsi="Times New Roman"/>
                <w:sz w:val="12"/>
                <w:szCs w:val="12"/>
                <w:color w:val="B4B4B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12,592,724</w:t>
            </w:r>
          </w:p>
        </w:tc>
        <w:tc>
          <w:tcPr>
            <w:tcW w:w="880" w:type="dxa"/>
            <w:vAlign w:val="bottom"/>
            <w:gridSpan w:val="2"/>
            <w:shd w:val="clear" w:color="auto" w:fill="CCEEFF"/>
          </w:tcPr>
          <w:p>
            <w:pPr>
              <w:jc w:val="right"/>
              <w:ind w:right="24"/>
              <w:spacing w:after="0"/>
              <w:rPr>
                <w:sz w:val="20"/>
                <w:szCs w:val="20"/>
                <w:color w:val="auto"/>
              </w:rPr>
            </w:pPr>
            <w:r>
              <w:rPr>
                <w:rFonts w:ascii="Arial" w:cs="Arial" w:eastAsia="Arial" w:hAnsi="Arial"/>
                <w:sz w:val="12"/>
                <w:szCs w:val="12"/>
                <w:color w:val="auto"/>
              </w:rPr>
              <w:t>12,592,720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22.23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279,917</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279,676</w:t>
            </w:r>
          </w:p>
        </w:tc>
        <w:tc>
          <w:tcPr>
            <w:tcW w:w="0" w:type="dxa"/>
            <w:vAlign w:val="bottom"/>
          </w:tcPr>
          <w:p>
            <w:pPr>
              <w:spacing w:after="0"/>
              <w:rPr>
                <w:sz w:val="1"/>
                <w:szCs w:val="1"/>
                <w:color w:val="auto"/>
              </w:rPr>
            </w:pPr>
          </w:p>
        </w:tc>
      </w:tr>
      <w:tr>
        <w:trPr>
          <w:trHeight w:val="173"/>
        </w:trPr>
        <w:tc>
          <w:tcPr>
            <w:tcW w:w="1660" w:type="dxa"/>
            <w:vAlign w:val="bottom"/>
          </w:tcPr>
          <w:p>
            <w:pPr>
              <w:ind w:left="40"/>
              <w:spacing w:after="0"/>
              <w:rPr>
                <w:sz w:val="20"/>
                <w:szCs w:val="20"/>
                <w:color w:val="auto"/>
              </w:rPr>
            </w:pPr>
            <w:r>
              <w:rPr>
                <w:rFonts w:ascii="Arial" w:cs="Arial" w:eastAsia="Arial" w:hAnsi="Arial"/>
                <w:sz w:val="12"/>
                <w:szCs w:val="12"/>
                <w:color w:val="auto"/>
              </w:rPr>
              <w:t xml:space="preserve">Series E </w:t>
            </w:r>
            <w:r>
              <w:rPr>
                <w:rFonts w:ascii="Times New Roman" w:cs="Times New Roman" w:eastAsia="Times New Roman" w:hAnsi="Times New Roman"/>
                <w:sz w:val="12"/>
                <w:szCs w:val="12"/>
                <w:color w:val="B4B4B4"/>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13,859,852</w:t>
            </w:r>
          </w:p>
        </w:tc>
        <w:tc>
          <w:tcPr>
            <w:tcW w:w="880" w:type="dxa"/>
            <w:vAlign w:val="bottom"/>
            <w:gridSpan w:val="2"/>
          </w:tcPr>
          <w:p>
            <w:pPr>
              <w:jc w:val="right"/>
              <w:ind w:right="24"/>
              <w:spacing w:after="0"/>
              <w:rPr>
                <w:sz w:val="20"/>
                <w:szCs w:val="20"/>
                <w:color w:val="auto"/>
              </w:rPr>
            </w:pPr>
            <w:r>
              <w:rPr>
                <w:rFonts w:ascii="Arial" w:cs="Arial" w:eastAsia="Arial" w:hAnsi="Arial"/>
                <w:sz w:val="12"/>
                <w:szCs w:val="12"/>
                <w:color w:val="auto"/>
              </w:rPr>
              <w:t>13,859,845</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9"/>
              <w:spacing w:after="0"/>
              <w:rPr>
                <w:sz w:val="20"/>
                <w:szCs w:val="20"/>
                <w:color w:val="auto"/>
              </w:rPr>
            </w:pPr>
            <w:r>
              <w:rPr>
                <w:rFonts w:ascii="Arial" w:cs="Arial" w:eastAsia="Arial" w:hAnsi="Arial"/>
                <w:sz w:val="12"/>
                <w:szCs w:val="12"/>
                <w:color w:val="auto"/>
              </w:rPr>
              <w:t>26.12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362,000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361,700</w:t>
            </w:r>
          </w:p>
        </w:tc>
        <w:tc>
          <w:tcPr>
            <w:tcW w:w="0" w:type="dxa"/>
            <w:vAlign w:val="bottom"/>
          </w:tcPr>
          <w:p>
            <w:pPr>
              <w:spacing w:after="0"/>
              <w:rPr>
                <w:sz w:val="1"/>
                <w:szCs w:val="1"/>
                <w:color w:val="auto"/>
              </w:rPr>
            </w:pPr>
          </w:p>
        </w:tc>
      </w:tr>
      <w:tr>
        <w:trPr>
          <w:trHeight w:val="190"/>
        </w:trPr>
        <w:tc>
          <w:tcPr>
            <w:tcW w:w="16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Series F </w:t>
            </w:r>
            <w:r>
              <w:rPr>
                <w:rFonts w:ascii="Times New Roman" w:cs="Times New Roman" w:eastAsia="Times New Roman" w:hAnsi="Times New Roman"/>
                <w:sz w:val="12"/>
                <w:szCs w:val="12"/>
                <w:color w:val="B4B4B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8,501,429</w:t>
            </w:r>
          </w:p>
        </w:tc>
        <w:tc>
          <w:tcPr>
            <w:tcW w:w="880" w:type="dxa"/>
            <w:vAlign w:val="bottom"/>
            <w:gridSpan w:val="2"/>
            <w:shd w:val="clear" w:color="auto" w:fill="CCEEFF"/>
          </w:tcPr>
          <w:p>
            <w:pPr>
              <w:jc w:val="right"/>
              <w:ind w:right="4"/>
              <w:spacing w:after="0"/>
              <w:rPr>
                <w:sz w:val="20"/>
                <w:szCs w:val="20"/>
                <w:color w:val="auto"/>
              </w:rPr>
            </w:pPr>
            <w:r>
              <w:rPr>
                <w:rFonts w:ascii="Arial" w:cs="Arial" w:eastAsia="Arial" w:hAnsi="Arial"/>
                <w:sz w:val="12"/>
                <w:szCs w:val="12"/>
                <w:color w:val="auto"/>
              </w:rPr>
              <w:t>8,501,424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32.35</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275,000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274,827</w:t>
            </w:r>
          </w:p>
        </w:tc>
        <w:tc>
          <w:tcPr>
            <w:tcW w:w="0" w:type="dxa"/>
            <w:vAlign w:val="bottom"/>
          </w:tcPr>
          <w:p>
            <w:pPr>
              <w:spacing w:after="0"/>
              <w:rPr>
                <w:sz w:val="1"/>
                <w:szCs w:val="1"/>
                <w:color w:val="auto"/>
              </w:rPr>
            </w:pPr>
          </w:p>
        </w:tc>
      </w:tr>
      <w:tr>
        <w:trPr>
          <w:trHeight w:val="173"/>
        </w:trPr>
        <w:tc>
          <w:tcPr>
            <w:tcW w:w="1660" w:type="dxa"/>
            <w:vAlign w:val="bottom"/>
          </w:tcPr>
          <w:p>
            <w:pPr>
              <w:ind w:left="40"/>
              <w:spacing w:after="0"/>
              <w:rPr>
                <w:sz w:val="20"/>
                <w:szCs w:val="20"/>
                <w:color w:val="auto"/>
              </w:rPr>
            </w:pPr>
            <w:r>
              <w:rPr>
                <w:rFonts w:ascii="Arial" w:cs="Arial" w:eastAsia="Arial" w:hAnsi="Arial"/>
                <w:sz w:val="12"/>
                <w:szCs w:val="12"/>
                <w:color w:val="auto"/>
              </w:rPr>
              <w:t xml:space="preserve">Series G </w:t>
            </w:r>
            <w:r>
              <w:rPr>
                <w:rFonts w:ascii="Times New Roman" w:cs="Times New Roman" w:eastAsia="Times New Roman" w:hAnsi="Times New Roman"/>
                <w:sz w:val="12"/>
                <w:szCs w:val="12"/>
                <w:color w:val="B4B4B4"/>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8,010,956</w:t>
            </w:r>
          </w:p>
        </w:tc>
        <w:tc>
          <w:tcPr>
            <w:tcW w:w="880" w:type="dxa"/>
            <w:vAlign w:val="bottom"/>
            <w:gridSpan w:val="2"/>
          </w:tcPr>
          <w:p>
            <w:pPr>
              <w:jc w:val="right"/>
              <w:ind w:right="4"/>
              <w:spacing w:after="0"/>
              <w:rPr>
                <w:sz w:val="20"/>
                <w:szCs w:val="20"/>
                <w:color w:val="auto"/>
              </w:rPr>
            </w:pPr>
            <w:r>
              <w:rPr>
                <w:rFonts w:ascii="Arial" w:cs="Arial" w:eastAsia="Arial" w:hAnsi="Arial"/>
                <w:sz w:val="12"/>
                <w:szCs w:val="12"/>
                <w:color w:val="auto"/>
              </w:rPr>
              <w:t>2,670,319</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9"/>
              <w:spacing w:after="0"/>
              <w:rPr>
                <w:sz w:val="20"/>
                <w:szCs w:val="20"/>
                <w:color w:val="auto"/>
              </w:rPr>
            </w:pPr>
            <w:r>
              <w:rPr>
                <w:rFonts w:ascii="Arial" w:cs="Arial" w:eastAsia="Arial" w:hAnsi="Arial"/>
                <w:sz w:val="12"/>
                <w:szCs w:val="12"/>
                <w:color w:val="auto"/>
              </w:rPr>
              <w:t>37.45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99,794</w:t>
            </w:r>
          </w:p>
        </w:tc>
        <w:tc>
          <w:tcPr>
            <w:tcW w:w="0" w:type="dxa"/>
            <w:vAlign w:val="bottom"/>
          </w:tcPr>
          <w:p>
            <w:pPr>
              <w:spacing w:after="0"/>
              <w:rPr>
                <w:sz w:val="1"/>
                <w:szCs w:val="1"/>
                <w:color w:val="auto"/>
              </w:rPr>
            </w:pPr>
          </w:p>
        </w:tc>
      </w:tr>
      <w:tr>
        <w:trPr>
          <w:trHeight w:val="190"/>
        </w:trPr>
        <w:tc>
          <w:tcPr>
            <w:tcW w:w="16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Series G-1 </w:t>
            </w:r>
            <w:r>
              <w:rPr>
                <w:rFonts w:ascii="Times New Roman" w:cs="Times New Roman" w:eastAsia="Times New Roman" w:hAnsi="Times New Roman"/>
                <w:sz w:val="12"/>
                <w:szCs w:val="12"/>
                <w:color w:val="B4B4B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5,340,637</w:t>
            </w:r>
          </w:p>
        </w:tc>
        <w:tc>
          <w:tcPr>
            <w:tcW w:w="880" w:type="dxa"/>
            <w:vAlign w:val="bottom"/>
            <w:gridSpan w:val="2"/>
            <w:shd w:val="clear" w:color="auto" w:fill="CCEEFF"/>
          </w:tcPr>
          <w:p>
            <w:pPr>
              <w:jc w:val="right"/>
              <w:ind w:right="4"/>
              <w:spacing w:after="0"/>
              <w:rPr>
                <w:sz w:val="20"/>
                <w:szCs w:val="20"/>
                <w:color w:val="auto"/>
              </w:rPr>
            </w:pPr>
            <w:r>
              <w:rPr>
                <w:rFonts w:ascii="Arial" w:cs="Arial" w:eastAsia="Arial" w:hAnsi="Arial"/>
                <w:sz w:val="12"/>
                <w:szCs w:val="12"/>
                <w:color w:val="auto"/>
              </w:rPr>
              <w:t>1,441,963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37.45</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54,000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53,890</w:t>
            </w:r>
          </w:p>
        </w:tc>
        <w:tc>
          <w:tcPr>
            <w:tcW w:w="0" w:type="dxa"/>
            <w:vAlign w:val="bottom"/>
          </w:tcPr>
          <w:p>
            <w:pPr>
              <w:spacing w:after="0"/>
              <w:rPr>
                <w:sz w:val="1"/>
                <w:szCs w:val="1"/>
                <w:color w:val="auto"/>
              </w:rPr>
            </w:pPr>
          </w:p>
        </w:tc>
      </w:tr>
      <w:tr>
        <w:trPr>
          <w:trHeight w:val="161"/>
        </w:trPr>
        <w:tc>
          <w:tcPr>
            <w:tcW w:w="166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157,027,585</w:t>
            </w:r>
          </w:p>
        </w:tc>
        <w:tc>
          <w:tcPr>
            <w:tcW w:w="4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2"/>
                <w:szCs w:val="12"/>
                <w:color w:val="auto"/>
              </w:rPr>
              <w:t>146,360,207</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1,301,402</w:t>
            </w: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1,301,121</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The significant features of the Preferred Stock are as follows:</w:t>
      </w:r>
    </w:p>
    <w:p>
      <w:pPr>
        <w:spacing w:after="0" w:line="130" w:lineRule="exact"/>
        <w:rPr>
          <w:sz w:val="20"/>
          <w:szCs w:val="20"/>
          <w:color w:val="auto"/>
        </w:rPr>
      </w:pPr>
    </w:p>
    <w:p>
      <w:pPr>
        <w:ind w:left="1520" w:right="1580" w:firstLine="230"/>
        <w:spacing w:after="0" w:line="276" w:lineRule="auto"/>
        <w:rPr>
          <w:sz w:val="20"/>
          <w:szCs w:val="20"/>
          <w:color w:val="auto"/>
        </w:rPr>
      </w:pPr>
      <w:r>
        <w:rPr>
          <w:rFonts w:ascii="Arial" w:cs="Arial" w:eastAsia="Arial" w:hAnsi="Arial"/>
          <w:sz w:val="12"/>
          <w:szCs w:val="12"/>
          <w:b w:val="1"/>
          <w:bCs w:val="1"/>
          <w:color w:val="auto"/>
        </w:rPr>
        <w:t xml:space="preserve">Dividend Provisions </w:t>
      </w:r>
      <w:r>
        <w:rPr>
          <w:rFonts w:ascii="Arial" w:cs="Arial" w:eastAsia="Arial" w:hAnsi="Arial"/>
          <w:sz w:val="12"/>
          <w:szCs w:val="12"/>
          <w:color w:val="auto"/>
        </w:rPr>
        <w:t>- Holders of Preferred Stock shall be entitled to receive, when, and if declared</w:t>
      </w:r>
      <w:r>
        <w:rPr>
          <w:rFonts w:ascii="Arial" w:cs="Arial" w:eastAsia="Arial" w:hAnsi="Arial"/>
          <w:sz w:val="12"/>
          <w:szCs w:val="12"/>
          <w:b w:val="1"/>
          <w:bCs w:val="1"/>
          <w:color w:val="auto"/>
        </w:rPr>
        <w:t xml:space="preserve"> </w:t>
      </w:r>
      <w:r>
        <w:rPr>
          <w:rFonts w:ascii="Arial" w:cs="Arial" w:eastAsia="Arial" w:hAnsi="Arial"/>
          <w:sz w:val="12"/>
          <w:szCs w:val="12"/>
          <w:color w:val="auto"/>
        </w:rPr>
        <w:t>by the Board of Directors, but only out of funds that are legally available, cash dividends at the rate of 8% of the original issue price of each Preferred Stock series. Such dividends shall be payable on a pari passu basis and only when, and if declared by the Board of Directors and shall be non-cumulative. No dividends on Preferred Stock or common stock have been declared by the Board of Directors from inception through July 31, 2025 .</w:t>
      </w:r>
    </w:p>
    <w:p>
      <w:pPr>
        <w:spacing w:after="0" w:line="240" w:lineRule="exact"/>
        <w:rPr>
          <w:sz w:val="20"/>
          <w:szCs w:val="20"/>
          <w:color w:val="auto"/>
        </w:rPr>
      </w:pPr>
    </w:p>
    <w:p>
      <w:pPr>
        <w:ind w:left="1520" w:right="1680" w:firstLine="230"/>
        <w:spacing w:after="0" w:line="270" w:lineRule="auto"/>
        <w:rPr>
          <w:sz w:val="20"/>
          <w:szCs w:val="20"/>
          <w:color w:val="auto"/>
        </w:rPr>
      </w:pPr>
      <w:r>
        <w:rPr>
          <w:rFonts w:ascii="Arial" w:cs="Arial" w:eastAsia="Arial" w:hAnsi="Arial"/>
          <w:sz w:val="12"/>
          <w:szCs w:val="12"/>
          <w:b w:val="1"/>
          <w:bCs w:val="1"/>
          <w:color w:val="auto"/>
        </w:rPr>
        <w:t xml:space="preserve">Liquidation Preference </w:t>
      </w:r>
      <w:r>
        <w:rPr>
          <w:rFonts w:ascii="Arial" w:cs="Arial" w:eastAsia="Arial" w:hAnsi="Arial"/>
          <w:sz w:val="12"/>
          <w:szCs w:val="12"/>
          <w:color w:val="auto"/>
        </w:rPr>
        <w:t>- In the event of any liquidation, dissolution or winding-up of the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whether voluntary or involuntary or any deemed liquidation event (a “Liquidation Event”), the holders of Preferred Stock shall be entitled, on a pari passu basis among each other and before any payments to the holders of common stock, to be paid out of the assets of the Company available for distribution for each share of Preferred Stock, an amount per share of Preferred Stock equal to the greater of (a) the applicable original issuance price plus all declared but unpaid dividends on such Preferred Stock, or (b) such amount per share as would have been payable had all shares of (i) such series of Preferred Stock been converted into common stock, and (ii) each other series of Preferred Stock that would have received a greater amount per share had such other series been converted into common stock. If, upon any such Liquidation Event, the assets of the Company shall be insufficient to make payment in full to all holders of the Preferred Stock, then the assets shall be distributed among the holders of Preferred Stock on a pari passu basis, in proportion to the full amounts to which they would otherwise be respectively entitled.</w:t>
      </w:r>
    </w:p>
    <w:p>
      <w:pPr>
        <w:spacing w:after="0" w:line="89" w:lineRule="exact"/>
        <w:rPr>
          <w:sz w:val="20"/>
          <w:szCs w:val="20"/>
          <w:color w:val="auto"/>
        </w:rPr>
      </w:pPr>
    </w:p>
    <w:p>
      <w:pPr>
        <w:ind w:left="1520" w:right="1760" w:firstLine="230"/>
        <w:spacing w:after="0" w:line="289" w:lineRule="auto"/>
        <w:rPr>
          <w:sz w:val="20"/>
          <w:szCs w:val="20"/>
          <w:color w:val="auto"/>
        </w:rPr>
      </w:pPr>
      <w:r>
        <w:rPr>
          <w:rFonts w:ascii="Arial" w:cs="Arial" w:eastAsia="Arial" w:hAnsi="Arial"/>
          <w:sz w:val="12"/>
          <w:szCs w:val="12"/>
          <w:color w:val="auto"/>
        </w:rPr>
        <w:t>After the payment of the full liquidation preference to Preferred Stock above, the remaining assets of the corporation available for distribution to shareholders will be distributed ratably to the holders of common stock.</w:t>
      </w:r>
    </w:p>
    <w:p>
      <w:pPr>
        <w:spacing w:after="0" w:line="76" w:lineRule="exact"/>
        <w:rPr>
          <w:sz w:val="20"/>
          <w:szCs w:val="20"/>
          <w:color w:val="auto"/>
        </w:rPr>
      </w:pPr>
    </w:p>
    <w:p>
      <w:pPr>
        <w:ind w:left="1520" w:right="1860" w:firstLine="230"/>
        <w:spacing w:after="0" w:line="289" w:lineRule="auto"/>
        <w:rPr>
          <w:sz w:val="20"/>
          <w:szCs w:val="20"/>
          <w:color w:val="auto"/>
        </w:rPr>
      </w:pPr>
      <w:r>
        <w:rPr>
          <w:rFonts w:ascii="Arial" w:cs="Arial" w:eastAsia="Arial" w:hAnsi="Arial"/>
          <w:sz w:val="12"/>
          <w:szCs w:val="12"/>
          <w:b w:val="1"/>
          <w:bCs w:val="1"/>
          <w:color w:val="auto"/>
        </w:rPr>
        <w:t xml:space="preserve">Conversion Rights </w:t>
      </w:r>
      <w:r>
        <w:rPr>
          <w:rFonts w:ascii="Arial" w:cs="Arial" w:eastAsia="Arial" w:hAnsi="Arial"/>
          <w:sz w:val="12"/>
          <w:szCs w:val="12"/>
          <w:color w:val="auto"/>
        </w:rPr>
        <w:t>- Each share of Preferred Stock is convertible, at the option of the holder, into</w:t>
      </w:r>
      <w:r>
        <w:rPr>
          <w:rFonts w:ascii="Arial" w:cs="Arial" w:eastAsia="Arial" w:hAnsi="Arial"/>
          <w:sz w:val="12"/>
          <w:szCs w:val="12"/>
          <w:b w:val="1"/>
          <w:bCs w:val="1"/>
          <w:color w:val="auto"/>
        </w:rPr>
        <w:t xml:space="preserve"> </w:t>
      </w:r>
      <w:r>
        <w:rPr>
          <w:rFonts w:ascii="Arial" w:cs="Arial" w:eastAsia="Arial" w:hAnsi="Arial"/>
          <w:sz w:val="12"/>
          <w:szCs w:val="12"/>
          <w:color w:val="auto"/>
        </w:rPr>
        <w:t>such number of shares of common stock as is determined by dividing the applicable original issuance price for a share by the applicable conversion price at the time in effect for such share. Each share of</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F-74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jc w:val="both"/>
        <w:ind w:left="1520" w:right="2060"/>
        <w:spacing w:after="0" w:line="289" w:lineRule="auto"/>
        <w:rPr>
          <w:sz w:val="20"/>
          <w:szCs w:val="20"/>
          <w:color w:val="auto"/>
        </w:rPr>
      </w:pPr>
      <w:r>
        <w:rPr>
          <w:rFonts w:ascii="Arial" w:cs="Arial" w:eastAsia="Arial" w:hAnsi="Arial"/>
          <w:sz w:val="12"/>
          <w:szCs w:val="12"/>
          <w:color w:val="auto"/>
        </w:rPr>
        <w:t>Preferred Stock automatically converts into the number of shares of common stock into which such shares are convertible at the then-effective conversion ratio upon the closing of a public offering of common stock with gross proceeds of at least $100 million as of July 31, 2025 .</w:t>
      </w:r>
    </w:p>
    <w:p>
      <w:pPr>
        <w:spacing w:after="0" w:line="76" w:lineRule="exact"/>
        <w:rPr>
          <w:sz w:val="20"/>
          <w:szCs w:val="20"/>
          <w:color w:val="auto"/>
        </w:rPr>
      </w:pPr>
    </w:p>
    <w:p>
      <w:pPr>
        <w:ind w:left="1520" w:right="1660" w:firstLine="230"/>
        <w:spacing w:after="0" w:line="289" w:lineRule="auto"/>
        <w:rPr>
          <w:sz w:val="20"/>
          <w:szCs w:val="20"/>
          <w:color w:val="auto"/>
        </w:rPr>
      </w:pPr>
      <w:r>
        <w:rPr>
          <w:rFonts w:ascii="Arial" w:cs="Arial" w:eastAsia="Arial" w:hAnsi="Arial"/>
          <w:sz w:val="12"/>
          <w:szCs w:val="12"/>
          <w:b w:val="1"/>
          <w:bCs w:val="1"/>
          <w:color w:val="auto"/>
        </w:rPr>
        <w:t xml:space="preserve">Redemption Rights </w:t>
      </w:r>
      <w:r>
        <w:rPr>
          <w:rFonts w:ascii="Arial" w:cs="Arial" w:eastAsia="Arial" w:hAnsi="Arial"/>
          <w:sz w:val="12"/>
          <w:szCs w:val="12"/>
          <w:color w:val="auto"/>
        </w:rPr>
        <w:t>- The Preferred Stock is not mandatorily redeemable. It will become redeemable</w:t>
      </w:r>
      <w:r>
        <w:rPr>
          <w:rFonts w:ascii="Arial" w:cs="Arial" w:eastAsia="Arial" w:hAnsi="Arial"/>
          <w:sz w:val="12"/>
          <w:szCs w:val="12"/>
          <w:b w:val="1"/>
          <w:bCs w:val="1"/>
          <w:color w:val="auto"/>
        </w:rPr>
        <w:t xml:space="preserve"> </w:t>
      </w:r>
      <w:r>
        <w:rPr>
          <w:rFonts w:ascii="Arial" w:cs="Arial" w:eastAsia="Arial" w:hAnsi="Arial"/>
          <w:sz w:val="12"/>
          <w:szCs w:val="12"/>
          <w:color w:val="auto"/>
        </w:rPr>
        <w:t>upon the occurrence of certain deemed liquidation events that are considered not solely within the Company’s control. Accordingly, the Preferred Stock is presented in the mezzanine section of the</w:t>
      </w:r>
    </w:p>
    <w:p>
      <w:pPr>
        <w:sectPr>
          <w:pgSz w:w="11900" w:h="16840" w:orient="portrait"/>
          <w:cols w:equalWidth="0" w:num="1">
            <w:col w:w="9020"/>
          </w:cols>
          <w:pgMar w:left="1440" w:top="559" w:right="1440" w:bottom="51" w:gutter="0" w:footer="0" w:header="0"/>
        </w:sectPr>
      </w:pPr>
    </w:p>
    <w:bookmarkStart w:id="209" w:name="page210"/>
    <w:bookmarkEnd w:id="209"/>
    <w:p>
      <w:pPr>
        <w:ind w:left="1520"/>
        <w:spacing w:after="0"/>
        <w:rPr>
          <w:sz w:val="20"/>
          <w:szCs w:val="20"/>
          <w:color w:val="auto"/>
        </w:rPr>
      </w:pPr>
      <w:r>
        <w:rPr>
          <w:rFonts w:ascii="Arial" w:cs="Arial" w:eastAsia="Arial" w:hAnsi="Arial"/>
          <w:sz w:val="12"/>
          <w:szCs w:val="12"/>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-80645</wp:posOffset>
            </wp:positionV>
            <wp:extent cx="6732270" cy="99707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33" w:lineRule="exact"/>
        <w:rPr>
          <w:sz w:val="20"/>
          <w:szCs w:val="20"/>
          <w:color w:val="auto"/>
        </w:rPr>
      </w:pPr>
    </w:p>
    <w:p>
      <w:pPr>
        <w:ind w:left="1520" w:right="1940" w:firstLine="230"/>
        <w:spacing w:after="0" w:line="312" w:lineRule="auto"/>
        <w:rPr>
          <w:sz w:val="20"/>
          <w:szCs w:val="20"/>
          <w:color w:val="auto"/>
        </w:rPr>
      </w:pPr>
      <w:r>
        <w:rPr>
          <w:rFonts w:ascii="Arial" w:cs="Arial" w:eastAsia="Arial" w:hAnsi="Arial"/>
          <w:sz w:val="12"/>
          <w:szCs w:val="12"/>
          <w:b w:val="1"/>
          <w:bCs w:val="1"/>
          <w:color w:val="auto"/>
        </w:rPr>
        <w:t xml:space="preserve">Voting Rights </w:t>
      </w:r>
      <w:r>
        <w:rPr>
          <w:rFonts w:ascii="Arial" w:cs="Arial" w:eastAsia="Arial" w:hAnsi="Arial"/>
          <w:sz w:val="12"/>
          <w:szCs w:val="12"/>
          <w:color w:val="auto"/>
        </w:rPr>
        <w:t>- The holders of each share of Preferred Stock are entitled to the number of votes</w:t>
      </w:r>
      <w:r>
        <w:rPr>
          <w:rFonts w:ascii="Arial" w:cs="Arial" w:eastAsia="Arial" w:hAnsi="Arial"/>
          <w:sz w:val="12"/>
          <w:szCs w:val="12"/>
          <w:b w:val="1"/>
          <w:bCs w:val="1"/>
          <w:color w:val="auto"/>
        </w:rPr>
        <w:t xml:space="preserve"> </w:t>
      </w:r>
      <w:r>
        <w:rPr>
          <w:rFonts w:ascii="Arial" w:cs="Arial" w:eastAsia="Arial" w:hAnsi="Arial"/>
          <w:sz w:val="12"/>
          <w:szCs w:val="12"/>
          <w:color w:val="auto"/>
        </w:rPr>
        <w:t>equal to the number of shares of common stock into which such shares are convertible.</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Common Stock</w:t>
      </w:r>
    </w:p>
    <w:p>
      <w:pPr>
        <w:spacing w:after="0" w:line="128" w:lineRule="exact"/>
        <w:rPr>
          <w:sz w:val="20"/>
          <w:szCs w:val="20"/>
          <w:color w:val="auto"/>
        </w:rPr>
      </w:pPr>
    </w:p>
    <w:p>
      <w:pPr>
        <w:ind w:left="1520" w:right="1740" w:firstLine="230"/>
        <w:spacing w:after="0" w:line="281" w:lineRule="auto"/>
        <w:rPr>
          <w:sz w:val="20"/>
          <w:szCs w:val="20"/>
          <w:color w:val="auto"/>
        </w:rPr>
      </w:pPr>
      <w:r>
        <w:rPr>
          <w:rFonts w:ascii="Arial" w:cs="Arial" w:eastAsia="Arial" w:hAnsi="Arial"/>
          <w:sz w:val="12"/>
          <w:szCs w:val="12"/>
          <w:color w:val="auto"/>
        </w:rPr>
        <w:t>The holders of each share of common stock are entitled to one vote for each share of common stock issued and outstanding for the holders. The holders of common stock are also entitled to receive dividends whenever funds are available and when declared by the Board of Directors, subject to the priority rights of holders of all series of Preferred Stock outstanding.</w:t>
      </w:r>
    </w:p>
    <w:p>
      <w:pPr>
        <w:spacing w:after="0" w:line="81" w:lineRule="exact"/>
        <w:rPr>
          <w:sz w:val="20"/>
          <w:szCs w:val="20"/>
          <w:color w:val="auto"/>
        </w:rPr>
      </w:pPr>
    </w:p>
    <w:p>
      <w:pPr>
        <w:ind w:left="1520" w:right="1780" w:firstLine="230"/>
        <w:spacing w:after="0" w:line="312" w:lineRule="auto"/>
        <w:rPr>
          <w:sz w:val="20"/>
          <w:szCs w:val="20"/>
          <w:color w:val="auto"/>
        </w:rPr>
      </w:pPr>
      <w:r>
        <w:rPr>
          <w:rFonts w:ascii="Arial" w:cs="Arial" w:eastAsia="Arial" w:hAnsi="Arial"/>
          <w:sz w:val="12"/>
          <w:szCs w:val="12"/>
          <w:color w:val="auto"/>
        </w:rPr>
        <w:t>Common stock reserved for issuance as of July 31, 2025 and January 31, 2025 is summarized as follows:</w:t>
      </w:r>
    </w:p>
    <w:p>
      <w:pPr>
        <w:spacing w:after="0" w:line="101"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4160" w:type="dxa"/>
            <w:vAlign w:val="bottom"/>
          </w:tcPr>
          <w:p>
            <w:pPr>
              <w:spacing w:after="0"/>
              <w:rPr>
                <w:sz w:val="13"/>
                <w:szCs w:val="13"/>
                <w:color w:val="auto"/>
              </w:rPr>
            </w:pPr>
          </w:p>
        </w:tc>
        <w:tc>
          <w:tcPr>
            <w:tcW w:w="1040" w:type="dxa"/>
            <w:vAlign w:val="bottom"/>
            <w:tcBorders>
              <w:bottom w:val="single" w:sz="8" w:color="auto"/>
            </w:tcBorders>
            <w:gridSpan w:val="3"/>
          </w:tcPr>
          <w:p>
            <w:pPr>
              <w:ind w:left="780"/>
              <w:spacing w:after="0"/>
              <w:rPr>
                <w:sz w:val="20"/>
                <w:szCs w:val="20"/>
                <w:color w:val="auto"/>
              </w:rPr>
            </w:pPr>
            <w:r>
              <w:rPr>
                <w:rFonts w:ascii="Arial" w:cs="Arial" w:eastAsia="Arial" w:hAnsi="Arial"/>
                <w:sz w:val="11"/>
                <w:szCs w:val="11"/>
                <w:b w:val="1"/>
                <w:bCs w:val="1"/>
                <w:color w:val="auto"/>
                <w:w w:val="87"/>
              </w:rPr>
              <w:t>As of</w:t>
            </w:r>
          </w:p>
        </w:tc>
        <w:tc>
          <w:tcPr>
            <w:tcW w:w="780" w:type="dxa"/>
            <w:vAlign w:val="bottom"/>
            <w:tcBorders>
              <w:bottom w:val="single" w:sz="8" w:color="auto"/>
            </w:tcBorders>
          </w:tcPr>
          <w:p>
            <w:pPr>
              <w:spacing w:after="0"/>
              <w:rPr>
                <w:sz w:val="13"/>
                <w:szCs w:val="13"/>
                <w:color w:val="auto"/>
              </w:rPr>
            </w:pPr>
          </w:p>
        </w:tc>
      </w:tr>
      <w:tr>
        <w:trPr>
          <w:trHeight w:val="147"/>
        </w:trPr>
        <w:tc>
          <w:tcPr>
            <w:tcW w:w="4160" w:type="dxa"/>
            <w:vAlign w:val="bottom"/>
          </w:tcPr>
          <w:p>
            <w:pPr>
              <w:spacing w:after="0"/>
              <w:rPr>
                <w:sz w:val="12"/>
                <w:szCs w:val="12"/>
                <w:color w:val="auto"/>
              </w:rPr>
            </w:pPr>
          </w:p>
        </w:tc>
        <w:tc>
          <w:tcPr>
            <w:tcW w:w="1820" w:type="dxa"/>
            <w:vAlign w:val="bottom"/>
            <w:gridSpan w:val="4"/>
          </w:tcPr>
          <w:p>
            <w:pPr>
              <w:jc w:val="right"/>
              <w:spacing w:after="0"/>
              <w:rPr>
                <w:sz w:val="20"/>
                <w:szCs w:val="20"/>
                <w:color w:val="auto"/>
              </w:rPr>
            </w:pPr>
            <w:r>
              <w:rPr>
                <w:rFonts w:ascii="Arial" w:cs="Arial" w:eastAsia="Arial" w:hAnsi="Arial"/>
                <w:sz w:val="11"/>
                <w:szCs w:val="11"/>
                <w:b w:val="1"/>
                <w:bCs w:val="1"/>
                <w:color w:val="auto"/>
              </w:rPr>
              <w:t>July 31, 2025   January 31, 2025</w:t>
            </w:r>
          </w:p>
        </w:tc>
      </w:tr>
      <w:tr>
        <w:trPr>
          <w:trHeight w:val="167"/>
        </w:trPr>
        <w:tc>
          <w:tcPr>
            <w:tcW w:w="4160" w:type="dxa"/>
            <w:vAlign w:val="bottom"/>
            <w:tcBorders>
              <w:top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Redeemableconvertiblepreferredstock</w:t>
            </w:r>
          </w:p>
        </w:tc>
        <w:tc>
          <w:tcPr>
            <w:tcW w:w="8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146,360,207</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146,360,207</w:t>
            </w:r>
          </w:p>
        </w:tc>
      </w:tr>
      <w:tr>
        <w:trPr>
          <w:trHeight w:val="173"/>
        </w:trPr>
        <w:tc>
          <w:tcPr>
            <w:tcW w:w="4160" w:type="dxa"/>
            <w:vAlign w:val="bottom"/>
          </w:tcPr>
          <w:p>
            <w:pPr>
              <w:ind w:left="40"/>
              <w:spacing w:after="0"/>
              <w:rPr>
                <w:sz w:val="20"/>
                <w:szCs w:val="20"/>
                <w:color w:val="auto"/>
              </w:rPr>
            </w:pPr>
            <w:r>
              <w:rPr>
                <w:rFonts w:ascii="Arial" w:cs="Arial" w:eastAsia="Arial" w:hAnsi="Arial"/>
                <w:sz w:val="12"/>
                <w:szCs w:val="12"/>
                <w:color w:val="auto"/>
              </w:rPr>
              <w:t xml:space="preserve">Stock options issued and outstanding </w:t>
            </w:r>
            <w:r>
              <w:rPr>
                <w:rFonts w:ascii="Times New Roman" w:cs="Times New Roman" w:eastAsia="Times New Roman" w:hAnsi="Times New Roman"/>
                <w:sz w:val="12"/>
                <w:szCs w:val="12"/>
                <w:color w:val="B4B4B4"/>
              </w:rPr>
              <w:t>.............................................................</w:t>
            </w: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41,581,733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40,971,097</w:t>
            </w:r>
          </w:p>
        </w:tc>
      </w:tr>
      <w:tr>
        <w:trPr>
          <w:trHeight w:val="190"/>
        </w:trPr>
        <w:tc>
          <w:tcPr>
            <w:tcW w:w="4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RSUs issued and outstanding </w:t>
            </w:r>
            <w:r>
              <w:rPr>
                <w:rFonts w:ascii="Times New Roman" w:cs="Times New Roman" w:eastAsia="Times New Roman" w:hAnsi="Times New Roman"/>
                <w:sz w:val="12"/>
                <w:szCs w:val="12"/>
                <w:color w:val="B4B4B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7,771,766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4,653,847</w:t>
            </w:r>
          </w:p>
        </w:tc>
      </w:tr>
      <w:tr>
        <w:trPr>
          <w:trHeight w:val="173"/>
        </w:trPr>
        <w:tc>
          <w:tcPr>
            <w:tcW w:w="4160" w:type="dxa"/>
            <w:vAlign w:val="bottom"/>
          </w:tcPr>
          <w:p>
            <w:pPr>
              <w:ind w:left="40"/>
              <w:spacing w:after="0"/>
              <w:rPr>
                <w:sz w:val="20"/>
                <w:szCs w:val="20"/>
                <w:color w:val="auto"/>
              </w:rPr>
            </w:pPr>
            <w:r>
              <w:rPr>
                <w:rFonts w:ascii="Arial" w:cs="Arial" w:eastAsia="Arial" w:hAnsi="Arial"/>
                <w:sz w:val="12"/>
                <w:szCs w:val="12"/>
                <w:color w:val="auto"/>
              </w:rPr>
              <w:t xml:space="preserve">Shares of common stock available for future grants  </w:t>
            </w:r>
            <w:r>
              <w:rPr>
                <w:rFonts w:ascii="Times New Roman" w:cs="Times New Roman" w:eastAsia="Times New Roman" w:hAnsi="Times New Roman"/>
                <w:sz w:val="12"/>
                <w:szCs w:val="12"/>
                <w:color w:val="B4B4B4"/>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5,876,145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5,486,445</w:t>
            </w:r>
          </w:p>
        </w:tc>
      </w:tr>
      <w:tr>
        <w:trPr>
          <w:trHeight w:val="190"/>
        </w:trPr>
        <w:tc>
          <w:tcPr>
            <w:tcW w:w="4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Redeemable convertible preferred stock warrants  </w:t>
            </w:r>
            <w:r>
              <w:rPr>
                <w:rFonts w:ascii="Times New Roman" w:cs="Times New Roman" w:eastAsia="Times New Roman" w:hAnsi="Times New Roman"/>
                <w:sz w:val="12"/>
                <w:szCs w:val="12"/>
                <w:color w:val="B4B4B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40,160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40,160</w:t>
            </w:r>
          </w:p>
        </w:tc>
      </w:tr>
      <w:tr>
        <w:trPr>
          <w:trHeight w:val="173"/>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xml:space="preserve">Common stock warrants </w:t>
            </w:r>
            <w:r>
              <w:rPr>
                <w:rFonts w:ascii="Times New Roman" w:cs="Times New Roman" w:eastAsia="Times New Roman" w:hAnsi="Times New Roman"/>
                <w:sz w:val="12"/>
                <w:szCs w:val="12"/>
                <w:color w:val="B4B4B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1,697,811</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70"/>
        </w:trPr>
        <w:tc>
          <w:tcPr>
            <w:tcW w:w="41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Totalcommonstockreservedforissuance</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203,327,822</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197,511,756</w:t>
            </w:r>
          </w:p>
        </w:tc>
      </w:tr>
    </w:tbl>
    <w:p>
      <w:pPr>
        <w:spacing w:after="0" w:line="115"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11 - INCOME TAXES</w:t>
      </w:r>
    </w:p>
    <w:p>
      <w:pPr>
        <w:spacing w:after="0" w:line="130" w:lineRule="exact"/>
        <w:rPr>
          <w:sz w:val="20"/>
          <w:szCs w:val="20"/>
          <w:color w:val="auto"/>
        </w:rPr>
      </w:pPr>
    </w:p>
    <w:p>
      <w:pPr>
        <w:ind w:left="1520" w:right="2120" w:firstLine="230"/>
        <w:spacing w:after="0" w:line="312" w:lineRule="auto"/>
        <w:rPr>
          <w:sz w:val="20"/>
          <w:szCs w:val="20"/>
          <w:color w:val="auto"/>
        </w:rPr>
      </w:pPr>
      <w:r>
        <w:rPr>
          <w:rFonts w:ascii="Arial" w:cs="Arial" w:eastAsia="Arial" w:hAnsi="Arial"/>
          <w:sz w:val="12"/>
          <w:szCs w:val="12"/>
          <w:color w:val="auto"/>
        </w:rPr>
        <w:t>The Company's provision for income tax expense and the effective tax rates are as follows (in thousands, except percentages):</w:t>
      </w:r>
    </w:p>
    <w:p>
      <w:pPr>
        <w:spacing w:after="0" w:line="79"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4"/>
          </w:tcPr>
          <w:p>
            <w:pPr>
              <w:ind w:left="6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67"/>
        </w:trPr>
        <w:tc>
          <w:tcPr>
            <w:tcW w:w="4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restart"/>
          </w:tcPr>
          <w:p>
            <w:pPr>
              <w:jc w:val="right"/>
              <w:ind w:right="241"/>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7"/>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IncomeTaxProvision</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27"/>
              <w:spacing w:after="0"/>
              <w:rPr>
                <w:sz w:val="20"/>
                <w:szCs w:val="20"/>
                <w:color w:val="auto"/>
              </w:rPr>
            </w:pPr>
            <w:r>
              <w:rPr>
                <w:rFonts w:ascii="Arial" w:cs="Arial" w:eastAsia="Arial" w:hAnsi="Arial"/>
                <w:sz w:val="12"/>
                <w:szCs w:val="12"/>
                <w:color w:val="auto"/>
              </w:rPr>
              <w:t>8,043</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4,296</w:t>
            </w:r>
          </w:p>
        </w:tc>
        <w:tc>
          <w:tcPr>
            <w:tcW w:w="0" w:type="dxa"/>
            <w:vAlign w:val="bottom"/>
          </w:tcPr>
          <w:p>
            <w:pPr>
              <w:spacing w:after="0"/>
              <w:rPr>
                <w:sz w:val="1"/>
                <w:szCs w:val="1"/>
                <w:color w:val="auto"/>
              </w:rPr>
            </w:pPr>
          </w:p>
        </w:tc>
      </w:tr>
      <w:tr>
        <w:trPr>
          <w:trHeight w:val="182"/>
        </w:trPr>
        <w:tc>
          <w:tcPr>
            <w:tcW w:w="4260" w:type="dxa"/>
            <w:vAlign w:val="bottom"/>
          </w:tcPr>
          <w:p>
            <w:pPr>
              <w:jc w:val="right"/>
              <w:ind w:right="38"/>
              <w:spacing w:after="0"/>
              <w:rPr>
                <w:sz w:val="20"/>
                <w:szCs w:val="20"/>
                <w:color w:val="auto"/>
              </w:rPr>
            </w:pPr>
            <w:r>
              <w:rPr>
                <w:rFonts w:ascii="Arial" w:cs="Arial" w:eastAsia="Arial" w:hAnsi="Arial"/>
                <w:sz w:val="12"/>
                <w:szCs w:val="12"/>
                <w:color w:val="auto"/>
              </w:rPr>
              <w:t xml:space="preserve">Effective Tax Rate </w:t>
            </w:r>
            <w:r>
              <w:rPr>
                <w:rFonts w:ascii="Times New Roman" w:cs="Times New Roman" w:eastAsia="Times New Roman" w:hAnsi="Times New Roman"/>
                <w:sz w:val="12"/>
                <w:szCs w:val="12"/>
                <w:color w:val="B4B4B4"/>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(8.8)%</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520" w:right="1860" w:firstLine="230"/>
        <w:spacing w:after="0" w:line="286" w:lineRule="auto"/>
        <w:rPr>
          <w:sz w:val="20"/>
          <w:szCs w:val="20"/>
          <w:color w:val="auto"/>
        </w:rPr>
      </w:pPr>
      <w:r>
        <w:rPr>
          <w:rFonts w:ascii="Arial" w:cs="Arial" w:eastAsia="Arial" w:hAnsi="Arial"/>
          <w:sz w:val="12"/>
          <w:szCs w:val="12"/>
          <w:color w:val="auto"/>
        </w:rPr>
        <w:t>The Company's provision for income taxes for interim periods is determined using an estimated annual effective tax rate ("ETR"), adjusted for discrete items arising in the relevant period. In each quarter, the Company updates their estimated annual ETR and makes a year-to-date calculation of the provision.</w:t>
      </w:r>
    </w:p>
    <w:p>
      <w:pPr>
        <w:sectPr>
          <w:pgSz w:w="11900" w:h="16840" w:orient="portrait"/>
          <w:cols w:equalWidth="0" w:num="1">
            <w:col w:w="9020"/>
          </w:cols>
          <w:pgMar w:left="1440" w:top="560" w:right="1440" w:bottom="120" w:gutter="0" w:footer="0" w:header="0"/>
        </w:sectPr>
      </w:pPr>
    </w:p>
    <w:p>
      <w:pPr>
        <w:spacing w:after="0" w:line="234" w:lineRule="exact"/>
        <w:rPr>
          <w:sz w:val="20"/>
          <w:szCs w:val="20"/>
          <w:color w:val="auto"/>
        </w:rPr>
      </w:pPr>
    </w:p>
    <w:p>
      <w:pPr>
        <w:ind w:left="1520" w:firstLine="230"/>
        <w:spacing w:after="0" w:line="312" w:lineRule="auto"/>
        <w:rPr>
          <w:sz w:val="20"/>
          <w:szCs w:val="20"/>
          <w:color w:val="auto"/>
        </w:rPr>
      </w:pPr>
      <w:r>
        <w:rPr>
          <w:rFonts w:ascii="Arial" w:cs="Arial" w:eastAsia="Arial" w:hAnsi="Arial"/>
          <w:sz w:val="12"/>
          <w:szCs w:val="12"/>
          <w:color w:val="auto"/>
        </w:rPr>
        <w:t>The Company's provision for income taxes was ended July 31, 2025 and 2024, respectively.</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$8.0 million and $4.3 million , for the six months</w:t>
      </w:r>
    </w:p>
    <w:p>
      <w:pPr>
        <w:spacing w:after="0" w:line="282" w:lineRule="exact"/>
        <w:rPr>
          <w:sz w:val="20"/>
          <w:szCs w:val="20"/>
          <w:color w:val="auto"/>
        </w:rPr>
      </w:pPr>
    </w:p>
    <w:p>
      <w:pPr>
        <w:sectPr>
          <w:pgSz w:w="11900" w:h="16840" w:orient="portrait"/>
          <w:cols w:equalWidth="0" w:num="2">
            <w:col w:w="4360" w:space="100"/>
            <w:col w:w="4560"/>
          </w:cols>
          <w:pgMar w:left="1440" w:top="560" w:right="1440" w:bottom="120" w:gutter="0" w:footer="0" w:header="0"/>
          <w:type w:val="continuous"/>
        </w:sectPr>
      </w:pPr>
    </w:p>
    <w:p>
      <w:pPr>
        <w:jc w:val="center"/>
        <w:ind w:right="100"/>
        <w:spacing w:after="0"/>
        <w:rPr>
          <w:sz w:val="20"/>
          <w:szCs w:val="20"/>
          <w:color w:val="auto"/>
        </w:rPr>
      </w:pPr>
      <w:r>
        <w:rPr>
          <w:rFonts w:ascii="Arial" w:cs="Arial" w:eastAsia="Arial" w:hAnsi="Arial"/>
          <w:sz w:val="12"/>
          <w:szCs w:val="12"/>
          <w:color w:val="auto"/>
        </w:rPr>
        <w:t>The effective tax rates for the six months ended  July 31, 2025 and 2024 differed from the federal</w:t>
      </w:r>
    </w:p>
    <w:p>
      <w:pPr>
        <w:sectPr>
          <w:pgSz w:w="11900" w:h="16840" w:orient="portrait"/>
          <w:cols w:equalWidth="0" w:num="1">
            <w:col w:w="9020"/>
          </w:cols>
          <w:pgMar w:left="1440" w:top="560" w:right="1440" w:bottom="120" w:gutter="0" w:footer="0" w:header="0"/>
          <w:type w:val="continuous"/>
        </w:sectPr>
      </w:pPr>
    </w:p>
    <w:p>
      <w:pPr>
        <w:spacing w:after="0" w:line="27" w:lineRule="exact"/>
        <w:rPr>
          <w:sz w:val="20"/>
          <w:szCs w:val="20"/>
          <w:color w:val="auto"/>
        </w:rPr>
      </w:pPr>
    </w:p>
    <w:p>
      <w:pPr>
        <w:ind w:left="1520" w:right="1800"/>
        <w:spacing w:after="0" w:line="292" w:lineRule="auto"/>
        <w:rPr>
          <w:sz w:val="20"/>
          <w:szCs w:val="20"/>
          <w:color w:val="auto"/>
        </w:rPr>
      </w:pPr>
      <w:r>
        <w:rPr>
          <w:rFonts w:ascii="Arial" w:cs="Arial" w:eastAsia="Arial" w:hAnsi="Arial"/>
          <w:sz w:val="12"/>
          <w:szCs w:val="12"/>
          <w:color w:val="auto"/>
        </w:rPr>
        <w:t>statutory tax rate primarily due to the Company's full valuation on U.S. federal and certain state deferred tax assets, partially offset by foreign income taxed at rates higher than the U.S. statutory rate.</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F-75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ind w:left="1520" w:right="1600" w:firstLine="230"/>
        <w:spacing w:after="0" w:line="277" w:lineRule="auto"/>
        <w:rPr>
          <w:sz w:val="20"/>
          <w:szCs w:val="20"/>
          <w:color w:val="auto"/>
        </w:rPr>
      </w:pPr>
      <w:r>
        <w:rPr>
          <w:rFonts w:ascii="Arial" w:cs="Arial" w:eastAsia="Arial" w:hAnsi="Arial"/>
          <w:sz w:val="12"/>
          <w:szCs w:val="12"/>
          <w:color w:val="auto"/>
        </w:rPr>
        <w:t>The Company has evaluated all available evidence, both positive and negative, including historical levels of income and expectations and risks associated with estimates of future taxable income, and has determined that it is more likely than not that its net deferred tax assets will not be realized. As of July 31, 2025, the Company continues to maintain valuation allowances against its U.S. federal, certain states, and certain foreign deferred tax assets.</w:t>
      </w:r>
    </w:p>
    <w:p>
      <w:pPr>
        <w:spacing w:after="0" w:line="84" w:lineRule="exact"/>
        <w:rPr>
          <w:sz w:val="20"/>
          <w:szCs w:val="20"/>
          <w:color w:val="auto"/>
        </w:rPr>
      </w:pPr>
    </w:p>
    <w:p>
      <w:pPr>
        <w:ind w:left="1520" w:right="1700" w:firstLine="230"/>
        <w:spacing w:after="0" w:line="275" w:lineRule="auto"/>
        <w:rPr>
          <w:sz w:val="20"/>
          <w:szCs w:val="20"/>
          <w:color w:val="auto"/>
        </w:rPr>
      </w:pPr>
      <w:r>
        <w:rPr>
          <w:rFonts w:ascii="Arial" w:cs="Arial" w:eastAsia="Arial" w:hAnsi="Arial"/>
          <w:sz w:val="12"/>
          <w:szCs w:val="12"/>
          <w:color w:val="auto"/>
        </w:rPr>
        <w:t>The Company is subject to income tax audits in the U.S. and foreign jurisdictions. The Company records liabilities related to uncertain tax positions and believes that it has provided adequate reserves for income tax uncertainties in all open tax years. It is reasonably possible that there could be changes to the amount of uncertain tax positions due to activities of the taxing authorities, settlement of audit issues, reassessment of existing uncertain tax positions, or the expiration of applicable statutes of limitations; however, the Company is not able to estimate the impact of these items at this time.</w:t>
      </w:r>
    </w:p>
    <w:p>
      <w:pPr>
        <w:spacing w:after="0" w:line="85" w:lineRule="exact"/>
        <w:rPr>
          <w:sz w:val="20"/>
          <w:szCs w:val="20"/>
          <w:color w:val="auto"/>
        </w:rPr>
      </w:pPr>
    </w:p>
    <w:p>
      <w:pPr>
        <w:ind w:left="1520" w:right="1700" w:firstLine="230"/>
        <w:spacing w:after="0" w:line="274" w:lineRule="auto"/>
        <w:rPr>
          <w:sz w:val="20"/>
          <w:szCs w:val="20"/>
          <w:color w:val="auto"/>
        </w:rPr>
      </w:pPr>
      <w:r>
        <w:rPr>
          <w:rFonts w:ascii="Arial" w:cs="Arial" w:eastAsia="Arial" w:hAnsi="Arial"/>
          <w:sz w:val="12"/>
          <w:szCs w:val="12"/>
          <w:color w:val="auto"/>
        </w:rPr>
        <w:t>On July 4, 2025, the U.S. government enacted the One Big Beautiful Bill Act of 2025 which includes, among other provisions, changes to the U.S. corporate income tax system including the allowance of immediate expensing of qualifying research and development expenses and permanent extensions of certain provisions within the Tax Cuts and Jobs Act. Certain provisions are effective for the Company beginning in fiscal 2026, for which we do not anticipate a material impact on our effective tax and cash tax rates. The Company is continuing to evaluate the future impact of these tax law changes on its financial statements.</w:t>
      </w:r>
    </w:p>
    <w:p>
      <w:pPr>
        <w:spacing w:after="0" w:line="241"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12 - COMMITMENTS AND CONTINGENCIES</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Purchase Obligation</w:t>
      </w:r>
    </w:p>
    <w:p>
      <w:pPr>
        <w:ind w:left="1760"/>
        <w:spacing w:after="0"/>
        <w:rPr>
          <w:sz w:val="20"/>
          <w:szCs w:val="20"/>
          <w:color w:val="auto"/>
        </w:rPr>
      </w:pPr>
      <w:r>
        <w:rPr>
          <w:rFonts w:ascii="Arial" w:cs="Arial" w:eastAsia="Arial" w:hAnsi="Arial"/>
          <w:sz w:val="12"/>
          <w:szCs w:val="12"/>
          <w:b w:val="1"/>
          <w:bCs w:val="1"/>
          <w:i w:val="1"/>
          <w:iCs w:val="1"/>
          <w:color w:val="auto"/>
        </w:rPr>
        <w:t>s</w:t>
      </w:r>
    </w:p>
    <w:p>
      <w:pPr>
        <w:spacing w:after="0" w:line="32" w:lineRule="exact"/>
        <w:rPr>
          <w:sz w:val="20"/>
          <w:szCs w:val="20"/>
          <w:color w:val="auto"/>
        </w:rPr>
      </w:pPr>
    </w:p>
    <w:p>
      <w:pPr>
        <w:ind w:left="1520" w:right="1840" w:firstLine="230"/>
        <w:spacing w:after="0" w:line="281" w:lineRule="auto"/>
        <w:rPr>
          <w:sz w:val="20"/>
          <w:szCs w:val="20"/>
          <w:color w:val="auto"/>
        </w:rPr>
      </w:pPr>
      <w:r>
        <w:rPr>
          <w:rFonts w:ascii="Arial" w:cs="Arial" w:eastAsia="Arial" w:hAnsi="Arial"/>
          <w:sz w:val="12"/>
          <w:szCs w:val="12"/>
          <w:color w:val="auto"/>
        </w:rPr>
        <w:t>In the normal course of business, the Company enters into non-cancelable purchase commitments with various parties primarily related to the purchase of cloud hosting arrangements and software subscriptions. The table below presents the summarized purchase obligations as of July 31, 2025 (in thousands):</w:t>
      </w:r>
    </w:p>
    <w:p>
      <w:pPr>
        <w:spacing w:after="0" w:line="98"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1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60" w:type="dxa"/>
            <w:vAlign w:val="bottom"/>
            <w:gridSpan w:val="7"/>
          </w:tcPr>
          <w:p>
            <w:pPr>
              <w:ind w:left="100"/>
              <w:spacing w:after="0"/>
              <w:rPr>
                <w:sz w:val="20"/>
                <w:szCs w:val="20"/>
                <w:color w:val="auto"/>
              </w:rPr>
            </w:pPr>
            <w:r>
              <w:rPr>
                <w:rFonts w:ascii="Arial" w:cs="Arial" w:eastAsia="Arial" w:hAnsi="Arial"/>
                <w:sz w:val="11"/>
                <w:szCs w:val="11"/>
                <w:b w:val="1"/>
                <w:bCs w:val="1"/>
                <w:color w:val="auto"/>
              </w:rPr>
              <w:t>Payments Due By Period as of July 31, 202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ind w:left="100"/>
              <w:spacing w:after="0" w:line="67" w:lineRule="exact"/>
              <w:rPr>
                <w:sz w:val="20"/>
                <w:szCs w:val="20"/>
                <w:color w:val="auto"/>
              </w:rPr>
            </w:pPr>
            <w:r>
              <w:rPr>
                <w:rFonts w:ascii="Arial" w:cs="Arial" w:eastAsia="Arial" w:hAnsi="Arial"/>
                <w:sz w:val="7"/>
                <w:szCs w:val="7"/>
                <w:b w:val="1"/>
                <w:bCs w:val="1"/>
                <w:color w:val="auto"/>
              </w:rPr>
              <w:t>5</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restart"/>
          </w:tcPr>
          <w:p>
            <w:pPr>
              <w:jc w:val="center"/>
              <w:ind w:right="64"/>
              <w:spacing w:after="0"/>
              <w:rPr>
                <w:sz w:val="20"/>
                <w:szCs w:val="20"/>
                <w:color w:val="auto"/>
              </w:rPr>
            </w:pPr>
            <w:r>
              <w:rPr>
                <w:rFonts w:ascii="Arial" w:cs="Arial" w:eastAsia="Arial" w:hAnsi="Arial"/>
                <w:sz w:val="11"/>
                <w:szCs w:val="11"/>
                <w:b w:val="1"/>
                <w:bCs w:val="1"/>
                <w:color w:val="auto"/>
                <w:w w:val="97"/>
              </w:rPr>
              <w:t>More than 5</w:t>
            </w:r>
          </w:p>
        </w:tc>
        <w:tc>
          <w:tcPr>
            <w:tcW w:w="0" w:type="dxa"/>
            <w:vAlign w:val="bottom"/>
          </w:tcPr>
          <w:p>
            <w:pPr>
              <w:spacing w:after="0"/>
              <w:rPr>
                <w:sz w:val="1"/>
                <w:szCs w:val="1"/>
                <w:color w:val="auto"/>
              </w:rPr>
            </w:pPr>
          </w:p>
        </w:tc>
      </w:tr>
      <w:tr>
        <w:trPr>
          <w:trHeight w:val="86"/>
        </w:trPr>
        <w:tc>
          <w:tcPr>
            <w:tcW w:w="1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restart"/>
          </w:tcPr>
          <w:p>
            <w:pPr>
              <w:jc w:val="right"/>
              <w:ind w:right="223"/>
              <w:spacing w:after="0"/>
              <w:rPr>
                <w:sz w:val="20"/>
                <w:szCs w:val="20"/>
                <w:color w:val="auto"/>
              </w:rPr>
            </w:pPr>
            <w:r>
              <w:rPr>
                <w:rFonts w:ascii="Arial" w:cs="Arial" w:eastAsia="Arial" w:hAnsi="Arial"/>
                <w:sz w:val="11"/>
                <w:szCs w:val="11"/>
                <w:b w:val="1"/>
                <w:bCs w:val="1"/>
                <w:color w:val="auto"/>
              </w:rPr>
              <w:t>Total</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jc w:val="center"/>
              <w:ind w:right="50"/>
              <w:spacing w:after="0" w:line="86" w:lineRule="exact"/>
              <w:rPr>
                <w:sz w:val="20"/>
                <w:szCs w:val="20"/>
                <w:color w:val="auto"/>
              </w:rPr>
            </w:pPr>
            <w:r>
              <w:rPr>
                <w:rFonts w:ascii="Arial" w:cs="Arial" w:eastAsia="Arial" w:hAnsi="Arial"/>
                <w:sz w:val="9"/>
                <w:szCs w:val="9"/>
                <w:b w:val="1"/>
                <w:bCs w:val="1"/>
                <w:color w:val="auto"/>
              </w:rPr>
              <w:t>Less than 1</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restart"/>
          </w:tcPr>
          <w:p>
            <w:pPr>
              <w:jc w:val="right"/>
              <w:ind w:right="103"/>
              <w:spacing w:after="0"/>
              <w:rPr>
                <w:sz w:val="20"/>
                <w:szCs w:val="20"/>
                <w:color w:val="auto"/>
              </w:rPr>
            </w:pPr>
            <w:r>
              <w:rPr>
                <w:rFonts w:ascii="Arial" w:cs="Arial" w:eastAsia="Arial" w:hAnsi="Arial"/>
                <w:sz w:val="11"/>
                <w:szCs w:val="11"/>
                <w:b w:val="1"/>
                <w:bCs w:val="1"/>
                <w:color w:val="auto"/>
                <w:w w:val="98"/>
              </w:rPr>
              <w:t>1 - 3 Years</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restart"/>
          </w:tcPr>
          <w:p>
            <w:pPr>
              <w:jc w:val="right"/>
              <w:ind w:right="103"/>
              <w:spacing w:after="0"/>
              <w:rPr>
                <w:sz w:val="20"/>
                <w:szCs w:val="20"/>
                <w:color w:val="auto"/>
              </w:rPr>
            </w:pPr>
            <w:r>
              <w:rPr>
                <w:rFonts w:ascii="Arial" w:cs="Arial" w:eastAsia="Arial" w:hAnsi="Arial"/>
                <w:sz w:val="11"/>
                <w:szCs w:val="11"/>
                <w:b w:val="1"/>
                <w:bCs w:val="1"/>
                <w:color w:val="auto"/>
                <w:w w:val="94"/>
              </w:rPr>
              <w:t>3 - 5 Years</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6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70"/>
              <w:spacing w:after="0"/>
              <w:rPr>
                <w:sz w:val="20"/>
                <w:szCs w:val="20"/>
                <w:color w:val="auto"/>
              </w:rPr>
            </w:pPr>
            <w:r>
              <w:rPr>
                <w:rFonts w:ascii="Arial" w:cs="Arial" w:eastAsia="Arial" w:hAnsi="Arial"/>
                <w:sz w:val="11"/>
                <w:szCs w:val="11"/>
                <w:b w:val="1"/>
                <w:bCs w:val="1"/>
                <w:color w:val="auto"/>
              </w:rPr>
              <w:t>Year</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84"/>
              <w:spacing w:after="0"/>
              <w:rPr>
                <w:sz w:val="20"/>
                <w:szCs w:val="20"/>
                <w:color w:val="auto"/>
              </w:rPr>
            </w:pPr>
            <w:r>
              <w:rPr>
                <w:rFonts w:ascii="Arial" w:cs="Arial" w:eastAsia="Arial" w:hAnsi="Arial"/>
                <w:sz w:val="11"/>
                <w:szCs w:val="11"/>
                <w:b w:val="1"/>
                <w:bCs w:val="1"/>
                <w:color w:val="auto"/>
                <w:w w:val="99"/>
              </w:rPr>
              <w:t>Years</w:t>
            </w:r>
          </w:p>
        </w:tc>
        <w:tc>
          <w:tcPr>
            <w:tcW w:w="0" w:type="dxa"/>
            <w:vAlign w:val="bottom"/>
          </w:tcPr>
          <w:p>
            <w:pPr>
              <w:spacing w:after="0"/>
              <w:rPr>
                <w:sz w:val="1"/>
                <w:szCs w:val="1"/>
                <w:color w:val="auto"/>
              </w:rPr>
            </w:pPr>
          </w:p>
        </w:tc>
      </w:tr>
      <w:tr>
        <w:trPr>
          <w:trHeight w:val="172"/>
        </w:trPr>
        <w:tc>
          <w:tcPr>
            <w:tcW w:w="166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Purchase obligations </w:t>
            </w:r>
            <w:r>
              <w:rPr>
                <w:rFonts w:ascii="Times New Roman" w:cs="Times New Roman" w:eastAsia="Times New Roman" w:hAnsi="Times New Roman"/>
                <w:sz w:val="12"/>
                <w:szCs w:val="12"/>
                <w:color w:val="B4B4B4"/>
              </w:rPr>
              <w:t>............</w:t>
            </w: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40,811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2"/>
                <w:szCs w:val="12"/>
                <w:color w:val="auto"/>
              </w:rPr>
              <w:t>17,656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19,055</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4,100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Litigation</w:t>
      </w:r>
    </w:p>
    <w:p>
      <w:pPr>
        <w:spacing w:after="0" w:line="128" w:lineRule="exact"/>
        <w:rPr>
          <w:sz w:val="20"/>
          <w:szCs w:val="20"/>
          <w:color w:val="auto"/>
        </w:rPr>
      </w:pPr>
    </w:p>
    <w:p>
      <w:pPr>
        <w:ind w:left="1520" w:right="1560" w:firstLine="230"/>
        <w:spacing w:after="0" w:line="273" w:lineRule="auto"/>
        <w:rPr>
          <w:sz w:val="20"/>
          <w:szCs w:val="20"/>
          <w:color w:val="auto"/>
        </w:rPr>
      </w:pPr>
      <w:r>
        <w:rPr>
          <w:rFonts w:ascii="Arial" w:cs="Arial" w:eastAsia="Arial" w:hAnsi="Arial"/>
          <w:sz w:val="12"/>
          <w:szCs w:val="12"/>
          <w:color w:val="auto"/>
        </w:rPr>
        <w:t>In the ordinary course of business, the Company may be subject from time to time to various litigation and administrative proceedings, disputes or claims. In the event that the Company becomes a party to litigation in the future, the Company will record a liability when a loss is considered probable and the amount can be reasonably estimated. For legal proceedings for which there is a reasonable possibility of loss (meaning those losses for which the likelihood is more than remote but less than probable), the Company has determined it does not have material exposure on an aggregate basis. As of July 31, 2025 , the Company is not subject to any currently pending legal matters or claims that could have a material</w:t>
      </w:r>
    </w:p>
    <w:p>
      <w:pPr>
        <w:sectPr>
          <w:pgSz w:w="11900" w:h="16840" w:orient="portrait"/>
          <w:cols w:equalWidth="0" w:num="1">
            <w:col w:w="9020"/>
          </w:cols>
          <w:pgMar w:left="1440" w:top="560" w:right="1440" w:bottom="120" w:gutter="0" w:footer="0" w:header="0"/>
          <w:type w:val="continuous"/>
        </w:sectPr>
      </w:pPr>
    </w:p>
    <w:bookmarkStart w:id="210" w:name="page211"/>
    <w:bookmarkEnd w:id="210"/>
    <w:p>
      <w:pPr>
        <w:ind w:left="1520"/>
        <w:spacing w:after="0"/>
        <w:rPr>
          <w:sz w:val="20"/>
          <w:szCs w:val="20"/>
          <w:color w:val="auto"/>
        </w:rPr>
      </w:pPr>
      <w:r>
        <w:rPr>
          <w:rFonts w:ascii="Arial" w:cs="Arial" w:eastAsia="Arial" w:hAnsi="Arial"/>
          <w:sz w:val="11"/>
          <w:szCs w:val="11"/>
          <w:color w:val="auto"/>
        </w:rPr>
        <w:t>adverseresolved effectunfav orablynits .financial position, results of operations, or cash flows should such litigation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-73660</wp:posOffset>
            </wp:positionV>
            <wp:extent cx="6732270" cy="99707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143" w:lineRule="exact"/>
        <w:rPr>
          <w:sz w:val="20"/>
          <w:szCs w:val="20"/>
          <w:color w:val="auto"/>
        </w:rPr>
      </w:pPr>
    </w:p>
    <w:p>
      <w:pPr>
        <w:ind w:left="1760"/>
        <w:spacing w:after="0"/>
        <w:rPr>
          <w:sz w:val="20"/>
          <w:szCs w:val="20"/>
          <w:color w:val="auto"/>
        </w:rPr>
      </w:pPr>
      <w:r>
        <w:rPr>
          <w:rFonts w:ascii="Arial" w:cs="Arial" w:eastAsia="Arial" w:hAnsi="Arial"/>
          <w:sz w:val="12"/>
          <w:szCs w:val="12"/>
          <w:b w:val="1"/>
          <w:bCs w:val="1"/>
          <w:i w:val="1"/>
          <w:iCs w:val="1"/>
          <w:color w:val="auto"/>
        </w:rPr>
        <w:t>Repayment of Government Grants</w:t>
      </w:r>
    </w:p>
    <w:p>
      <w:pPr>
        <w:spacing w:after="0" w:line="128" w:lineRule="exact"/>
        <w:rPr>
          <w:sz w:val="20"/>
          <w:szCs w:val="20"/>
          <w:color w:val="auto"/>
        </w:rPr>
      </w:pPr>
    </w:p>
    <w:p>
      <w:pPr>
        <w:ind w:left="1520" w:right="1720" w:firstLine="230"/>
        <w:spacing w:after="0" w:line="275" w:lineRule="auto"/>
        <w:rPr>
          <w:sz w:val="20"/>
          <w:szCs w:val="20"/>
          <w:color w:val="auto"/>
        </w:rPr>
      </w:pPr>
      <w:r>
        <w:rPr>
          <w:rFonts w:ascii="Arial" w:cs="Arial" w:eastAsia="Arial" w:hAnsi="Arial"/>
          <w:sz w:val="12"/>
          <w:szCs w:val="12"/>
          <w:color w:val="auto"/>
        </w:rPr>
        <w:t>During the years ended January 31, 2022 and 2021, the Company received $6.0 million in grants from the Dutch government under the NOW Scheme. The Company’s application for relief under the NOW Scheme is currently under review. If the Dutch government concludes that the Company does not qualify under the conditions stipulated for the government grants, the Company may have to repay the Dutch government for grants provided. We recognized the $6.0 million in grants received as a liability in the period received.</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F-76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During the year ended January 31, 2023 , the Company received a tentative payment schedule from</w:t>
      </w:r>
    </w:p>
    <w:p>
      <w:pPr>
        <w:spacing w:after="0" w:line="27"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3700" w:type="dxa"/>
            <w:vAlign w:val="bottom"/>
          </w:tcPr>
          <w:p>
            <w:pPr>
              <w:spacing w:after="0"/>
              <w:rPr>
                <w:sz w:val="20"/>
                <w:szCs w:val="20"/>
                <w:color w:val="auto"/>
              </w:rPr>
            </w:pPr>
            <w:r>
              <w:rPr>
                <w:rFonts w:ascii="Arial" w:cs="Arial" w:eastAsia="Arial" w:hAnsi="Arial"/>
                <w:sz w:val="12"/>
                <w:szCs w:val="12"/>
                <w:color w:val="auto"/>
              </w:rPr>
              <w:t>the Dutch government. The NOW Scheme liability balances as of</w:t>
            </w:r>
          </w:p>
        </w:tc>
        <w:tc>
          <w:tcPr>
            <w:tcW w:w="2280" w:type="dxa"/>
            <w:vAlign w:val="bottom"/>
            <w:gridSpan w:val="3"/>
          </w:tcPr>
          <w:p>
            <w:pPr>
              <w:jc w:val="right"/>
              <w:ind w:right="180"/>
              <w:spacing w:after="0"/>
              <w:rPr>
                <w:sz w:val="20"/>
                <w:szCs w:val="20"/>
                <w:color w:val="auto"/>
              </w:rPr>
            </w:pPr>
            <w:r>
              <w:rPr>
                <w:rFonts w:ascii="Arial" w:cs="Arial" w:eastAsia="Arial" w:hAnsi="Arial"/>
                <w:sz w:val="12"/>
                <w:szCs w:val="12"/>
                <w:color w:val="auto"/>
              </w:rPr>
              <w:t>July 31, 2025 and January 31, 2025,</w:t>
            </w:r>
          </w:p>
        </w:tc>
      </w:tr>
      <w:tr>
        <w:trPr>
          <w:trHeight w:val="165"/>
        </w:trPr>
        <w:tc>
          <w:tcPr>
            <w:tcW w:w="5280" w:type="dxa"/>
            <w:vAlign w:val="bottom"/>
            <w:gridSpan w:val="3"/>
          </w:tcPr>
          <w:p>
            <w:pPr>
              <w:jc w:val="right"/>
              <w:ind w:right="198"/>
              <w:spacing w:after="0"/>
              <w:rPr>
                <w:sz w:val="20"/>
                <w:szCs w:val="20"/>
                <w:color w:val="auto"/>
              </w:rPr>
            </w:pPr>
            <w:r>
              <w:rPr>
                <w:rFonts w:ascii="Arial" w:cs="Arial" w:eastAsia="Arial" w:hAnsi="Arial"/>
                <w:sz w:val="12"/>
                <w:szCs w:val="12"/>
                <w:color w:val="auto"/>
              </w:rPr>
              <w:t>and the changes during the six months ended  July 31, 2025 are as follows (in thousands):</w:t>
            </w:r>
          </w:p>
        </w:tc>
        <w:tc>
          <w:tcPr>
            <w:tcW w:w="700" w:type="dxa"/>
            <w:vAlign w:val="bottom"/>
          </w:tcPr>
          <w:p>
            <w:pPr>
              <w:spacing w:after="0"/>
              <w:rPr>
                <w:sz w:val="14"/>
                <w:szCs w:val="14"/>
                <w:color w:val="auto"/>
              </w:rPr>
            </w:pPr>
          </w:p>
        </w:tc>
      </w:tr>
      <w:tr>
        <w:trPr>
          <w:trHeight w:val="237"/>
        </w:trPr>
        <w:tc>
          <w:tcPr>
            <w:tcW w:w="37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40"/>
              <w:spacing w:after="0"/>
              <w:rPr>
                <w:sz w:val="20"/>
                <w:szCs w:val="20"/>
                <w:color w:val="auto"/>
              </w:rPr>
            </w:pPr>
            <w:r>
              <w:rPr>
                <w:rFonts w:ascii="Arial" w:cs="Arial" w:eastAsia="Arial" w:hAnsi="Arial"/>
                <w:sz w:val="11"/>
                <w:szCs w:val="11"/>
                <w:b w:val="1"/>
                <w:bCs w:val="1"/>
                <w:color w:val="auto"/>
              </w:rPr>
              <w:t>Carrying</w:t>
            </w:r>
          </w:p>
        </w:tc>
      </w:tr>
      <w:tr>
        <w:trPr>
          <w:trHeight w:val="153"/>
        </w:trPr>
        <w:tc>
          <w:tcPr>
            <w:tcW w:w="370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Amount</w:t>
            </w:r>
          </w:p>
        </w:tc>
      </w:tr>
      <w:tr>
        <w:trPr>
          <w:trHeight w:val="172"/>
        </w:trPr>
        <w:tc>
          <w:tcPr>
            <w:tcW w:w="51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BalanceasofJanuary31,2025</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4,315</w:t>
            </w:r>
          </w:p>
        </w:tc>
      </w:tr>
      <w:tr>
        <w:trPr>
          <w:trHeight w:val="173"/>
        </w:trPr>
        <w:tc>
          <w:tcPr>
            <w:tcW w:w="5140" w:type="dxa"/>
            <w:vAlign w:val="bottom"/>
            <w:gridSpan w:val="2"/>
          </w:tcPr>
          <w:p>
            <w:pPr>
              <w:ind w:left="180"/>
              <w:spacing w:after="0"/>
              <w:rPr>
                <w:sz w:val="20"/>
                <w:szCs w:val="20"/>
                <w:color w:val="auto"/>
              </w:rPr>
            </w:pPr>
            <w:r>
              <w:rPr>
                <w:rFonts w:ascii="Arial" w:cs="Arial" w:eastAsia="Arial" w:hAnsi="Arial"/>
                <w:sz w:val="12"/>
                <w:szCs w:val="12"/>
                <w:color w:val="auto"/>
              </w:rPr>
              <w:t xml:space="preserve">Repayments </w:t>
            </w:r>
            <w:r>
              <w:rPr>
                <w:rFonts w:ascii="Times New Roman" w:cs="Times New Roman" w:eastAsia="Times New Roman" w:hAnsi="Times New Roman"/>
                <w:sz w:val="12"/>
                <w:szCs w:val="12"/>
                <w:color w:val="B4B4B4"/>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0"/>
        </w:trPr>
        <w:tc>
          <w:tcPr>
            <w:tcW w:w="5140" w:type="dxa"/>
            <w:vAlign w:val="bottom"/>
            <w:gridSpan w:val="2"/>
            <w:shd w:val="clear" w:color="auto" w:fill="CCEEFF"/>
          </w:tcPr>
          <w:p>
            <w:pPr>
              <w:jc w:val="right"/>
              <w:ind w:right="58"/>
              <w:spacing w:after="0"/>
              <w:rPr>
                <w:sz w:val="20"/>
                <w:szCs w:val="20"/>
                <w:color w:val="auto"/>
              </w:rPr>
            </w:pPr>
            <w:r>
              <w:rPr>
                <w:rFonts w:ascii="Arial" w:cs="Arial" w:eastAsia="Arial" w:hAnsi="Arial"/>
                <w:sz w:val="12"/>
                <w:szCs w:val="12"/>
                <w:color w:val="auto"/>
              </w:rPr>
              <w:t xml:space="preserve">Foreign currency translation impact </w:t>
            </w:r>
            <w:r>
              <w:rPr>
                <w:rFonts w:ascii="Times New Roman" w:cs="Times New Roman" w:eastAsia="Times New Roman" w:hAnsi="Times New Roman"/>
                <w:sz w:val="12"/>
                <w:szCs w:val="12"/>
                <w:color w:val="B4B4B4"/>
              </w:rPr>
              <w:t>...........................................................................................</w:t>
            </w: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437</w:t>
            </w:r>
          </w:p>
        </w:tc>
      </w:tr>
      <w:tr>
        <w:trPr>
          <w:trHeight w:val="158"/>
        </w:trPr>
        <w:tc>
          <w:tcPr>
            <w:tcW w:w="514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BalanceasofJuly31,2025</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4,752</w:t>
            </w:r>
          </w:p>
        </w:tc>
      </w:tr>
      <w:tr>
        <w:trPr>
          <w:trHeight w:val="186"/>
        </w:trPr>
        <w:tc>
          <w:tcPr>
            <w:tcW w:w="3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Less: balance in accrued expenses and other current liabilities</w:t>
            </w: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B4B4B4"/>
              </w:rPr>
              <w:t>...........................................</w:t>
            </w: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(560)</w:t>
            </w:r>
          </w:p>
        </w:tc>
      </w:tr>
      <w:tr>
        <w:trPr>
          <w:trHeight w:val="161"/>
        </w:trPr>
        <w:tc>
          <w:tcPr>
            <w:tcW w:w="514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Balanceinothernon-currentliabilities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4,192</w:t>
            </w:r>
          </w:p>
        </w:tc>
      </w:tr>
    </w:tbl>
    <w:p>
      <w:pPr>
        <w:spacing w:after="0" w:line="115" w:lineRule="exact"/>
        <w:rPr>
          <w:sz w:val="20"/>
          <w:szCs w:val="20"/>
          <w:color w:val="auto"/>
        </w:rPr>
      </w:pPr>
    </w:p>
    <w:p>
      <w:pPr>
        <w:ind w:left="1520" w:right="1840" w:firstLine="230"/>
        <w:spacing w:after="0" w:line="312" w:lineRule="auto"/>
        <w:rPr>
          <w:sz w:val="20"/>
          <w:szCs w:val="20"/>
          <w:color w:val="auto"/>
        </w:rPr>
      </w:pPr>
      <w:r>
        <w:rPr>
          <w:rFonts w:ascii="Arial" w:cs="Arial" w:eastAsia="Arial" w:hAnsi="Arial"/>
          <w:sz w:val="12"/>
          <w:szCs w:val="12"/>
          <w:color w:val="auto"/>
        </w:rPr>
        <w:t>As of July 31, 2025 , the Company’s application for relief is still under review with the governmental authorities.</w:t>
      </w:r>
    </w:p>
    <w:p>
      <w:pPr>
        <w:spacing w:after="0" w:line="62"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13 – EMPLOYEE BENEFIT PLAN</w:t>
      </w:r>
    </w:p>
    <w:p>
      <w:pPr>
        <w:spacing w:after="0" w:line="130" w:lineRule="exact"/>
        <w:rPr>
          <w:sz w:val="20"/>
          <w:szCs w:val="20"/>
          <w:color w:val="auto"/>
        </w:rPr>
      </w:pPr>
    </w:p>
    <w:p>
      <w:pPr>
        <w:ind w:left="1520" w:right="1740" w:firstLine="230"/>
        <w:spacing w:after="0" w:line="273" w:lineRule="auto"/>
        <w:rPr>
          <w:sz w:val="20"/>
          <w:szCs w:val="20"/>
          <w:color w:val="auto"/>
        </w:rPr>
      </w:pPr>
      <w:r>
        <w:rPr>
          <w:rFonts w:ascii="Arial" w:cs="Arial" w:eastAsia="Arial" w:hAnsi="Arial"/>
          <w:sz w:val="12"/>
          <w:szCs w:val="12"/>
          <w:color w:val="auto"/>
        </w:rPr>
        <w:t>The Company sponsors a 401(k) defined contribution retirement plan (the “401(k) Plan”) covering certain U.S. employees. Participants may contribute a portion of their compensation to the Plan, subject to limitations under the Internal Revenue Code. The Company also maintains certain other defined contribution plans outside of the United States for which it provides contributions for participating employees in the regions in which matching contributions is applicable. The Company’s contributions for all defined contribution retirement plans was $3.8 million and $2.8 million for the six months ended July 31, 2025 and 2024, respectively.</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14 – NET LOSS PER SHARE</w:t>
      </w:r>
    </w:p>
    <w:p>
      <w:pPr>
        <w:spacing w:after="0" w:line="130" w:lineRule="exact"/>
        <w:rPr>
          <w:sz w:val="20"/>
          <w:szCs w:val="20"/>
          <w:color w:val="auto"/>
        </w:rPr>
      </w:pPr>
    </w:p>
    <w:p>
      <w:pPr>
        <w:ind w:left="1520" w:right="1860" w:firstLine="230"/>
        <w:spacing w:after="0" w:line="312" w:lineRule="auto"/>
        <w:rPr>
          <w:sz w:val="20"/>
          <w:szCs w:val="20"/>
          <w:color w:val="auto"/>
        </w:rPr>
      </w:pPr>
      <w:r>
        <w:rPr>
          <w:rFonts w:ascii="Arial" w:cs="Arial" w:eastAsia="Arial" w:hAnsi="Arial"/>
          <w:sz w:val="12"/>
          <w:szCs w:val="12"/>
          <w:color w:val="auto"/>
        </w:rPr>
        <w:t>The following table sets forth the computation of basic and diluted net loss per share attributable to common stockholders (in thousands, except share and per share data):</w:t>
      </w:r>
    </w:p>
    <w:p>
      <w:pPr>
        <w:spacing w:after="0" w:line="79"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4"/>
          </w:tcPr>
          <w:p>
            <w:pPr>
              <w:ind w:left="100"/>
              <w:spacing w:after="0"/>
              <w:rPr>
                <w:sz w:val="20"/>
                <w:szCs w:val="20"/>
                <w:color w:val="auto"/>
              </w:rPr>
            </w:pPr>
            <w:r>
              <w:rPr>
                <w:rFonts w:ascii="Arial" w:cs="Arial" w:eastAsia="Arial" w:hAnsi="Arial"/>
                <w:sz w:val="11"/>
                <w:szCs w:val="11"/>
                <w:b w:val="1"/>
                <w:bCs w:val="1"/>
                <w:color w:val="auto"/>
              </w:rPr>
              <w:t>Six Months Ended July 31</w:t>
            </w:r>
          </w:p>
        </w:tc>
        <w:tc>
          <w:tcPr>
            <w:tcW w:w="0" w:type="dxa"/>
            <w:vAlign w:val="bottom"/>
          </w:tcPr>
          <w:p>
            <w:pPr>
              <w:spacing w:after="0"/>
              <w:rPr>
                <w:sz w:val="1"/>
                <w:szCs w:val="1"/>
                <w:color w:val="auto"/>
              </w:rPr>
            </w:pPr>
          </w:p>
        </w:tc>
      </w:tr>
      <w:tr>
        <w:trPr>
          <w:trHeight w:val="67"/>
        </w:trPr>
        <w:tc>
          <w:tcPr>
            <w:tcW w:w="4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ind w:left="100"/>
              <w:spacing w:after="0" w:line="67"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restart"/>
          </w:tcPr>
          <w:p>
            <w:pPr>
              <w:jc w:val="right"/>
              <w:ind w:right="24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8"/>
        </w:trPr>
        <w:tc>
          <w:tcPr>
            <w:tcW w:w="4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5"/>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Netloss</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(99,880)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(92,544)</w:t>
            </w:r>
          </w:p>
        </w:tc>
        <w:tc>
          <w:tcPr>
            <w:tcW w:w="0" w:type="dxa"/>
            <w:vAlign w:val="bottom"/>
          </w:tcPr>
          <w:p>
            <w:pPr>
              <w:spacing w:after="0"/>
              <w:rPr>
                <w:sz w:val="1"/>
                <w:szCs w:val="1"/>
                <w:color w:val="auto"/>
              </w:rPr>
            </w:pPr>
          </w:p>
        </w:tc>
      </w:tr>
      <w:tr>
        <w:trPr>
          <w:trHeight w:val="124"/>
        </w:trPr>
        <w:tc>
          <w:tcPr>
            <w:tcW w:w="4200" w:type="dxa"/>
            <w:vAlign w:val="bottom"/>
          </w:tcPr>
          <w:p>
            <w:pPr>
              <w:ind w:left="40"/>
              <w:spacing w:after="0" w:line="125" w:lineRule="exact"/>
              <w:rPr>
                <w:sz w:val="20"/>
                <w:szCs w:val="20"/>
                <w:color w:val="auto"/>
              </w:rPr>
            </w:pPr>
            <w:r>
              <w:rPr>
                <w:rFonts w:ascii="Arial" w:cs="Arial" w:eastAsia="Arial" w:hAnsi="Arial"/>
                <w:sz w:val="12"/>
                <w:szCs w:val="12"/>
                <w:color w:val="auto"/>
              </w:rPr>
              <w:t>Weighted-average shares outstanding used to compute net loss per share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25"/>
              <w:spacing w:after="0"/>
              <w:rPr>
                <w:sz w:val="20"/>
                <w:szCs w:val="20"/>
                <w:color w:val="auto"/>
              </w:rPr>
            </w:pPr>
            <w:r>
              <w:rPr>
                <w:rFonts w:ascii="Arial" w:cs="Arial" w:eastAsia="Arial" w:hAnsi="Arial"/>
                <w:sz w:val="12"/>
                <w:szCs w:val="12"/>
                <w:color w:val="auto"/>
              </w:rPr>
              <w:t>46,350,553</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20"/>
              <w:spacing w:after="0"/>
              <w:rPr>
                <w:sz w:val="20"/>
                <w:szCs w:val="20"/>
                <w:color w:val="auto"/>
              </w:rPr>
            </w:pPr>
            <w:r>
              <w:rPr>
                <w:rFonts w:ascii="Arial" w:cs="Arial" w:eastAsia="Arial" w:hAnsi="Arial"/>
                <w:sz w:val="12"/>
                <w:szCs w:val="12"/>
                <w:color w:val="auto"/>
              </w:rPr>
              <w:t>45,153,649</w:t>
            </w:r>
          </w:p>
        </w:tc>
        <w:tc>
          <w:tcPr>
            <w:tcW w:w="0" w:type="dxa"/>
            <w:vAlign w:val="bottom"/>
          </w:tcPr>
          <w:p>
            <w:pPr>
              <w:spacing w:after="0"/>
              <w:rPr>
                <w:sz w:val="1"/>
                <w:szCs w:val="1"/>
                <w:color w:val="auto"/>
              </w:rPr>
            </w:pPr>
          </w:p>
        </w:tc>
      </w:tr>
      <w:tr>
        <w:trPr>
          <w:trHeight w:val="165"/>
        </w:trPr>
        <w:tc>
          <w:tcPr>
            <w:tcW w:w="4260" w:type="dxa"/>
            <w:vAlign w:val="bottom"/>
            <w:gridSpan w:val="2"/>
          </w:tcPr>
          <w:p>
            <w:pPr>
              <w:ind w:left="140"/>
              <w:spacing w:after="0"/>
              <w:rPr>
                <w:sz w:val="20"/>
                <w:szCs w:val="20"/>
                <w:color w:val="auto"/>
              </w:rPr>
            </w:pPr>
            <w:r>
              <w:rPr>
                <w:rFonts w:ascii="Arial" w:cs="Arial" w:eastAsia="Arial" w:hAnsi="Arial"/>
                <w:sz w:val="12"/>
                <w:szCs w:val="12"/>
                <w:color w:val="auto"/>
              </w:rPr>
              <w:t xml:space="preserve">attributable to common stockholders, basic and diluted  </w:t>
            </w:r>
            <w:r>
              <w:rPr>
                <w:rFonts w:ascii="Times New Roman" w:cs="Times New Roman" w:eastAsia="Times New Roman" w:hAnsi="Times New Roman"/>
                <w:sz w:val="12"/>
                <w:szCs w:val="12"/>
                <w:color w:val="B4B4B4"/>
              </w:rPr>
              <w:t>...............................</w:t>
            </w: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Net loss per share attributable to common stockholders, basic and diluted</w:t>
            </w:r>
          </w:p>
        </w:tc>
        <w:tc>
          <w:tcPr>
            <w:tcW w:w="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
                <w:szCs w:val="1"/>
                <w:color w:val="B4B4B4"/>
                <w:w w:val="4294967276"/>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(2.15)</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(2.05)</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520" w:right="1720" w:firstLine="230"/>
        <w:spacing w:after="0" w:line="281" w:lineRule="auto"/>
        <w:rPr>
          <w:sz w:val="20"/>
          <w:szCs w:val="20"/>
          <w:color w:val="auto"/>
        </w:rPr>
      </w:pPr>
      <w:r>
        <w:rPr>
          <w:rFonts w:ascii="Arial" w:cs="Arial" w:eastAsia="Arial" w:hAnsi="Arial"/>
          <w:sz w:val="12"/>
          <w:szCs w:val="12"/>
          <w:color w:val="auto"/>
        </w:rPr>
        <w:t>During the six months ended July 31, 2025 and 2024 the Company was in a net loss position. As a result, basic net loss per share is the same as diluted net loss per share, as the inclusion of all potential shares of common stock outstanding would have been antidilutive. The potential shares of common stock that were excluded from the computation of diluted net loss per share attributable to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F-77</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NAVAN,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(unaudited)</w:t>
      </w:r>
    </w:p>
    <w:p>
      <w:pPr>
        <w:spacing w:after="0" w:line="15"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ind w:left="1520" w:right="2080"/>
        <w:spacing w:after="0" w:line="312" w:lineRule="auto"/>
        <w:rPr>
          <w:sz w:val="20"/>
          <w:szCs w:val="20"/>
          <w:color w:val="auto"/>
        </w:rPr>
      </w:pPr>
      <w:r>
        <w:rPr>
          <w:rFonts w:ascii="Arial" w:cs="Arial" w:eastAsia="Arial" w:hAnsi="Arial"/>
          <w:sz w:val="12"/>
          <w:szCs w:val="12"/>
          <w:color w:val="auto"/>
        </w:rPr>
        <w:t>stockholders for the periods presented because including them would have been antidilutive are as follows:</w:t>
      </w:r>
    </w:p>
    <w:p>
      <w:pPr>
        <w:spacing w:after="0" w:line="79" w:lineRule="exact"/>
        <w:rPr>
          <w:sz w:val="20"/>
          <w:szCs w:val="20"/>
          <w:color w:val="auto"/>
        </w:rPr>
      </w:pPr>
    </w:p>
    <w:tbl>
      <w:tblPr>
        <w:tblLayout w:type="fixed"/>
        <w:tblInd w:w="1560" w:type="dxa"/>
        <w:tblCellMar>
          <w:top w:w="0" w:type="dxa"/>
          <w:left w:w="0" w:type="dxa"/>
          <w:bottom w:w="0" w:type="dxa"/>
          <w:right w:w="0" w:type="dxa"/>
        </w:tblCellMar>
      </w:tblPr>
      <w:tr>
        <w:trPr>
          <w:trHeight w:val="126"/>
        </w:trPr>
        <w:tc>
          <w:tcPr>
            <w:tcW w:w="4240" w:type="dxa"/>
            <w:vAlign w:val="bottom"/>
          </w:tcPr>
          <w:p>
            <w:pPr>
              <w:spacing w:after="0"/>
              <w:rPr>
                <w:sz w:val="10"/>
                <w:szCs w:val="10"/>
                <w:color w:val="auto"/>
              </w:rPr>
            </w:pPr>
          </w:p>
        </w:tc>
        <w:tc>
          <w:tcPr>
            <w:tcW w:w="1640" w:type="dxa"/>
            <w:vAlign w:val="bottom"/>
            <w:gridSpan w:val="2"/>
          </w:tcPr>
          <w:p>
            <w:pPr>
              <w:ind w:left="500"/>
              <w:spacing w:after="0"/>
              <w:rPr>
                <w:sz w:val="20"/>
                <w:szCs w:val="20"/>
                <w:color w:val="auto"/>
              </w:rPr>
            </w:pPr>
            <w:r>
              <w:rPr>
                <w:rFonts w:ascii="Arial" w:cs="Arial" w:eastAsia="Arial" w:hAnsi="Arial"/>
                <w:sz w:val="11"/>
                <w:szCs w:val="11"/>
                <w:b w:val="1"/>
                <w:bCs w:val="1"/>
                <w:color w:val="auto"/>
              </w:rPr>
              <w:t>As of July 31</w:t>
            </w:r>
          </w:p>
        </w:tc>
        <w:tc>
          <w:tcPr>
            <w:tcW w:w="0" w:type="dxa"/>
            <w:vAlign w:val="bottom"/>
          </w:tcPr>
          <w:p>
            <w:pPr>
              <w:spacing w:after="0"/>
              <w:rPr>
                <w:sz w:val="1"/>
                <w:szCs w:val="1"/>
                <w:color w:val="auto"/>
              </w:rPr>
            </w:pPr>
          </w:p>
        </w:tc>
      </w:tr>
      <w:tr>
        <w:trPr>
          <w:trHeight w:val="67"/>
        </w:trPr>
        <w:tc>
          <w:tcPr>
            <w:tcW w:w="4240" w:type="dxa"/>
            <w:vAlign w:val="bottom"/>
          </w:tcPr>
          <w:p>
            <w:pPr>
              <w:spacing w:after="0"/>
              <w:rPr>
                <w:sz w:val="5"/>
                <w:szCs w:val="5"/>
                <w:color w:val="auto"/>
              </w:rPr>
            </w:pPr>
          </w:p>
        </w:tc>
        <w:tc>
          <w:tcPr>
            <w:tcW w:w="840" w:type="dxa"/>
            <w:vAlign w:val="bottom"/>
          </w:tcPr>
          <w:p>
            <w:pPr>
              <w:ind w:left="500"/>
              <w:spacing w:after="0" w:line="67" w:lineRule="exact"/>
              <w:rPr>
                <w:sz w:val="20"/>
                <w:szCs w:val="20"/>
                <w:color w:val="auto"/>
              </w:rPr>
            </w:pPr>
            <w:r>
              <w:rPr>
                <w:rFonts w:ascii="Arial" w:cs="Arial" w:eastAsia="Arial" w:hAnsi="Arial"/>
                <w:sz w:val="7"/>
                <w:szCs w:val="7"/>
                <w:b w:val="1"/>
                <w:bCs w:val="1"/>
                <w:color w:val="auto"/>
              </w:rPr>
              <w:t>,</w:t>
            </w:r>
          </w:p>
        </w:tc>
        <w:tc>
          <w:tcPr>
            <w:tcW w:w="800" w:type="dxa"/>
            <w:vAlign w:val="bottom"/>
            <w:vMerge w:val="restart"/>
          </w:tcPr>
          <w:p>
            <w:pPr>
              <w:jc w:val="right"/>
              <w:ind w:right="179"/>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43"/>
        </w:trPr>
        <w:tc>
          <w:tcPr>
            <w:tcW w:w="4240" w:type="dxa"/>
            <w:vAlign w:val="bottom"/>
          </w:tcPr>
          <w:p>
            <w:pPr>
              <w:spacing w:after="0"/>
              <w:rPr>
                <w:sz w:val="12"/>
                <w:szCs w:val="12"/>
                <w:color w:val="auto"/>
              </w:rPr>
            </w:pPr>
          </w:p>
        </w:tc>
        <w:tc>
          <w:tcPr>
            <w:tcW w:w="840" w:type="dxa"/>
            <w:vAlign w:val="bottom"/>
          </w:tcPr>
          <w:p>
            <w:pPr>
              <w:jc w:val="right"/>
              <w:ind w:right="263"/>
              <w:spacing w:after="0"/>
              <w:rPr>
                <w:sz w:val="20"/>
                <w:szCs w:val="20"/>
                <w:color w:val="auto"/>
              </w:rPr>
            </w:pPr>
            <w:r>
              <w:rPr>
                <w:rFonts w:ascii="Arial" w:cs="Arial" w:eastAsia="Arial" w:hAnsi="Arial"/>
                <w:sz w:val="11"/>
                <w:szCs w:val="11"/>
                <w:b w:val="1"/>
                <w:bCs w:val="1"/>
                <w:color w:val="auto"/>
              </w:rPr>
              <w:t>2025</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240" w:type="dxa"/>
            <w:vAlign w:val="bottom"/>
          </w:tcPr>
          <w:p>
            <w:pPr>
              <w:spacing w:after="0"/>
              <w:rPr>
                <w:sz w:val="20"/>
                <w:szCs w:val="20"/>
                <w:color w:val="auto"/>
              </w:rPr>
            </w:pPr>
            <w:r>
              <w:rPr>
                <w:rFonts w:ascii="Arial" w:cs="Arial" w:eastAsia="Arial" w:hAnsi="Arial"/>
                <w:sz w:val="12"/>
                <w:szCs w:val="12"/>
                <w:color w:val="auto"/>
              </w:rPr>
              <w:t xml:space="preserve">Redeemable convertible preferred shares </w:t>
            </w:r>
            <w:r>
              <w:rPr>
                <w:rFonts w:ascii="Times New Roman" w:cs="Times New Roman" w:eastAsia="Times New Roman" w:hAnsi="Times New Roman"/>
                <w:sz w:val="12"/>
                <w:szCs w:val="12"/>
                <w:color w:val="B4B4B4"/>
              </w:rPr>
              <w:t>..........................................................</w:t>
            </w:r>
          </w:p>
        </w:tc>
        <w:tc>
          <w:tcPr>
            <w:tcW w:w="840" w:type="dxa"/>
            <w:vAlign w:val="bottom"/>
          </w:tcPr>
          <w:p>
            <w:pPr>
              <w:jc w:val="right"/>
              <w:ind w:right="43"/>
              <w:spacing w:after="0"/>
              <w:rPr>
                <w:sz w:val="20"/>
                <w:szCs w:val="20"/>
                <w:color w:val="auto"/>
              </w:rPr>
            </w:pPr>
            <w:r>
              <w:rPr>
                <w:rFonts w:ascii="Arial" w:cs="Arial" w:eastAsia="Arial" w:hAnsi="Arial"/>
                <w:sz w:val="12"/>
                <w:szCs w:val="12"/>
                <w:color w:val="auto"/>
              </w:rPr>
              <w:t>146,360,207</w:t>
            </w:r>
          </w:p>
        </w:tc>
        <w:tc>
          <w:tcPr>
            <w:tcW w:w="800" w:type="dxa"/>
            <w:vAlign w:val="bottom"/>
          </w:tcPr>
          <w:p>
            <w:pPr>
              <w:jc w:val="right"/>
              <w:spacing w:after="0"/>
              <w:rPr>
                <w:sz w:val="20"/>
                <w:szCs w:val="20"/>
                <w:color w:val="auto"/>
              </w:rPr>
            </w:pPr>
            <w:r>
              <w:rPr>
                <w:rFonts w:ascii="Arial" w:cs="Arial" w:eastAsia="Arial" w:hAnsi="Arial"/>
                <w:sz w:val="12"/>
                <w:szCs w:val="12"/>
                <w:color w:val="auto"/>
              </w:rPr>
              <w:t>146,360,207</w:t>
            </w:r>
          </w:p>
        </w:tc>
        <w:tc>
          <w:tcPr>
            <w:tcW w:w="0" w:type="dxa"/>
            <w:vAlign w:val="bottom"/>
          </w:tcPr>
          <w:p>
            <w:pPr>
              <w:spacing w:after="0"/>
              <w:rPr>
                <w:sz w:val="1"/>
                <w:szCs w:val="1"/>
                <w:color w:val="auto"/>
              </w:rPr>
            </w:pPr>
          </w:p>
        </w:tc>
      </w:tr>
      <w:tr>
        <w:trPr>
          <w:trHeight w:val="182"/>
        </w:trPr>
        <w:tc>
          <w:tcPr>
            <w:tcW w:w="4240" w:type="dxa"/>
            <w:vAlign w:val="bottom"/>
          </w:tcPr>
          <w:p>
            <w:pPr>
              <w:spacing w:after="0"/>
              <w:rPr>
                <w:sz w:val="20"/>
                <w:szCs w:val="20"/>
                <w:color w:val="auto"/>
              </w:rPr>
            </w:pPr>
            <w:r>
              <w:rPr>
                <w:rFonts w:ascii="Arial" w:cs="Arial" w:eastAsia="Arial" w:hAnsi="Arial"/>
                <w:sz w:val="12"/>
                <w:szCs w:val="12"/>
                <w:color w:val="auto"/>
              </w:rPr>
              <w:t xml:space="preserve">Stock options issued and outstanding </w:t>
            </w:r>
            <w:r>
              <w:rPr>
                <w:rFonts w:ascii="Times New Roman" w:cs="Times New Roman" w:eastAsia="Times New Roman" w:hAnsi="Times New Roman"/>
                <w:sz w:val="12"/>
                <w:szCs w:val="12"/>
                <w:color w:val="B4B4B4"/>
              </w:rPr>
              <w:t>.................................................................</w:t>
            </w:r>
          </w:p>
        </w:tc>
        <w:tc>
          <w:tcPr>
            <w:tcW w:w="840" w:type="dxa"/>
            <w:vAlign w:val="bottom"/>
          </w:tcPr>
          <w:p>
            <w:pPr>
              <w:jc w:val="right"/>
              <w:ind w:right="43"/>
              <w:spacing w:after="0"/>
              <w:rPr>
                <w:sz w:val="20"/>
                <w:szCs w:val="20"/>
                <w:color w:val="auto"/>
              </w:rPr>
            </w:pPr>
            <w:r>
              <w:rPr>
                <w:rFonts w:ascii="Arial" w:cs="Arial" w:eastAsia="Arial" w:hAnsi="Arial"/>
                <w:sz w:val="12"/>
                <w:szCs w:val="12"/>
                <w:color w:val="auto"/>
              </w:rPr>
              <w:t>41,581,733</w:t>
            </w:r>
          </w:p>
        </w:tc>
        <w:tc>
          <w:tcPr>
            <w:tcW w:w="800" w:type="dxa"/>
            <w:vAlign w:val="bottom"/>
          </w:tcPr>
          <w:p>
            <w:pPr>
              <w:jc w:val="right"/>
              <w:spacing w:after="0"/>
              <w:rPr>
                <w:sz w:val="20"/>
                <w:szCs w:val="20"/>
                <w:color w:val="auto"/>
              </w:rPr>
            </w:pPr>
            <w:r>
              <w:rPr>
                <w:rFonts w:ascii="Arial" w:cs="Arial" w:eastAsia="Arial" w:hAnsi="Arial"/>
                <w:sz w:val="12"/>
                <w:szCs w:val="12"/>
                <w:color w:val="auto"/>
              </w:rPr>
              <w:t>42,009,551</w:t>
            </w:r>
          </w:p>
        </w:tc>
        <w:tc>
          <w:tcPr>
            <w:tcW w:w="0" w:type="dxa"/>
            <w:vAlign w:val="bottom"/>
          </w:tcPr>
          <w:p>
            <w:pPr>
              <w:spacing w:after="0"/>
              <w:rPr>
                <w:sz w:val="1"/>
                <w:szCs w:val="1"/>
                <w:color w:val="auto"/>
              </w:rPr>
            </w:pPr>
          </w:p>
        </w:tc>
      </w:tr>
      <w:tr>
        <w:trPr>
          <w:trHeight w:val="182"/>
        </w:trPr>
        <w:tc>
          <w:tcPr>
            <w:tcW w:w="4240" w:type="dxa"/>
            <w:vAlign w:val="bottom"/>
          </w:tcPr>
          <w:p>
            <w:pPr>
              <w:spacing w:after="0"/>
              <w:rPr>
                <w:sz w:val="20"/>
                <w:szCs w:val="20"/>
                <w:color w:val="auto"/>
              </w:rPr>
            </w:pPr>
            <w:r>
              <w:rPr>
                <w:rFonts w:ascii="Arial" w:cs="Arial" w:eastAsia="Arial" w:hAnsi="Arial"/>
                <w:sz w:val="12"/>
                <w:szCs w:val="12"/>
                <w:color w:val="auto"/>
              </w:rPr>
              <w:t xml:space="preserve">RSUs issued and outstanding </w:t>
            </w:r>
            <w:r>
              <w:rPr>
                <w:rFonts w:ascii="Times New Roman" w:cs="Times New Roman" w:eastAsia="Times New Roman" w:hAnsi="Times New Roman"/>
                <w:sz w:val="12"/>
                <w:szCs w:val="12"/>
                <w:color w:val="B4B4B4"/>
              </w:rPr>
              <w:t>...............................................................................</w:t>
            </w:r>
          </w:p>
        </w:tc>
        <w:tc>
          <w:tcPr>
            <w:tcW w:w="840" w:type="dxa"/>
            <w:vAlign w:val="bottom"/>
          </w:tcPr>
          <w:p>
            <w:pPr>
              <w:jc w:val="right"/>
              <w:ind w:right="23"/>
              <w:spacing w:after="0"/>
              <w:rPr>
                <w:sz w:val="20"/>
                <w:szCs w:val="20"/>
                <w:color w:val="auto"/>
              </w:rPr>
            </w:pPr>
            <w:r>
              <w:rPr>
                <w:rFonts w:ascii="Arial" w:cs="Arial" w:eastAsia="Arial" w:hAnsi="Arial"/>
                <w:sz w:val="12"/>
                <w:szCs w:val="12"/>
                <w:color w:val="auto"/>
              </w:rPr>
              <w:t>7,771,766</w:t>
            </w:r>
          </w:p>
        </w:tc>
        <w:tc>
          <w:tcPr>
            <w:tcW w:w="800" w:type="dxa"/>
            <w:vAlign w:val="bottom"/>
          </w:tcPr>
          <w:p>
            <w:pPr>
              <w:jc w:val="right"/>
              <w:spacing w:after="0"/>
              <w:rPr>
                <w:sz w:val="20"/>
                <w:szCs w:val="20"/>
                <w:color w:val="auto"/>
              </w:rPr>
            </w:pPr>
            <w:r>
              <w:rPr>
                <w:rFonts w:ascii="Arial" w:cs="Arial" w:eastAsia="Arial" w:hAnsi="Arial"/>
                <w:sz w:val="12"/>
                <w:szCs w:val="12"/>
                <w:color w:val="auto"/>
              </w:rPr>
              <w:t>2,718,566</w:t>
            </w:r>
          </w:p>
        </w:tc>
        <w:tc>
          <w:tcPr>
            <w:tcW w:w="0" w:type="dxa"/>
            <w:vAlign w:val="bottom"/>
          </w:tcPr>
          <w:p>
            <w:pPr>
              <w:spacing w:after="0"/>
              <w:rPr>
                <w:sz w:val="1"/>
                <w:szCs w:val="1"/>
                <w:color w:val="auto"/>
              </w:rPr>
            </w:pPr>
          </w:p>
        </w:tc>
      </w:tr>
      <w:tr>
        <w:trPr>
          <w:trHeight w:val="182"/>
        </w:trPr>
        <w:tc>
          <w:tcPr>
            <w:tcW w:w="4240" w:type="dxa"/>
            <w:vAlign w:val="bottom"/>
          </w:tcPr>
          <w:p>
            <w:pPr>
              <w:spacing w:after="0"/>
              <w:rPr>
                <w:sz w:val="20"/>
                <w:szCs w:val="20"/>
                <w:color w:val="auto"/>
              </w:rPr>
            </w:pPr>
            <w:r>
              <w:rPr>
                <w:rFonts w:ascii="Arial" w:cs="Arial" w:eastAsia="Arial" w:hAnsi="Arial"/>
                <w:sz w:val="12"/>
                <w:szCs w:val="12"/>
                <w:color w:val="auto"/>
              </w:rPr>
              <w:t xml:space="preserve">Warrants to purchase redeemable convertible preferred stock  </w:t>
            </w:r>
            <w:r>
              <w:rPr>
                <w:rFonts w:ascii="Times New Roman" w:cs="Times New Roman" w:eastAsia="Times New Roman" w:hAnsi="Times New Roman"/>
                <w:sz w:val="12"/>
                <w:szCs w:val="12"/>
                <w:color w:val="B4B4B4"/>
              </w:rPr>
              <w:t>......................</w:t>
            </w:r>
          </w:p>
        </w:tc>
        <w:tc>
          <w:tcPr>
            <w:tcW w:w="840" w:type="dxa"/>
            <w:vAlign w:val="bottom"/>
          </w:tcPr>
          <w:p>
            <w:pPr>
              <w:jc w:val="right"/>
              <w:ind w:right="23"/>
              <w:spacing w:after="0"/>
              <w:rPr>
                <w:sz w:val="20"/>
                <w:szCs w:val="20"/>
                <w:color w:val="auto"/>
              </w:rPr>
            </w:pPr>
            <w:r>
              <w:rPr>
                <w:rFonts w:ascii="Arial" w:cs="Arial" w:eastAsia="Arial" w:hAnsi="Arial"/>
                <w:sz w:val="12"/>
                <w:szCs w:val="12"/>
                <w:color w:val="auto"/>
              </w:rPr>
              <w:t>40,160</w:t>
            </w:r>
          </w:p>
        </w:tc>
        <w:tc>
          <w:tcPr>
            <w:tcW w:w="800" w:type="dxa"/>
            <w:vAlign w:val="bottom"/>
          </w:tcPr>
          <w:p>
            <w:pPr>
              <w:jc w:val="right"/>
              <w:spacing w:after="0"/>
              <w:rPr>
                <w:sz w:val="20"/>
                <w:szCs w:val="20"/>
                <w:color w:val="auto"/>
              </w:rPr>
            </w:pPr>
            <w:r>
              <w:rPr>
                <w:rFonts w:ascii="Arial" w:cs="Arial" w:eastAsia="Arial" w:hAnsi="Arial"/>
                <w:sz w:val="12"/>
                <w:szCs w:val="12"/>
                <w:color w:val="auto"/>
              </w:rPr>
              <w:t>40,160</w:t>
            </w:r>
          </w:p>
        </w:tc>
        <w:tc>
          <w:tcPr>
            <w:tcW w:w="0" w:type="dxa"/>
            <w:vAlign w:val="bottom"/>
          </w:tcPr>
          <w:p>
            <w:pPr>
              <w:spacing w:after="0"/>
              <w:rPr>
                <w:sz w:val="1"/>
                <w:szCs w:val="1"/>
                <w:color w:val="auto"/>
              </w:rPr>
            </w:pPr>
          </w:p>
        </w:tc>
      </w:tr>
      <w:tr>
        <w:trPr>
          <w:trHeight w:val="182"/>
        </w:trPr>
        <w:tc>
          <w:tcPr>
            <w:tcW w:w="4240" w:type="dxa"/>
            <w:vAlign w:val="bottom"/>
          </w:tcPr>
          <w:p>
            <w:pPr>
              <w:spacing w:after="0"/>
              <w:rPr>
                <w:sz w:val="20"/>
                <w:szCs w:val="20"/>
                <w:color w:val="auto"/>
              </w:rPr>
            </w:pPr>
            <w:r>
              <w:rPr>
                <w:rFonts w:ascii="Arial" w:cs="Arial" w:eastAsia="Arial" w:hAnsi="Arial"/>
                <w:sz w:val="12"/>
                <w:szCs w:val="12"/>
                <w:color w:val="auto"/>
              </w:rPr>
              <w:t xml:space="preserve">Warrants to purchase common stock </w:t>
            </w:r>
            <w:r>
              <w:rPr>
                <w:rFonts w:ascii="Times New Roman" w:cs="Times New Roman" w:eastAsia="Times New Roman" w:hAnsi="Times New Roman"/>
                <w:sz w:val="12"/>
                <w:szCs w:val="12"/>
                <w:color w:val="B4B4B4"/>
              </w:rPr>
              <w:t>..................................................................</w:t>
            </w:r>
          </w:p>
        </w:tc>
        <w:tc>
          <w:tcPr>
            <w:tcW w:w="840" w:type="dxa"/>
            <w:vAlign w:val="bottom"/>
          </w:tcPr>
          <w:p>
            <w:pPr>
              <w:jc w:val="right"/>
              <w:ind w:right="23"/>
              <w:spacing w:after="0"/>
              <w:rPr>
                <w:sz w:val="20"/>
                <w:szCs w:val="20"/>
                <w:color w:val="auto"/>
              </w:rPr>
            </w:pPr>
            <w:r>
              <w:rPr>
                <w:rFonts w:ascii="Arial" w:cs="Arial" w:eastAsia="Arial" w:hAnsi="Arial"/>
                <w:sz w:val="12"/>
                <w:szCs w:val="12"/>
                <w:color w:val="auto"/>
              </w:rPr>
              <w:t>1,211,223</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2"/>
        </w:trPr>
        <w:tc>
          <w:tcPr>
            <w:tcW w:w="4240" w:type="dxa"/>
            <w:vAlign w:val="bottom"/>
          </w:tcPr>
          <w:p>
            <w:pPr>
              <w:spacing w:after="0"/>
              <w:rPr>
                <w:sz w:val="20"/>
                <w:szCs w:val="20"/>
                <w:color w:val="auto"/>
              </w:rPr>
            </w:pPr>
            <w:r>
              <w:rPr>
                <w:rFonts w:ascii="Arial" w:cs="Arial" w:eastAsia="Arial" w:hAnsi="Arial"/>
                <w:sz w:val="12"/>
                <w:szCs w:val="12"/>
                <w:color w:val="auto"/>
              </w:rPr>
              <w:t xml:space="preserve">Shares of common stock subject to repurchase </w:t>
            </w:r>
            <w:r>
              <w:rPr>
                <w:rFonts w:ascii="Times New Roman" w:cs="Times New Roman" w:eastAsia="Times New Roman" w:hAnsi="Times New Roman"/>
                <w:sz w:val="12"/>
                <w:szCs w:val="12"/>
                <w:color w:val="B4B4B4"/>
              </w:rPr>
              <w:t>................................................</w:t>
            </w:r>
          </w:p>
        </w:tc>
        <w:tc>
          <w:tcPr>
            <w:tcW w:w="840" w:type="dxa"/>
            <w:vAlign w:val="bottom"/>
          </w:tcPr>
          <w:p>
            <w:pPr>
              <w:jc w:val="right"/>
              <w:ind w:right="23"/>
              <w:spacing w:after="0"/>
              <w:rPr>
                <w:sz w:val="20"/>
                <w:szCs w:val="20"/>
                <w:color w:val="auto"/>
              </w:rPr>
            </w:pPr>
            <w:r>
              <w:rPr>
                <w:rFonts w:ascii="Arial" w:cs="Arial" w:eastAsia="Arial" w:hAnsi="Arial"/>
                <w:sz w:val="12"/>
                <w:szCs w:val="12"/>
                <w:color w:val="auto"/>
              </w:rPr>
              <w:t>21,751</w:t>
            </w:r>
          </w:p>
        </w:tc>
        <w:tc>
          <w:tcPr>
            <w:tcW w:w="800" w:type="dxa"/>
            <w:vAlign w:val="bottom"/>
          </w:tcPr>
          <w:p>
            <w:pPr>
              <w:jc w:val="right"/>
              <w:spacing w:after="0"/>
              <w:rPr>
                <w:sz w:val="20"/>
                <w:szCs w:val="20"/>
                <w:color w:val="auto"/>
              </w:rPr>
            </w:pPr>
            <w:r>
              <w:rPr>
                <w:rFonts w:ascii="Arial" w:cs="Arial" w:eastAsia="Arial" w:hAnsi="Arial"/>
                <w:sz w:val="12"/>
                <w:szCs w:val="12"/>
                <w:color w:val="auto"/>
              </w:rPr>
              <w:t>79,293</w:t>
            </w:r>
          </w:p>
        </w:tc>
        <w:tc>
          <w:tcPr>
            <w:tcW w:w="0" w:type="dxa"/>
            <w:vAlign w:val="bottom"/>
          </w:tcPr>
          <w:p>
            <w:pPr>
              <w:spacing w:after="0"/>
              <w:rPr>
                <w:sz w:val="1"/>
                <w:szCs w:val="1"/>
                <w:color w:val="auto"/>
              </w:rPr>
            </w:pPr>
          </w:p>
        </w:tc>
      </w:tr>
    </w:tbl>
    <w:p>
      <w:pPr>
        <w:sectPr>
          <w:pgSz w:w="11900" w:h="16840" w:orient="portrait"/>
          <w:cols w:equalWidth="0" w:num="1">
            <w:col w:w="9020"/>
          </w:cols>
          <w:pgMar w:left="1440" w:top="560" w:right="1440" w:bottom="78" w:gutter="0" w:footer="0" w:header="0"/>
        </w:sectPr>
      </w:pPr>
    </w:p>
    <w:bookmarkStart w:id="211" w:name="page212"/>
    <w:bookmarkEnd w:id="211"/>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39"/>
        </w:trPr>
        <w:tc>
          <w:tcPr>
            <w:tcW w:w="4260" w:type="dxa"/>
            <w:vAlign w:val="bottom"/>
          </w:tcPr>
          <w:p>
            <w:pPr>
              <w:ind w:left="40"/>
              <w:spacing w:after="0"/>
              <w:rPr>
                <w:sz w:val="20"/>
                <w:szCs w:val="20"/>
                <w:color w:val="auto"/>
              </w:rPr>
            </w:pPr>
            <w:r>
              <w:rPr>
                <w:rFonts w:ascii="Arial" w:cs="Arial" w:eastAsia="Arial" w:hAnsi="Arial"/>
                <w:sz w:val="12"/>
                <w:szCs w:val="12"/>
                <w:color w:val="auto"/>
              </w:rPr>
              <w:t xml:space="preserve">Convertible notes </w:t>
            </w:r>
            <w:r>
              <w:rPr>
                <w:rFonts w:ascii="Times New Roman" w:cs="Times New Roman" w:eastAsia="Times New Roman" w:hAnsi="Times New Roman"/>
                <w:sz w:val="12"/>
                <w:szCs w:val="12"/>
                <w:color w:val="B4B4B4"/>
              </w:rPr>
              <w:t>....................................................................................................</w:t>
            </w: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12,273,965</w:t>
            </w:r>
          </w:p>
        </w:tc>
        <w:tc>
          <w:tcPr>
            <w:tcW w:w="880" w:type="dxa"/>
            <w:vAlign w:val="bottom"/>
            <w:gridSpan w:val="2"/>
          </w:tcPr>
          <w:p>
            <w:pPr>
              <w:jc w:val="right"/>
              <w:ind w:right="18"/>
              <w:spacing w:after="0"/>
              <w:rPr>
                <w:sz w:val="20"/>
                <w:szCs w:val="20"/>
                <w:color w:val="auto"/>
              </w:rPr>
            </w:pPr>
            <w:r>
              <w:rPr>
                <w:rFonts w:ascii="Arial" w:cs="Arial" w:eastAsia="Arial" w:hAnsi="Arial"/>
                <w:sz w:val="12"/>
                <w:szCs w:val="12"/>
                <w:color w:val="auto"/>
              </w:rPr>
              <w:t>16,322,776</w:t>
            </w:r>
          </w:p>
        </w:tc>
        <w:tc>
          <w:tcPr>
            <w:tcW w:w="0" w:type="dxa"/>
            <w:vAlign w:val="bottom"/>
          </w:tcPr>
          <w:p>
            <w:pPr>
              <w:spacing w:after="0"/>
              <w:rPr>
                <w:sz w:val="1"/>
                <w:szCs w:val="1"/>
                <w:color w:val="auto"/>
              </w:rPr>
            </w:pPr>
          </w:p>
        </w:tc>
      </w:tr>
      <w:tr>
        <w:trPr>
          <w:trHeight w:val="38"/>
        </w:trPr>
        <w:tc>
          <w:tcPr>
            <w:tcW w:w="4260" w:type="dxa"/>
            <w:vAlign w:val="bottom"/>
            <w:vMerge w:val="restart"/>
          </w:tcPr>
          <w:p>
            <w:pPr>
              <w:ind w:left="40"/>
              <w:spacing w:after="0"/>
              <w:rPr>
                <w:sz w:val="20"/>
                <w:szCs w:val="20"/>
                <w:color w:val="auto"/>
              </w:rPr>
            </w:pPr>
            <w:r>
              <w:rPr>
                <w:rFonts w:ascii="Arial" w:cs="Arial" w:eastAsia="Arial" w:hAnsi="Arial"/>
                <w:sz w:val="12"/>
                <w:szCs w:val="12"/>
                <w:color w:val="auto"/>
              </w:rPr>
              <w:t>SAFEs</w:t>
            </w:r>
          </w:p>
        </w:tc>
        <w:tc>
          <w:tcPr>
            <w:tcW w:w="8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4260" w:type="dxa"/>
            <w:vAlign w:val="bottom"/>
            <w:tcBorders>
              <w:bottom w:val="single" w:sz="8" w:color="CCEEFF"/>
            </w:tcBorders>
            <w:vMerge w:val="continue"/>
          </w:tcPr>
          <w:p>
            <w:pPr>
              <w:jc w:val="right"/>
              <w:ind w:right="64"/>
              <w:spacing w:after="0" w:line="67" w:lineRule="exact"/>
              <w:rPr>
                <w:sz w:val="20"/>
                <w:szCs w:val="20"/>
                <w:color w:val="auto"/>
              </w:rPr>
            </w:pPr>
            <w:r>
              <w:rPr>
                <w:rFonts w:ascii="Times New Roman" w:cs="Times New Roman" w:eastAsia="Times New Roman" w:hAnsi="Times New Roman"/>
                <w:sz w:val="7"/>
                <w:szCs w:val="7"/>
                <w:color w:val="B4B4B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7,526,948</w:t>
            </w:r>
          </w:p>
        </w:tc>
        <w:tc>
          <w:tcPr>
            <w:tcW w:w="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Arial" w:cs="Arial" w:eastAsia="Arial" w:hAnsi="Arial"/>
                <w:sz w:val="12"/>
                <w:szCs w:val="12"/>
                <w:color w:val="000000"/>
              </w:rPr>
              <w:t>Totalantidilutivesecurities</w:t>
            </w: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216,787,753</w:t>
            </w: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207,530,553</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-436880</wp:posOffset>
            </wp:positionV>
            <wp:extent cx="6732270" cy="99707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1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NOTE 15 – SUBSEQUENT EVENTS</w:t>
      </w:r>
    </w:p>
    <w:p>
      <w:pPr>
        <w:spacing w:after="0" w:line="130" w:lineRule="exact"/>
        <w:rPr>
          <w:sz w:val="20"/>
          <w:szCs w:val="20"/>
          <w:color w:val="auto"/>
        </w:rPr>
      </w:pPr>
    </w:p>
    <w:p>
      <w:pPr>
        <w:ind w:left="1520" w:right="1840" w:firstLine="230"/>
        <w:spacing w:after="0" w:line="312" w:lineRule="auto"/>
        <w:rPr>
          <w:sz w:val="20"/>
          <w:szCs w:val="20"/>
          <w:color w:val="auto"/>
        </w:rPr>
      </w:pPr>
      <w:r>
        <w:rPr>
          <w:rFonts w:ascii="Arial" w:cs="Arial" w:eastAsia="Arial" w:hAnsi="Arial"/>
          <w:sz w:val="12"/>
          <w:szCs w:val="12"/>
          <w:color w:val="auto"/>
        </w:rPr>
        <w:t>Subsequent events have been evaluated through September 19, 2025, the date these unaudited condensed consolidated financial statements were available to be issued.</w:t>
      </w:r>
    </w:p>
    <w:p>
      <w:pPr>
        <w:spacing w:after="0" w:line="62" w:lineRule="exact"/>
        <w:rPr>
          <w:sz w:val="20"/>
          <w:szCs w:val="20"/>
          <w:color w:val="auto"/>
        </w:rPr>
      </w:pPr>
    </w:p>
    <w:tbl>
      <w:tblPr>
        <w:tblLayout w:type="fixed"/>
        <w:tblInd w:w="1520" w:type="dxa"/>
        <w:tblCellMar>
          <w:top w:w="0" w:type="dxa"/>
          <w:left w:w="0" w:type="dxa"/>
          <w:bottom w:w="0" w:type="dxa"/>
          <w:right w:w="0" w:type="dxa"/>
        </w:tblCellMar>
      </w:tblPr>
      <w:tr>
        <w:trPr>
          <w:trHeight w:val="182"/>
        </w:trPr>
        <w:tc>
          <w:tcPr>
            <w:tcW w:w="29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Since July 31, 2025 and through the date these</w:t>
            </w:r>
          </w:p>
        </w:tc>
        <w:tc>
          <w:tcPr>
            <w:tcW w:w="3040" w:type="dxa"/>
            <w:vAlign w:val="bottom"/>
            <w:shd w:val="clear" w:color="auto" w:fill="CCEEFF"/>
          </w:tcPr>
          <w:p>
            <w:pPr>
              <w:spacing w:after="0"/>
              <w:rPr>
                <w:sz w:val="20"/>
                <w:szCs w:val="20"/>
                <w:color w:val="auto"/>
              </w:rPr>
            </w:pPr>
            <w:r>
              <w:rPr>
                <w:rFonts w:ascii="Arial" w:cs="Arial" w:eastAsia="Arial" w:hAnsi="Arial"/>
                <w:sz w:val="12"/>
                <w:szCs w:val="12"/>
                <w:color w:val="auto"/>
              </w:rPr>
              <w:t>unaudited condensed consolidated financial</w:t>
            </w:r>
          </w:p>
        </w:tc>
      </w:tr>
      <w:tr>
        <w:trPr>
          <w:trHeight w:val="136"/>
        </w:trPr>
        <w:tc>
          <w:tcPr>
            <w:tcW w:w="2940" w:type="dxa"/>
            <w:vAlign w:val="bottom"/>
          </w:tcPr>
          <w:p>
            <w:pPr>
              <w:spacing w:after="0" w:line="136" w:lineRule="exact"/>
              <w:rPr>
                <w:sz w:val="20"/>
                <w:szCs w:val="20"/>
                <w:color w:val="auto"/>
              </w:rPr>
            </w:pPr>
            <w:r>
              <w:rPr>
                <w:rFonts w:ascii="Arial" w:cs="Arial" w:eastAsia="Arial" w:hAnsi="Arial"/>
                <w:sz w:val="12"/>
                <w:szCs w:val="12"/>
                <w:color w:val="auto"/>
              </w:rPr>
              <w:t>statements were available to be reissued, we granted</w:t>
            </w:r>
          </w:p>
        </w:tc>
        <w:tc>
          <w:tcPr>
            <w:tcW w:w="3040" w:type="dxa"/>
            <w:vAlign w:val="bottom"/>
          </w:tcPr>
          <w:p>
            <w:pPr>
              <w:ind w:left="100"/>
              <w:spacing w:after="0" w:line="136" w:lineRule="exact"/>
              <w:rPr>
                <w:sz w:val="20"/>
                <w:szCs w:val="20"/>
                <w:color w:val="auto"/>
              </w:rPr>
            </w:pPr>
            <w:r>
              <w:rPr>
                <w:rFonts w:ascii="Arial" w:cs="Arial" w:eastAsia="Arial" w:hAnsi="Arial"/>
                <w:sz w:val="12"/>
                <w:szCs w:val="12"/>
                <w:color w:val="auto"/>
              </w:rPr>
              <w:t>339,246 stock options that vest over four years</w:t>
            </w:r>
          </w:p>
        </w:tc>
      </w:tr>
    </w:tbl>
    <w:p>
      <w:pPr>
        <w:ind w:left="1520" w:right="1720"/>
        <w:spacing w:after="0" w:line="272" w:lineRule="auto"/>
        <w:rPr>
          <w:sz w:val="20"/>
          <w:szCs w:val="20"/>
          <w:color w:val="auto"/>
        </w:rPr>
      </w:pPr>
      <w:r>
        <w:rPr>
          <w:rFonts w:ascii="Arial" w:cs="Arial" w:eastAsia="Arial" w:hAnsi="Arial"/>
          <w:sz w:val="12"/>
          <w:szCs w:val="12"/>
          <w:color w:val="auto"/>
        </w:rPr>
        <w:t xml:space="preserve">based on service-only conditions. We also granted 1,805,274 RSUs that vest </w:t>
      </w:r>
      <w:r>
        <w:rPr>
          <w:rFonts w:ascii="Arial" w:cs="Arial" w:eastAsia="Arial" w:hAnsi="Arial"/>
          <w:sz w:val="12"/>
          <w:szCs w:val="12"/>
          <w:color w:val="auto"/>
          <w:strike w:val="1"/>
        </w:rPr>
        <w:t>upon the satisf</w:t>
      </w:r>
      <w:r>
        <w:rPr>
          <w:rFonts w:ascii="Arial" w:cs="Arial" w:eastAsia="Arial" w:hAnsi="Arial"/>
          <w:sz w:val="12"/>
          <w:szCs w:val="12"/>
          <w:color w:val="auto"/>
        </w:rPr>
        <w:t>action of both a performance and a service condition, where the performance condition is satisfied by either a sale of the Company or following the effective date of an initial public offering, and the service condition is satisfied generally over a period of four years. In addition, we granted 444,985 RSUs which vest over four years based solely on service-only conditions.</w:t>
      </w:r>
    </w:p>
    <w:p>
      <w:pPr>
        <w:spacing w:after="0" w:line="86" w:lineRule="exact"/>
        <w:rPr>
          <w:sz w:val="20"/>
          <w:szCs w:val="20"/>
          <w:color w:val="auto"/>
        </w:rPr>
      </w:pPr>
    </w:p>
    <w:p>
      <w:pPr>
        <w:ind w:left="1520" w:right="1960" w:firstLine="230"/>
        <w:spacing w:after="0" w:line="289" w:lineRule="auto"/>
        <w:rPr>
          <w:sz w:val="20"/>
          <w:szCs w:val="20"/>
          <w:color w:val="auto"/>
        </w:rPr>
      </w:pPr>
      <w:r>
        <w:rPr>
          <w:rFonts w:ascii="Arial" w:cs="Arial" w:eastAsia="Arial" w:hAnsi="Arial"/>
          <w:sz w:val="12"/>
          <w:szCs w:val="12"/>
          <w:color w:val="auto"/>
        </w:rPr>
        <w:t>On September 18, 2025, the Company effected a one-for-three reverse stock split of its common stock and redeemable convertible preferred stock. All share and per share information has been retroactively adjusted to reflect the stock split for all periods presented.</w:t>
      </w:r>
    </w:p>
    <w:p>
      <w:pPr>
        <w:spacing w:after="0" w:line="76" w:lineRule="exact"/>
        <w:rPr>
          <w:sz w:val="20"/>
          <w:szCs w:val="20"/>
          <w:color w:val="auto"/>
        </w:rPr>
      </w:pPr>
    </w:p>
    <w:p>
      <w:pPr>
        <w:ind w:left="1520" w:right="1760" w:firstLine="230"/>
        <w:spacing w:after="0" w:line="312" w:lineRule="auto"/>
        <w:rPr>
          <w:sz w:val="20"/>
          <w:szCs w:val="20"/>
          <w:color w:val="auto"/>
        </w:rPr>
      </w:pPr>
      <w:r>
        <w:rPr>
          <w:rFonts w:ascii="Arial" w:cs="Arial" w:eastAsia="Arial" w:hAnsi="Arial"/>
          <w:sz w:val="12"/>
          <w:szCs w:val="12"/>
          <w:color w:val="auto"/>
        </w:rPr>
        <w:t>In September 2025, the Company’s Board of Directors approved the 2025 Equity Incentive Plan (the “2025 Plan”), which will become effective in connection with the IPO.</w:t>
      </w:r>
    </w:p>
    <w:p>
      <w:pPr>
        <w:spacing w:after="0" w:line="62" w:lineRule="exact"/>
        <w:rPr>
          <w:sz w:val="20"/>
          <w:szCs w:val="20"/>
          <w:color w:val="auto"/>
        </w:rPr>
      </w:pPr>
    </w:p>
    <w:p>
      <w:pPr>
        <w:ind w:left="1520" w:right="1720" w:firstLine="230"/>
        <w:spacing w:after="0" w:line="312" w:lineRule="auto"/>
        <w:rPr>
          <w:sz w:val="20"/>
          <w:szCs w:val="20"/>
          <w:color w:val="auto"/>
        </w:rPr>
      </w:pPr>
      <w:r>
        <w:rPr>
          <w:rFonts w:ascii="Arial" w:cs="Arial" w:eastAsia="Arial" w:hAnsi="Arial"/>
          <w:sz w:val="12"/>
          <w:szCs w:val="12"/>
          <w:color w:val="auto"/>
        </w:rPr>
        <w:t>In September 2025, the Company’s Board of Directors approved the 2025 Employee Stock Purchase Plan (the “2025 ESPP”), which will become effective in connection with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F-78</w:t>
      </w:r>
    </w:p>
    <w:p>
      <w:pPr>
        <w:sectPr>
          <w:pgSz w:w="11900" w:h="16840" w:orient="portrait"/>
          <w:cols w:equalWidth="0" w:num="1">
            <w:col w:w="9020"/>
          </w:cols>
          <w:pgMar w:left="1440" w:top="555" w:right="1440" w:bottom="1440" w:gutter="0" w:footer="0" w:header="0"/>
        </w:sectPr>
      </w:pPr>
    </w:p>
    <w:bookmarkStart w:id="212" w:name="page213"/>
    <w:bookmarkEnd w:id="2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80"/>
        <w:spacing w:after="0"/>
        <w:rPr>
          <w:sz w:val="20"/>
          <w:szCs w:val="20"/>
          <w:color w:val="auto"/>
        </w:rPr>
      </w:pPr>
      <w:r>
        <w:rPr>
          <w:rFonts w:ascii="Arial" w:cs="Arial" w:eastAsia="Arial" w:hAnsi="Arial"/>
          <w:sz w:val="12"/>
          <w:szCs w:val="12"/>
          <w:b w:val="1"/>
          <w:bCs w:val="1"/>
          <w:color w:val="auto"/>
        </w:rPr>
        <w:t>PART II</w:t>
      </w:r>
    </w:p>
    <w:p>
      <w:pPr>
        <w:spacing w:after="0" w:line="130" w:lineRule="exact"/>
        <w:rPr>
          <w:sz w:val="20"/>
          <w:szCs w:val="20"/>
          <w:color w:val="auto"/>
        </w:rPr>
      </w:pPr>
    </w:p>
    <w:p>
      <w:pPr>
        <w:ind w:left="3000"/>
        <w:spacing w:after="0"/>
        <w:rPr>
          <w:sz w:val="20"/>
          <w:szCs w:val="20"/>
          <w:color w:val="auto"/>
        </w:rPr>
      </w:pPr>
      <w:r>
        <w:rPr>
          <w:rFonts w:ascii="Arial" w:cs="Arial" w:eastAsia="Arial" w:hAnsi="Arial"/>
          <w:sz w:val="12"/>
          <w:szCs w:val="12"/>
          <w:b w:val="1"/>
          <w:bCs w:val="1"/>
          <w:color w:val="auto"/>
        </w:rPr>
        <w:t>INFORMATION NOT REQUIRED IN PROSPECTUS</w:t>
      </w:r>
    </w:p>
    <w:p>
      <w:pPr>
        <w:spacing w:after="0" w:line="130"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ITEM 13. OTHER EXPENSES OF ISSUANCE AND DISTRIBUTION.</w:t>
      </w:r>
    </w:p>
    <w:p>
      <w:pPr>
        <w:spacing w:after="0" w:line="130" w:lineRule="exact"/>
        <w:rPr>
          <w:sz w:val="20"/>
          <w:szCs w:val="20"/>
          <w:color w:val="auto"/>
        </w:rPr>
      </w:pPr>
    </w:p>
    <w:p>
      <w:pPr>
        <w:ind w:left="1520" w:right="1700" w:firstLine="230"/>
        <w:spacing w:after="0" w:line="280" w:lineRule="auto"/>
        <w:rPr>
          <w:sz w:val="20"/>
          <w:szCs w:val="20"/>
          <w:color w:val="auto"/>
        </w:rPr>
      </w:pPr>
      <w:r>
        <w:rPr>
          <w:rFonts w:ascii="Arial" w:cs="Arial" w:eastAsia="Arial" w:hAnsi="Arial"/>
          <w:sz w:val="12"/>
          <w:szCs w:val="12"/>
          <w:color w:val="auto"/>
        </w:rPr>
        <w:t>The following table sets forth all costs and expenses to be paid by the Registrant, other than underwriting discounts and commissions, in connection with the sale of Class A common stock being registered hereby. All amounts shown are estimates except for the Securities and Exchange Commission, or the SEC, registration fee, the Financial Industry Regulatory Authority, or FINRA, filing fee and the listing fee:</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514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w w:val="97"/>
              </w:rPr>
              <w:t>Amount Paid or</w:t>
            </w:r>
          </w:p>
        </w:tc>
        <w:tc>
          <w:tcPr>
            <w:tcW w:w="0" w:type="dxa"/>
            <w:vAlign w:val="bottom"/>
          </w:tcPr>
          <w:p>
            <w:pPr>
              <w:spacing w:after="0"/>
              <w:rPr>
                <w:sz w:val="1"/>
                <w:szCs w:val="1"/>
                <w:color w:val="auto"/>
              </w:rPr>
            </w:pPr>
          </w:p>
        </w:tc>
      </w:tr>
      <w:tr>
        <w:trPr>
          <w:trHeight w:val="105"/>
        </w:trPr>
        <w:tc>
          <w:tcPr>
            <w:tcW w:w="5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ind w:left="40"/>
              <w:spacing w:after="0" w:line="105" w:lineRule="exact"/>
              <w:rPr>
                <w:sz w:val="20"/>
                <w:szCs w:val="20"/>
                <w:color w:val="auto"/>
              </w:rPr>
            </w:pPr>
            <w:r>
              <w:rPr>
                <w:rFonts w:ascii="Arial" w:cs="Arial" w:eastAsia="Arial" w:hAnsi="Arial"/>
                <w:sz w:val="11"/>
                <w:szCs w:val="11"/>
                <w:b w:val="1"/>
                <w:bCs w:val="1"/>
                <w:color w:val="auto"/>
              </w:rPr>
              <w:t>to be Pai</w:t>
            </w:r>
          </w:p>
        </w:tc>
        <w:tc>
          <w:tcPr>
            <w:tcW w:w="0" w:type="dxa"/>
            <w:vAlign w:val="bottom"/>
          </w:tcPr>
          <w:p>
            <w:pPr>
              <w:spacing w:after="0"/>
              <w:rPr>
                <w:sz w:val="1"/>
                <w:szCs w:val="1"/>
                <w:color w:val="auto"/>
              </w:rPr>
            </w:pPr>
          </w:p>
        </w:tc>
      </w:tr>
      <w:tr>
        <w:trPr>
          <w:trHeight w:val="67"/>
        </w:trPr>
        <w:tc>
          <w:tcPr>
            <w:tcW w:w="5140" w:type="dxa"/>
            <w:vAlign w:val="bottom"/>
            <w:vMerge w:val="restart"/>
          </w:tcPr>
          <w:p>
            <w:pPr>
              <w:ind w:left="40"/>
              <w:spacing w:after="0"/>
              <w:rPr>
                <w:sz w:val="20"/>
                <w:szCs w:val="20"/>
                <w:color w:val="auto"/>
              </w:rPr>
            </w:pPr>
            <w:r>
              <w:rPr>
                <w:rFonts w:ascii="Arial" w:cs="Arial" w:eastAsia="Arial" w:hAnsi="Arial"/>
                <w:sz w:val="12"/>
                <w:szCs w:val="12"/>
                <w:color w:val="auto"/>
              </w:rPr>
              <w:t>SEC registration fee</w:t>
            </w:r>
          </w:p>
        </w:tc>
        <w:tc>
          <w:tcPr>
            <w:tcW w:w="14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700" w:type="dxa"/>
            <w:vAlign w:val="bottom"/>
          </w:tcPr>
          <w:p>
            <w:pPr>
              <w:ind w:left="40"/>
              <w:spacing w:after="0" w:line="67" w:lineRule="exact"/>
              <w:rPr>
                <w:sz w:val="20"/>
                <w:szCs w:val="20"/>
                <w:color w:val="auto"/>
              </w:rPr>
            </w:pPr>
            <w:r>
              <w:rPr>
                <w:rFonts w:ascii="Arial" w:cs="Arial" w:eastAsia="Arial" w:hAnsi="Arial"/>
                <w:sz w:val="7"/>
                <w:szCs w:val="7"/>
                <w:b w:val="1"/>
                <w:bCs w:val="1"/>
                <w:color w:val="auto"/>
              </w:rPr>
              <w:t>d</w:t>
            </w:r>
          </w:p>
        </w:tc>
        <w:tc>
          <w:tcPr>
            <w:tcW w:w="0" w:type="dxa"/>
            <w:vAlign w:val="bottom"/>
          </w:tcPr>
          <w:p>
            <w:pPr>
              <w:spacing w:after="0"/>
              <w:rPr>
                <w:sz w:val="1"/>
                <w:szCs w:val="1"/>
                <w:color w:val="auto"/>
              </w:rPr>
            </w:pPr>
          </w:p>
        </w:tc>
      </w:tr>
      <w:tr>
        <w:trPr>
          <w:trHeight w:val="168"/>
        </w:trPr>
        <w:tc>
          <w:tcPr>
            <w:tcW w:w="5140" w:type="dxa"/>
            <w:vAlign w:val="bottom"/>
            <w:vMerge w:val="continue"/>
          </w:tcPr>
          <w:p>
            <w:pPr>
              <w:ind w:left="1180"/>
              <w:spacing w:after="0" w:line="106" w:lineRule="exact"/>
              <w:rPr>
                <w:sz w:val="20"/>
                <w:szCs w:val="20"/>
                <w:color w:val="auto"/>
              </w:rPr>
            </w:pPr>
            <w:r>
              <w:rPr>
                <w:rFonts w:ascii="Times New Roman" w:cs="Times New Roman" w:eastAsia="Times New Roman" w:hAnsi="Times New Roman"/>
                <w:sz w:val="12"/>
                <w:szCs w:val="12"/>
                <w:color w:val="B4B4B4"/>
              </w:rPr>
              <w:t>...........................................................................................................................</w:t>
            </w:r>
          </w:p>
        </w:tc>
        <w:tc>
          <w:tcPr>
            <w:tcW w:w="140" w:type="dxa"/>
            <w:vAlign w:val="bottom"/>
            <w:vMerge w:val="continue"/>
          </w:tcPr>
          <w:p>
            <w:pPr>
              <w:spacing w:after="0"/>
              <w:rPr>
                <w:sz w:val="14"/>
                <w:szCs w:val="14"/>
                <w:color w:val="auto"/>
              </w:rPr>
            </w:pPr>
          </w:p>
        </w:tc>
        <w:tc>
          <w:tcPr>
            <w:tcW w:w="700" w:type="dxa"/>
            <w:vAlign w:val="bottom"/>
          </w:tcPr>
          <w:p>
            <w:pPr>
              <w:jc w:val="right"/>
              <w:ind w:right="21"/>
              <w:spacing w:after="0"/>
              <w:rPr>
                <w:sz w:val="20"/>
                <w:szCs w:val="20"/>
                <w:color w:val="auto"/>
              </w:rPr>
            </w:pPr>
            <w:r>
              <w:rPr>
                <w:rFonts w:ascii="Arial" w:cs="Arial" w:eastAsia="Arial" w:hAnsi="Arial"/>
                <w:sz w:val="12"/>
                <w:szCs w:val="12"/>
                <w:color w:val="auto"/>
              </w:rPr>
              <w:t>153,968</w:t>
            </w:r>
          </w:p>
        </w:tc>
        <w:tc>
          <w:tcPr>
            <w:tcW w:w="0" w:type="dxa"/>
            <w:vAlign w:val="bottom"/>
          </w:tcPr>
          <w:p>
            <w:pPr>
              <w:spacing w:after="0"/>
              <w:rPr>
                <w:sz w:val="1"/>
                <w:szCs w:val="1"/>
                <w:color w:val="auto"/>
              </w:rPr>
            </w:pPr>
          </w:p>
        </w:tc>
      </w:tr>
      <w:tr>
        <w:trPr>
          <w:trHeight w:val="177"/>
        </w:trPr>
        <w:tc>
          <w:tcPr>
            <w:tcW w:w="5140" w:type="dxa"/>
            <w:vAlign w:val="bottom"/>
          </w:tcPr>
          <w:p>
            <w:pPr>
              <w:ind w:left="40"/>
              <w:spacing w:after="0"/>
              <w:rPr>
                <w:sz w:val="20"/>
                <w:szCs w:val="20"/>
                <w:color w:val="auto"/>
              </w:rPr>
            </w:pPr>
            <w:r>
              <w:rPr>
                <w:rFonts w:ascii="Arial" w:cs="Arial" w:eastAsia="Arial" w:hAnsi="Arial"/>
                <w:sz w:val="12"/>
                <w:szCs w:val="12"/>
                <w:color w:val="auto"/>
              </w:rPr>
              <w:t xml:space="preserve">FINRA filing fee </w:t>
            </w:r>
            <w:r>
              <w:rPr>
                <w:rFonts w:ascii="Times New Roman" w:cs="Times New Roman" w:eastAsia="Times New Roman" w:hAnsi="Times New Roman"/>
                <w:sz w:val="12"/>
                <w:szCs w:val="12"/>
                <w:color w:val="B4B4B4"/>
              </w:rPr>
              <w:t>..................................................................................................................................</w:t>
            </w: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1"/>
              <w:spacing w:after="0"/>
              <w:rPr>
                <w:sz w:val="20"/>
                <w:szCs w:val="20"/>
                <w:color w:val="auto"/>
              </w:rPr>
            </w:pPr>
            <w:r>
              <w:rPr>
                <w:rFonts w:ascii="Arial" w:cs="Arial" w:eastAsia="Arial" w:hAnsi="Arial"/>
                <w:sz w:val="12"/>
                <w:szCs w:val="12"/>
                <w:color w:val="auto"/>
              </w:rPr>
              <w:t>166,106</w:t>
            </w:r>
          </w:p>
        </w:tc>
        <w:tc>
          <w:tcPr>
            <w:tcW w:w="0" w:type="dxa"/>
            <w:vAlign w:val="bottom"/>
          </w:tcPr>
          <w:p>
            <w:pPr>
              <w:spacing w:after="0"/>
              <w:rPr>
                <w:sz w:val="1"/>
                <w:szCs w:val="1"/>
                <w:color w:val="auto"/>
              </w:rPr>
            </w:pPr>
          </w:p>
        </w:tc>
      </w:tr>
      <w:tr>
        <w:trPr>
          <w:trHeight w:val="190"/>
        </w:trPr>
        <w:tc>
          <w:tcPr>
            <w:tcW w:w="5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Listing fee </w:t>
            </w:r>
            <w:r>
              <w:rPr>
                <w:rFonts w:ascii="Times New Roman" w:cs="Times New Roman" w:eastAsia="Times New Roman" w:hAnsi="Times New Roman"/>
                <w:sz w:val="12"/>
                <w:szCs w:val="12"/>
                <w:color w:val="B4B4B4"/>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295,000</w:t>
            </w:r>
          </w:p>
        </w:tc>
        <w:tc>
          <w:tcPr>
            <w:tcW w:w="0" w:type="dxa"/>
            <w:vAlign w:val="bottom"/>
          </w:tcPr>
          <w:p>
            <w:pPr>
              <w:spacing w:after="0"/>
              <w:rPr>
                <w:sz w:val="1"/>
                <w:szCs w:val="1"/>
                <w:color w:val="auto"/>
              </w:rPr>
            </w:pPr>
          </w:p>
        </w:tc>
      </w:tr>
      <w:tr>
        <w:trPr>
          <w:trHeight w:val="173"/>
        </w:trPr>
        <w:tc>
          <w:tcPr>
            <w:tcW w:w="5140" w:type="dxa"/>
            <w:vAlign w:val="bottom"/>
          </w:tcPr>
          <w:p>
            <w:pPr>
              <w:ind w:left="40"/>
              <w:spacing w:after="0"/>
              <w:rPr>
                <w:sz w:val="20"/>
                <w:szCs w:val="20"/>
                <w:color w:val="auto"/>
              </w:rPr>
            </w:pPr>
            <w:r>
              <w:rPr>
                <w:rFonts w:ascii="Arial" w:cs="Arial" w:eastAsia="Arial" w:hAnsi="Arial"/>
                <w:sz w:val="12"/>
                <w:szCs w:val="12"/>
                <w:color w:val="auto"/>
              </w:rPr>
              <w:t xml:space="preserve">Accounting fees and expenses </w:t>
            </w:r>
            <w:r>
              <w:rPr>
                <w:rFonts w:ascii="Times New Roman" w:cs="Times New Roman" w:eastAsia="Times New Roman" w:hAnsi="Times New Roman"/>
                <w:sz w:val="12"/>
                <w:szCs w:val="12"/>
                <w:color w:val="B4B4B4"/>
              </w:rPr>
              <w:t>........................................................................................................</w:t>
            </w: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1"/>
              <w:spacing w:after="0"/>
              <w:rPr>
                <w:sz w:val="20"/>
                <w:szCs w:val="20"/>
                <w:color w:val="auto"/>
              </w:rPr>
            </w:pPr>
            <w:r>
              <w:rPr>
                <w:rFonts w:ascii="Arial" w:cs="Arial" w:eastAsia="Arial" w:hAnsi="Arial"/>
                <w:sz w:val="12"/>
                <w:szCs w:val="12"/>
                <w:color w:val="auto"/>
              </w:rPr>
              <w:t>3,301,000</w:t>
            </w:r>
          </w:p>
        </w:tc>
        <w:tc>
          <w:tcPr>
            <w:tcW w:w="0" w:type="dxa"/>
            <w:vAlign w:val="bottom"/>
          </w:tcPr>
          <w:p>
            <w:pPr>
              <w:spacing w:after="0"/>
              <w:rPr>
                <w:sz w:val="1"/>
                <w:szCs w:val="1"/>
                <w:color w:val="auto"/>
              </w:rPr>
            </w:pPr>
          </w:p>
        </w:tc>
      </w:tr>
      <w:tr>
        <w:trPr>
          <w:trHeight w:val="190"/>
        </w:trPr>
        <w:tc>
          <w:tcPr>
            <w:tcW w:w="5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Legal fees and expenses </w:t>
            </w:r>
            <w:r>
              <w:rPr>
                <w:rFonts w:ascii="Times New Roman" w:cs="Times New Roman" w:eastAsia="Times New Roman" w:hAnsi="Times New Roman"/>
                <w:sz w:val="12"/>
                <w:szCs w:val="12"/>
                <w:color w:val="B4B4B4"/>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1,787,510</w:t>
            </w:r>
          </w:p>
        </w:tc>
        <w:tc>
          <w:tcPr>
            <w:tcW w:w="0" w:type="dxa"/>
            <w:vAlign w:val="bottom"/>
          </w:tcPr>
          <w:p>
            <w:pPr>
              <w:spacing w:after="0"/>
              <w:rPr>
                <w:sz w:val="1"/>
                <w:szCs w:val="1"/>
                <w:color w:val="auto"/>
              </w:rPr>
            </w:pPr>
          </w:p>
        </w:tc>
      </w:tr>
      <w:tr>
        <w:trPr>
          <w:trHeight w:val="173"/>
        </w:trPr>
        <w:tc>
          <w:tcPr>
            <w:tcW w:w="5140" w:type="dxa"/>
            <w:vAlign w:val="bottom"/>
          </w:tcPr>
          <w:p>
            <w:pPr>
              <w:ind w:left="40"/>
              <w:spacing w:after="0"/>
              <w:rPr>
                <w:sz w:val="20"/>
                <w:szCs w:val="20"/>
                <w:color w:val="auto"/>
              </w:rPr>
            </w:pPr>
            <w:r>
              <w:rPr>
                <w:rFonts w:ascii="Arial" w:cs="Arial" w:eastAsia="Arial" w:hAnsi="Arial"/>
                <w:sz w:val="12"/>
                <w:szCs w:val="12"/>
                <w:color w:val="auto"/>
              </w:rPr>
              <w:t xml:space="preserve">Printing and engraving expenses </w:t>
            </w:r>
            <w:r>
              <w:rPr>
                <w:rFonts w:ascii="Times New Roman" w:cs="Times New Roman" w:eastAsia="Times New Roman" w:hAnsi="Times New Roman"/>
                <w:sz w:val="12"/>
                <w:szCs w:val="12"/>
                <w:color w:val="B4B4B4"/>
              </w:rPr>
              <w:t>....................................................................................................</w:t>
            </w: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1"/>
              <w:spacing w:after="0"/>
              <w:rPr>
                <w:sz w:val="20"/>
                <w:szCs w:val="20"/>
                <w:color w:val="auto"/>
              </w:rPr>
            </w:pPr>
            <w:r>
              <w:rPr>
                <w:rFonts w:ascii="Arial" w:cs="Arial" w:eastAsia="Arial" w:hAnsi="Arial"/>
                <w:sz w:val="12"/>
                <w:szCs w:val="12"/>
                <w:color w:val="auto"/>
              </w:rPr>
              <w:t>150,000</w:t>
            </w:r>
          </w:p>
        </w:tc>
        <w:tc>
          <w:tcPr>
            <w:tcW w:w="0" w:type="dxa"/>
            <w:vAlign w:val="bottom"/>
          </w:tcPr>
          <w:p>
            <w:pPr>
              <w:spacing w:after="0"/>
              <w:rPr>
                <w:sz w:val="1"/>
                <w:szCs w:val="1"/>
                <w:color w:val="auto"/>
              </w:rPr>
            </w:pPr>
          </w:p>
        </w:tc>
      </w:tr>
      <w:tr>
        <w:trPr>
          <w:trHeight w:val="190"/>
        </w:trPr>
        <w:tc>
          <w:tcPr>
            <w:tcW w:w="5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Transfer agent and registrar fees and expenses  </w:t>
            </w:r>
            <w:r>
              <w:rPr>
                <w:rFonts w:ascii="Times New Roman" w:cs="Times New Roman" w:eastAsia="Times New Roman" w:hAnsi="Times New Roman"/>
                <w:sz w:val="12"/>
                <w:szCs w:val="12"/>
                <w:color w:val="B4B4B4"/>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3,500</w:t>
            </w:r>
          </w:p>
        </w:tc>
        <w:tc>
          <w:tcPr>
            <w:tcW w:w="0" w:type="dxa"/>
            <w:vAlign w:val="bottom"/>
          </w:tcPr>
          <w:p>
            <w:pPr>
              <w:spacing w:after="0"/>
              <w:rPr>
                <w:sz w:val="1"/>
                <w:szCs w:val="1"/>
                <w:color w:val="auto"/>
              </w:rPr>
            </w:pPr>
          </w:p>
        </w:tc>
      </w:tr>
      <w:tr>
        <w:trPr>
          <w:trHeight w:val="173"/>
        </w:trPr>
        <w:tc>
          <w:tcPr>
            <w:tcW w:w="5140" w:type="dxa"/>
            <w:vAlign w:val="bottom"/>
          </w:tcPr>
          <w:p>
            <w:pPr>
              <w:ind w:left="40"/>
              <w:spacing w:after="0"/>
              <w:rPr>
                <w:sz w:val="20"/>
                <w:szCs w:val="20"/>
                <w:color w:val="auto"/>
              </w:rPr>
            </w:pPr>
            <w:r>
              <w:rPr>
                <w:rFonts w:ascii="Arial" w:cs="Arial" w:eastAsia="Arial" w:hAnsi="Arial"/>
                <w:sz w:val="12"/>
                <w:szCs w:val="12"/>
                <w:color w:val="auto"/>
              </w:rPr>
              <w:t xml:space="preserve">Miscellaneous expenses </w:t>
            </w:r>
            <w:r>
              <w:rPr>
                <w:rFonts w:ascii="Times New Roman" w:cs="Times New Roman" w:eastAsia="Times New Roman" w:hAnsi="Times New Roman"/>
                <w:sz w:val="12"/>
                <w:szCs w:val="12"/>
                <w:color w:val="B4B4B4"/>
              </w:rPr>
              <w:t>...................................................................................................................</w:t>
            </w: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1"/>
              <w:spacing w:after="0"/>
              <w:rPr>
                <w:sz w:val="20"/>
                <w:szCs w:val="20"/>
                <w:color w:val="auto"/>
              </w:rPr>
            </w:pPr>
            <w:r>
              <w:rPr>
                <w:rFonts w:ascii="Arial" w:cs="Arial" w:eastAsia="Arial" w:hAnsi="Arial"/>
                <w:sz w:val="12"/>
                <w:szCs w:val="12"/>
                <w:color w:val="auto"/>
              </w:rPr>
              <w:t>2,142,916</w:t>
            </w:r>
          </w:p>
        </w:tc>
        <w:tc>
          <w:tcPr>
            <w:tcW w:w="0" w:type="dxa"/>
            <w:vAlign w:val="bottom"/>
          </w:tcPr>
          <w:p>
            <w:pPr>
              <w:spacing w:after="0"/>
              <w:rPr>
                <w:sz w:val="1"/>
                <w:szCs w:val="1"/>
                <w:color w:val="auto"/>
              </w:rPr>
            </w:pPr>
          </w:p>
        </w:tc>
      </w:tr>
      <w:tr>
        <w:trPr>
          <w:trHeight w:val="190"/>
        </w:trPr>
        <w:tc>
          <w:tcPr>
            <w:tcW w:w="5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Total</w:t>
            </w:r>
            <w:r>
              <w:rPr>
                <w:rFonts w:ascii="Times New Roman" w:cs="Times New Roman" w:eastAsia="Times New Roman" w:hAnsi="Times New Roman"/>
                <w:sz w:val="12"/>
                <w:szCs w:val="12"/>
                <w:color w:val="B4B4B4"/>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8,000,000</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ITEM 14. INDEMNIFICATION OF DIRECTORS AND OFFICERS.</w:t>
      </w:r>
    </w:p>
    <w:p>
      <w:pPr>
        <w:spacing w:after="0" w:line="130" w:lineRule="exact"/>
        <w:rPr>
          <w:sz w:val="20"/>
          <w:szCs w:val="20"/>
          <w:color w:val="auto"/>
        </w:rPr>
      </w:pPr>
    </w:p>
    <w:p>
      <w:pPr>
        <w:ind w:left="1520" w:right="1720" w:firstLine="230"/>
        <w:spacing w:after="0" w:line="277" w:lineRule="auto"/>
        <w:rPr>
          <w:sz w:val="20"/>
          <w:szCs w:val="20"/>
          <w:color w:val="auto"/>
        </w:rPr>
      </w:pPr>
      <w:r>
        <w:rPr>
          <w:rFonts w:ascii="Arial" w:cs="Arial" w:eastAsia="Arial" w:hAnsi="Arial"/>
          <w:sz w:val="12"/>
          <w:szCs w:val="12"/>
          <w:color w:val="auto"/>
        </w:rPr>
        <w:t>Section 145 of the Delaware General Corporation Law, or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or the Securities Act.</w:t>
      </w:r>
    </w:p>
    <w:p>
      <w:pPr>
        <w:spacing w:after="0" w:line="84" w:lineRule="exact"/>
        <w:rPr>
          <w:sz w:val="20"/>
          <w:szCs w:val="20"/>
          <w:color w:val="auto"/>
        </w:rPr>
      </w:pPr>
    </w:p>
    <w:p>
      <w:pPr>
        <w:ind w:left="1520" w:right="1780" w:firstLine="230"/>
        <w:spacing w:after="0" w:line="281" w:lineRule="auto"/>
        <w:rPr>
          <w:sz w:val="20"/>
          <w:szCs w:val="20"/>
          <w:color w:val="auto"/>
        </w:rPr>
      </w:pPr>
      <w:r>
        <w:rPr>
          <w:rFonts w:ascii="Arial" w:cs="Arial" w:eastAsia="Arial" w:hAnsi="Arial"/>
          <w:sz w:val="12"/>
          <w:szCs w:val="12"/>
          <w:color w:val="auto"/>
        </w:rPr>
        <w:t>As permitted by the DGCL, the Registrant’s amended and restated certificate of incorporation to be effective upon the completion of this offering contains provisions that eliminate the personal liability of its directors and officers for monetary damages for any breach of fiduciary duties as a director or officer, except liability for the following:</w:t>
      </w:r>
    </w:p>
    <w:p>
      <w:pPr>
        <w:spacing w:after="0" w:line="81" w:lineRule="exact"/>
        <w:rPr>
          <w:sz w:val="20"/>
          <w:szCs w:val="20"/>
          <w:color w:val="auto"/>
        </w:rPr>
      </w:pPr>
    </w:p>
    <w:p>
      <w:pPr>
        <w:ind w:left="1980" w:hanging="228"/>
        <w:spacing w:after="0"/>
        <w:tabs>
          <w:tab w:leader="none" w:pos="1980" w:val="left"/>
        </w:tabs>
        <w:numPr>
          <w:ilvl w:val="0"/>
          <w:numId w:val="193"/>
        </w:numPr>
        <w:rPr>
          <w:rFonts w:ascii="Arial" w:cs="Arial" w:eastAsia="Arial" w:hAnsi="Arial"/>
          <w:sz w:val="12"/>
          <w:szCs w:val="12"/>
          <w:color w:val="auto"/>
        </w:rPr>
      </w:pPr>
      <w:r>
        <w:rPr>
          <w:rFonts w:ascii="Arial" w:cs="Arial" w:eastAsia="Arial" w:hAnsi="Arial"/>
          <w:sz w:val="12"/>
          <w:szCs w:val="12"/>
          <w:color w:val="auto"/>
        </w:rPr>
        <w:t>any breach of the director’s or officers’ duty of loyalty to the Registrant or its stockholders;</w:t>
      </w:r>
    </w:p>
    <w:p>
      <w:pPr>
        <w:spacing w:after="0" w:line="129" w:lineRule="exact"/>
        <w:rPr>
          <w:rFonts w:ascii="Arial" w:cs="Arial" w:eastAsia="Arial" w:hAnsi="Arial"/>
          <w:sz w:val="12"/>
          <w:szCs w:val="12"/>
          <w:color w:val="auto"/>
        </w:rPr>
      </w:pPr>
    </w:p>
    <w:p>
      <w:pPr>
        <w:ind w:left="1980" w:right="1720" w:hanging="228"/>
        <w:spacing w:after="0" w:line="312" w:lineRule="auto"/>
        <w:tabs>
          <w:tab w:leader="none" w:pos="1980" w:val="left"/>
        </w:tabs>
        <w:numPr>
          <w:ilvl w:val="0"/>
          <w:numId w:val="193"/>
        </w:numPr>
        <w:rPr>
          <w:rFonts w:ascii="Arial" w:cs="Arial" w:eastAsia="Arial" w:hAnsi="Arial"/>
          <w:sz w:val="12"/>
          <w:szCs w:val="12"/>
          <w:color w:val="auto"/>
        </w:rPr>
      </w:pPr>
      <w:r>
        <w:rPr>
          <w:rFonts w:ascii="Arial" w:cs="Arial" w:eastAsia="Arial" w:hAnsi="Arial"/>
          <w:sz w:val="12"/>
          <w:szCs w:val="12"/>
          <w:color w:val="auto"/>
        </w:rPr>
        <w:t>acts or omissions not in good faith or that involve intentional misconduct or a knowing violation of law;</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193"/>
        </w:numPr>
        <w:rPr>
          <w:rFonts w:ascii="Arial" w:cs="Arial" w:eastAsia="Arial" w:hAnsi="Arial"/>
          <w:sz w:val="12"/>
          <w:szCs w:val="12"/>
          <w:color w:val="auto"/>
        </w:rPr>
      </w:pPr>
      <w:r>
        <w:rPr>
          <w:rFonts w:ascii="Arial" w:cs="Arial" w:eastAsia="Arial" w:hAnsi="Arial"/>
          <w:sz w:val="12"/>
          <w:szCs w:val="12"/>
          <w:color w:val="auto"/>
        </w:rPr>
        <w:t>under Section 174 of the DGCL (regarding unlawful dividends and stock purchases);</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93"/>
        </w:numPr>
        <w:rPr>
          <w:rFonts w:ascii="Arial" w:cs="Arial" w:eastAsia="Arial" w:hAnsi="Arial"/>
          <w:sz w:val="12"/>
          <w:szCs w:val="12"/>
          <w:color w:val="auto"/>
        </w:rPr>
      </w:pPr>
      <w:r>
        <w:rPr>
          <w:rFonts w:ascii="Arial" w:cs="Arial" w:eastAsia="Arial" w:hAnsi="Arial"/>
          <w:sz w:val="12"/>
          <w:szCs w:val="12"/>
          <w:color w:val="auto"/>
        </w:rPr>
        <w:t>any transaction from which the director or officer derived an improper personal benefit; and</w:t>
      </w:r>
    </w:p>
    <w:p>
      <w:pPr>
        <w:spacing w:after="0" w:line="129" w:lineRule="exact"/>
        <w:rPr>
          <w:rFonts w:ascii="Arial" w:cs="Arial" w:eastAsia="Arial" w:hAnsi="Arial"/>
          <w:sz w:val="12"/>
          <w:szCs w:val="12"/>
          <w:color w:val="auto"/>
        </w:rPr>
      </w:pPr>
    </w:p>
    <w:p>
      <w:pPr>
        <w:ind w:left="1980" w:hanging="228"/>
        <w:spacing w:after="0"/>
        <w:tabs>
          <w:tab w:leader="none" w:pos="1980" w:val="left"/>
        </w:tabs>
        <w:numPr>
          <w:ilvl w:val="0"/>
          <w:numId w:val="193"/>
        </w:numPr>
        <w:rPr>
          <w:rFonts w:ascii="Arial" w:cs="Arial" w:eastAsia="Arial" w:hAnsi="Arial"/>
          <w:sz w:val="12"/>
          <w:szCs w:val="12"/>
          <w:color w:val="auto"/>
        </w:rPr>
      </w:pPr>
      <w:r>
        <w:rPr>
          <w:rFonts w:ascii="Arial" w:cs="Arial" w:eastAsia="Arial" w:hAnsi="Arial"/>
          <w:sz w:val="12"/>
          <w:szCs w:val="12"/>
          <w:color w:val="auto"/>
        </w:rPr>
        <w:t>with respect to officers, any action by or in the right of the corporation.</w:t>
      </w:r>
    </w:p>
    <w:p>
      <w:pPr>
        <w:spacing w:after="0" w:line="130" w:lineRule="exact"/>
        <w:rPr>
          <w:sz w:val="20"/>
          <w:szCs w:val="20"/>
          <w:color w:val="auto"/>
        </w:rPr>
      </w:pPr>
    </w:p>
    <w:p>
      <w:pPr>
        <w:ind w:left="1520" w:right="1860" w:firstLine="230"/>
        <w:spacing w:after="0" w:line="312" w:lineRule="auto"/>
        <w:rPr>
          <w:sz w:val="20"/>
          <w:szCs w:val="20"/>
          <w:color w:val="auto"/>
        </w:rPr>
      </w:pPr>
      <w:r>
        <w:rPr>
          <w:rFonts w:ascii="Arial" w:cs="Arial" w:eastAsia="Arial" w:hAnsi="Arial"/>
          <w:sz w:val="12"/>
          <w:szCs w:val="12"/>
          <w:color w:val="auto"/>
        </w:rPr>
        <w:t>As permitted by the DGCL, the Registrant’s amended and restated bylaws to be effective upon the completion of this offering, provide that:</w:t>
      </w:r>
    </w:p>
    <w:p>
      <w:pPr>
        <w:spacing w:after="0" w:line="62" w:lineRule="exact"/>
        <w:rPr>
          <w:sz w:val="20"/>
          <w:szCs w:val="20"/>
          <w:color w:val="auto"/>
        </w:rPr>
      </w:pPr>
    </w:p>
    <w:p>
      <w:pPr>
        <w:ind w:left="1980" w:right="1960" w:hanging="228"/>
        <w:spacing w:after="0" w:line="312" w:lineRule="auto"/>
        <w:tabs>
          <w:tab w:leader="none" w:pos="1980" w:val="left"/>
        </w:tabs>
        <w:numPr>
          <w:ilvl w:val="0"/>
          <w:numId w:val="194"/>
        </w:numPr>
        <w:rPr>
          <w:rFonts w:ascii="Arial" w:cs="Arial" w:eastAsia="Arial" w:hAnsi="Arial"/>
          <w:sz w:val="12"/>
          <w:szCs w:val="12"/>
          <w:color w:val="auto"/>
        </w:rPr>
      </w:pPr>
      <w:r>
        <w:rPr>
          <w:rFonts w:ascii="Arial" w:cs="Arial" w:eastAsia="Arial" w:hAnsi="Arial"/>
          <w:sz w:val="12"/>
          <w:szCs w:val="12"/>
          <w:color w:val="auto"/>
        </w:rPr>
        <w:t>the Registrant is required to indemnify its directors and executive officers to the fullest extent permitted by the DGCL, subject to very limited exceptions;</w:t>
      </w:r>
    </w:p>
    <w:p>
      <w:pPr>
        <w:spacing w:after="0" w:line="62" w:lineRule="exact"/>
        <w:rPr>
          <w:rFonts w:ascii="Arial" w:cs="Arial" w:eastAsia="Arial" w:hAnsi="Arial"/>
          <w:sz w:val="12"/>
          <w:szCs w:val="12"/>
          <w:color w:val="auto"/>
        </w:rPr>
      </w:pPr>
    </w:p>
    <w:p>
      <w:pPr>
        <w:ind w:left="1980" w:hanging="228"/>
        <w:spacing w:after="0"/>
        <w:tabs>
          <w:tab w:leader="none" w:pos="1980" w:val="left"/>
        </w:tabs>
        <w:numPr>
          <w:ilvl w:val="0"/>
          <w:numId w:val="194"/>
        </w:numPr>
        <w:rPr>
          <w:rFonts w:ascii="Arial" w:cs="Arial" w:eastAsia="Arial" w:hAnsi="Arial"/>
          <w:sz w:val="12"/>
          <w:szCs w:val="12"/>
          <w:color w:val="auto"/>
        </w:rPr>
      </w:pPr>
      <w:r>
        <w:rPr>
          <w:rFonts w:ascii="Arial" w:cs="Arial" w:eastAsia="Arial" w:hAnsi="Arial"/>
          <w:sz w:val="12"/>
          <w:szCs w:val="12"/>
          <w:color w:val="auto"/>
        </w:rPr>
        <w:t>the Registrant may indemnify its other employees and agents as set forth in the DGCL;</w:t>
      </w: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80" w:right="1680" w:hanging="228"/>
        <w:spacing w:after="0" w:line="289" w:lineRule="auto"/>
        <w:tabs>
          <w:tab w:leader="none" w:pos="198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the Registrant is required to advance expenses, as incurred, to its directors and executive officers in connection with a legal proceeding to the fullest extent permitted by the DGCL, subject to very limited exceptions; and</w:t>
      </w:r>
    </w:p>
    <w:p>
      <w:pPr>
        <w:spacing w:after="0" w:line="75" w:lineRule="exact"/>
        <w:rPr>
          <w:rFonts w:ascii="Arial" w:cs="Arial" w:eastAsia="Arial" w:hAnsi="Arial"/>
          <w:sz w:val="12"/>
          <w:szCs w:val="12"/>
          <w:color w:val="auto"/>
        </w:rPr>
      </w:pPr>
    </w:p>
    <w:p>
      <w:pPr>
        <w:ind w:left="1980" w:hanging="228"/>
        <w:spacing w:after="0"/>
        <w:tabs>
          <w:tab w:leader="none" w:pos="198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the rights conferred in the amended and restated bylaws are not exclusive.</w:t>
      </w:r>
    </w:p>
    <w:p>
      <w:pPr>
        <w:spacing w:after="0" w:line="130" w:lineRule="exact"/>
        <w:rPr>
          <w:sz w:val="20"/>
          <w:szCs w:val="20"/>
          <w:color w:val="auto"/>
        </w:rPr>
      </w:pPr>
    </w:p>
    <w:p>
      <w:pPr>
        <w:ind w:left="1520" w:right="1700" w:firstLine="230"/>
        <w:spacing w:after="0" w:line="271" w:lineRule="auto"/>
        <w:rPr>
          <w:sz w:val="20"/>
          <w:szCs w:val="20"/>
          <w:color w:val="auto"/>
        </w:rPr>
      </w:pPr>
      <w:r>
        <w:rPr>
          <w:rFonts w:ascii="Arial" w:cs="Arial" w:eastAsia="Arial" w:hAnsi="Arial"/>
          <w:sz w:val="12"/>
          <w:szCs w:val="12"/>
          <w:color w:val="auto"/>
        </w:rPr>
        <w:t>Prior to completion of this offering, the Registrant intends to enter into indemnification agreements with each of its then-current directors and executive officers to provide these directors and executive officers additional contractual assurances regarding the scope of the indemnification set forth in its amended and restated certificate of incorporation and amended and restated bylaws, each to be effective upon the completion of this offering, and to provide additional procedural protections. There is no pending litigation or proceeding involving a director or executive officer of the Registrant for which indemnification is sought. The indemnification provisions in its amended and restated certificate of incorporation, amended and restated bylaws and the indemnification agreements entered into or to be entered into between the Registrant and each of its directors and executive officers may be sufficiently broad to permit indemnification of the directors and executive officers for liabilities arising under the Securities Act.</w:t>
      </w:r>
    </w:p>
    <w:p>
      <w:pPr>
        <w:spacing w:after="0" w:line="8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The Registrant currently carries liability insurance for its directors and officers.</w:t>
      </w:r>
    </w:p>
    <w:p>
      <w:pPr>
        <w:sectPr>
          <w:pgSz w:w="11900" w:h="16840" w:orient="portrait"/>
          <w:cols w:equalWidth="0" w:num="1">
            <w:col w:w="9020"/>
          </w:cols>
          <w:pgMar w:left="1440" w:top="1440" w:right="1440" w:bottom="105" w:gutter="0" w:footer="0" w:header="0"/>
        </w:sectPr>
      </w:pPr>
    </w:p>
    <w:bookmarkStart w:id="213" w:name="page214"/>
    <w:bookmarkEnd w:id="213"/>
    <w:p>
      <w:pPr>
        <w:ind w:left="1520" w:right="1740" w:firstLine="230"/>
        <w:spacing w:after="0" w:line="31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Certain of the Registrant’s directors are also indemnified by their employers with regard to service on the Registrant’s board of directors.</w:t>
      </w:r>
    </w:p>
    <w:p>
      <w:pPr>
        <w:spacing w:after="0" w:line="62" w:lineRule="exact"/>
        <w:rPr>
          <w:sz w:val="20"/>
          <w:szCs w:val="20"/>
          <w:color w:val="auto"/>
        </w:rPr>
      </w:pPr>
    </w:p>
    <w:p>
      <w:pPr>
        <w:ind w:left="1520" w:right="1880" w:firstLine="230"/>
        <w:spacing w:after="0" w:line="294" w:lineRule="auto"/>
        <w:rPr>
          <w:sz w:val="20"/>
          <w:szCs w:val="20"/>
          <w:color w:val="auto"/>
        </w:rPr>
      </w:pPr>
      <w:r>
        <w:rPr>
          <w:rFonts w:ascii="Arial" w:cs="Arial" w:eastAsia="Arial" w:hAnsi="Arial"/>
          <w:sz w:val="12"/>
          <w:szCs w:val="12"/>
          <w:b w:val="1"/>
          <w:bCs w:val="1"/>
          <w:color w:val="auto"/>
        </w:rPr>
        <w:t>In addition, the underwriting agreement filed as Exhibit 1.1 to this registration statement provides for indemnification by the underwriters of the Registrant and its officers and directors for certain liabilities arising under the Securities Act, or otherwise.</w:t>
      </w:r>
    </w:p>
    <w:p>
      <w:pPr>
        <w:spacing w:after="0" w:line="67"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ITEM 15. RECENT SALES OF UNREGISTERED SECURITIES.</w:t>
      </w:r>
    </w:p>
    <w:p>
      <w:pPr>
        <w:spacing w:after="0" w:line="130"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Since February 1, 2022, the Registrant has issued and sold the following securities:</w:t>
      </w:r>
    </w:p>
    <w:p>
      <w:pPr>
        <w:spacing w:after="0" w:line="130" w:lineRule="exact"/>
        <w:rPr>
          <w:sz w:val="20"/>
          <w:szCs w:val="20"/>
          <w:color w:val="auto"/>
        </w:rPr>
      </w:pPr>
    </w:p>
    <w:p>
      <w:pPr>
        <w:ind w:left="1980" w:right="2020" w:hanging="228"/>
        <w:spacing w:after="0" w:line="312" w:lineRule="auto"/>
        <w:tabs>
          <w:tab w:leader="none" w:pos="198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In April 2025, the Registrant issued SAFEs to accredited investors in an aggregate principal amount of $53.8 million.</w:t>
      </w:r>
    </w:p>
    <w:p>
      <w:pPr>
        <w:spacing w:after="0" w:line="62" w:lineRule="exact"/>
        <w:rPr>
          <w:rFonts w:ascii="Arial" w:cs="Arial" w:eastAsia="Arial" w:hAnsi="Arial"/>
          <w:sz w:val="12"/>
          <w:szCs w:val="12"/>
          <w:color w:val="auto"/>
        </w:rPr>
      </w:pPr>
    </w:p>
    <w:p>
      <w:pPr>
        <w:ind w:left="1980" w:right="1940" w:hanging="228"/>
        <w:spacing w:after="0" w:line="289" w:lineRule="auto"/>
        <w:tabs>
          <w:tab w:leader="none" w:pos="198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In April 2025, the Registrant issued warrants to purchase up to approximately 0.16% of the Registrant’s capital stock on a fully diluted basis, calculated as of the initial public filing of this registration statement, to accredited investors at an exercise price of $0.03 per share.</w:t>
      </w:r>
    </w:p>
    <w:p>
      <w:pPr>
        <w:spacing w:after="0" w:line="75" w:lineRule="exact"/>
        <w:rPr>
          <w:rFonts w:ascii="Arial" w:cs="Arial" w:eastAsia="Arial" w:hAnsi="Arial"/>
          <w:sz w:val="12"/>
          <w:szCs w:val="12"/>
          <w:color w:val="auto"/>
        </w:rPr>
      </w:pPr>
    </w:p>
    <w:p>
      <w:pPr>
        <w:ind w:left="1980" w:right="1760" w:hanging="228"/>
        <w:spacing w:after="0" w:line="312" w:lineRule="auto"/>
        <w:tabs>
          <w:tab w:leader="none" w:pos="198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In February 2025, the Registrant issued SAFEs to accredited investors in an aggregate principal amount of $101.2 million.</w:t>
      </w:r>
    </w:p>
    <w:p>
      <w:pPr>
        <w:spacing w:after="0" w:line="62" w:lineRule="exact"/>
        <w:rPr>
          <w:rFonts w:ascii="Arial" w:cs="Arial" w:eastAsia="Arial" w:hAnsi="Arial"/>
          <w:sz w:val="12"/>
          <w:szCs w:val="12"/>
          <w:color w:val="auto"/>
        </w:rPr>
      </w:pPr>
    </w:p>
    <w:p>
      <w:pPr>
        <w:ind w:left="1980" w:right="1820" w:hanging="228"/>
        <w:spacing w:after="0" w:line="289" w:lineRule="auto"/>
        <w:tabs>
          <w:tab w:leader="none" w:pos="198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In February 2025, the Registrant issued warrants to purchase up to approximately 0.29% of the Registrant’s capital stock on a fully diluted basis, calculated as of the initial public filing of this registration statement, to accredited investors at an exercise price of $0.03 per share.</w:t>
      </w:r>
    </w:p>
    <w:p>
      <w:pPr>
        <w:spacing w:after="0" w:line="75" w:lineRule="exact"/>
        <w:rPr>
          <w:rFonts w:ascii="Arial" w:cs="Arial" w:eastAsia="Arial" w:hAnsi="Arial"/>
          <w:sz w:val="12"/>
          <w:szCs w:val="12"/>
          <w:color w:val="auto"/>
        </w:rPr>
      </w:pPr>
    </w:p>
    <w:p>
      <w:pPr>
        <w:ind w:left="1980" w:right="1700" w:hanging="228"/>
        <w:spacing w:after="0" w:line="312" w:lineRule="auto"/>
        <w:tabs>
          <w:tab w:leader="none" w:pos="198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In February 2025, the Registrant issued warrants to purchase up to 486,588 shares of its Class A common stock to accredited investors at an exercise price of $0.03 per share.</w:t>
      </w:r>
    </w:p>
    <w:p>
      <w:pPr>
        <w:spacing w:after="0" w:line="62" w:lineRule="exact"/>
        <w:rPr>
          <w:rFonts w:ascii="Arial" w:cs="Arial" w:eastAsia="Arial" w:hAnsi="Arial"/>
          <w:sz w:val="12"/>
          <w:szCs w:val="12"/>
          <w:color w:val="auto"/>
        </w:rPr>
      </w:pPr>
    </w:p>
    <w:p>
      <w:pPr>
        <w:ind w:left="1980" w:right="2020" w:hanging="228"/>
        <w:spacing w:after="0" w:line="281" w:lineRule="auto"/>
        <w:tabs>
          <w:tab w:leader="none" w:pos="198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In September 2022, the Registrant issued a warrant to purchase up to 599,280 shares of its Class A common stock to an accredited investor at an exercise price of $0.03 per share. In November 2022, the Registrant issued 599,280 shares of its Class A common stock to the aforementioned accredited investor upon the exercise of the warrant.</w:t>
      </w:r>
    </w:p>
    <w:p>
      <w:pPr>
        <w:spacing w:after="0" w:line="80" w:lineRule="exact"/>
        <w:rPr>
          <w:rFonts w:ascii="Arial" w:cs="Arial" w:eastAsia="Arial" w:hAnsi="Arial"/>
          <w:sz w:val="12"/>
          <w:szCs w:val="12"/>
          <w:color w:val="auto"/>
        </w:rPr>
      </w:pPr>
    </w:p>
    <w:p>
      <w:pPr>
        <w:ind w:left="1980" w:right="1720" w:hanging="228"/>
        <w:spacing w:after="0" w:line="281" w:lineRule="auto"/>
        <w:tabs>
          <w:tab w:leader="none" w:pos="198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Between July and September 2022, the Registrant sold an aggregate of 2,670,319 shares of its Series G redeemable convertible preferred stock and an aggregate of 1,441,963 shares of its Series G-1 redeemable convertible preferred stock to 14 accredited investors at a purchase price of $37.4487 per share for an aggregate purchase price of approximately $154.0 million.</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980" w:right="1780" w:hanging="228"/>
        <w:spacing w:after="0" w:line="289" w:lineRule="auto"/>
        <w:tabs>
          <w:tab w:leader="none" w:pos="1980" w:val="left"/>
        </w:tabs>
        <w:numPr>
          <w:ilvl w:val="0"/>
          <w:numId w:val="197"/>
        </w:numPr>
        <w:rPr>
          <w:rFonts w:ascii="Arial" w:cs="Arial" w:eastAsia="Arial" w:hAnsi="Arial"/>
          <w:sz w:val="12"/>
          <w:szCs w:val="12"/>
          <w:color w:val="auto"/>
        </w:rPr>
      </w:pPr>
      <w:r>
        <w:rPr>
          <w:rFonts w:ascii="Arial" w:cs="Arial" w:eastAsia="Arial" w:hAnsi="Arial"/>
          <w:sz w:val="12"/>
          <w:szCs w:val="12"/>
          <w:color w:val="auto"/>
        </w:rPr>
        <w:t>Between February 9, 2022 and April 20, 2022, the Registrant granted restricted stock awards to certain of its service providers to purchase an aggregate 101,858 shares of its Class A common stock under the 2015 Plan with per share purchase prices ranging from $0.6825 to $4.29.</w:t>
      </w:r>
    </w:p>
    <w:p>
      <w:pPr>
        <w:spacing w:after="0" w:line="75" w:lineRule="exact"/>
        <w:rPr>
          <w:rFonts w:ascii="Arial" w:cs="Arial" w:eastAsia="Arial" w:hAnsi="Arial"/>
          <w:sz w:val="12"/>
          <w:szCs w:val="12"/>
          <w:color w:val="auto"/>
        </w:rPr>
      </w:pPr>
    </w:p>
    <w:p>
      <w:pPr>
        <w:ind w:left="1980" w:right="1780" w:hanging="228"/>
        <w:spacing w:after="0" w:line="276" w:lineRule="auto"/>
        <w:tabs>
          <w:tab w:leader="none" w:pos="1980" w:val="left"/>
        </w:tabs>
        <w:numPr>
          <w:ilvl w:val="0"/>
          <w:numId w:val="197"/>
        </w:numPr>
        <w:rPr>
          <w:rFonts w:ascii="Arial" w:cs="Arial" w:eastAsia="Arial" w:hAnsi="Arial"/>
          <w:sz w:val="12"/>
          <w:szCs w:val="12"/>
          <w:color w:val="auto"/>
        </w:rPr>
      </w:pPr>
      <w:r>
        <w:rPr>
          <w:rFonts w:ascii="Arial" w:cs="Arial" w:eastAsia="Arial" w:hAnsi="Arial"/>
          <w:sz w:val="12"/>
          <w:szCs w:val="12"/>
          <w:color w:val="auto"/>
        </w:rPr>
        <w:t>The Registrant granted options to its directors, officers, employees, consultants, and other service providers to purchase an aggregate of 46,149,220 shares of its Class A common stock</w:t>
      </w:r>
    </w:p>
    <w:p>
      <w:pPr>
        <w:ind w:left="1980" w:right="1640"/>
        <w:spacing w:after="0" w:line="279" w:lineRule="auto"/>
        <w:rPr>
          <w:sz w:val="20"/>
          <w:szCs w:val="20"/>
          <w:color w:val="auto"/>
        </w:rPr>
      </w:pPr>
      <w:r>
        <w:rPr>
          <w:rFonts w:ascii="Arial" w:cs="Arial" w:eastAsia="Arial" w:hAnsi="Arial"/>
          <w:sz w:val="12"/>
          <w:szCs w:val="12"/>
          <w:color w:val="auto"/>
        </w:rPr>
        <w:t>under the 2015 Plan with per share exercise prices ranging from $16.26 to $25.35, and the Registrant issued 4,695,910 of its Class A common stock upon exercise of stock options under its 2015 Equity Incentive Plan, or 2015 Plan.</w:t>
      </w:r>
    </w:p>
    <w:p>
      <w:pPr>
        <w:spacing w:after="0" w:line="81" w:lineRule="exact"/>
        <w:rPr>
          <w:sz w:val="20"/>
          <w:szCs w:val="20"/>
          <w:color w:val="auto"/>
        </w:rPr>
      </w:pPr>
    </w:p>
    <w:p>
      <w:pPr>
        <w:ind w:left="1980" w:right="1800" w:hanging="228"/>
        <w:spacing w:after="0" w:line="289" w:lineRule="auto"/>
        <w:tabs>
          <w:tab w:leader="none" w:pos="198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The Registrant granted to its employees, consultants, and other service providers an aggregate of 10,366,119 restricted stock units to be settled in shares of Class A common stock under the 2015 Plan.</w:t>
      </w:r>
    </w:p>
    <w:p>
      <w:pPr>
        <w:spacing w:after="0" w:line="76" w:lineRule="exact"/>
        <w:rPr>
          <w:sz w:val="20"/>
          <w:szCs w:val="20"/>
          <w:color w:val="auto"/>
        </w:rPr>
      </w:pPr>
    </w:p>
    <w:p>
      <w:pPr>
        <w:ind w:left="1520" w:right="1680" w:firstLine="230"/>
        <w:spacing w:after="0" w:line="272" w:lineRule="auto"/>
        <w:rPr>
          <w:sz w:val="20"/>
          <w:szCs w:val="20"/>
          <w:color w:val="auto"/>
        </w:rPr>
      </w:pPr>
      <w:r>
        <w:rPr>
          <w:rFonts w:ascii="Arial" w:cs="Arial" w:eastAsia="Arial" w:hAnsi="Arial"/>
          <w:sz w:val="12"/>
          <w:szCs w:val="12"/>
          <w:color w:val="auto"/>
        </w:rPr>
        <w:t>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or Rule 701,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ITEM 16. EXHIBITS AND FINANCIAL STATEMENT SCHEDULES.</w:t>
      </w:r>
    </w:p>
    <w:p>
      <w:pPr>
        <w:spacing w:after="0" w:line="130"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(a) Exhibits.</w:t>
      </w:r>
    </w:p>
    <w:p>
      <w:pPr>
        <w:spacing w:after="0" w:line="148" w:lineRule="exact"/>
        <w:rPr>
          <w:sz w:val="20"/>
          <w:szCs w:val="20"/>
          <w:color w:val="auto"/>
        </w:rPr>
      </w:pPr>
    </w:p>
    <w:p>
      <w:pPr>
        <w:ind w:left="1560"/>
        <w:spacing w:after="0"/>
        <w:rPr>
          <w:sz w:val="20"/>
          <w:szCs w:val="20"/>
          <w:color w:val="auto"/>
        </w:rPr>
      </w:pPr>
      <w:r>
        <w:rPr>
          <w:rFonts w:ascii="Arial" w:cs="Arial" w:eastAsia="Arial" w:hAnsi="Arial"/>
          <w:sz w:val="11"/>
          <w:szCs w:val="11"/>
          <w:b w:val="1"/>
          <w:bCs w:val="1"/>
          <w:color w:val="auto"/>
        </w:rPr>
        <w:t>Exhibit</w:t>
      </w:r>
    </w:p>
    <w:p>
      <w:pPr>
        <w:ind w:left="1560"/>
        <w:spacing w:after="0" w:line="199" w:lineRule="auto"/>
        <w:tabs>
          <w:tab w:leader="none" w:pos="4180" w:val="left"/>
        </w:tabs>
        <w:rPr>
          <w:sz w:val="20"/>
          <w:szCs w:val="20"/>
          <w:color w:val="auto"/>
        </w:rPr>
      </w:pPr>
      <w:r>
        <w:rPr>
          <w:rFonts w:ascii="Arial" w:cs="Arial" w:eastAsia="Arial" w:hAnsi="Arial"/>
          <w:sz w:val="7"/>
          <w:szCs w:val="7"/>
          <w:b w:val="1"/>
          <w:bCs w:val="1"/>
          <w:color w:val="auto"/>
        </w:rPr>
        <w:t>Number</w:t>
      </w:r>
      <w:r>
        <w:rPr>
          <w:sz w:val="20"/>
          <w:szCs w:val="20"/>
          <w:color w:val="auto"/>
        </w:rPr>
        <w:tab/>
      </w:r>
      <w:r>
        <w:rPr>
          <w:rFonts w:ascii="Arial" w:cs="Arial" w:eastAsia="Arial" w:hAnsi="Arial"/>
          <w:sz w:val="7"/>
          <w:szCs w:val="7"/>
          <w:b w:val="1"/>
          <w:bCs w:val="1"/>
          <w:color w:val="auto"/>
        </w:rPr>
        <w:t>Description of Documen</w:t>
      </w:r>
    </w:p>
    <w:p>
      <w:pPr>
        <w:ind w:left="4200"/>
        <w:spacing w:after="0" w:line="204" w:lineRule="auto"/>
        <w:rPr>
          <w:sz w:val="20"/>
          <w:szCs w:val="20"/>
          <w:color w:val="auto"/>
        </w:rPr>
      </w:pPr>
      <w:r>
        <w:rPr>
          <w:rFonts w:ascii="Arial" w:cs="Arial" w:eastAsia="Arial" w:hAnsi="Arial"/>
          <w:sz w:val="9"/>
          <w:szCs w:val="9"/>
          <w:b w:val="1"/>
          <w:bCs w:val="1"/>
          <w:color w:val="auto"/>
        </w:rPr>
        <w:t>t</w:t>
      </w:r>
    </w:p>
    <w:p>
      <w:pPr>
        <w:ind w:left="1560"/>
        <w:spacing w:after="0"/>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1.1</w:t>
      </w:r>
      <w:r>
        <w:rPr>
          <w:sz w:val="20"/>
          <w:szCs w:val="20"/>
          <w:color w:val="auto"/>
        </w:rPr>
        <w:tab/>
      </w:r>
      <w:hyperlink w:anchor="page1">
        <w:r>
          <w:rPr>
            <w:rFonts w:ascii="Arial" w:cs="Arial" w:eastAsia="Arial" w:hAnsi="Arial"/>
            <w:sz w:val="12"/>
            <w:szCs w:val="12"/>
            <w:u w:val="single" w:color="auto"/>
            <w:color w:val="0000FF"/>
          </w:rPr>
          <w:t>Form of Underwriting Agreement.</w:t>
        </w:r>
      </w:hyperlink>
    </w:p>
    <w:p>
      <w:pPr>
        <w:spacing w:after="0" w:line="32" w:lineRule="exact"/>
        <w:rPr>
          <w:sz w:val="20"/>
          <w:szCs w:val="20"/>
          <w:color w:val="auto"/>
        </w:rPr>
      </w:pPr>
    </w:p>
    <w:p>
      <w:pPr>
        <w:ind w:left="1560"/>
        <w:spacing w:after="0"/>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3.1*</w:t>
      </w:r>
      <w:r>
        <w:rPr>
          <w:sz w:val="20"/>
          <w:szCs w:val="20"/>
          <w:color w:val="auto"/>
        </w:rPr>
        <w:tab/>
      </w:r>
      <w:hyperlink r:id="rId229">
        <w:r>
          <w:rPr>
            <w:rFonts w:ascii="Arial" w:cs="Arial" w:eastAsia="Arial" w:hAnsi="Arial"/>
            <w:sz w:val="12"/>
            <w:szCs w:val="12"/>
            <w:u w:val="single" w:color="auto"/>
            <w:color w:val="0000FF"/>
          </w:rPr>
          <w:t>Amended and Restated Certificate of Incorporation of Navan, Inc., as currently in effect.</w:t>
        </w:r>
      </w:hyperlink>
    </w:p>
    <w:p>
      <w:pPr>
        <w:spacing w:after="0" w:line="44" w:lineRule="exact"/>
        <w:rPr>
          <w:sz w:val="20"/>
          <w:szCs w:val="20"/>
          <w:color w:val="auto"/>
        </w:rPr>
      </w:pPr>
    </w:p>
    <w:p>
      <w:pPr>
        <w:ind w:left="2160" w:right="1980" w:hanging="611"/>
        <w:spacing w:after="0" w:line="262" w:lineRule="auto"/>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3.2</w:t>
      </w:r>
      <w:r>
        <w:rPr>
          <w:sz w:val="20"/>
          <w:szCs w:val="20"/>
          <w:color w:val="auto"/>
        </w:rPr>
        <w:tab/>
      </w:r>
      <w:hyperlink w:anchor="page1">
        <w:r>
          <w:rPr>
            <w:rFonts w:ascii="Arial" w:cs="Arial" w:eastAsia="Arial" w:hAnsi="Arial"/>
            <w:sz w:val="12"/>
            <w:szCs w:val="12"/>
            <w:u w:val="single" w:color="auto"/>
            <w:color w:val="0000FF"/>
          </w:rPr>
          <w:t>Form of Amended and Restated Certificate of Incorporation of Navan, Inc., to be in effect</w:t>
        </w:r>
      </w:hyperlink>
      <w:r>
        <w:rPr>
          <w:rFonts w:ascii="Arial" w:cs="Arial" w:eastAsia="Arial" w:hAnsi="Arial"/>
          <w:sz w:val="12"/>
          <w:szCs w:val="12"/>
          <w:u w:val="single" w:color="auto"/>
          <w:color w:val="0000FF"/>
        </w:rPr>
        <w:t xml:space="preserve"> </w:t>
      </w:r>
      <w:hyperlink w:anchor="page1">
        <w:r>
          <w:rPr>
            <w:rFonts w:ascii="Arial" w:cs="Arial" w:eastAsia="Arial" w:hAnsi="Arial"/>
            <w:sz w:val="12"/>
            <w:szCs w:val="12"/>
            <w:u w:val="single" w:color="auto"/>
            <w:color w:val="0000FF"/>
          </w:rPr>
          <w:t>upon the completion of this offering.</w:t>
        </w:r>
      </w:hyperlink>
    </w:p>
    <w:p>
      <w:pPr>
        <w:spacing w:after="0" w:line="14" w:lineRule="exact"/>
        <w:rPr>
          <w:sz w:val="20"/>
          <w:szCs w:val="20"/>
          <w:color w:val="auto"/>
        </w:rPr>
      </w:pPr>
    </w:p>
    <w:p>
      <w:pPr>
        <w:ind w:left="1560"/>
        <w:spacing w:after="0"/>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3.3*</w:t>
      </w:r>
      <w:r>
        <w:rPr>
          <w:sz w:val="20"/>
          <w:szCs w:val="20"/>
          <w:color w:val="auto"/>
        </w:rPr>
        <w:tab/>
      </w:r>
      <w:hyperlink r:id="rId230">
        <w:r>
          <w:rPr>
            <w:rFonts w:ascii="Arial" w:cs="Arial" w:eastAsia="Arial" w:hAnsi="Arial"/>
            <w:sz w:val="12"/>
            <w:szCs w:val="12"/>
            <w:u w:val="single" w:color="auto"/>
            <w:color w:val="0000FF"/>
          </w:rPr>
          <w:t>Bylaws of Navan, Inc. as currently in effect.</w:t>
        </w:r>
      </w:hyperlink>
    </w:p>
    <w:p>
      <w:pPr>
        <w:spacing w:after="0" w:line="44" w:lineRule="exact"/>
        <w:rPr>
          <w:sz w:val="20"/>
          <w:szCs w:val="20"/>
          <w:color w:val="auto"/>
        </w:rPr>
      </w:pPr>
    </w:p>
    <w:p>
      <w:pPr>
        <w:ind w:left="2160" w:right="1760" w:hanging="611"/>
        <w:spacing w:after="0" w:line="262" w:lineRule="auto"/>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3.4</w:t>
      </w:r>
      <w:r>
        <w:rPr>
          <w:sz w:val="20"/>
          <w:szCs w:val="20"/>
          <w:color w:val="auto"/>
        </w:rPr>
        <w:tab/>
      </w:r>
      <w:hyperlink w:anchor="page1">
        <w:r>
          <w:rPr>
            <w:rFonts w:ascii="Arial" w:cs="Arial" w:eastAsia="Arial" w:hAnsi="Arial"/>
            <w:sz w:val="12"/>
            <w:szCs w:val="12"/>
            <w:u w:val="single" w:color="auto"/>
            <w:color w:val="0000FF"/>
          </w:rPr>
          <w:t>Form of Amended and Restated Bylaws of Navan, Inc., to be in effect upon the completion of</w:t>
        </w:r>
      </w:hyperlink>
      <w:r>
        <w:rPr>
          <w:rFonts w:ascii="Arial" w:cs="Arial" w:eastAsia="Arial" w:hAnsi="Arial"/>
          <w:sz w:val="12"/>
          <w:szCs w:val="12"/>
          <w:u w:val="single" w:color="auto"/>
          <w:color w:val="0000FF"/>
        </w:rPr>
        <w:t xml:space="preserve"> </w:t>
      </w:r>
      <w:hyperlink w:anchor="page1">
        <w:r>
          <w:rPr>
            <w:rFonts w:ascii="Arial" w:cs="Arial" w:eastAsia="Arial" w:hAnsi="Arial"/>
            <w:sz w:val="12"/>
            <w:szCs w:val="12"/>
            <w:u w:val="single" w:color="auto"/>
            <w:color w:val="0000FF"/>
          </w:rPr>
          <w:t>this offering.</w:t>
        </w:r>
      </w:hyperlink>
    </w:p>
    <w:p>
      <w:pPr>
        <w:spacing w:after="0" w:line="14" w:lineRule="exact"/>
        <w:rPr>
          <w:sz w:val="20"/>
          <w:szCs w:val="20"/>
          <w:color w:val="auto"/>
        </w:rPr>
      </w:pPr>
    </w:p>
    <w:p>
      <w:pPr>
        <w:ind w:left="1560"/>
        <w:spacing w:after="0"/>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4.1</w:t>
      </w:r>
      <w:r>
        <w:rPr>
          <w:sz w:val="20"/>
          <w:szCs w:val="20"/>
          <w:color w:val="auto"/>
        </w:rPr>
        <w:tab/>
      </w:r>
      <w:hyperlink w:anchor="page1">
        <w:r>
          <w:rPr>
            <w:rFonts w:ascii="Arial" w:cs="Arial" w:eastAsia="Arial" w:hAnsi="Arial"/>
            <w:sz w:val="12"/>
            <w:szCs w:val="12"/>
            <w:u w:val="single" w:color="auto"/>
            <w:color w:val="0000FF"/>
          </w:rPr>
          <w:t>Form of Class A Common Stock certificate of Navan, Inc.</w:t>
        </w:r>
      </w:hyperlink>
    </w:p>
    <w:p>
      <w:pPr>
        <w:sectPr>
          <w:pgSz w:w="11900" w:h="16840" w:orient="portrait"/>
          <w:cols w:equalWidth="0" w:num="1">
            <w:col w:w="9020"/>
          </w:cols>
          <w:pgMar w:left="1440" w:top="598" w:right="1440" w:bottom="162" w:gutter="0" w:footer="0" w:header="0"/>
        </w:sectPr>
      </w:pPr>
    </w:p>
    <w:p>
      <w:pPr>
        <w:spacing w:after="0" w:line="44"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4.2*</w:t>
      </w:r>
    </w:p>
    <w:p>
      <w:pPr>
        <w:spacing w:after="0" w:line="178"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1800"/>
        <w:spacing w:after="0" w:line="262" w:lineRule="auto"/>
        <w:rPr>
          <w:rFonts w:ascii="Arial" w:cs="Arial" w:eastAsia="Arial" w:hAnsi="Arial"/>
          <w:sz w:val="12"/>
          <w:szCs w:val="12"/>
          <w:u w:val="single" w:color="auto"/>
          <w:color w:val="0000FF"/>
        </w:rPr>
      </w:pPr>
      <w:hyperlink r:id="rId231">
        <w:r>
          <w:rPr>
            <w:rFonts w:ascii="Arial" w:cs="Arial" w:eastAsia="Arial" w:hAnsi="Arial"/>
            <w:sz w:val="12"/>
            <w:szCs w:val="12"/>
            <w:u w:val="single" w:color="auto"/>
            <w:color w:val="0000FF"/>
          </w:rPr>
          <w:t>Amended and Restated Investors’ Rights Agreement among TripActions, Inc. (n/k/a/ Navan,</w:t>
        </w:r>
      </w:hyperlink>
      <w:r>
        <w:rPr>
          <w:rFonts w:ascii="Arial" w:cs="Arial" w:eastAsia="Arial" w:hAnsi="Arial"/>
          <w:sz w:val="12"/>
          <w:szCs w:val="12"/>
          <w:u w:val="single" w:color="auto"/>
          <w:color w:val="0000FF"/>
        </w:rPr>
        <w:t xml:space="preserve"> </w:t>
      </w:r>
      <w:hyperlink r:id="rId231">
        <w:r>
          <w:rPr>
            <w:rFonts w:ascii="Arial" w:cs="Arial" w:eastAsia="Arial" w:hAnsi="Arial"/>
            <w:sz w:val="12"/>
            <w:szCs w:val="12"/>
            <w:u w:val="single" w:color="auto"/>
            <w:color w:val="0000FF"/>
          </w:rPr>
          <w:t>Inc.) and certain holders of its capital stock, dated July 28, 2022.</w:t>
        </w:r>
      </w:hyperlink>
    </w:p>
    <w:p>
      <w:pPr>
        <w:spacing w:after="0" w:line="14" w:lineRule="exact"/>
        <w:rPr>
          <w:sz w:val="20"/>
          <w:szCs w:val="20"/>
          <w:color w:val="auto"/>
        </w:rPr>
      </w:pPr>
    </w:p>
    <w:p>
      <w:pPr>
        <w:ind w:right="2060"/>
        <w:spacing w:after="0" w:line="262" w:lineRule="auto"/>
        <w:rPr>
          <w:rFonts w:ascii="Arial" w:cs="Arial" w:eastAsia="Arial" w:hAnsi="Arial"/>
          <w:sz w:val="12"/>
          <w:szCs w:val="12"/>
          <w:u w:val="single" w:color="auto"/>
          <w:color w:val="0000FF"/>
        </w:rPr>
      </w:pPr>
      <w:hyperlink r:id="rId232">
        <w:r>
          <w:rPr>
            <w:rFonts w:ascii="Arial" w:cs="Arial" w:eastAsia="Arial" w:hAnsi="Arial"/>
            <w:sz w:val="12"/>
            <w:szCs w:val="12"/>
            <w:u w:val="single" w:color="auto"/>
            <w:color w:val="0000FF"/>
          </w:rPr>
          <w:t>Warrant to Purchase Stock between TripActions, Inc. (n/k/a/ Navan, Inc.) and Comerica</w:t>
        </w:r>
      </w:hyperlink>
      <w:r>
        <w:rPr>
          <w:rFonts w:ascii="Arial" w:cs="Arial" w:eastAsia="Arial" w:hAnsi="Arial"/>
          <w:sz w:val="12"/>
          <w:szCs w:val="12"/>
          <w:u w:val="single" w:color="auto"/>
          <w:color w:val="0000FF"/>
        </w:rPr>
        <w:t xml:space="preserve"> </w:t>
      </w:r>
      <w:hyperlink r:id="rId232">
        <w:r>
          <w:rPr>
            <w:rFonts w:ascii="Arial" w:cs="Arial" w:eastAsia="Arial" w:hAnsi="Arial"/>
            <w:sz w:val="12"/>
            <w:szCs w:val="12"/>
            <w:u w:val="single" w:color="auto"/>
            <w:color w:val="0000FF"/>
          </w:rPr>
          <w:t>Bank, dated September 10, 2018.</w:t>
        </w:r>
      </w:hyperlink>
    </w:p>
    <w:p>
      <w:pPr>
        <w:spacing w:after="0" w:line="5" w:lineRule="exact"/>
        <w:rPr>
          <w:sz w:val="20"/>
          <w:szCs w:val="20"/>
          <w:color w:val="auto"/>
        </w:rPr>
      </w:pPr>
    </w:p>
    <w:p>
      <w:pPr>
        <w:sectPr>
          <w:pgSz w:w="11900" w:h="16840" w:orient="portrait"/>
          <w:cols w:equalWidth="0" w:num="2">
            <w:col w:w="1780" w:space="380"/>
            <w:col w:w="6860"/>
          </w:cols>
          <w:pgMar w:left="1440" w:top="598" w:right="1440" w:bottom="162" w:gutter="0" w:footer="0" w:header="0"/>
          <w:type w:val="continuous"/>
        </w:sectPr>
      </w:pPr>
    </w:p>
    <w:p>
      <w:pPr>
        <w:ind w:left="1560"/>
        <w:spacing w:after="0"/>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5.1</w:t>
      </w:r>
      <w:r>
        <w:rPr>
          <w:sz w:val="20"/>
          <w:szCs w:val="20"/>
          <w:color w:val="auto"/>
        </w:rPr>
        <w:tab/>
      </w:r>
      <w:hyperlink w:anchor="page1">
        <w:r>
          <w:rPr>
            <w:rFonts w:ascii="Arial" w:cs="Arial" w:eastAsia="Arial" w:hAnsi="Arial"/>
            <w:sz w:val="12"/>
            <w:szCs w:val="12"/>
            <w:u w:val="single" w:color="auto"/>
            <w:color w:val="0000FF"/>
          </w:rPr>
          <w:t>Opinion of Cooley LLP.</w:t>
        </w:r>
      </w:hyperlink>
    </w:p>
    <w:p>
      <w:pPr>
        <w:spacing w:after="0" w:line="44" w:lineRule="exact"/>
        <w:rPr>
          <w:sz w:val="20"/>
          <w:szCs w:val="20"/>
          <w:color w:val="auto"/>
        </w:rPr>
      </w:pPr>
    </w:p>
    <w:p>
      <w:pPr>
        <w:ind w:left="2160" w:right="1900" w:hanging="611"/>
        <w:spacing w:after="0" w:line="262" w:lineRule="auto"/>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10.1*</w:t>
      </w:r>
      <w:r>
        <w:rPr>
          <w:sz w:val="20"/>
          <w:szCs w:val="20"/>
          <w:color w:val="auto"/>
        </w:rPr>
        <w:tab/>
      </w:r>
      <w:hyperlink r:id="rId233">
        <w:r>
          <w:rPr>
            <w:rFonts w:ascii="Arial" w:cs="Arial" w:eastAsia="Arial" w:hAnsi="Arial"/>
            <w:sz w:val="12"/>
            <w:szCs w:val="12"/>
            <w:u w:val="single" w:color="auto"/>
            <w:color w:val="0000FF"/>
          </w:rPr>
          <w:t>Form of Indemnity Agreement between Navan, Inc. and each of its directors and executive</w:t>
        </w:r>
      </w:hyperlink>
      <w:r>
        <w:rPr>
          <w:rFonts w:ascii="Arial" w:cs="Arial" w:eastAsia="Arial" w:hAnsi="Arial"/>
          <w:sz w:val="12"/>
          <w:szCs w:val="12"/>
          <w:u w:val="single" w:color="auto"/>
          <w:color w:val="0000FF"/>
        </w:rPr>
        <w:t xml:space="preserve"> </w:t>
      </w:r>
      <w:hyperlink r:id="rId233">
        <w:r>
          <w:rPr>
            <w:rFonts w:ascii="Arial" w:cs="Arial" w:eastAsia="Arial" w:hAnsi="Arial"/>
            <w:sz w:val="12"/>
            <w:szCs w:val="12"/>
            <w:u w:val="single" w:color="auto"/>
            <w:color w:val="0000FF"/>
          </w:rPr>
          <w:t>officers.</w:t>
        </w:r>
      </w:hyperlink>
    </w:p>
    <w:p>
      <w:pPr>
        <w:spacing w:after="0" w:line="14" w:lineRule="exact"/>
        <w:rPr>
          <w:sz w:val="20"/>
          <w:szCs w:val="20"/>
          <w:color w:val="auto"/>
        </w:rPr>
      </w:pPr>
    </w:p>
    <w:p>
      <w:pPr>
        <w:ind w:left="1560"/>
        <w:spacing w:after="0"/>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10.2+*</w:t>
      </w:r>
      <w:r>
        <w:rPr>
          <w:sz w:val="20"/>
          <w:szCs w:val="20"/>
          <w:color w:val="auto"/>
        </w:rPr>
        <w:tab/>
      </w:r>
      <w:hyperlink r:id="rId234">
        <w:r>
          <w:rPr>
            <w:rFonts w:ascii="Arial" w:cs="Arial" w:eastAsia="Arial" w:hAnsi="Arial"/>
            <w:sz w:val="12"/>
            <w:szCs w:val="12"/>
            <w:u w:val="single" w:color="auto"/>
            <w:color w:val="0000FF"/>
          </w:rPr>
          <w:t>Navan, Inc. 2015 Equity Incentive Plan, as amended, and related form agreements.</w:t>
        </w:r>
      </w:hyperlink>
    </w:p>
    <w:p>
      <w:pPr>
        <w:spacing w:after="0" w:line="44" w:lineRule="exact"/>
        <w:rPr>
          <w:sz w:val="20"/>
          <w:szCs w:val="20"/>
          <w:color w:val="auto"/>
        </w:rPr>
      </w:pPr>
    </w:p>
    <w:p>
      <w:pPr>
        <w:ind w:left="1560"/>
        <w:spacing w:after="0"/>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10.3+</w:t>
      </w:r>
      <w:r>
        <w:rPr>
          <w:sz w:val="20"/>
          <w:szCs w:val="20"/>
          <w:color w:val="auto"/>
        </w:rPr>
        <w:tab/>
      </w:r>
      <w:hyperlink w:anchor="page1">
        <w:r>
          <w:rPr>
            <w:rFonts w:ascii="Arial" w:cs="Arial" w:eastAsia="Arial" w:hAnsi="Arial"/>
            <w:sz w:val="12"/>
            <w:szCs w:val="12"/>
            <w:u w:val="single" w:color="auto"/>
            <w:color w:val="0000FF"/>
          </w:rPr>
          <w:t>Navan, Inc. 2025 Equity Incentive Plan and related form agreements.</w:t>
        </w:r>
      </w:hyperlink>
    </w:p>
    <w:p>
      <w:pPr>
        <w:spacing w:after="0" w:line="44" w:lineRule="exact"/>
        <w:rPr>
          <w:sz w:val="20"/>
          <w:szCs w:val="20"/>
          <w:color w:val="auto"/>
        </w:rPr>
      </w:pPr>
    </w:p>
    <w:p>
      <w:pPr>
        <w:ind w:left="1560"/>
        <w:spacing w:after="0"/>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10.4+</w:t>
      </w:r>
      <w:r>
        <w:rPr>
          <w:sz w:val="20"/>
          <w:szCs w:val="20"/>
          <w:color w:val="auto"/>
        </w:rPr>
        <w:tab/>
      </w:r>
      <w:hyperlink w:anchor="page1">
        <w:r>
          <w:rPr>
            <w:rFonts w:ascii="Arial" w:cs="Arial" w:eastAsia="Arial" w:hAnsi="Arial"/>
            <w:sz w:val="12"/>
            <w:szCs w:val="12"/>
            <w:u w:val="single" w:color="auto"/>
            <w:color w:val="0000FF"/>
          </w:rPr>
          <w:t>Navan, Inc. 2025 Employee Stock Purchase Plan.</w:t>
        </w:r>
      </w:hyperlink>
    </w:p>
    <w:p>
      <w:pPr>
        <w:spacing w:after="0" w:line="44" w:lineRule="exact"/>
        <w:rPr>
          <w:sz w:val="20"/>
          <w:szCs w:val="20"/>
          <w:color w:val="auto"/>
        </w:rPr>
      </w:pPr>
    </w:p>
    <w:p>
      <w:pPr>
        <w:ind w:left="1560"/>
        <w:spacing w:after="0"/>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10.5+</w:t>
      </w:r>
      <w:r>
        <w:rPr>
          <w:sz w:val="20"/>
          <w:szCs w:val="20"/>
          <w:color w:val="auto"/>
        </w:rPr>
        <w:tab/>
      </w:r>
      <w:hyperlink w:anchor="page1">
        <w:r>
          <w:rPr>
            <w:rFonts w:ascii="Arial" w:cs="Arial" w:eastAsia="Arial" w:hAnsi="Arial"/>
            <w:sz w:val="12"/>
            <w:szCs w:val="12"/>
            <w:u w:val="single" w:color="auto"/>
            <w:color w:val="0000FF"/>
          </w:rPr>
          <w:t>Confirmatory Offer Letter between Ariel Cohen and Navan, Inc.</w:t>
        </w:r>
      </w:hyperlink>
    </w:p>
    <w:p>
      <w:pPr>
        <w:spacing w:after="0" w:line="44" w:lineRule="exact"/>
        <w:rPr>
          <w:sz w:val="20"/>
          <w:szCs w:val="20"/>
          <w:color w:val="auto"/>
        </w:rPr>
      </w:pPr>
    </w:p>
    <w:p>
      <w:pPr>
        <w:ind w:left="1560"/>
        <w:spacing w:after="0"/>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10.6+</w:t>
      </w:r>
      <w:r>
        <w:rPr>
          <w:sz w:val="20"/>
          <w:szCs w:val="20"/>
          <w:color w:val="auto"/>
        </w:rPr>
        <w:tab/>
      </w:r>
      <w:hyperlink w:anchor="page1">
        <w:r>
          <w:rPr>
            <w:rFonts w:ascii="Arial" w:cs="Arial" w:eastAsia="Arial" w:hAnsi="Arial"/>
            <w:sz w:val="12"/>
            <w:szCs w:val="12"/>
            <w:u w:val="single" w:color="auto"/>
            <w:color w:val="0000FF"/>
          </w:rPr>
          <w:t>Confirmatory Offer Letter between Michael Sindicich and Navan, Inc.</w:t>
        </w:r>
      </w:hyperlink>
    </w:p>
    <w:p>
      <w:pPr>
        <w:spacing w:after="0" w:line="44" w:lineRule="exact"/>
        <w:rPr>
          <w:sz w:val="20"/>
          <w:szCs w:val="20"/>
          <w:color w:val="auto"/>
        </w:rPr>
      </w:pPr>
    </w:p>
    <w:p>
      <w:pPr>
        <w:ind w:left="1560"/>
        <w:spacing w:after="0"/>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10.7+</w:t>
      </w:r>
      <w:r>
        <w:rPr>
          <w:sz w:val="20"/>
          <w:szCs w:val="20"/>
          <w:color w:val="auto"/>
        </w:rPr>
        <w:tab/>
      </w:r>
      <w:hyperlink w:anchor="page1">
        <w:r>
          <w:rPr>
            <w:rFonts w:ascii="Arial" w:cs="Arial" w:eastAsia="Arial" w:hAnsi="Arial"/>
            <w:sz w:val="12"/>
            <w:szCs w:val="12"/>
            <w:u w:val="single" w:color="auto"/>
            <w:color w:val="0000FF"/>
          </w:rPr>
          <w:t>Confirmatory Offer Letter between Ilan Twig and Navan, Inc.</w:t>
        </w:r>
      </w:hyperlink>
    </w:p>
    <w:p>
      <w:pPr>
        <w:spacing w:after="0" w:line="44" w:lineRule="exact"/>
        <w:rPr>
          <w:sz w:val="20"/>
          <w:szCs w:val="20"/>
          <w:color w:val="auto"/>
        </w:rPr>
      </w:pPr>
    </w:p>
    <w:p>
      <w:pPr>
        <w:ind w:left="2160" w:right="1860" w:hanging="611"/>
        <w:spacing w:after="0" w:line="262" w:lineRule="auto"/>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10.8</w:t>
      </w:r>
      <w:r>
        <w:rPr>
          <w:sz w:val="20"/>
          <w:szCs w:val="20"/>
          <w:color w:val="auto"/>
        </w:rPr>
        <w:tab/>
      </w:r>
      <w:hyperlink w:anchor="page1">
        <w:r>
          <w:rPr>
            <w:rFonts w:ascii="Arial" w:cs="Arial" w:eastAsia="Arial" w:hAnsi="Arial"/>
            <w:sz w:val="12"/>
            <w:szCs w:val="12"/>
            <w:u w:val="single" w:color="auto"/>
            <w:color w:val="0000FF"/>
          </w:rPr>
          <w:t>Form of Change of Control and Severance Agreement between Navan, Inc. and each of its</w:t>
        </w:r>
      </w:hyperlink>
      <w:r>
        <w:rPr>
          <w:rFonts w:ascii="Arial" w:cs="Arial" w:eastAsia="Arial" w:hAnsi="Arial"/>
          <w:sz w:val="12"/>
          <w:szCs w:val="12"/>
          <w:u w:val="single" w:color="auto"/>
          <w:color w:val="0000FF"/>
        </w:rPr>
        <w:t xml:space="preserve"> </w:t>
      </w:r>
      <w:hyperlink w:anchor="page1">
        <w:r>
          <w:rPr>
            <w:rFonts w:ascii="Arial" w:cs="Arial" w:eastAsia="Arial" w:hAnsi="Arial"/>
            <w:sz w:val="12"/>
            <w:szCs w:val="12"/>
            <w:u w:val="single" w:color="auto"/>
            <w:color w:val="0000FF"/>
          </w:rPr>
          <w:t>named executive officers.</w:t>
        </w:r>
      </w:hyperlink>
    </w:p>
    <w:p>
      <w:pPr>
        <w:sectPr>
          <w:pgSz w:w="11900" w:h="16840" w:orient="portrait"/>
          <w:cols w:equalWidth="0" w:num="1">
            <w:col w:w="9020"/>
          </w:cols>
          <w:pgMar w:left="1440" w:top="598" w:right="1440" w:bottom="162" w:gutter="0" w:footer="0" w:header="0"/>
          <w:type w:val="continuous"/>
        </w:sectPr>
      </w:pPr>
    </w:p>
    <w:bookmarkStart w:id="214" w:name="page215"/>
    <w:bookmarkEnd w:id="214"/>
    <w:p>
      <w:pPr>
        <w:jc w:val="center"/>
        <w:ind w:right="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t>II-3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160" w:right="1840" w:hanging="611"/>
        <w:spacing w:after="0" w:line="262" w:lineRule="auto"/>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10.9*</w:t>
      </w:r>
      <w:r>
        <w:rPr>
          <w:sz w:val="20"/>
          <w:szCs w:val="20"/>
          <w:color w:val="auto"/>
        </w:rPr>
        <w:tab/>
      </w:r>
      <w:hyperlink r:id="rId236">
        <w:r>
          <w:rPr>
            <w:rFonts w:ascii="Arial" w:cs="Arial" w:eastAsia="Arial" w:hAnsi="Arial"/>
            <w:sz w:val="12"/>
            <w:szCs w:val="12"/>
            <w:u w:val="single" w:color="auto"/>
            <w:color w:val="0000FF"/>
          </w:rPr>
          <w:t>Triple Net Space Lease (Single Tenant), between 3045 Park Property LLC and TripActions,</w:t>
        </w:r>
      </w:hyperlink>
      <w:r>
        <w:rPr>
          <w:rFonts w:ascii="Arial" w:cs="Arial" w:eastAsia="Arial" w:hAnsi="Arial"/>
          <w:sz w:val="12"/>
          <w:szCs w:val="12"/>
          <w:u w:val="single" w:color="auto"/>
          <w:color w:val="0000FF"/>
        </w:rPr>
        <w:t xml:space="preserve"> </w:t>
      </w:r>
      <w:hyperlink r:id="rId236">
        <w:r>
          <w:rPr>
            <w:rFonts w:ascii="Arial" w:cs="Arial" w:eastAsia="Arial" w:hAnsi="Arial"/>
            <w:sz w:val="12"/>
            <w:szCs w:val="12"/>
            <w:u w:val="single" w:color="auto"/>
            <w:color w:val="0000FF"/>
          </w:rPr>
          <w:t>Inc. (n/k/a/ Navan, Inc.), dated June 24, 2022.</w:t>
        </w:r>
      </w:hyperlink>
    </w:p>
    <w:p>
      <w:pPr>
        <w:sectPr>
          <w:pgSz w:w="11900" w:h="16840" w:orient="portrait"/>
          <w:cols w:equalWidth="0" w:num="1">
            <w:col w:w="9020"/>
          </w:cols>
          <w:pgMar w:left="1440" w:top="876" w:right="1440" w:bottom="1440" w:gutter="0" w:footer="0" w:header="0"/>
        </w:sectPr>
      </w:pPr>
    </w:p>
    <w:p>
      <w:pPr>
        <w:spacing w:after="0" w:line="14"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10.10†^*</w:t>
      </w:r>
    </w:p>
    <w:p>
      <w:pPr>
        <w:spacing w:after="0" w:line="178"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10.11†*</w:t>
      </w:r>
    </w:p>
    <w:p>
      <w:pPr>
        <w:spacing w:after="0" w:line="178"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10.12†^*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920"/>
        <w:spacing w:after="0" w:line="262" w:lineRule="auto"/>
        <w:rPr>
          <w:rFonts w:ascii="Arial" w:cs="Arial" w:eastAsia="Arial" w:hAnsi="Arial"/>
          <w:sz w:val="12"/>
          <w:szCs w:val="12"/>
          <w:u w:val="single" w:color="auto"/>
          <w:color w:val="0000FF"/>
        </w:rPr>
      </w:pPr>
      <w:hyperlink r:id="rId237">
        <w:r>
          <w:rPr>
            <w:rFonts w:ascii="Arial" w:cs="Arial" w:eastAsia="Arial" w:hAnsi="Arial"/>
            <w:sz w:val="12"/>
            <w:szCs w:val="12"/>
            <w:u w:val="single" w:color="auto"/>
            <w:color w:val="0000FF"/>
          </w:rPr>
          <w:t>Credit Agreement among Navan, Inc., Reed &amp; Mackay Travel Inc., Reed &amp; Mackay Travel</w:t>
        </w:r>
      </w:hyperlink>
      <w:r>
        <w:rPr>
          <w:rFonts w:ascii="Arial" w:cs="Arial" w:eastAsia="Arial" w:hAnsi="Arial"/>
          <w:sz w:val="12"/>
          <w:szCs w:val="12"/>
          <w:u w:val="single" w:color="auto"/>
          <w:color w:val="0000FF"/>
        </w:rPr>
        <w:t xml:space="preserve"> </w:t>
      </w:r>
      <w:hyperlink r:id="rId237">
        <w:r>
          <w:rPr>
            <w:rFonts w:ascii="Arial" w:cs="Arial" w:eastAsia="Arial" w:hAnsi="Arial"/>
            <w:sz w:val="12"/>
            <w:szCs w:val="12"/>
            <w:u w:val="single" w:color="auto"/>
            <w:color w:val="0000FF"/>
          </w:rPr>
          <w:t>Limited, and Citibank, N.A., dated March 14, 2025.</w:t>
        </w:r>
      </w:hyperlink>
    </w:p>
    <w:p>
      <w:pPr>
        <w:spacing w:after="0" w:line="14" w:lineRule="exact"/>
        <w:rPr>
          <w:sz w:val="20"/>
          <w:szCs w:val="20"/>
          <w:color w:val="auto"/>
        </w:rPr>
      </w:pPr>
    </w:p>
    <w:p>
      <w:pPr>
        <w:ind w:right="1880"/>
        <w:spacing w:after="0" w:line="262" w:lineRule="auto"/>
        <w:rPr>
          <w:rFonts w:ascii="Arial" w:cs="Arial" w:eastAsia="Arial" w:hAnsi="Arial"/>
          <w:sz w:val="12"/>
          <w:szCs w:val="12"/>
          <w:u w:val="single" w:color="auto"/>
          <w:color w:val="0000FF"/>
        </w:rPr>
      </w:pPr>
      <w:hyperlink r:id="rId238">
        <w:r>
          <w:rPr>
            <w:rFonts w:ascii="Arial" w:cs="Arial" w:eastAsia="Arial" w:hAnsi="Arial"/>
            <w:sz w:val="12"/>
            <w:szCs w:val="12"/>
            <w:u w:val="single" w:color="auto"/>
            <w:color w:val="0000FF"/>
          </w:rPr>
          <w:t>Credit Agreement between Navan, Inc. and VCP Capital Markets, LLC, dated February 24,</w:t>
        </w:r>
      </w:hyperlink>
      <w:r>
        <w:rPr>
          <w:rFonts w:ascii="Arial" w:cs="Arial" w:eastAsia="Arial" w:hAnsi="Arial"/>
          <w:sz w:val="12"/>
          <w:szCs w:val="12"/>
          <w:u w:val="single" w:color="auto"/>
          <w:color w:val="0000FF"/>
        </w:rPr>
        <w:t xml:space="preserve"> </w:t>
      </w:r>
      <w:hyperlink r:id="rId238">
        <w:r>
          <w:rPr>
            <w:rFonts w:ascii="Arial" w:cs="Arial" w:eastAsia="Arial" w:hAnsi="Arial"/>
            <w:sz w:val="12"/>
            <w:szCs w:val="12"/>
            <w:u w:val="single" w:color="auto"/>
            <w:color w:val="0000FF"/>
          </w:rPr>
          <w:t>2025.</w:t>
        </w:r>
      </w:hyperlink>
    </w:p>
    <w:p>
      <w:pPr>
        <w:spacing w:after="0" w:line="24" w:lineRule="exact"/>
        <w:rPr>
          <w:sz w:val="20"/>
          <w:szCs w:val="20"/>
          <w:color w:val="auto"/>
        </w:rPr>
      </w:pPr>
    </w:p>
    <w:p>
      <w:pPr>
        <w:jc w:val="both"/>
        <w:ind w:right="1980"/>
        <w:spacing w:after="0" w:line="239" w:lineRule="auto"/>
        <w:rPr>
          <w:rFonts w:ascii="Arial" w:cs="Arial" w:eastAsia="Arial" w:hAnsi="Arial"/>
          <w:sz w:val="12"/>
          <w:szCs w:val="12"/>
          <w:u w:val="single" w:color="auto"/>
          <w:color w:val="0000FF"/>
        </w:rPr>
      </w:pPr>
      <w:hyperlink r:id="rId239">
        <w:r>
          <w:rPr>
            <w:rFonts w:ascii="Arial" w:cs="Arial" w:eastAsia="Arial" w:hAnsi="Arial"/>
            <w:sz w:val="12"/>
            <w:szCs w:val="12"/>
            <w:u w:val="single" w:color="auto"/>
            <w:color w:val="0000FF"/>
          </w:rPr>
          <w:t>Revolving Credit and Security Agreement among Liquid Labs SPV, LLC, a wholly owned</w:t>
        </w:r>
      </w:hyperlink>
      <w:r>
        <w:rPr>
          <w:rFonts w:ascii="Arial" w:cs="Arial" w:eastAsia="Arial" w:hAnsi="Arial"/>
          <w:sz w:val="12"/>
          <w:szCs w:val="12"/>
          <w:u w:val="single" w:color="auto"/>
          <w:color w:val="0000FF"/>
        </w:rPr>
        <w:t xml:space="preserve"> </w:t>
      </w:r>
      <w:hyperlink r:id="rId239">
        <w:r>
          <w:rPr>
            <w:rFonts w:ascii="Arial" w:cs="Arial" w:eastAsia="Arial" w:hAnsi="Arial"/>
            <w:sz w:val="12"/>
            <w:szCs w:val="12"/>
            <w:u w:val="single" w:color="auto"/>
            <w:color w:val="0000FF"/>
          </w:rPr>
          <w:t>subsidiary of Navan, Inc., and Goldman Sachs Bank USA, dated November 18, 2022, as</w:t>
        </w:r>
      </w:hyperlink>
      <w:r>
        <w:rPr>
          <w:rFonts w:ascii="Arial" w:cs="Arial" w:eastAsia="Arial" w:hAnsi="Arial"/>
          <w:sz w:val="12"/>
          <w:szCs w:val="12"/>
          <w:u w:val="single" w:color="auto"/>
          <w:color w:val="0000FF"/>
        </w:rPr>
        <w:t xml:space="preserve"> </w:t>
      </w:r>
      <w:hyperlink r:id="rId239">
        <w:r>
          <w:rPr>
            <w:rFonts w:ascii="Arial" w:cs="Arial" w:eastAsia="Arial" w:hAnsi="Arial"/>
            <w:sz w:val="12"/>
            <w:szCs w:val="12"/>
            <w:u w:val="single" w:color="auto"/>
            <w:color w:val="0000FF"/>
          </w:rPr>
          <w:t>amended.</w:t>
        </w:r>
      </w:hyperlink>
    </w:p>
    <w:p>
      <w:pPr>
        <w:spacing w:after="0" w:line="18" w:lineRule="exact"/>
        <w:rPr>
          <w:rFonts w:ascii="Arial" w:cs="Arial" w:eastAsia="Arial" w:hAnsi="Arial"/>
          <w:sz w:val="12"/>
          <w:szCs w:val="12"/>
          <w:u w:val="single" w:color="auto"/>
          <w:color w:val="0000FF"/>
        </w:rPr>
      </w:pPr>
    </w:p>
    <w:p>
      <w:pPr>
        <w:sectPr>
          <w:pgSz w:w="11900" w:h="16840" w:orient="portrait"/>
          <w:cols w:equalWidth="0" w:num="2">
            <w:col w:w="2040" w:space="120"/>
            <w:col w:w="6860"/>
          </w:cols>
          <w:pgMar w:left="1440" w:top="876" w:right="1440" w:bottom="1440" w:gutter="0" w:footer="0" w:header="0"/>
          <w:type w:val="continuous"/>
        </w:sectPr>
      </w:pPr>
    </w:p>
    <w:p>
      <w:pPr>
        <w:ind w:left="1560"/>
        <w:spacing w:after="0"/>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10.13</w:t>
      </w:r>
      <w:r>
        <w:rPr>
          <w:sz w:val="20"/>
          <w:szCs w:val="20"/>
          <w:color w:val="auto"/>
        </w:rPr>
        <w:tab/>
      </w:r>
      <w:hyperlink w:anchor="page1">
        <w:r>
          <w:rPr>
            <w:rFonts w:ascii="Arial" w:cs="Arial" w:eastAsia="Arial" w:hAnsi="Arial"/>
            <w:sz w:val="12"/>
            <w:szCs w:val="12"/>
            <w:u w:val="single" w:color="auto"/>
            <w:color w:val="0000FF"/>
          </w:rPr>
          <w:t>Form of Exchange Agreement between Navan, Inc., Ariel Cohen, and Ilan Twig.</w:t>
        </w:r>
      </w:hyperlink>
    </w:p>
    <w:p>
      <w:pPr>
        <w:spacing w:after="0" w:line="44" w:lineRule="exact"/>
        <w:rPr>
          <w:rFonts w:ascii="Arial" w:cs="Arial" w:eastAsia="Arial" w:hAnsi="Arial"/>
          <w:sz w:val="12"/>
          <w:szCs w:val="12"/>
          <w:u w:val="single" w:color="auto"/>
          <w:color w:val="0000FF"/>
        </w:rPr>
      </w:pPr>
    </w:p>
    <w:p>
      <w:pPr>
        <w:ind w:left="2160" w:right="1720" w:hanging="611"/>
        <w:spacing w:after="0" w:line="262" w:lineRule="auto"/>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10.14</w:t>
      </w:r>
      <w:r>
        <w:rPr>
          <w:sz w:val="20"/>
          <w:szCs w:val="20"/>
          <w:color w:val="auto"/>
        </w:rPr>
        <w:tab/>
      </w:r>
      <w:hyperlink w:anchor="page1">
        <w:r>
          <w:rPr>
            <w:rFonts w:ascii="Arial" w:cs="Arial" w:eastAsia="Arial" w:hAnsi="Arial"/>
            <w:sz w:val="12"/>
            <w:szCs w:val="12"/>
            <w:u w:val="single" w:color="auto"/>
            <w:color w:val="0000FF"/>
          </w:rPr>
          <w:t>Form of Equity Exchange Right Agreement between Navan, Inc. and each of Ariel Cohen and</w:t>
        </w:r>
      </w:hyperlink>
      <w:r>
        <w:rPr>
          <w:rFonts w:ascii="Arial" w:cs="Arial" w:eastAsia="Arial" w:hAnsi="Arial"/>
          <w:sz w:val="12"/>
          <w:szCs w:val="12"/>
          <w:u w:val="single" w:color="auto"/>
          <w:color w:val="0000FF"/>
        </w:rPr>
        <w:t xml:space="preserve"> </w:t>
      </w:r>
      <w:hyperlink w:anchor="page1">
        <w:r>
          <w:rPr>
            <w:rFonts w:ascii="Arial" w:cs="Arial" w:eastAsia="Arial" w:hAnsi="Arial"/>
            <w:sz w:val="12"/>
            <w:szCs w:val="12"/>
            <w:u w:val="single" w:color="auto"/>
            <w:color w:val="0000FF"/>
          </w:rPr>
          <w:t>Ilan Twig.</w:t>
        </w:r>
      </w:hyperlink>
    </w:p>
    <w:p>
      <w:pPr>
        <w:spacing w:after="0" w:line="14" w:lineRule="exact"/>
        <w:rPr>
          <w:sz w:val="20"/>
          <w:szCs w:val="20"/>
          <w:color w:val="auto"/>
        </w:rPr>
      </w:pPr>
    </w:p>
    <w:p>
      <w:pPr>
        <w:ind w:left="1560"/>
        <w:spacing w:after="0"/>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16.1*</w:t>
      </w:r>
      <w:r>
        <w:rPr>
          <w:sz w:val="20"/>
          <w:szCs w:val="20"/>
          <w:color w:val="auto"/>
        </w:rPr>
        <w:tab/>
      </w:r>
      <w:hyperlink r:id="rId240">
        <w:r>
          <w:rPr>
            <w:rFonts w:ascii="Arial" w:cs="Arial" w:eastAsia="Arial" w:hAnsi="Arial"/>
            <w:sz w:val="12"/>
            <w:szCs w:val="12"/>
            <w:u w:val="single" w:color="auto"/>
            <w:color w:val="0000FF"/>
          </w:rPr>
          <w:t>Letter Regarding Change in Independent Registered Public Accounting Firm.</w:t>
        </w:r>
      </w:hyperlink>
    </w:p>
    <w:p>
      <w:pPr>
        <w:spacing w:after="0" w:line="44" w:lineRule="exact"/>
        <w:rPr>
          <w:sz w:val="20"/>
          <w:szCs w:val="20"/>
          <w:color w:val="auto"/>
        </w:rPr>
      </w:pPr>
    </w:p>
    <w:p>
      <w:pPr>
        <w:ind w:left="1560"/>
        <w:spacing w:after="0"/>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21.1</w:t>
      </w:r>
      <w:r>
        <w:rPr>
          <w:sz w:val="20"/>
          <w:szCs w:val="20"/>
          <w:color w:val="auto"/>
        </w:rPr>
        <w:tab/>
      </w:r>
      <w:hyperlink w:anchor="page1">
        <w:r>
          <w:rPr>
            <w:rFonts w:ascii="Arial" w:cs="Arial" w:eastAsia="Arial" w:hAnsi="Arial"/>
            <w:sz w:val="12"/>
            <w:szCs w:val="12"/>
            <w:u w:val="single" w:color="auto"/>
            <w:color w:val="0000FF"/>
          </w:rPr>
          <w:t>List of Subsidiaries of Navan, Inc.</w:t>
        </w:r>
      </w:hyperlink>
    </w:p>
    <w:p>
      <w:pPr>
        <w:spacing w:after="0" w:line="44" w:lineRule="exact"/>
        <w:rPr>
          <w:sz w:val="20"/>
          <w:szCs w:val="20"/>
          <w:color w:val="auto"/>
        </w:rPr>
      </w:pPr>
    </w:p>
    <w:p>
      <w:pPr>
        <w:ind w:left="1560"/>
        <w:spacing w:after="0"/>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23.1</w:t>
      </w:r>
      <w:r>
        <w:rPr>
          <w:sz w:val="20"/>
          <w:szCs w:val="20"/>
          <w:color w:val="auto"/>
        </w:rPr>
        <w:tab/>
      </w:r>
      <w:hyperlink w:anchor="page1">
        <w:r>
          <w:rPr>
            <w:rFonts w:ascii="Arial" w:cs="Arial" w:eastAsia="Arial" w:hAnsi="Arial"/>
            <w:sz w:val="12"/>
            <w:szCs w:val="12"/>
            <w:u w:val="single" w:color="auto"/>
            <w:color w:val="0000FF"/>
          </w:rPr>
          <w:t>Consent of PricewaterhouseCoopers LLP, independent registered public accounting firm.</w:t>
        </w:r>
      </w:hyperlink>
    </w:p>
    <w:p>
      <w:pPr>
        <w:spacing w:after="0" w:line="44" w:lineRule="exact"/>
        <w:rPr>
          <w:sz w:val="20"/>
          <w:szCs w:val="20"/>
          <w:color w:val="auto"/>
        </w:rPr>
      </w:pPr>
    </w:p>
    <w:p>
      <w:pPr>
        <w:ind w:left="1560"/>
        <w:spacing w:after="0"/>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23.2</w:t>
      </w:r>
      <w:r>
        <w:rPr>
          <w:sz w:val="20"/>
          <w:szCs w:val="20"/>
          <w:color w:val="auto"/>
        </w:rPr>
        <w:tab/>
      </w:r>
      <w:hyperlink w:anchor="page1">
        <w:r>
          <w:rPr>
            <w:rFonts w:ascii="Arial" w:cs="Arial" w:eastAsia="Arial" w:hAnsi="Arial"/>
            <w:sz w:val="12"/>
            <w:szCs w:val="12"/>
            <w:u w:val="single" w:color="auto"/>
            <w:color w:val="0000FF"/>
          </w:rPr>
          <w:t>Consent of Cooley LLP (included in Exhibit 5.1).</w:t>
        </w:r>
      </w:hyperlink>
    </w:p>
    <w:p>
      <w:pPr>
        <w:spacing w:after="0" w:line="44" w:lineRule="exact"/>
        <w:rPr>
          <w:sz w:val="20"/>
          <w:szCs w:val="20"/>
          <w:color w:val="auto"/>
        </w:rPr>
      </w:pPr>
    </w:p>
    <w:p>
      <w:pPr>
        <w:ind w:left="1560"/>
        <w:spacing w:after="0"/>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23.3*</w:t>
      </w:r>
      <w:r>
        <w:rPr>
          <w:sz w:val="20"/>
          <w:szCs w:val="20"/>
          <w:color w:val="auto"/>
        </w:rPr>
        <w:tab/>
      </w:r>
      <w:hyperlink r:id="rId241">
        <w:r>
          <w:rPr>
            <w:rFonts w:ascii="Arial" w:cs="Arial" w:eastAsia="Arial" w:hAnsi="Arial"/>
            <w:sz w:val="12"/>
            <w:szCs w:val="12"/>
            <w:u w:val="single" w:color="auto"/>
            <w:color w:val="0000FF"/>
          </w:rPr>
          <w:t>Consent of Euromonitor International Limited.</w:t>
        </w:r>
      </w:hyperlink>
    </w:p>
    <w:p>
      <w:pPr>
        <w:spacing w:after="0" w:line="44" w:lineRule="exact"/>
        <w:rPr>
          <w:sz w:val="20"/>
          <w:szCs w:val="20"/>
          <w:color w:val="auto"/>
        </w:rPr>
      </w:pPr>
    </w:p>
    <w:p>
      <w:pPr>
        <w:ind w:left="2160" w:right="1980" w:hanging="611"/>
        <w:spacing w:after="0" w:line="262" w:lineRule="auto"/>
        <w:tabs>
          <w:tab w:leader="none" w:pos="2140" w:val="left"/>
        </w:tabs>
        <w:rPr>
          <w:rFonts w:ascii="Arial" w:cs="Arial" w:eastAsia="Arial" w:hAnsi="Arial"/>
          <w:sz w:val="12"/>
          <w:szCs w:val="12"/>
          <w:u w:val="single" w:color="auto"/>
          <w:color w:val="0000FF"/>
        </w:rPr>
      </w:pPr>
      <w:r>
        <w:rPr>
          <w:rFonts w:ascii="Arial" w:cs="Arial" w:eastAsia="Arial" w:hAnsi="Arial"/>
          <w:sz w:val="12"/>
          <w:szCs w:val="12"/>
          <w:color w:val="auto"/>
        </w:rPr>
        <w:t>24.1*</w:t>
      </w:r>
      <w:r>
        <w:rPr>
          <w:sz w:val="20"/>
          <w:szCs w:val="20"/>
          <w:color w:val="auto"/>
        </w:rPr>
        <w:tab/>
      </w:r>
      <w:hyperlink w:anchor="page216">
        <w:r>
          <w:rPr>
            <w:rFonts w:ascii="Arial" w:cs="Arial" w:eastAsia="Arial" w:hAnsi="Arial"/>
            <w:sz w:val="12"/>
            <w:szCs w:val="12"/>
            <w:u w:val="single" w:color="auto"/>
            <w:color w:val="0000FF"/>
          </w:rPr>
          <w:t>Power of Attorney (included in the signature page to this Registration Statement on Form</w:t>
        </w:r>
      </w:hyperlink>
      <w:r>
        <w:rPr>
          <w:rFonts w:ascii="Arial" w:cs="Arial" w:eastAsia="Arial" w:hAnsi="Arial"/>
          <w:sz w:val="12"/>
          <w:szCs w:val="12"/>
          <w:u w:val="single" w:color="auto"/>
          <w:color w:val="0000FF"/>
        </w:rPr>
        <w:t xml:space="preserve"> </w:t>
      </w:r>
      <w:hyperlink w:anchor="page216">
        <w:r>
          <w:rPr>
            <w:rFonts w:ascii="Arial" w:cs="Arial" w:eastAsia="Arial" w:hAnsi="Arial"/>
            <w:sz w:val="12"/>
            <w:szCs w:val="12"/>
            <w:u w:val="single" w:color="auto"/>
            <w:color w:val="0000FF"/>
          </w:rPr>
          <w:t>S-1)</w:t>
        </w:r>
      </w:hyperlink>
      <w:r>
        <w:rPr>
          <w:rFonts w:ascii="Arial" w:cs="Arial" w:eastAsia="Arial" w:hAnsi="Arial"/>
          <w:sz w:val="12"/>
          <w:szCs w:val="12"/>
          <w:u w:val="single" w:color="auto"/>
          <w:color w:val="0000FF"/>
        </w:rPr>
        <w:t>.</w:t>
      </w:r>
    </w:p>
    <w:p>
      <w:pPr>
        <w:spacing w:after="0" w:line="14" w:lineRule="exact"/>
        <w:rPr>
          <w:sz w:val="20"/>
          <w:szCs w:val="20"/>
          <w:color w:val="auto"/>
        </w:rPr>
      </w:pPr>
    </w:p>
    <w:p>
      <w:pPr>
        <w:ind w:left="2160" w:hanging="609"/>
        <w:spacing w:after="0"/>
        <w:tabs>
          <w:tab w:leader="none" w:pos="2160" w:val="left"/>
        </w:tabs>
        <w:numPr>
          <w:ilvl w:val="0"/>
          <w:numId w:val="199"/>
        </w:numPr>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Filing Fee Table.</w:t>
        </w:r>
      </w:hyperlink>
    </w:p>
    <w:p>
      <w:pPr>
        <w:spacing w:after="0" w:line="74"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_______________</w:t>
      </w:r>
    </w:p>
    <w:p>
      <w:pPr>
        <w:ind w:left="1520"/>
        <w:spacing w:after="0" w:line="196" w:lineRule="auto"/>
        <w:tabs>
          <w:tab w:leader="none" w:pos="174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Previously filed</w:t>
      </w:r>
    </w:p>
    <w:p>
      <w:pPr>
        <w:ind w:left="1760"/>
        <w:spacing w:after="0" w:line="203" w:lineRule="auto"/>
        <w:rPr>
          <w:sz w:val="20"/>
          <w:szCs w:val="20"/>
          <w:color w:val="auto"/>
        </w:rPr>
      </w:pPr>
      <w:r>
        <w:rPr>
          <w:rFonts w:ascii="Arial" w:cs="Arial" w:eastAsia="Arial" w:hAnsi="Arial"/>
          <w:sz w:val="6"/>
          <w:szCs w:val="6"/>
          <w:color w:val="auto"/>
        </w:rPr>
        <w:t>.</w:t>
      </w:r>
    </w:p>
    <w:p>
      <w:pPr>
        <w:ind w:left="1740" w:hanging="218"/>
        <w:spacing w:after="0"/>
        <w:tabs>
          <w:tab w:leader="none" w:pos="1740" w:val="left"/>
        </w:tabs>
        <w:numPr>
          <w:ilvl w:val="0"/>
          <w:numId w:val="200"/>
        </w:numPr>
        <w:rPr>
          <w:rFonts w:ascii="Arial" w:cs="Arial" w:eastAsia="Arial" w:hAnsi="Arial"/>
          <w:sz w:val="12"/>
          <w:szCs w:val="12"/>
          <w:color w:val="auto"/>
        </w:rPr>
      </w:pPr>
      <w:r>
        <w:rPr>
          <w:rFonts w:ascii="Arial" w:cs="Arial" w:eastAsia="Arial" w:hAnsi="Arial"/>
          <w:sz w:val="11"/>
          <w:szCs w:val="11"/>
          <w:color w:val="auto"/>
        </w:rPr>
        <w:t>or arrangementCompensatoryplan</w:t>
      </w:r>
    </w:p>
    <w:p>
      <w:pPr>
        <w:ind w:left="1740" w:hanging="218"/>
        <w:spacing w:after="0" w:line="189" w:lineRule="auto"/>
        <w:tabs>
          <w:tab w:leader="none" w:pos="1740" w:val="left"/>
        </w:tabs>
        <w:numPr>
          <w:ilvl w:val="0"/>
          <w:numId w:val="201"/>
        </w:numPr>
        <w:rPr>
          <w:rFonts w:ascii="Arial" w:cs="Arial" w:eastAsia="Arial" w:hAnsi="Arial"/>
          <w:sz w:val="8"/>
          <w:szCs w:val="8"/>
          <w:color w:val="auto"/>
        </w:rPr>
      </w:pPr>
      <w:r>
        <w:rPr>
          <w:rFonts w:ascii="Arial" w:cs="Arial" w:eastAsia="Arial" w:hAnsi="Arial"/>
          <w:sz w:val="8"/>
          <w:szCs w:val="8"/>
          <w:color w:val="auto"/>
        </w:rPr>
        <w:t>omitted schedules and exhibits pursuant to Item 601(a)(5) of Regulation S-K. The Registran</w:t>
      </w:r>
      <w:r>
        <w:rPr>
          <w:rFonts w:ascii="Arial" w:cs="Arial" w:eastAsia="Arial" w:hAnsi="Arial"/>
          <w:sz w:val="13"/>
          <w:szCs w:val="13"/>
          <w:color w:val="auto"/>
          <w:vertAlign w:val="superscript"/>
        </w:rPr>
        <w:t>.</w:t>
      </w:r>
      <w:r>
        <w:rPr>
          <w:rFonts w:ascii="Arial" w:cs="Arial" w:eastAsia="Arial" w:hAnsi="Arial"/>
          <w:sz w:val="8"/>
          <w:szCs w:val="8"/>
          <w:color w:val="auto"/>
        </w:rPr>
        <w:t>TheRegistranthas</w:t>
      </w:r>
    </w:p>
    <w:p>
      <w:pPr>
        <w:ind w:left="1760" w:right="2040" w:hanging="9"/>
        <w:spacing w:after="0" w:line="182" w:lineRule="auto"/>
        <w:rPr>
          <w:sz w:val="20"/>
          <w:szCs w:val="20"/>
          <w:color w:val="auto"/>
        </w:rPr>
      </w:pPr>
      <w:r>
        <w:rPr>
          <w:rFonts w:ascii="Arial" w:cs="Arial" w:eastAsia="Arial" w:hAnsi="Arial"/>
          <w:sz w:val="21"/>
          <w:szCs w:val="21"/>
          <w:color w:val="auto"/>
          <w:vertAlign w:val="superscript"/>
        </w:rPr>
        <w:t>t</w:t>
      </w:r>
      <w:r>
        <w:rPr>
          <w:rFonts w:ascii="Arial" w:cs="Arial" w:eastAsia="Arial" w:hAnsi="Arial"/>
          <w:sz w:val="11"/>
          <w:szCs w:val="11"/>
          <w:color w:val="auto"/>
        </w:rPr>
        <w:t>agrees to furnish supplementally a copy of the omitted schedules and exhibits to the SEC upon request .</w:t>
      </w:r>
    </w:p>
    <w:p>
      <w:pPr>
        <w:ind w:left="1720" w:right="1640" w:hanging="199"/>
        <w:spacing w:after="0"/>
        <w:tabs>
          <w:tab w:leader="none" w:pos="170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Certain portions of this exhibit (indicated by asterisks) have been omitted because they are both not material an d</w:t>
      </w:r>
    </w:p>
    <w:p>
      <w:pPr>
        <w:ind w:left="1760"/>
        <w:spacing w:after="0" w:line="190" w:lineRule="auto"/>
        <w:rPr>
          <w:sz w:val="20"/>
          <w:szCs w:val="20"/>
          <w:color w:val="auto"/>
        </w:rPr>
      </w:pPr>
      <w:r>
        <w:rPr>
          <w:rFonts w:ascii="Arial" w:cs="Arial" w:eastAsia="Arial" w:hAnsi="Arial"/>
          <w:sz w:val="9"/>
          <w:szCs w:val="9"/>
          <w:color w:val="auto"/>
        </w:rPr>
        <w:t>are the type that the Registrant treats as private or confidential</w:t>
      </w:r>
    </w:p>
    <w:p>
      <w:pPr>
        <w:ind w:left="1760"/>
        <w:spacing w:after="0"/>
        <w:rPr>
          <w:sz w:val="20"/>
          <w:szCs w:val="20"/>
          <w:color w:val="auto"/>
        </w:rPr>
      </w:pPr>
      <w:r>
        <w:rPr>
          <w:rFonts w:ascii="Arial" w:cs="Arial" w:eastAsia="Arial" w:hAnsi="Arial"/>
          <w:sz w:val="11"/>
          <w:szCs w:val="11"/>
          <w:color w:val="auto"/>
        </w:rPr>
        <w:t>.</w:t>
      </w:r>
    </w:p>
    <w:p>
      <w:pPr>
        <w:spacing w:after="0" w:line="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(b) Financial Statement Schedules.</w:t>
      </w:r>
    </w:p>
    <w:p>
      <w:pPr>
        <w:spacing w:after="0" w:line="118" w:lineRule="exact"/>
        <w:rPr>
          <w:sz w:val="20"/>
          <w:szCs w:val="20"/>
          <w:color w:val="auto"/>
        </w:rPr>
      </w:pPr>
    </w:p>
    <w:p>
      <w:pPr>
        <w:ind w:left="1520" w:right="1760" w:firstLine="230"/>
        <w:spacing w:after="0" w:line="312" w:lineRule="auto"/>
        <w:rPr>
          <w:sz w:val="20"/>
          <w:szCs w:val="20"/>
          <w:color w:val="auto"/>
        </w:rPr>
      </w:pPr>
      <w:r>
        <w:rPr>
          <w:rFonts w:ascii="Arial" w:cs="Arial" w:eastAsia="Arial" w:hAnsi="Arial"/>
          <w:sz w:val="12"/>
          <w:szCs w:val="12"/>
          <w:color w:val="auto"/>
        </w:rPr>
        <w:t>All financial statement schedules are omitted because the information required to be set forth therein is not applicable or is shown in the consolidated financial statements or the notes thereto.</w:t>
      </w:r>
    </w:p>
    <w:p>
      <w:pPr>
        <w:spacing w:after="0" w:line="62"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ITEM 17. UNDERTAKINGS.</w:t>
      </w:r>
    </w:p>
    <w:p>
      <w:pPr>
        <w:spacing w:after="0" w:line="130" w:lineRule="exact"/>
        <w:rPr>
          <w:sz w:val="20"/>
          <w:szCs w:val="20"/>
          <w:color w:val="auto"/>
        </w:rPr>
      </w:pPr>
    </w:p>
    <w:p>
      <w:pPr>
        <w:ind w:left="1520" w:right="1740" w:firstLine="230"/>
        <w:spacing w:after="0" w:line="289" w:lineRule="auto"/>
        <w:rPr>
          <w:sz w:val="20"/>
          <w:szCs w:val="20"/>
          <w:color w:val="auto"/>
        </w:rPr>
      </w:pPr>
      <w:r>
        <w:rPr>
          <w:rFonts w:ascii="Arial" w:cs="Arial" w:eastAsia="Arial" w:hAnsi="Arial"/>
          <w:sz w:val="12"/>
          <w:szCs w:val="12"/>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6" w:lineRule="exact"/>
        <w:rPr>
          <w:sz w:val="20"/>
          <w:szCs w:val="20"/>
          <w:color w:val="auto"/>
        </w:rPr>
      </w:pPr>
    </w:p>
    <w:p>
      <w:pPr>
        <w:ind w:left="1520" w:right="1680" w:firstLine="230"/>
        <w:spacing w:after="0" w:line="271" w:lineRule="auto"/>
        <w:rPr>
          <w:sz w:val="20"/>
          <w:szCs w:val="20"/>
          <w:color w:val="auto"/>
        </w:rPr>
      </w:pPr>
      <w:r>
        <w:rPr>
          <w:rFonts w:ascii="Arial" w:cs="Arial" w:eastAsia="Arial" w:hAnsi="Arial"/>
          <w:sz w:val="12"/>
          <w:szCs w:val="12"/>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The undersigned Registrant hereby undertakes that:</w:t>
      </w:r>
    </w:p>
    <w:p>
      <w:pPr>
        <w:spacing w:after="0" w:line="130" w:lineRule="exact"/>
        <w:rPr>
          <w:sz w:val="20"/>
          <w:szCs w:val="20"/>
          <w:color w:val="auto"/>
        </w:rPr>
      </w:pPr>
    </w:p>
    <w:p>
      <w:pPr>
        <w:ind w:left="1980" w:right="1720" w:hanging="228"/>
        <w:spacing w:after="0" w:line="277" w:lineRule="auto"/>
        <w:tabs>
          <w:tab w:leader="none" w:pos="1980" w:val="left"/>
        </w:tabs>
        <w:numPr>
          <w:ilvl w:val="0"/>
          <w:numId w:val="202"/>
        </w:numPr>
        <w:rPr>
          <w:rFonts w:ascii="Arial" w:cs="Arial" w:eastAsia="Arial" w:hAnsi="Arial"/>
          <w:sz w:val="12"/>
          <w:szCs w:val="12"/>
          <w:color w:val="auto"/>
        </w:rPr>
      </w:pPr>
      <w:r>
        <w:rPr>
          <w:rFonts w:ascii="Arial" w:cs="Arial" w:eastAsia="Arial" w:hAnsi="Arial"/>
          <w:sz w:val="12"/>
          <w:szCs w:val="12"/>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3" w:lineRule="exact"/>
        <w:rPr>
          <w:rFonts w:ascii="Arial" w:cs="Arial" w:eastAsia="Arial" w:hAnsi="Arial"/>
          <w:sz w:val="12"/>
          <w:szCs w:val="12"/>
          <w:color w:val="auto"/>
        </w:rPr>
      </w:pPr>
    </w:p>
    <w:p>
      <w:pPr>
        <w:ind w:left="1980" w:right="1740" w:hanging="228"/>
        <w:spacing w:after="0" w:line="281" w:lineRule="auto"/>
        <w:tabs>
          <w:tab w:leader="none" w:pos="1980" w:val="left"/>
        </w:tabs>
        <w:numPr>
          <w:ilvl w:val="0"/>
          <w:numId w:val="202"/>
        </w:numPr>
        <w:rPr>
          <w:rFonts w:ascii="Arial" w:cs="Arial" w:eastAsia="Arial" w:hAnsi="Arial"/>
          <w:sz w:val="12"/>
          <w:szCs w:val="12"/>
          <w:color w:val="auto"/>
        </w:rPr>
      </w:pPr>
      <w:r>
        <w:rPr>
          <w:rFonts w:ascii="Arial" w:cs="Arial" w:eastAsia="Arial" w:hAnsi="Arial"/>
          <w:sz w:val="12"/>
          <w:szCs w:val="12"/>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40" w:orient="portrait"/>
          <w:cols w:equalWidth="0" w:num="1">
            <w:col w:w="9020"/>
          </w:cols>
          <w:pgMar w:left="1440" w:top="876" w:right="1440" w:bottom="1440" w:gutter="0" w:footer="0" w:header="0"/>
          <w:type w:val="continuous"/>
        </w:sectPr>
      </w:pPr>
    </w:p>
    <w:bookmarkStart w:id="215" w:name="page216"/>
    <w:bookmarkEnd w:id="2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99707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6732270" cy="997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SIGNATURES</w:t>
      </w:r>
    </w:p>
    <w:p>
      <w:pPr>
        <w:spacing w:after="0" w:line="130" w:lineRule="exact"/>
        <w:rPr>
          <w:sz w:val="20"/>
          <w:szCs w:val="20"/>
          <w:color w:val="auto"/>
        </w:rPr>
      </w:pPr>
    </w:p>
    <w:p>
      <w:pPr>
        <w:ind w:left="1520" w:right="1820" w:firstLine="230"/>
        <w:spacing w:after="0" w:line="289" w:lineRule="auto"/>
        <w:rPr>
          <w:sz w:val="20"/>
          <w:szCs w:val="20"/>
          <w:color w:val="auto"/>
        </w:rPr>
      </w:pPr>
      <w:r>
        <w:rPr>
          <w:rFonts w:ascii="Arial" w:cs="Arial" w:eastAsia="Arial" w:hAnsi="Arial"/>
          <w:sz w:val="12"/>
          <w:szCs w:val="12"/>
          <w:color w:val="auto"/>
        </w:rPr>
        <w:t>Pursuant to the requirements of the Securities Act of 1933, as amended, the registrant has duly caused this registration statement on Form S-1 to be signed on its behalf by the undersigned, thereunto duly authorized, in Palo Alto, California, on the day of October 10, 2025.</w:t>
      </w:r>
    </w:p>
    <w:p>
      <w:pPr>
        <w:spacing w:after="0" w:line="104" w:lineRule="exact"/>
        <w:rPr>
          <w:sz w:val="20"/>
          <w:szCs w:val="20"/>
          <w:color w:val="auto"/>
        </w:rPr>
      </w:pPr>
    </w:p>
    <w:p>
      <w:pPr>
        <w:ind w:left="4700"/>
        <w:spacing w:after="0"/>
        <w:rPr>
          <w:sz w:val="20"/>
          <w:szCs w:val="20"/>
          <w:color w:val="auto"/>
        </w:rPr>
      </w:pPr>
      <w:r>
        <w:rPr>
          <w:rFonts w:ascii="Arial" w:cs="Arial" w:eastAsia="Arial" w:hAnsi="Arial"/>
          <w:sz w:val="12"/>
          <w:szCs w:val="12"/>
          <w:b w:val="1"/>
          <w:bCs w:val="1"/>
          <w:color w:val="auto"/>
        </w:rPr>
        <w:t>NAVAN, INC.</w:t>
      </w:r>
    </w:p>
    <w:p>
      <w:pPr>
        <w:spacing w:after="0" w:line="245" w:lineRule="exact"/>
        <w:rPr>
          <w:sz w:val="20"/>
          <w:szCs w:val="20"/>
          <w:color w:val="auto"/>
        </w:rPr>
      </w:pPr>
    </w:p>
    <w:p>
      <w:pPr>
        <w:ind w:left="4700"/>
        <w:spacing w:after="0"/>
        <w:rPr>
          <w:sz w:val="20"/>
          <w:szCs w:val="20"/>
          <w:color w:val="auto"/>
        </w:rPr>
      </w:pPr>
      <w:r>
        <w:rPr>
          <w:rFonts w:ascii="Arial" w:cs="Arial" w:eastAsia="Arial" w:hAnsi="Arial"/>
          <w:sz w:val="12"/>
          <w:szCs w:val="12"/>
          <w:color w:val="auto"/>
        </w:rPr>
        <w:t>By: /s/ Ariel Cohen</w:t>
      </w:r>
    </w:p>
    <w:p>
      <w:pPr>
        <w:spacing w:after="0" w:line="44" w:lineRule="exact"/>
        <w:rPr>
          <w:sz w:val="20"/>
          <w:szCs w:val="20"/>
          <w:color w:val="auto"/>
        </w:rPr>
      </w:pPr>
    </w:p>
    <w:p>
      <w:pPr>
        <w:ind w:left="4960"/>
        <w:spacing w:after="0"/>
        <w:rPr>
          <w:sz w:val="20"/>
          <w:szCs w:val="20"/>
          <w:color w:val="auto"/>
        </w:rPr>
      </w:pPr>
      <w:r>
        <w:rPr>
          <w:rFonts w:ascii="Arial" w:cs="Arial" w:eastAsia="Arial" w:hAnsi="Arial"/>
          <w:sz w:val="12"/>
          <w:szCs w:val="12"/>
          <w:color w:val="auto"/>
        </w:rPr>
        <w:t>Ariel Cohen</w:t>
      </w:r>
    </w:p>
    <w:p>
      <w:pPr>
        <w:spacing w:after="0" w:line="52" w:lineRule="exact"/>
        <w:rPr>
          <w:sz w:val="20"/>
          <w:szCs w:val="20"/>
          <w:color w:val="auto"/>
        </w:rPr>
      </w:pPr>
    </w:p>
    <w:p>
      <w:pPr>
        <w:ind w:left="4960"/>
        <w:spacing w:after="0"/>
        <w:rPr>
          <w:sz w:val="20"/>
          <w:szCs w:val="20"/>
          <w:color w:val="auto"/>
        </w:rPr>
      </w:pPr>
      <w:r>
        <w:rPr>
          <w:rFonts w:ascii="Arial" w:cs="Arial" w:eastAsia="Arial" w:hAnsi="Arial"/>
          <w:sz w:val="12"/>
          <w:szCs w:val="12"/>
          <w:color w:val="auto"/>
        </w:rPr>
        <w:t>Chairperson of the Board of Directors and</w:t>
      </w:r>
    </w:p>
    <w:p>
      <w:pPr>
        <w:ind w:left="4960"/>
        <w:spacing w:after="0"/>
        <w:rPr>
          <w:sz w:val="20"/>
          <w:szCs w:val="20"/>
          <w:color w:val="auto"/>
        </w:rPr>
      </w:pPr>
      <w:r>
        <w:rPr>
          <w:rFonts w:ascii="Arial" w:cs="Arial" w:eastAsia="Arial" w:hAnsi="Arial"/>
          <w:sz w:val="12"/>
          <w:szCs w:val="12"/>
          <w:color w:val="auto"/>
        </w:rPr>
        <w:t>Chief Executive Officer</w:t>
      </w:r>
    </w:p>
    <w:p>
      <w:pPr>
        <w:spacing w:after="0" w:line="175" w:lineRule="exact"/>
        <w:rPr>
          <w:sz w:val="20"/>
          <w:szCs w:val="20"/>
          <w:color w:val="auto"/>
        </w:rPr>
      </w:pPr>
    </w:p>
    <w:p>
      <w:pPr>
        <w:ind w:left="1520" w:right="1840" w:firstLine="230"/>
        <w:spacing w:after="0" w:line="312" w:lineRule="auto"/>
        <w:rPr>
          <w:sz w:val="20"/>
          <w:szCs w:val="20"/>
          <w:color w:val="auto"/>
        </w:rPr>
      </w:pPr>
      <w:r>
        <w:rPr>
          <w:rFonts w:ascii="Arial" w:cs="Arial" w:eastAsia="Arial" w:hAnsi="Arial"/>
          <w:sz w:val="12"/>
          <w:szCs w:val="12"/>
          <w:color w:val="auto"/>
        </w:rPr>
        <w:t>Pursuant to the requirements of the Securities Act of 1933, as amended, this registration statement on Form S-1 has been signed by the following persons in the capacities and on the dates indicated.</w:t>
      </w:r>
    </w:p>
    <w:p>
      <w:pPr>
        <w:spacing w:after="0" w:line="91" w:lineRule="exact"/>
        <w:rPr>
          <w:sz w:val="20"/>
          <w:szCs w:val="20"/>
          <w:color w:val="auto"/>
        </w:rPr>
      </w:pPr>
    </w:p>
    <w:tbl>
      <w:tblPr>
        <w:tblLayout w:type="fixed"/>
        <w:tblInd w:w="1520" w:type="dxa"/>
        <w:tblCellMar>
          <w:top w:w="0" w:type="dxa"/>
          <w:left w:w="0" w:type="dxa"/>
          <w:bottom w:w="0" w:type="dxa"/>
          <w:right w:w="0" w:type="dxa"/>
        </w:tblCellMar>
      </w:tblPr>
      <w:tr>
        <w:trPr>
          <w:trHeight w:val="143"/>
        </w:trPr>
        <w:tc>
          <w:tcPr>
            <w:tcW w:w="1580" w:type="dxa"/>
            <w:vAlign w:val="bottom"/>
          </w:tcPr>
          <w:p>
            <w:pPr>
              <w:ind w:left="540"/>
              <w:spacing w:after="0"/>
              <w:rPr>
                <w:sz w:val="20"/>
                <w:szCs w:val="20"/>
                <w:color w:val="auto"/>
              </w:rPr>
            </w:pPr>
            <w:r>
              <w:rPr>
                <w:rFonts w:ascii="Arial" w:cs="Arial" w:eastAsia="Arial" w:hAnsi="Arial"/>
                <w:sz w:val="11"/>
                <w:szCs w:val="11"/>
                <w:b w:val="1"/>
                <w:bCs w:val="1"/>
                <w:color w:val="auto"/>
              </w:rPr>
              <w:t>Signature</w:t>
            </w:r>
          </w:p>
        </w:tc>
        <w:tc>
          <w:tcPr>
            <w:tcW w:w="20" w:type="dxa"/>
            <w:vAlign w:val="bottom"/>
          </w:tcPr>
          <w:p>
            <w:pPr>
              <w:spacing w:after="0"/>
              <w:rPr>
                <w:sz w:val="12"/>
                <w:szCs w:val="12"/>
                <w:color w:val="auto"/>
              </w:rPr>
            </w:pPr>
          </w:p>
        </w:tc>
        <w:tc>
          <w:tcPr>
            <w:tcW w:w="2360" w:type="dxa"/>
            <w:vAlign w:val="bottom"/>
          </w:tcPr>
          <w:p>
            <w:pPr>
              <w:ind w:left="1520"/>
              <w:spacing w:after="0"/>
              <w:rPr>
                <w:sz w:val="20"/>
                <w:szCs w:val="20"/>
                <w:color w:val="auto"/>
              </w:rPr>
            </w:pPr>
            <w:r>
              <w:rPr>
                <w:rFonts w:ascii="Arial" w:cs="Arial" w:eastAsia="Arial" w:hAnsi="Arial"/>
                <w:sz w:val="11"/>
                <w:szCs w:val="11"/>
                <w:b w:val="1"/>
                <w:bCs w:val="1"/>
                <w:color w:val="auto"/>
              </w:rPr>
              <w:t>Title</w:t>
            </w: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92"/>
              </w:rPr>
              <w:t>Date</w:t>
            </w:r>
          </w:p>
        </w:tc>
        <w:tc>
          <w:tcPr>
            <w:tcW w:w="0" w:type="dxa"/>
            <w:vAlign w:val="bottom"/>
          </w:tcPr>
          <w:p>
            <w:pPr>
              <w:spacing w:after="0"/>
              <w:rPr>
                <w:sz w:val="1"/>
                <w:szCs w:val="1"/>
                <w:color w:val="auto"/>
              </w:rPr>
            </w:pPr>
          </w:p>
        </w:tc>
      </w:tr>
      <w:tr>
        <w:trPr>
          <w:trHeight w:val="29"/>
        </w:trPr>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6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580" w:type="dxa"/>
            <w:vAlign w:val="bottom"/>
          </w:tcPr>
          <w:p>
            <w:pPr>
              <w:jc w:val="center"/>
              <w:spacing w:after="0"/>
              <w:rPr>
                <w:sz w:val="20"/>
                <w:szCs w:val="20"/>
                <w:color w:val="auto"/>
              </w:rPr>
            </w:pPr>
            <w:r>
              <w:rPr>
                <w:rFonts w:ascii="Arial" w:cs="Arial" w:eastAsia="Arial" w:hAnsi="Arial"/>
                <w:sz w:val="12"/>
                <w:szCs w:val="12"/>
                <w:color w:val="auto"/>
              </w:rPr>
              <w:t>/s/ Ariel Cohen</w:t>
            </w:r>
          </w:p>
        </w:tc>
        <w:tc>
          <w:tcPr>
            <w:tcW w:w="20" w:type="dxa"/>
            <w:vAlign w:val="bottom"/>
          </w:tcPr>
          <w:p>
            <w:pPr>
              <w:spacing w:after="0"/>
              <w:rPr>
                <w:sz w:val="12"/>
                <w:szCs w:val="12"/>
                <w:color w:val="auto"/>
              </w:rPr>
            </w:pPr>
          </w:p>
        </w:tc>
        <w:tc>
          <w:tcPr>
            <w:tcW w:w="3260" w:type="dxa"/>
            <w:vAlign w:val="bottom"/>
            <w:gridSpan w:val="2"/>
          </w:tcPr>
          <w:p>
            <w:pPr>
              <w:jc w:val="center"/>
              <w:ind w:right="28"/>
              <w:spacing w:after="0"/>
              <w:rPr>
                <w:sz w:val="20"/>
                <w:szCs w:val="20"/>
                <w:color w:val="auto"/>
              </w:rPr>
            </w:pPr>
            <w:r>
              <w:rPr>
                <w:rFonts w:ascii="Arial" w:cs="Arial" w:eastAsia="Arial" w:hAnsi="Arial"/>
                <w:sz w:val="12"/>
                <w:szCs w:val="12"/>
                <w:color w:val="auto"/>
              </w:rPr>
              <w:t>Chairperson of the Board of Directors and Chief</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vMerge w:val="restart"/>
          </w:tcPr>
          <w:p>
            <w:pPr>
              <w:jc w:val="center"/>
              <w:ind w:left="798"/>
              <w:spacing w:after="0"/>
              <w:rPr>
                <w:sz w:val="20"/>
                <w:szCs w:val="20"/>
                <w:color w:val="auto"/>
              </w:rPr>
            </w:pPr>
            <w:r>
              <w:rPr>
                <w:rFonts w:ascii="Arial" w:cs="Arial" w:eastAsia="Arial" w:hAnsi="Arial"/>
                <w:sz w:val="12"/>
                <w:szCs w:val="12"/>
                <w:color w:val="auto"/>
              </w:rPr>
              <w:t>Executive Officer</w:t>
            </w: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color w:val="auto"/>
              </w:rPr>
              <w:t>October 10, 2025</w:t>
            </w:r>
          </w:p>
        </w:tc>
        <w:tc>
          <w:tcPr>
            <w:tcW w:w="0" w:type="dxa"/>
            <w:vAlign w:val="bottom"/>
          </w:tcPr>
          <w:p>
            <w:pPr>
              <w:spacing w:after="0"/>
              <w:rPr>
                <w:sz w:val="1"/>
                <w:szCs w:val="1"/>
                <w:color w:val="auto"/>
              </w:rPr>
            </w:pPr>
          </w:p>
        </w:tc>
      </w:tr>
      <w:tr>
        <w:trPr>
          <w:trHeight w:val="95"/>
        </w:trPr>
        <w:tc>
          <w:tcPr>
            <w:tcW w:w="1580" w:type="dxa"/>
            <w:vAlign w:val="bottom"/>
          </w:tcPr>
          <w:p>
            <w:pPr>
              <w:jc w:val="center"/>
              <w:spacing w:after="0" w:line="95" w:lineRule="exact"/>
              <w:rPr>
                <w:sz w:val="20"/>
                <w:szCs w:val="20"/>
                <w:color w:val="auto"/>
              </w:rPr>
            </w:pPr>
            <w:r>
              <w:rPr>
                <w:rFonts w:ascii="Arial" w:cs="Arial" w:eastAsia="Arial" w:hAnsi="Arial"/>
                <w:sz w:val="10"/>
                <w:szCs w:val="10"/>
                <w:color w:val="auto"/>
              </w:rPr>
              <w:t>Ariel Cohen</w:t>
            </w:r>
          </w:p>
        </w:tc>
        <w:tc>
          <w:tcPr>
            <w:tcW w:w="2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tcPr>
          <w:p>
            <w:pPr>
              <w:jc w:val="center"/>
              <w:ind w:left="77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Principal Executive Officer)</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580" w:type="dxa"/>
            <w:vAlign w:val="bottom"/>
          </w:tcPr>
          <w:p>
            <w:pPr>
              <w:jc w:val="center"/>
              <w:spacing w:after="0"/>
              <w:rPr>
                <w:sz w:val="20"/>
                <w:szCs w:val="20"/>
                <w:color w:val="auto"/>
              </w:rPr>
            </w:pPr>
            <w:r>
              <w:rPr>
                <w:rFonts w:ascii="Arial" w:cs="Arial" w:eastAsia="Arial" w:hAnsi="Arial"/>
                <w:sz w:val="12"/>
                <w:szCs w:val="12"/>
                <w:color w:val="auto"/>
              </w:rPr>
              <w:t>/s/ Amy Butte</w:t>
            </w:r>
          </w:p>
        </w:tc>
        <w:tc>
          <w:tcPr>
            <w:tcW w:w="20" w:type="dxa"/>
            <w:vAlign w:val="bottom"/>
          </w:tcPr>
          <w:p>
            <w:pPr>
              <w:spacing w:after="0"/>
              <w:rPr>
                <w:sz w:val="18"/>
                <w:szCs w:val="18"/>
                <w:color w:val="auto"/>
              </w:rPr>
            </w:pPr>
          </w:p>
        </w:tc>
        <w:tc>
          <w:tcPr>
            <w:tcW w:w="2360" w:type="dxa"/>
            <w:vAlign w:val="bottom"/>
          </w:tcPr>
          <w:p>
            <w:pPr>
              <w:jc w:val="center"/>
              <w:ind w:left="798"/>
              <w:spacing w:after="0"/>
              <w:rPr>
                <w:sz w:val="20"/>
                <w:szCs w:val="20"/>
                <w:color w:val="auto"/>
              </w:rPr>
            </w:pPr>
            <w:r>
              <w:rPr>
                <w:rFonts w:ascii="Arial" w:cs="Arial" w:eastAsia="Arial" w:hAnsi="Arial"/>
                <w:sz w:val="12"/>
                <w:szCs w:val="12"/>
                <w:color w:val="auto"/>
              </w:rPr>
              <w:t>Chief Financial Officer</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color w:val="auto"/>
              </w:rPr>
              <w:t>October 10, 2025</w:t>
            </w:r>
          </w:p>
        </w:tc>
        <w:tc>
          <w:tcPr>
            <w:tcW w:w="0" w:type="dxa"/>
            <w:vAlign w:val="bottom"/>
          </w:tcPr>
          <w:p>
            <w:pPr>
              <w:spacing w:after="0"/>
              <w:rPr>
                <w:sz w:val="1"/>
                <w:szCs w:val="1"/>
                <w:color w:val="auto"/>
              </w:rPr>
            </w:pPr>
          </w:p>
        </w:tc>
      </w:tr>
      <w:tr>
        <w:trPr>
          <w:trHeight w:val="38"/>
        </w:trPr>
        <w:tc>
          <w:tcPr>
            <w:tcW w:w="1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360" w:type="dxa"/>
            <w:vAlign w:val="bottom"/>
            <w:vMerge w:val="restart"/>
          </w:tcPr>
          <w:p>
            <w:pPr>
              <w:jc w:val="center"/>
              <w:ind w:left="73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Principal Financial Officer</w:t>
            </w:r>
          </w:p>
        </w:tc>
        <w:tc>
          <w:tcPr>
            <w:tcW w:w="900" w:type="dxa"/>
            <w:vAlign w:val="bottom"/>
            <w:vMerge w:val="restart"/>
          </w:tcPr>
          <w:p>
            <w:pPr>
              <w:jc w:val="right"/>
              <w:ind w:right="808"/>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1580" w:type="dxa"/>
            <w:vAlign w:val="bottom"/>
            <w:vMerge w:val="restart"/>
          </w:tcPr>
          <w:p>
            <w:pPr>
              <w:jc w:val="center"/>
              <w:spacing w:after="0"/>
              <w:rPr>
                <w:sz w:val="20"/>
                <w:szCs w:val="20"/>
                <w:color w:val="auto"/>
              </w:rPr>
            </w:pPr>
            <w:r>
              <w:rPr>
                <w:rFonts w:ascii="Arial" w:cs="Arial" w:eastAsia="Arial" w:hAnsi="Arial"/>
                <w:sz w:val="12"/>
                <w:szCs w:val="12"/>
                <w:color w:val="auto"/>
              </w:rPr>
              <w:t>Amy Butte</w:t>
            </w:r>
          </w:p>
        </w:tc>
        <w:tc>
          <w:tcPr>
            <w:tcW w:w="2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 Anne Giviskos</w:t>
            </w:r>
          </w:p>
        </w:tc>
        <w:tc>
          <w:tcPr>
            <w:tcW w:w="20" w:type="dxa"/>
            <w:vAlign w:val="bottom"/>
          </w:tcPr>
          <w:p>
            <w:pPr>
              <w:spacing w:after="0"/>
              <w:rPr>
                <w:sz w:val="17"/>
                <w:szCs w:val="17"/>
                <w:color w:val="auto"/>
              </w:rPr>
            </w:pPr>
          </w:p>
        </w:tc>
        <w:tc>
          <w:tcPr>
            <w:tcW w:w="2360" w:type="dxa"/>
            <w:vAlign w:val="bottom"/>
          </w:tcPr>
          <w:p>
            <w:pPr>
              <w:jc w:val="center"/>
              <w:ind w:left="798"/>
              <w:spacing w:after="0"/>
              <w:rPr>
                <w:sz w:val="20"/>
                <w:szCs w:val="20"/>
                <w:color w:val="auto"/>
              </w:rPr>
            </w:pPr>
            <w:r>
              <w:rPr>
                <w:rFonts w:ascii="Arial" w:cs="Arial" w:eastAsia="Arial" w:hAnsi="Arial"/>
                <w:sz w:val="12"/>
                <w:szCs w:val="12"/>
                <w:color w:val="auto"/>
              </w:rPr>
              <w:t>Chief Accounting Officer</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color w:val="auto"/>
              </w:rPr>
              <w:t>October 10, 2025</w:t>
            </w:r>
          </w:p>
        </w:tc>
        <w:tc>
          <w:tcPr>
            <w:tcW w:w="0" w:type="dxa"/>
            <w:vAlign w:val="bottom"/>
          </w:tcPr>
          <w:p>
            <w:pPr>
              <w:spacing w:after="0"/>
              <w:rPr>
                <w:sz w:val="1"/>
                <w:szCs w:val="1"/>
                <w:color w:val="auto"/>
              </w:rPr>
            </w:pPr>
          </w:p>
        </w:tc>
      </w:tr>
      <w:tr>
        <w:trPr>
          <w:trHeight w:val="78"/>
        </w:trPr>
        <w:tc>
          <w:tcPr>
            <w:tcW w:w="1580" w:type="dxa"/>
            <w:vAlign w:val="bottom"/>
            <w:vMerge w:val="restart"/>
          </w:tcPr>
          <w:p>
            <w:pPr>
              <w:jc w:val="center"/>
              <w:spacing w:after="0"/>
              <w:rPr>
                <w:sz w:val="20"/>
                <w:szCs w:val="20"/>
                <w:color w:val="auto"/>
              </w:rPr>
            </w:pPr>
            <w:r>
              <w:rPr>
                <w:rFonts w:ascii="Arial" w:cs="Arial" w:eastAsia="Arial" w:hAnsi="Arial"/>
                <w:sz w:val="12"/>
                <w:szCs w:val="12"/>
                <w:color w:val="auto"/>
              </w:rPr>
              <w:t>Anne Giviskos</w:t>
            </w:r>
          </w:p>
        </w:tc>
        <w:tc>
          <w:tcPr>
            <w:tcW w:w="20" w:type="dxa"/>
            <w:vAlign w:val="bottom"/>
          </w:tcPr>
          <w:p>
            <w:pPr>
              <w:spacing w:after="0"/>
              <w:rPr>
                <w:sz w:val="6"/>
                <w:szCs w:val="6"/>
                <w:color w:val="auto"/>
              </w:rPr>
            </w:pPr>
          </w:p>
        </w:tc>
        <w:tc>
          <w:tcPr>
            <w:tcW w:w="2360" w:type="dxa"/>
            <w:vAlign w:val="bottom"/>
            <w:vMerge w:val="restart"/>
          </w:tcPr>
          <w:p>
            <w:pPr>
              <w:ind w:left="780"/>
              <w:spacing w:after="0" w:line="136" w:lineRule="exact"/>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Principal Accounting Officer</w:t>
            </w:r>
          </w:p>
        </w:tc>
        <w:tc>
          <w:tcPr>
            <w:tcW w:w="900" w:type="dxa"/>
            <w:vAlign w:val="bottom"/>
            <w:vMerge w:val="restart"/>
          </w:tcPr>
          <w:p>
            <w:pPr>
              <w:jc w:val="right"/>
              <w:ind w:right="728"/>
              <w:spacing w:after="0" w:line="13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15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4"/>
              </w:rPr>
              <w:t>*</w:t>
            </w:r>
          </w:p>
        </w:tc>
        <w:tc>
          <w:tcPr>
            <w:tcW w:w="20" w:type="dxa"/>
            <w:vAlign w:val="bottom"/>
          </w:tcPr>
          <w:p>
            <w:pPr>
              <w:spacing w:after="0"/>
              <w:rPr>
                <w:sz w:val="18"/>
                <w:szCs w:val="18"/>
                <w:color w:val="auto"/>
              </w:rPr>
            </w:pPr>
          </w:p>
        </w:tc>
        <w:tc>
          <w:tcPr>
            <w:tcW w:w="2360" w:type="dxa"/>
            <w:vAlign w:val="bottom"/>
            <w:vMerge w:val="restart"/>
          </w:tcPr>
          <w:p>
            <w:pPr>
              <w:jc w:val="center"/>
              <w:ind w:left="818"/>
              <w:spacing w:after="0"/>
              <w:rPr>
                <w:sz w:val="20"/>
                <w:szCs w:val="20"/>
                <w:color w:val="auto"/>
              </w:rPr>
            </w:pPr>
            <w:r>
              <w:rPr>
                <w:rFonts w:ascii="Arial" w:cs="Arial" w:eastAsia="Arial" w:hAnsi="Arial"/>
                <w:sz w:val="12"/>
                <w:szCs w:val="12"/>
                <w:color w:val="auto"/>
              </w:rPr>
              <w:t>Director</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color w:val="auto"/>
              </w:rPr>
              <w:t>October 10, 2025</w:t>
            </w:r>
          </w:p>
        </w:tc>
        <w:tc>
          <w:tcPr>
            <w:tcW w:w="0" w:type="dxa"/>
            <w:vAlign w:val="bottom"/>
          </w:tcPr>
          <w:p>
            <w:pPr>
              <w:spacing w:after="0"/>
              <w:rPr>
                <w:sz w:val="1"/>
                <w:szCs w:val="1"/>
                <w:color w:val="auto"/>
              </w:rPr>
            </w:pPr>
          </w:p>
        </w:tc>
      </w:tr>
      <w:tr>
        <w:trPr>
          <w:trHeight w:val="68"/>
        </w:trPr>
        <w:tc>
          <w:tcPr>
            <w:tcW w:w="1580" w:type="dxa"/>
            <w:vAlign w:val="bottom"/>
            <w:vMerge w:val="restart"/>
          </w:tcPr>
          <w:p>
            <w:pPr>
              <w:jc w:val="center"/>
              <w:spacing w:after="0"/>
              <w:rPr>
                <w:sz w:val="20"/>
                <w:szCs w:val="20"/>
                <w:color w:val="auto"/>
              </w:rPr>
            </w:pPr>
            <w:r>
              <w:rPr>
                <w:rFonts w:ascii="Arial" w:cs="Arial" w:eastAsia="Arial" w:hAnsi="Arial"/>
                <w:sz w:val="12"/>
                <w:szCs w:val="12"/>
                <w:color w:val="auto"/>
              </w:rPr>
              <w:t>Ben Horowitz</w:t>
            </w:r>
          </w:p>
        </w:tc>
        <w:tc>
          <w:tcPr>
            <w:tcW w:w="20" w:type="dxa"/>
            <w:vAlign w:val="bottom"/>
          </w:tcPr>
          <w:p>
            <w:pPr>
              <w:spacing w:after="0"/>
              <w:rPr>
                <w:sz w:val="5"/>
                <w:szCs w:val="5"/>
                <w:color w:val="auto"/>
              </w:rPr>
            </w:pPr>
          </w:p>
        </w:tc>
        <w:tc>
          <w:tcPr>
            <w:tcW w:w="236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5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4"/>
              </w:rPr>
              <w:t>*</w:t>
            </w:r>
          </w:p>
        </w:tc>
        <w:tc>
          <w:tcPr>
            <w:tcW w:w="20" w:type="dxa"/>
            <w:vAlign w:val="bottom"/>
          </w:tcPr>
          <w:p>
            <w:pPr>
              <w:spacing w:after="0"/>
              <w:rPr>
                <w:sz w:val="18"/>
                <w:szCs w:val="18"/>
                <w:color w:val="auto"/>
              </w:rPr>
            </w:pPr>
          </w:p>
        </w:tc>
        <w:tc>
          <w:tcPr>
            <w:tcW w:w="2360" w:type="dxa"/>
            <w:vAlign w:val="bottom"/>
            <w:vMerge w:val="restart"/>
          </w:tcPr>
          <w:p>
            <w:pPr>
              <w:jc w:val="center"/>
              <w:ind w:left="818"/>
              <w:spacing w:after="0"/>
              <w:rPr>
                <w:sz w:val="20"/>
                <w:szCs w:val="20"/>
                <w:color w:val="auto"/>
              </w:rPr>
            </w:pPr>
            <w:r>
              <w:rPr>
                <w:rFonts w:ascii="Arial" w:cs="Arial" w:eastAsia="Arial" w:hAnsi="Arial"/>
                <w:sz w:val="12"/>
                <w:szCs w:val="12"/>
                <w:color w:val="auto"/>
              </w:rPr>
              <w:t>Director</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color w:val="auto"/>
              </w:rPr>
              <w:t>October 10, 2025</w:t>
            </w:r>
          </w:p>
        </w:tc>
        <w:tc>
          <w:tcPr>
            <w:tcW w:w="0" w:type="dxa"/>
            <w:vAlign w:val="bottom"/>
          </w:tcPr>
          <w:p>
            <w:pPr>
              <w:spacing w:after="0"/>
              <w:rPr>
                <w:sz w:val="1"/>
                <w:szCs w:val="1"/>
                <w:color w:val="auto"/>
              </w:rPr>
            </w:pPr>
          </w:p>
        </w:tc>
      </w:tr>
      <w:tr>
        <w:trPr>
          <w:trHeight w:val="68"/>
        </w:trPr>
        <w:tc>
          <w:tcPr>
            <w:tcW w:w="1580" w:type="dxa"/>
            <w:vAlign w:val="bottom"/>
            <w:vMerge w:val="restart"/>
          </w:tcPr>
          <w:p>
            <w:pPr>
              <w:jc w:val="center"/>
              <w:spacing w:after="0"/>
              <w:rPr>
                <w:sz w:val="20"/>
                <w:szCs w:val="20"/>
                <w:color w:val="auto"/>
              </w:rPr>
            </w:pPr>
            <w:r>
              <w:rPr>
                <w:rFonts w:ascii="Arial" w:cs="Arial" w:eastAsia="Arial" w:hAnsi="Arial"/>
                <w:sz w:val="12"/>
                <w:szCs w:val="12"/>
                <w:color w:val="auto"/>
              </w:rPr>
              <w:t>Arif Janmohamed</w:t>
            </w:r>
          </w:p>
        </w:tc>
        <w:tc>
          <w:tcPr>
            <w:tcW w:w="20" w:type="dxa"/>
            <w:vAlign w:val="bottom"/>
          </w:tcPr>
          <w:p>
            <w:pPr>
              <w:spacing w:after="0"/>
              <w:rPr>
                <w:sz w:val="5"/>
                <w:szCs w:val="5"/>
                <w:color w:val="auto"/>
              </w:rPr>
            </w:pPr>
          </w:p>
        </w:tc>
        <w:tc>
          <w:tcPr>
            <w:tcW w:w="236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5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580" w:type="dxa"/>
            <w:vAlign w:val="bottom"/>
          </w:tcPr>
          <w:p>
            <w:pPr>
              <w:jc w:val="center"/>
              <w:spacing w:after="0"/>
              <w:rPr>
                <w:sz w:val="20"/>
                <w:szCs w:val="20"/>
                <w:color w:val="auto"/>
              </w:rPr>
            </w:pPr>
            <w:r>
              <w:rPr>
                <w:rFonts w:ascii="Arial" w:cs="Arial" w:eastAsia="Arial" w:hAnsi="Arial"/>
                <w:sz w:val="12"/>
                <w:szCs w:val="12"/>
                <w:color w:val="auto"/>
                <w:w w:val="84"/>
              </w:rPr>
              <w:t>*</w:t>
            </w:r>
          </w:p>
        </w:tc>
        <w:tc>
          <w:tcPr>
            <w:tcW w:w="20" w:type="dxa"/>
            <w:vAlign w:val="bottom"/>
          </w:tcPr>
          <w:p>
            <w:pPr>
              <w:spacing w:after="0"/>
              <w:rPr>
                <w:sz w:val="18"/>
                <w:szCs w:val="18"/>
                <w:color w:val="auto"/>
              </w:rPr>
            </w:pPr>
          </w:p>
        </w:tc>
        <w:tc>
          <w:tcPr>
            <w:tcW w:w="2360" w:type="dxa"/>
            <w:vAlign w:val="bottom"/>
            <w:vMerge w:val="restart"/>
          </w:tcPr>
          <w:p>
            <w:pPr>
              <w:jc w:val="center"/>
              <w:ind w:left="818"/>
              <w:spacing w:after="0"/>
              <w:rPr>
                <w:sz w:val="20"/>
                <w:szCs w:val="20"/>
                <w:color w:val="auto"/>
              </w:rPr>
            </w:pPr>
            <w:r>
              <w:rPr>
                <w:rFonts w:ascii="Arial" w:cs="Arial" w:eastAsia="Arial" w:hAnsi="Arial"/>
                <w:sz w:val="12"/>
                <w:szCs w:val="12"/>
                <w:color w:val="auto"/>
              </w:rPr>
              <w:t>Director</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color w:val="auto"/>
              </w:rPr>
              <w:t>October 10, 2025</w:t>
            </w:r>
          </w:p>
        </w:tc>
        <w:tc>
          <w:tcPr>
            <w:tcW w:w="0" w:type="dxa"/>
            <w:vAlign w:val="bottom"/>
          </w:tcPr>
          <w:p>
            <w:pPr>
              <w:spacing w:after="0"/>
              <w:rPr>
                <w:sz w:val="1"/>
                <w:szCs w:val="1"/>
                <w:color w:val="auto"/>
              </w:rPr>
            </w:pPr>
          </w:p>
        </w:tc>
      </w:tr>
      <w:tr>
        <w:trPr>
          <w:trHeight w:val="27"/>
        </w:trPr>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1580" w:type="dxa"/>
            <w:vAlign w:val="bottom"/>
            <w:vMerge w:val="restart"/>
          </w:tcPr>
          <w:p>
            <w:pPr>
              <w:jc w:val="center"/>
              <w:spacing w:after="0"/>
              <w:rPr>
                <w:sz w:val="20"/>
                <w:szCs w:val="20"/>
                <w:color w:val="auto"/>
              </w:rPr>
            </w:pPr>
            <w:r>
              <w:rPr>
                <w:rFonts w:ascii="Arial" w:cs="Arial" w:eastAsia="Arial" w:hAnsi="Arial"/>
                <w:sz w:val="12"/>
                <w:szCs w:val="12"/>
                <w:color w:val="auto"/>
              </w:rPr>
              <w:t>Michael Kourey</w:t>
            </w:r>
          </w:p>
        </w:tc>
        <w:tc>
          <w:tcPr>
            <w:tcW w:w="2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580" w:type="dxa"/>
            <w:vAlign w:val="bottom"/>
          </w:tcPr>
          <w:p>
            <w:pPr>
              <w:jc w:val="center"/>
              <w:spacing w:after="0"/>
              <w:rPr>
                <w:sz w:val="20"/>
                <w:szCs w:val="20"/>
                <w:color w:val="auto"/>
              </w:rPr>
            </w:pPr>
            <w:r>
              <w:rPr>
                <w:rFonts w:ascii="Arial" w:cs="Arial" w:eastAsia="Arial" w:hAnsi="Arial"/>
                <w:sz w:val="12"/>
                <w:szCs w:val="12"/>
                <w:color w:val="auto"/>
                <w:w w:val="84"/>
              </w:rPr>
              <w:t>*</w:t>
            </w:r>
          </w:p>
        </w:tc>
        <w:tc>
          <w:tcPr>
            <w:tcW w:w="20" w:type="dxa"/>
            <w:vAlign w:val="bottom"/>
          </w:tcPr>
          <w:p>
            <w:pPr>
              <w:spacing w:after="0"/>
              <w:rPr>
                <w:sz w:val="18"/>
                <w:szCs w:val="18"/>
                <w:color w:val="auto"/>
              </w:rPr>
            </w:pPr>
          </w:p>
        </w:tc>
        <w:tc>
          <w:tcPr>
            <w:tcW w:w="2360" w:type="dxa"/>
            <w:vAlign w:val="bottom"/>
            <w:vMerge w:val="restart"/>
          </w:tcPr>
          <w:p>
            <w:pPr>
              <w:jc w:val="center"/>
              <w:ind w:left="818"/>
              <w:spacing w:after="0"/>
              <w:rPr>
                <w:sz w:val="20"/>
                <w:szCs w:val="20"/>
                <w:color w:val="auto"/>
              </w:rPr>
            </w:pPr>
            <w:r>
              <w:rPr>
                <w:rFonts w:ascii="Arial" w:cs="Arial" w:eastAsia="Arial" w:hAnsi="Arial"/>
                <w:sz w:val="12"/>
                <w:szCs w:val="12"/>
                <w:color w:val="auto"/>
              </w:rPr>
              <w:t>Director</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color w:val="auto"/>
              </w:rPr>
              <w:t>October 10, 2025</w:t>
            </w:r>
          </w:p>
        </w:tc>
        <w:tc>
          <w:tcPr>
            <w:tcW w:w="0" w:type="dxa"/>
            <w:vAlign w:val="bottom"/>
          </w:tcPr>
          <w:p>
            <w:pPr>
              <w:spacing w:after="0"/>
              <w:rPr>
                <w:sz w:val="1"/>
                <w:szCs w:val="1"/>
                <w:color w:val="auto"/>
              </w:rPr>
            </w:pPr>
          </w:p>
        </w:tc>
      </w:tr>
      <w:tr>
        <w:trPr>
          <w:trHeight w:val="37"/>
        </w:trPr>
        <w:tc>
          <w:tcPr>
            <w:tcW w:w="1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36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1580" w:type="dxa"/>
            <w:vAlign w:val="bottom"/>
            <w:vMerge w:val="restart"/>
          </w:tcPr>
          <w:p>
            <w:pPr>
              <w:jc w:val="center"/>
              <w:spacing w:after="0"/>
              <w:rPr>
                <w:sz w:val="20"/>
                <w:szCs w:val="20"/>
                <w:color w:val="auto"/>
              </w:rPr>
            </w:pPr>
            <w:r>
              <w:rPr>
                <w:rFonts w:ascii="Arial" w:cs="Arial" w:eastAsia="Arial" w:hAnsi="Arial"/>
                <w:sz w:val="12"/>
                <w:szCs w:val="12"/>
                <w:color w:val="auto"/>
              </w:rPr>
              <w:t>Clara Liang</w:t>
            </w:r>
          </w:p>
        </w:tc>
        <w:tc>
          <w:tcPr>
            <w:tcW w:w="2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4"/>
              </w:rPr>
              <w:t>*</w:t>
            </w:r>
          </w:p>
        </w:tc>
        <w:tc>
          <w:tcPr>
            <w:tcW w:w="20" w:type="dxa"/>
            <w:vAlign w:val="bottom"/>
          </w:tcPr>
          <w:p>
            <w:pPr>
              <w:spacing w:after="0"/>
              <w:rPr>
                <w:sz w:val="18"/>
                <w:szCs w:val="18"/>
                <w:color w:val="auto"/>
              </w:rPr>
            </w:pPr>
          </w:p>
        </w:tc>
        <w:tc>
          <w:tcPr>
            <w:tcW w:w="2360" w:type="dxa"/>
            <w:vAlign w:val="bottom"/>
            <w:vMerge w:val="restart"/>
          </w:tcPr>
          <w:p>
            <w:pPr>
              <w:jc w:val="center"/>
              <w:ind w:left="818"/>
              <w:spacing w:after="0"/>
              <w:rPr>
                <w:sz w:val="20"/>
                <w:szCs w:val="20"/>
                <w:color w:val="auto"/>
              </w:rPr>
            </w:pPr>
            <w:r>
              <w:rPr>
                <w:rFonts w:ascii="Arial" w:cs="Arial" w:eastAsia="Arial" w:hAnsi="Arial"/>
                <w:sz w:val="12"/>
                <w:szCs w:val="12"/>
                <w:color w:val="auto"/>
              </w:rPr>
              <w:t>Director</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color w:val="auto"/>
              </w:rPr>
              <w:t>October 10, 2025</w:t>
            </w:r>
          </w:p>
        </w:tc>
        <w:tc>
          <w:tcPr>
            <w:tcW w:w="0" w:type="dxa"/>
            <w:vAlign w:val="bottom"/>
          </w:tcPr>
          <w:p>
            <w:pPr>
              <w:spacing w:after="0"/>
              <w:rPr>
                <w:sz w:val="1"/>
                <w:szCs w:val="1"/>
                <w:color w:val="auto"/>
              </w:rPr>
            </w:pPr>
          </w:p>
        </w:tc>
      </w:tr>
      <w:tr>
        <w:trPr>
          <w:trHeight w:val="68"/>
        </w:trPr>
        <w:tc>
          <w:tcPr>
            <w:tcW w:w="1580" w:type="dxa"/>
            <w:vAlign w:val="bottom"/>
            <w:vMerge w:val="restart"/>
          </w:tcPr>
          <w:p>
            <w:pPr>
              <w:jc w:val="center"/>
              <w:spacing w:after="0"/>
              <w:rPr>
                <w:sz w:val="20"/>
                <w:szCs w:val="20"/>
                <w:color w:val="auto"/>
              </w:rPr>
            </w:pPr>
            <w:r>
              <w:rPr>
                <w:rFonts w:ascii="Arial" w:cs="Arial" w:eastAsia="Arial" w:hAnsi="Arial"/>
                <w:sz w:val="12"/>
                <w:szCs w:val="12"/>
                <w:color w:val="auto"/>
              </w:rPr>
              <w:t>Sandesh Patnam</w:t>
            </w:r>
          </w:p>
        </w:tc>
        <w:tc>
          <w:tcPr>
            <w:tcW w:w="20" w:type="dxa"/>
            <w:vAlign w:val="bottom"/>
          </w:tcPr>
          <w:p>
            <w:pPr>
              <w:spacing w:after="0"/>
              <w:rPr>
                <w:sz w:val="5"/>
                <w:szCs w:val="5"/>
                <w:color w:val="auto"/>
              </w:rPr>
            </w:pPr>
          </w:p>
        </w:tc>
        <w:tc>
          <w:tcPr>
            <w:tcW w:w="236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5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580" w:type="dxa"/>
            <w:vAlign w:val="bottom"/>
          </w:tcPr>
          <w:p>
            <w:pPr>
              <w:jc w:val="center"/>
              <w:spacing w:after="0"/>
              <w:rPr>
                <w:sz w:val="20"/>
                <w:szCs w:val="20"/>
                <w:color w:val="auto"/>
              </w:rPr>
            </w:pPr>
            <w:r>
              <w:rPr>
                <w:rFonts w:ascii="Arial" w:cs="Arial" w:eastAsia="Arial" w:hAnsi="Arial"/>
                <w:sz w:val="12"/>
                <w:szCs w:val="12"/>
                <w:color w:val="auto"/>
                <w:w w:val="84"/>
              </w:rPr>
              <w:t>*</w:t>
            </w:r>
          </w:p>
        </w:tc>
        <w:tc>
          <w:tcPr>
            <w:tcW w:w="20" w:type="dxa"/>
            <w:vAlign w:val="bottom"/>
          </w:tcPr>
          <w:p>
            <w:pPr>
              <w:spacing w:after="0"/>
              <w:rPr>
                <w:sz w:val="18"/>
                <w:szCs w:val="18"/>
                <w:color w:val="auto"/>
              </w:rPr>
            </w:pPr>
          </w:p>
        </w:tc>
        <w:tc>
          <w:tcPr>
            <w:tcW w:w="3260" w:type="dxa"/>
            <w:vAlign w:val="bottom"/>
            <w:gridSpan w:val="2"/>
            <w:vMerge w:val="restart"/>
          </w:tcPr>
          <w:p>
            <w:pPr>
              <w:jc w:val="center"/>
              <w:ind w:right="8"/>
              <w:spacing w:after="0"/>
              <w:rPr>
                <w:sz w:val="20"/>
                <w:szCs w:val="20"/>
                <w:color w:val="auto"/>
              </w:rPr>
            </w:pPr>
            <w:r>
              <w:rPr>
                <w:rFonts w:ascii="Arial" w:cs="Arial" w:eastAsia="Arial" w:hAnsi="Arial"/>
                <w:sz w:val="12"/>
                <w:szCs w:val="12"/>
                <w:color w:val="auto"/>
              </w:rPr>
              <w:t>Chief Technology Officer and Director</w:t>
            </w:r>
          </w:p>
        </w:tc>
        <w:tc>
          <w:tcPr>
            <w:tcW w:w="4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color w:val="auto"/>
              </w:rPr>
              <w:t>October 10, 2025</w:t>
            </w:r>
          </w:p>
        </w:tc>
        <w:tc>
          <w:tcPr>
            <w:tcW w:w="0" w:type="dxa"/>
            <w:vAlign w:val="bottom"/>
          </w:tcPr>
          <w:p>
            <w:pPr>
              <w:spacing w:after="0"/>
              <w:rPr>
                <w:sz w:val="1"/>
                <w:szCs w:val="1"/>
                <w:color w:val="auto"/>
              </w:rPr>
            </w:pPr>
          </w:p>
        </w:tc>
      </w:tr>
      <w:tr>
        <w:trPr>
          <w:trHeight w:val="37"/>
        </w:trPr>
        <w:tc>
          <w:tcPr>
            <w:tcW w:w="1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2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1580" w:type="dxa"/>
            <w:vAlign w:val="bottom"/>
            <w:vMerge w:val="restart"/>
          </w:tcPr>
          <w:p>
            <w:pPr>
              <w:jc w:val="center"/>
              <w:spacing w:after="0"/>
              <w:rPr>
                <w:sz w:val="20"/>
                <w:szCs w:val="20"/>
                <w:color w:val="auto"/>
              </w:rPr>
            </w:pPr>
            <w:r>
              <w:rPr>
                <w:rFonts w:ascii="Arial" w:cs="Arial" w:eastAsia="Arial" w:hAnsi="Arial"/>
                <w:sz w:val="12"/>
                <w:szCs w:val="12"/>
                <w:color w:val="auto"/>
              </w:rPr>
              <w:t>Ilan Twig</w:t>
            </w:r>
          </w:p>
        </w:tc>
        <w:tc>
          <w:tcPr>
            <w:tcW w:w="20" w:type="dxa"/>
            <w:vAlign w:val="bottom"/>
          </w:tcPr>
          <w:p>
            <w:pPr>
              <w:spacing w:after="0"/>
              <w:rPr>
                <w:sz w:val="4"/>
                <w:szCs w:val="4"/>
                <w:color w:val="auto"/>
              </w:rPr>
            </w:pPr>
          </w:p>
        </w:tc>
        <w:tc>
          <w:tcPr>
            <w:tcW w:w="32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580" w:type="dxa"/>
            <w:vAlign w:val="bottom"/>
          </w:tcPr>
          <w:p>
            <w:pPr>
              <w:jc w:val="center"/>
              <w:spacing w:after="0"/>
              <w:rPr>
                <w:sz w:val="20"/>
                <w:szCs w:val="20"/>
                <w:color w:val="auto"/>
              </w:rPr>
            </w:pPr>
            <w:r>
              <w:rPr>
                <w:rFonts w:ascii="Arial" w:cs="Arial" w:eastAsia="Arial" w:hAnsi="Arial"/>
                <w:sz w:val="12"/>
                <w:szCs w:val="12"/>
                <w:color w:val="auto"/>
                <w:w w:val="84"/>
              </w:rPr>
              <w:t>*</w:t>
            </w:r>
          </w:p>
        </w:tc>
        <w:tc>
          <w:tcPr>
            <w:tcW w:w="20" w:type="dxa"/>
            <w:vAlign w:val="bottom"/>
          </w:tcPr>
          <w:p>
            <w:pPr>
              <w:spacing w:after="0"/>
              <w:rPr>
                <w:sz w:val="18"/>
                <w:szCs w:val="18"/>
                <w:color w:val="auto"/>
              </w:rPr>
            </w:pPr>
          </w:p>
        </w:tc>
        <w:tc>
          <w:tcPr>
            <w:tcW w:w="2360" w:type="dxa"/>
            <w:vAlign w:val="bottom"/>
            <w:vMerge w:val="restart"/>
          </w:tcPr>
          <w:p>
            <w:pPr>
              <w:jc w:val="center"/>
              <w:ind w:left="818"/>
              <w:spacing w:after="0"/>
              <w:rPr>
                <w:sz w:val="20"/>
                <w:szCs w:val="20"/>
                <w:color w:val="auto"/>
              </w:rPr>
            </w:pPr>
            <w:r>
              <w:rPr>
                <w:rFonts w:ascii="Arial" w:cs="Arial" w:eastAsia="Arial" w:hAnsi="Arial"/>
                <w:sz w:val="12"/>
                <w:szCs w:val="12"/>
                <w:color w:val="auto"/>
              </w:rPr>
              <w:t>Director</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color w:val="auto"/>
              </w:rPr>
              <w:t>October 10, 2025</w:t>
            </w:r>
          </w:p>
        </w:tc>
        <w:tc>
          <w:tcPr>
            <w:tcW w:w="0" w:type="dxa"/>
            <w:vAlign w:val="bottom"/>
          </w:tcPr>
          <w:p>
            <w:pPr>
              <w:spacing w:after="0"/>
              <w:rPr>
                <w:sz w:val="1"/>
                <w:szCs w:val="1"/>
                <w:color w:val="auto"/>
              </w:rPr>
            </w:pPr>
          </w:p>
        </w:tc>
      </w:tr>
      <w:tr>
        <w:trPr>
          <w:trHeight w:val="37"/>
        </w:trPr>
        <w:tc>
          <w:tcPr>
            <w:tcW w:w="1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36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1580" w:type="dxa"/>
            <w:vAlign w:val="bottom"/>
            <w:vMerge w:val="restart"/>
          </w:tcPr>
          <w:p>
            <w:pPr>
              <w:jc w:val="center"/>
              <w:spacing w:after="0"/>
              <w:rPr>
                <w:sz w:val="20"/>
                <w:szCs w:val="20"/>
                <w:color w:val="auto"/>
              </w:rPr>
            </w:pPr>
            <w:r>
              <w:rPr>
                <w:rFonts w:ascii="Arial" w:cs="Arial" w:eastAsia="Arial" w:hAnsi="Arial"/>
                <w:sz w:val="12"/>
                <w:szCs w:val="12"/>
                <w:color w:val="auto"/>
              </w:rPr>
              <w:t>Anré Williams</w:t>
            </w:r>
          </w:p>
        </w:tc>
        <w:tc>
          <w:tcPr>
            <w:tcW w:w="2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580" w:type="dxa"/>
            <w:vAlign w:val="bottom"/>
          </w:tcPr>
          <w:p>
            <w:pPr>
              <w:jc w:val="center"/>
              <w:spacing w:after="0"/>
              <w:rPr>
                <w:sz w:val="20"/>
                <w:szCs w:val="20"/>
                <w:color w:val="auto"/>
              </w:rPr>
            </w:pPr>
            <w:r>
              <w:rPr>
                <w:rFonts w:ascii="Arial" w:cs="Arial" w:eastAsia="Arial" w:hAnsi="Arial"/>
                <w:sz w:val="12"/>
                <w:szCs w:val="12"/>
                <w:color w:val="auto"/>
                <w:w w:val="84"/>
              </w:rPr>
              <w:t>*</w:t>
            </w:r>
          </w:p>
        </w:tc>
        <w:tc>
          <w:tcPr>
            <w:tcW w:w="20" w:type="dxa"/>
            <w:vAlign w:val="bottom"/>
          </w:tcPr>
          <w:p>
            <w:pPr>
              <w:spacing w:after="0"/>
              <w:rPr>
                <w:sz w:val="18"/>
                <w:szCs w:val="18"/>
                <w:color w:val="auto"/>
              </w:rPr>
            </w:pPr>
          </w:p>
        </w:tc>
        <w:tc>
          <w:tcPr>
            <w:tcW w:w="2360" w:type="dxa"/>
            <w:vAlign w:val="bottom"/>
            <w:vMerge w:val="restart"/>
          </w:tcPr>
          <w:p>
            <w:pPr>
              <w:jc w:val="center"/>
              <w:ind w:left="818"/>
              <w:spacing w:after="0"/>
              <w:rPr>
                <w:sz w:val="20"/>
                <w:szCs w:val="20"/>
                <w:color w:val="auto"/>
              </w:rPr>
            </w:pPr>
            <w:r>
              <w:rPr>
                <w:rFonts w:ascii="Arial" w:cs="Arial" w:eastAsia="Arial" w:hAnsi="Arial"/>
                <w:sz w:val="12"/>
                <w:szCs w:val="12"/>
                <w:color w:val="auto"/>
              </w:rPr>
              <w:t>Director</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color w:val="auto"/>
              </w:rPr>
              <w:t>October 10, 2025</w:t>
            </w:r>
          </w:p>
        </w:tc>
        <w:tc>
          <w:tcPr>
            <w:tcW w:w="0" w:type="dxa"/>
            <w:vAlign w:val="bottom"/>
          </w:tcPr>
          <w:p>
            <w:pPr>
              <w:spacing w:after="0"/>
              <w:rPr>
                <w:sz w:val="1"/>
                <w:szCs w:val="1"/>
                <w:color w:val="auto"/>
              </w:rPr>
            </w:pPr>
          </w:p>
        </w:tc>
      </w:tr>
      <w:tr>
        <w:trPr>
          <w:trHeight w:val="37"/>
        </w:trPr>
        <w:tc>
          <w:tcPr>
            <w:tcW w:w="1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36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1580" w:type="dxa"/>
            <w:vAlign w:val="bottom"/>
            <w:vMerge w:val="restart"/>
          </w:tcPr>
          <w:p>
            <w:pPr>
              <w:jc w:val="center"/>
              <w:spacing w:after="0"/>
              <w:rPr>
                <w:sz w:val="20"/>
                <w:szCs w:val="20"/>
                <w:color w:val="auto"/>
              </w:rPr>
            </w:pPr>
            <w:r>
              <w:rPr>
                <w:rFonts w:ascii="Arial" w:cs="Arial" w:eastAsia="Arial" w:hAnsi="Arial"/>
                <w:sz w:val="12"/>
                <w:szCs w:val="12"/>
                <w:color w:val="auto"/>
              </w:rPr>
              <w:t>Oren Zeev</w:t>
            </w:r>
          </w:p>
        </w:tc>
        <w:tc>
          <w:tcPr>
            <w:tcW w:w="2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1580"/>
        <w:spacing w:after="0"/>
        <w:tabs>
          <w:tab w:leader="none" w:pos="1900" w:val="left"/>
        </w:tabs>
        <w:rPr>
          <w:sz w:val="20"/>
          <w:szCs w:val="20"/>
          <w:color w:val="auto"/>
        </w:rPr>
      </w:pPr>
      <w:r>
        <w:rPr>
          <w:rFonts w:ascii="Arial" w:cs="Arial" w:eastAsia="Arial" w:hAnsi="Arial"/>
          <w:sz w:val="12"/>
          <w:szCs w:val="12"/>
          <w:color w:val="auto"/>
        </w:rPr>
        <w:t>*By:</w:t>
        <w:tab/>
        <w:t>/s/ Ariel Cohen</w:t>
      </w:r>
    </w:p>
    <w:p>
      <w:pPr>
        <w:spacing w:after="0" w:line="82"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Attorney-in-Fact</w:t>
      </w:r>
    </w:p>
    <w:p>
      <w:pPr>
        <w:sectPr>
          <w:pgSz w:w="11900" w:h="16840" w:orient="portrait"/>
          <w:cols w:equalWidth="0" w:num="1">
            <w:col w:w="9020"/>
          </w:cols>
          <w:pgMar w:left="1440" w:top="1440" w:right="1440" w:bottom="3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II-6</w:t>
      </w:r>
    </w:p>
    <w:p>
      <w:pPr>
        <w:sectPr>
          <w:pgSz w:w="11900" w:h="16840" w:orient="portrait"/>
          <w:cols w:equalWidth="0" w:num="1">
            <w:col w:w="9020"/>
          </w:cols>
          <w:pgMar w:left="1440" w:top="1440" w:right="1440" w:bottom="363" w:gutter="0" w:footer="0" w:header="0"/>
          <w:type w:val="continuous"/>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410845</wp:posOffset>
            </wp:positionH>
            <wp:positionV relativeFrom="page">
              <wp:posOffset>361950</wp:posOffset>
            </wp:positionV>
            <wp:extent cx="6732270" cy="1212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6732270" cy="12128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17" w:name="page218"/>
    <w:bookmarkEnd w:id="217"/>
    <w:p>
      <w:pPr>
        <w:ind w:left="3300"/>
        <w:spacing w:after="0"/>
        <w:rPr>
          <w:sz w:val="20"/>
          <w:szCs w:val="20"/>
          <w:color w:val="auto"/>
        </w:rPr>
      </w:pPr>
      <w:r>
        <w:rPr>
          <w:rFonts w:ascii="Arial" w:cs="Arial" w:eastAsia="Arial" w:hAnsi="Arial"/>
          <w:sz w:val="26"/>
          <w:szCs w:val="26"/>
          <w:b w:val="1"/>
          <w:bCs w:val="1"/>
          <w:color w:val="auto"/>
        </w:rPr>
        <w:t>Calculation of Filing Fee Tables</w:t>
      </w:r>
    </w:p>
    <w:p>
      <w:pPr>
        <w:spacing w:after="0" w:line="151" w:lineRule="exact"/>
        <w:rPr>
          <w:sz w:val="20"/>
          <w:szCs w:val="20"/>
          <w:color w:val="auto"/>
        </w:rPr>
      </w:pPr>
    </w:p>
    <w:p>
      <w:pPr>
        <w:ind w:left="5040"/>
        <w:spacing w:after="0"/>
        <w:rPr>
          <w:sz w:val="20"/>
          <w:szCs w:val="20"/>
          <w:color w:val="auto"/>
        </w:rPr>
      </w:pPr>
      <w:r>
        <w:rPr>
          <w:rFonts w:ascii="Arial" w:cs="Arial" w:eastAsia="Arial" w:hAnsi="Arial"/>
          <w:sz w:val="26"/>
          <w:szCs w:val="26"/>
          <w:b w:val="1"/>
          <w:bCs w:val="1"/>
          <w:color w:val="auto"/>
        </w:rPr>
        <w:t>S-1</w:t>
      </w:r>
    </w:p>
    <w:p>
      <w:pPr>
        <w:spacing w:after="0" w:line="84" w:lineRule="exact"/>
        <w:rPr>
          <w:sz w:val="20"/>
          <w:szCs w:val="20"/>
          <w:color w:val="auto"/>
        </w:rPr>
      </w:pPr>
    </w:p>
    <w:p>
      <w:pPr>
        <w:jc w:val="center"/>
        <w:ind w:right="200"/>
        <w:spacing w:after="0"/>
        <w:rPr>
          <w:sz w:val="20"/>
          <w:szCs w:val="20"/>
          <w:color w:val="auto"/>
        </w:rPr>
      </w:pPr>
      <w:r>
        <w:rPr>
          <w:rFonts w:ascii="Arial" w:cs="Arial" w:eastAsia="Arial" w:hAnsi="Arial"/>
          <w:sz w:val="26"/>
          <w:szCs w:val="26"/>
          <w:b w:val="1"/>
          <w:bCs w:val="1"/>
          <w:color w:val="auto"/>
        </w:rPr>
        <w:t>Navan, Inc.</w:t>
      </w:r>
    </w:p>
    <w:p>
      <w:pPr>
        <w:spacing w:after="0" w:line="8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140" w:type="dxa"/>
            <w:vAlign w:val="bottom"/>
            <w:tcBorders>
              <w:bottom w:val="single" w:sz="8" w:color="auto"/>
            </w:tcBorders>
            <w:gridSpan w:val="13"/>
          </w:tcPr>
          <w:p>
            <w:pPr>
              <w:ind w:left="40"/>
              <w:spacing w:after="0"/>
              <w:rPr>
                <w:sz w:val="20"/>
                <w:szCs w:val="20"/>
                <w:color w:val="auto"/>
              </w:rPr>
            </w:pPr>
            <w:r>
              <w:rPr>
                <w:rFonts w:ascii="Arial" w:cs="Arial" w:eastAsia="Arial" w:hAnsi="Arial"/>
                <w:sz w:val="15"/>
                <w:szCs w:val="15"/>
                <w:b w:val="1"/>
                <w:bCs w:val="1"/>
                <w:color w:val="auto"/>
              </w:rPr>
              <w:t>Table 1: Newly Registered and Carry Forward Securities</w:t>
            </w: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ind w:left="260"/>
              <w:spacing w:after="0" w:line="173" w:lineRule="exact"/>
              <w:rPr>
                <w:sz w:val="20"/>
                <w:szCs w:val="20"/>
                <w:color w:val="auto"/>
              </w:rPr>
            </w:pP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5"/>
                <w:szCs w:val="15"/>
                <w:b w:val="1"/>
                <w:bCs w:val="1"/>
                <w:color w:val="auto"/>
              </w:rPr>
              <w:t>Filing Fee</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5"/>
                <w:szCs w:val="15"/>
                <w:b w:val="1"/>
                <w:bCs w:val="1"/>
                <w:color w:val="auto"/>
              </w:rPr>
              <w:t>Previously</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restart"/>
            <w:shd w:val="clear" w:color="auto" w:fill="9ADAF6"/>
          </w:tcPr>
          <w:p>
            <w:pPr>
              <w:jc w:val="center"/>
              <w:ind w:left="3"/>
              <w:spacing w:after="0"/>
              <w:rPr>
                <w:sz w:val="20"/>
                <w:szCs w:val="20"/>
                <w:color w:val="auto"/>
              </w:rPr>
            </w:pPr>
            <w:r>
              <w:rPr>
                <w:rFonts w:ascii="Arial" w:cs="Arial" w:eastAsia="Arial" w:hAnsi="Arial"/>
                <w:sz w:val="15"/>
                <w:szCs w:val="15"/>
                <w:b w:val="1"/>
                <w:bCs w:val="1"/>
                <w:color w:val="auto"/>
              </w:rPr>
              <w:t>Fee</w:t>
            </w: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Proposed</w:t>
            </w:r>
          </w:p>
        </w:tc>
        <w:tc>
          <w:tcPr>
            <w:tcW w:w="20" w:type="dxa"/>
            <w:vAlign w:val="bottom"/>
          </w:tcPr>
          <w:p>
            <w:pPr>
              <w:spacing w:after="0"/>
              <w:rPr>
                <w:sz w:val="15"/>
                <w:szCs w:val="15"/>
                <w:color w:val="auto"/>
              </w:rPr>
            </w:pPr>
          </w:p>
        </w:tc>
        <w:tc>
          <w:tcPr>
            <w:tcW w:w="12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Carry</w:t>
            </w:r>
          </w:p>
        </w:tc>
        <w:tc>
          <w:tcPr>
            <w:tcW w:w="20" w:type="dxa"/>
            <w:vAlign w:val="bottom"/>
          </w:tcPr>
          <w:p>
            <w:pPr>
              <w:spacing w:after="0"/>
              <w:rPr>
                <w:sz w:val="15"/>
                <w:szCs w:val="15"/>
                <w:color w:val="auto"/>
              </w:rPr>
            </w:pPr>
          </w:p>
        </w:tc>
        <w:tc>
          <w:tcPr>
            <w:tcW w:w="8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5"/>
                <w:szCs w:val="15"/>
                <w:b w:val="1"/>
                <w:bCs w:val="1"/>
                <w:color w:val="auto"/>
              </w:rPr>
              <w:t>Paid in</w:t>
            </w: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Carry</w:t>
            </w: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Carry</w:t>
            </w:r>
          </w:p>
        </w:tc>
        <w:tc>
          <w:tcPr>
            <w:tcW w:w="20" w:type="dxa"/>
            <w:vAlign w:val="bottom"/>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Connection</w:t>
            </w:r>
          </w:p>
        </w:tc>
        <w:tc>
          <w:tcPr>
            <w:tcW w:w="0" w:type="dxa"/>
            <w:vAlign w:val="bottom"/>
          </w:tcPr>
          <w:p>
            <w:pPr>
              <w:spacing w:after="0"/>
              <w:rPr>
                <w:sz w:val="1"/>
                <w:szCs w:val="1"/>
                <w:color w:val="auto"/>
              </w:rPr>
            </w:pPr>
          </w:p>
        </w:tc>
      </w:tr>
      <w:tr>
        <w:trPr>
          <w:trHeight w:val="155"/>
        </w:trPr>
        <w:tc>
          <w:tcPr>
            <w:tcW w:w="40" w:type="dxa"/>
            <w:vAlign w:val="bottom"/>
            <w:tcBorders>
              <w:left w:val="single" w:sz="8" w:color="auto"/>
            </w:tcBorders>
          </w:tcPr>
          <w:p>
            <w:pPr>
              <w:spacing w:after="0"/>
              <w:rPr>
                <w:sz w:val="13"/>
                <w:szCs w:val="13"/>
                <w:color w:val="auto"/>
              </w:rPr>
            </w:pPr>
          </w:p>
        </w:tc>
        <w:tc>
          <w:tcPr>
            <w:tcW w:w="72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2"/>
            <w:shd w:val="clear" w:color="auto" w:fill="9ADAF6"/>
          </w:tcPr>
          <w:p>
            <w:pPr>
              <w:jc w:val="center"/>
              <w:spacing w:after="0" w:line="155" w:lineRule="exact"/>
              <w:rPr>
                <w:sz w:val="20"/>
                <w:szCs w:val="20"/>
                <w:color w:val="auto"/>
              </w:rPr>
            </w:pPr>
            <w:r>
              <w:rPr>
                <w:rFonts w:ascii="Arial" w:cs="Arial" w:eastAsia="Arial" w:hAnsi="Arial"/>
                <w:sz w:val="15"/>
                <w:szCs w:val="15"/>
                <w:b w:val="1"/>
                <w:bCs w:val="1"/>
                <w:color w:val="auto"/>
              </w:rPr>
              <w:t>Calculation</w:t>
            </w:r>
          </w:p>
        </w:tc>
        <w:tc>
          <w:tcPr>
            <w:tcW w:w="20" w:type="dxa"/>
            <w:vAlign w:val="bottom"/>
          </w:tcPr>
          <w:p>
            <w:pPr>
              <w:spacing w:after="0"/>
              <w:rPr>
                <w:sz w:val="13"/>
                <w:szCs w:val="13"/>
                <w:color w:val="auto"/>
              </w:rPr>
            </w:pPr>
          </w:p>
        </w:tc>
        <w:tc>
          <w:tcPr>
            <w:tcW w:w="8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9ADAF6"/>
          </w:tcPr>
          <w:p>
            <w:pPr>
              <w:jc w:val="center"/>
              <w:spacing w:after="0" w:line="155" w:lineRule="exact"/>
              <w:rPr>
                <w:sz w:val="20"/>
                <w:szCs w:val="20"/>
                <w:color w:val="auto"/>
              </w:rPr>
            </w:pPr>
            <w:r>
              <w:rPr>
                <w:rFonts w:ascii="Arial" w:cs="Arial" w:eastAsia="Arial" w:hAnsi="Arial"/>
                <w:sz w:val="15"/>
                <w:szCs w:val="15"/>
                <w:b w:val="1"/>
                <w:bCs w:val="1"/>
                <w:color w:val="auto"/>
              </w:rPr>
              <w:t>Maximum</w:t>
            </w:r>
          </w:p>
        </w:tc>
        <w:tc>
          <w:tcPr>
            <w:tcW w:w="20" w:type="dxa"/>
            <w:vAlign w:val="bottom"/>
          </w:tcPr>
          <w:p>
            <w:pPr>
              <w:spacing w:after="0"/>
              <w:rPr>
                <w:sz w:val="13"/>
                <w:szCs w:val="13"/>
                <w:color w:val="auto"/>
              </w:rPr>
            </w:pPr>
          </w:p>
        </w:tc>
        <w:tc>
          <w:tcPr>
            <w:tcW w:w="1200" w:type="dxa"/>
            <w:vAlign w:val="bottom"/>
            <w:shd w:val="clear" w:color="auto" w:fill="9ADAF6"/>
          </w:tcPr>
          <w:p>
            <w:pPr>
              <w:jc w:val="center"/>
              <w:spacing w:after="0" w:line="155" w:lineRule="exact"/>
              <w:rPr>
                <w:sz w:val="20"/>
                <w:szCs w:val="20"/>
                <w:color w:val="auto"/>
              </w:rPr>
            </w:pPr>
            <w:r>
              <w:rPr>
                <w:rFonts w:ascii="Arial" w:cs="Arial" w:eastAsia="Arial" w:hAnsi="Arial"/>
                <w:sz w:val="15"/>
                <w:szCs w:val="15"/>
                <w:b w:val="1"/>
                <w:bCs w:val="1"/>
                <w:color w:val="auto"/>
              </w:rPr>
              <w:t>Maximum</w:t>
            </w:r>
          </w:p>
        </w:tc>
        <w:tc>
          <w:tcPr>
            <w:tcW w:w="20" w:type="dxa"/>
            <w:vAlign w:val="bottom"/>
          </w:tcPr>
          <w:p>
            <w:pPr>
              <w:spacing w:after="0"/>
              <w:rPr>
                <w:sz w:val="13"/>
                <w:szCs w:val="13"/>
                <w:color w:val="auto"/>
              </w:rPr>
            </w:pPr>
          </w:p>
        </w:tc>
        <w:tc>
          <w:tcPr>
            <w:tcW w:w="74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shd w:val="clear" w:color="auto" w:fill="9ADAF6"/>
          </w:tcPr>
          <w:p>
            <w:pPr>
              <w:jc w:val="center"/>
              <w:spacing w:after="0" w:line="155" w:lineRule="exact"/>
              <w:rPr>
                <w:sz w:val="20"/>
                <w:szCs w:val="20"/>
                <w:color w:val="auto"/>
              </w:rPr>
            </w:pPr>
            <w:r>
              <w:rPr>
                <w:rFonts w:ascii="Arial" w:cs="Arial" w:eastAsia="Arial" w:hAnsi="Arial"/>
                <w:sz w:val="15"/>
                <w:szCs w:val="15"/>
                <w:b w:val="1"/>
                <w:bCs w:val="1"/>
                <w:color w:val="auto"/>
              </w:rPr>
              <w:t>Amount of</w:t>
            </w:r>
          </w:p>
        </w:tc>
        <w:tc>
          <w:tcPr>
            <w:tcW w:w="20" w:type="dxa"/>
            <w:vAlign w:val="bottom"/>
          </w:tcPr>
          <w:p>
            <w:pPr>
              <w:spacing w:after="0"/>
              <w:rPr>
                <w:sz w:val="13"/>
                <w:szCs w:val="13"/>
                <w:color w:val="auto"/>
              </w:rPr>
            </w:pPr>
          </w:p>
        </w:tc>
        <w:tc>
          <w:tcPr>
            <w:tcW w:w="62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9ADAF6"/>
          </w:tcPr>
          <w:p>
            <w:pPr>
              <w:jc w:val="center"/>
              <w:spacing w:after="0" w:line="155" w:lineRule="exact"/>
              <w:rPr>
                <w:sz w:val="20"/>
                <w:szCs w:val="20"/>
                <w:color w:val="auto"/>
              </w:rPr>
            </w:pPr>
            <w:r>
              <w:rPr>
                <w:rFonts w:ascii="Arial" w:cs="Arial" w:eastAsia="Arial" w:hAnsi="Arial"/>
                <w:sz w:val="15"/>
                <w:szCs w:val="15"/>
                <w:b w:val="1"/>
                <w:bCs w:val="1"/>
                <w:color w:val="auto"/>
              </w:rPr>
              <w:t>Forward</w:t>
            </w:r>
          </w:p>
        </w:tc>
        <w:tc>
          <w:tcPr>
            <w:tcW w:w="20" w:type="dxa"/>
            <w:vAlign w:val="bottom"/>
          </w:tcPr>
          <w:p>
            <w:pPr>
              <w:spacing w:after="0"/>
              <w:rPr>
                <w:sz w:val="13"/>
                <w:szCs w:val="13"/>
                <w:color w:val="auto"/>
              </w:rPr>
            </w:pPr>
          </w:p>
        </w:tc>
        <w:tc>
          <w:tcPr>
            <w:tcW w:w="880" w:type="dxa"/>
            <w:vAlign w:val="bottom"/>
            <w:tcBorders>
              <w:right w:val="single" w:sz="8" w:color="auto"/>
            </w:tcBorders>
            <w:vMerge w:val="continue"/>
            <w:shd w:val="clear" w:color="auto" w:fill="9ADAF6"/>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ind w:left="20"/>
              <w:spacing w:after="0"/>
              <w:rPr>
                <w:sz w:val="20"/>
                <w:szCs w:val="20"/>
                <w:color w:val="auto"/>
              </w:rPr>
            </w:pPr>
            <w:r>
              <w:rPr>
                <w:rFonts w:ascii="Arial" w:cs="Arial" w:eastAsia="Arial" w:hAnsi="Arial"/>
                <w:sz w:val="15"/>
                <w:szCs w:val="15"/>
                <w:b w:val="1"/>
                <w:bCs w:val="1"/>
                <w:color w:val="auto"/>
                <w:w w:val="97"/>
              </w:rPr>
              <w:t>Security</w:t>
            </w:r>
          </w:p>
        </w:tc>
        <w:tc>
          <w:tcPr>
            <w:tcW w:w="20" w:type="dxa"/>
            <w:vAlign w:val="bottom"/>
          </w:tcPr>
          <w:p>
            <w:pPr>
              <w:spacing w:after="0"/>
              <w:rPr>
                <w:sz w:val="15"/>
                <w:szCs w:val="15"/>
                <w:color w:val="auto"/>
              </w:rPr>
            </w:pPr>
          </w:p>
        </w:tc>
        <w:tc>
          <w:tcPr>
            <w:tcW w:w="920" w:type="dxa"/>
            <w:vAlign w:val="bottom"/>
            <w:shd w:val="clear" w:color="auto" w:fill="9ADAF6"/>
          </w:tcPr>
          <w:p>
            <w:pPr>
              <w:ind w:left="160"/>
              <w:spacing w:after="0"/>
              <w:rPr>
                <w:sz w:val="20"/>
                <w:szCs w:val="20"/>
                <w:color w:val="auto"/>
              </w:rPr>
            </w:pPr>
            <w:r>
              <w:rPr>
                <w:rFonts w:ascii="Arial" w:cs="Arial" w:eastAsia="Arial" w:hAnsi="Arial"/>
                <w:sz w:val="15"/>
                <w:szCs w:val="15"/>
                <w:b w:val="1"/>
                <w:bCs w:val="1"/>
                <w:color w:val="auto"/>
              </w:rPr>
              <w:t>Security</w:t>
            </w:r>
          </w:p>
        </w:tc>
        <w:tc>
          <w:tcPr>
            <w:tcW w:w="20" w:type="dxa"/>
            <w:vAlign w:val="bottom"/>
          </w:tcPr>
          <w:p>
            <w:pPr>
              <w:spacing w:after="0"/>
              <w:rPr>
                <w:sz w:val="15"/>
                <w:szCs w:val="15"/>
                <w:color w:val="auto"/>
              </w:rPr>
            </w:pPr>
          </w:p>
        </w:tc>
        <w:tc>
          <w:tcPr>
            <w:tcW w:w="740" w:type="dxa"/>
            <w:vAlign w:val="bottom"/>
            <w:shd w:val="clear" w:color="auto" w:fill="9ADAF6"/>
          </w:tcPr>
          <w:p>
            <w:pPr>
              <w:jc w:val="center"/>
              <w:ind w:left="23"/>
              <w:spacing w:after="0"/>
              <w:rPr>
                <w:sz w:val="20"/>
                <w:szCs w:val="20"/>
                <w:color w:val="auto"/>
              </w:rPr>
            </w:pPr>
            <w:r>
              <w:rPr>
                <w:rFonts w:ascii="Arial" w:cs="Arial" w:eastAsia="Arial" w:hAnsi="Arial"/>
                <w:sz w:val="15"/>
                <w:szCs w:val="15"/>
                <w:b w:val="1"/>
                <w:bCs w:val="1"/>
                <w:color w:val="auto"/>
              </w:rPr>
              <w:t>or Carry</w:t>
            </w: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jc w:val="right"/>
              <w:ind w:right="23"/>
              <w:spacing w:after="0"/>
              <w:rPr>
                <w:sz w:val="20"/>
                <w:szCs w:val="20"/>
                <w:color w:val="auto"/>
              </w:rPr>
            </w:pPr>
            <w:r>
              <w:rPr>
                <w:rFonts w:ascii="Arial" w:cs="Arial" w:eastAsia="Arial" w:hAnsi="Arial"/>
                <w:sz w:val="15"/>
                <w:szCs w:val="15"/>
                <w:b w:val="1"/>
                <w:bCs w:val="1"/>
                <w:color w:val="auto"/>
              </w:rPr>
              <w:t>Amount</w:t>
            </w: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Offering</w:t>
            </w:r>
          </w:p>
        </w:tc>
        <w:tc>
          <w:tcPr>
            <w:tcW w:w="20" w:type="dxa"/>
            <w:vAlign w:val="bottom"/>
          </w:tcPr>
          <w:p>
            <w:pPr>
              <w:spacing w:after="0"/>
              <w:rPr>
                <w:sz w:val="15"/>
                <w:szCs w:val="15"/>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Aggregate</w:t>
            </w: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w w:val="99"/>
              </w:rPr>
              <w:t>Fee Rate</w:t>
            </w:r>
          </w:p>
        </w:tc>
        <w:tc>
          <w:tcPr>
            <w:tcW w:w="20" w:type="dxa"/>
            <w:vAlign w:val="bottom"/>
          </w:tcPr>
          <w:p>
            <w:pPr>
              <w:spacing w:after="0"/>
              <w:rPr>
                <w:sz w:val="15"/>
                <w:szCs w:val="15"/>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Registration</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Forward</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Forward</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Initial</w:t>
            </w:r>
          </w:p>
        </w:tc>
        <w:tc>
          <w:tcPr>
            <w:tcW w:w="20" w:type="dxa"/>
            <w:vAlign w:val="bottom"/>
          </w:tcPr>
          <w:p>
            <w:pPr>
              <w:spacing w:after="0"/>
              <w:rPr>
                <w:sz w:val="15"/>
                <w:szCs w:val="15"/>
                <w:color w:val="auto"/>
              </w:rPr>
            </w:pPr>
          </w:p>
        </w:tc>
        <w:tc>
          <w:tcPr>
            <w:tcW w:w="8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5"/>
                <w:szCs w:val="15"/>
                <w:b w:val="1"/>
                <w:bCs w:val="1"/>
                <w:color w:val="auto"/>
                <w:w w:val="99"/>
              </w:rPr>
              <w:t>with</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ind w:left="140"/>
              <w:spacing w:after="0"/>
              <w:rPr>
                <w:sz w:val="20"/>
                <w:szCs w:val="20"/>
                <w:color w:val="auto"/>
              </w:rPr>
            </w:pPr>
            <w:r>
              <w:rPr>
                <w:rFonts w:ascii="Arial" w:cs="Arial" w:eastAsia="Arial" w:hAnsi="Arial"/>
                <w:sz w:val="15"/>
                <w:szCs w:val="15"/>
                <w:b w:val="1"/>
                <w:bCs w:val="1"/>
                <w:color w:val="auto"/>
              </w:rPr>
              <w:t>Type</w:t>
            </w:r>
          </w:p>
        </w:tc>
        <w:tc>
          <w:tcPr>
            <w:tcW w:w="20" w:type="dxa"/>
            <w:vAlign w:val="bottom"/>
          </w:tcPr>
          <w:p>
            <w:pPr>
              <w:spacing w:after="0"/>
              <w:rPr>
                <w:sz w:val="15"/>
                <w:szCs w:val="15"/>
                <w:color w:val="auto"/>
              </w:rPr>
            </w:pPr>
          </w:p>
        </w:tc>
        <w:tc>
          <w:tcPr>
            <w:tcW w:w="920" w:type="dxa"/>
            <w:vAlign w:val="bottom"/>
            <w:shd w:val="clear" w:color="auto" w:fill="9ADAF6"/>
          </w:tcPr>
          <w:p>
            <w:pPr>
              <w:ind w:left="80"/>
              <w:spacing w:after="0"/>
              <w:rPr>
                <w:sz w:val="20"/>
                <w:szCs w:val="20"/>
                <w:color w:val="auto"/>
              </w:rPr>
            </w:pPr>
            <w:r>
              <w:rPr>
                <w:rFonts w:ascii="Arial" w:cs="Arial" w:eastAsia="Arial" w:hAnsi="Arial"/>
                <w:sz w:val="15"/>
                <w:szCs w:val="15"/>
                <w:b w:val="1"/>
                <w:bCs w:val="1"/>
                <w:color w:val="auto"/>
              </w:rPr>
              <w:t>Class Title</w:t>
            </w:r>
          </w:p>
        </w:tc>
        <w:tc>
          <w:tcPr>
            <w:tcW w:w="20" w:type="dxa"/>
            <w:vAlign w:val="bottom"/>
          </w:tcPr>
          <w:p>
            <w:pPr>
              <w:spacing w:after="0"/>
              <w:rPr>
                <w:sz w:val="15"/>
                <w:szCs w:val="15"/>
                <w:color w:val="auto"/>
              </w:rPr>
            </w:pPr>
          </w:p>
        </w:tc>
        <w:tc>
          <w:tcPr>
            <w:tcW w:w="740" w:type="dxa"/>
            <w:vAlign w:val="bottom"/>
            <w:shd w:val="clear" w:color="auto" w:fill="9ADAF6"/>
          </w:tcPr>
          <w:p>
            <w:pPr>
              <w:jc w:val="center"/>
              <w:ind w:left="23"/>
              <w:spacing w:after="0"/>
              <w:rPr>
                <w:sz w:val="20"/>
                <w:szCs w:val="20"/>
                <w:color w:val="auto"/>
              </w:rPr>
            </w:pPr>
            <w:r>
              <w:rPr>
                <w:rFonts w:ascii="Arial" w:cs="Arial" w:eastAsia="Arial" w:hAnsi="Arial"/>
                <w:sz w:val="15"/>
                <w:szCs w:val="15"/>
                <w:b w:val="1"/>
                <w:bCs w:val="1"/>
                <w:color w:val="auto"/>
              </w:rPr>
              <w:t>Forward</w:t>
            </w: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jc w:val="right"/>
              <w:spacing w:after="0"/>
              <w:rPr>
                <w:sz w:val="20"/>
                <w:szCs w:val="20"/>
                <w:color w:val="auto"/>
              </w:rPr>
            </w:pPr>
            <w:r>
              <w:rPr>
                <w:rFonts w:ascii="Arial" w:cs="Arial" w:eastAsia="Arial" w:hAnsi="Arial"/>
                <w:sz w:val="15"/>
                <w:szCs w:val="15"/>
                <w:b w:val="1"/>
                <w:bCs w:val="1"/>
                <w:color w:val="auto"/>
              </w:rPr>
              <w:t>Registered</w:t>
            </w: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Price Per</w:t>
            </w:r>
          </w:p>
        </w:tc>
        <w:tc>
          <w:tcPr>
            <w:tcW w:w="20" w:type="dxa"/>
            <w:vAlign w:val="bottom"/>
          </w:tcPr>
          <w:p>
            <w:pPr>
              <w:spacing w:after="0"/>
              <w:rPr>
                <w:sz w:val="15"/>
                <w:szCs w:val="15"/>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Offering Price</w:t>
            </w: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Fee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Form</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File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Effective</w:t>
            </w:r>
          </w:p>
        </w:tc>
        <w:tc>
          <w:tcPr>
            <w:tcW w:w="20" w:type="dxa"/>
            <w:vAlign w:val="bottom"/>
          </w:tcPr>
          <w:p>
            <w:pPr>
              <w:spacing w:after="0"/>
              <w:rPr>
                <w:sz w:val="15"/>
                <w:szCs w:val="15"/>
                <w:color w:val="auto"/>
              </w:rPr>
            </w:pPr>
          </w:p>
        </w:tc>
        <w:tc>
          <w:tcPr>
            <w:tcW w:w="8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5"/>
                <w:szCs w:val="15"/>
                <w:b w:val="1"/>
                <w:bCs w:val="1"/>
                <w:color w:val="auto"/>
              </w:rPr>
              <w:t>Unsold</w:t>
            </w:r>
          </w:p>
        </w:tc>
        <w:tc>
          <w:tcPr>
            <w:tcW w:w="0" w:type="dxa"/>
            <w:vAlign w:val="bottom"/>
          </w:tcPr>
          <w:p>
            <w:pPr>
              <w:spacing w:after="0"/>
              <w:rPr>
                <w:sz w:val="1"/>
                <w:szCs w:val="1"/>
                <w:color w:val="auto"/>
              </w:rPr>
            </w:pPr>
          </w:p>
        </w:tc>
      </w:tr>
      <w:tr>
        <w:trPr>
          <w:trHeight w:val="123"/>
        </w:trPr>
        <w:tc>
          <w:tcPr>
            <w:tcW w:w="40" w:type="dxa"/>
            <w:vAlign w:val="bottom"/>
            <w:tcBorders>
              <w:left w:val="single" w:sz="8" w:color="auto"/>
            </w:tcBorders>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ind w:left="3"/>
              <w:spacing w:after="0"/>
              <w:rPr>
                <w:sz w:val="20"/>
                <w:szCs w:val="20"/>
                <w:color w:val="auto"/>
              </w:rPr>
            </w:pPr>
            <w:r>
              <w:rPr>
                <w:rFonts w:ascii="Arial" w:cs="Arial" w:eastAsia="Arial" w:hAnsi="Arial"/>
                <w:sz w:val="15"/>
                <w:szCs w:val="15"/>
                <w:b w:val="1"/>
                <w:bCs w:val="1"/>
                <w:color w:val="auto"/>
              </w:rPr>
              <w:t>Rule</w:t>
            </w: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Unit</w:t>
            </w:r>
          </w:p>
        </w:tc>
        <w:tc>
          <w:tcPr>
            <w:tcW w:w="20" w:type="dxa"/>
            <w:vAlign w:val="bottom"/>
          </w:tcPr>
          <w:p>
            <w:pPr>
              <w:spacing w:after="0"/>
              <w:rPr>
                <w:sz w:val="10"/>
                <w:szCs w:val="10"/>
                <w:color w:val="auto"/>
              </w:rPr>
            </w:pPr>
          </w:p>
        </w:tc>
        <w:tc>
          <w:tcPr>
            <w:tcW w:w="12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23" w:lineRule="exact"/>
              <w:rPr>
                <w:sz w:val="20"/>
                <w:szCs w:val="20"/>
                <w:color w:val="auto"/>
              </w:rPr>
            </w:pPr>
            <w:r>
              <w:rPr>
                <w:rFonts w:ascii="Arial" w:cs="Arial" w:eastAsia="Arial" w:hAnsi="Arial"/>
                <w:sz w:val="14"/>
                <w:szCs w:val="14"/>
                <w:b w:val="1"/>
                <w:bCs w:val="1"/>
                <w:color w:val="auto"/>
              </w:rPr>
              <w:t>Type</w:t>
            </w: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23" w:lineRule="exact"/>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0"/>
                <w:szCs w:val="10"/>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w w:val="98"/>
              </w:rPr>
              <w:t>Date</w:t>
            </w:r>
          </w:p>
        </w:tc>
        <w:tc>
          <w:tcPr>
            <w:tcW w:w="20" w:type="dxa"/>
            <w:vAlign w:val="bottom"/>
          </w:tcPr>
          <w:p>
            <w:pPr>
              <w:spacing w:after="0"/>
              <w:rPr>
                <w:sz w:val="10"/>
                <w:szCs w:val="10"/>
                <w:color w:val="auto"/>
              </w:rPr>
            </w:pPr>
          </w:p>
        </w:tc>
        <w:tc>
          <w:tcPr>
            <w:tcW w:w="880" w:type="dxa"/>
            <w:vAlign w:val="bottom"/>
            <w:tcBorders>
              <w:right w:val="single" w:sz="8" w:color="auto"/>
            </w:tcBorders>
            <w:shd w:val="clear" w:color="auto" w:fill="9ADAF6"/>
          </w:tcPr>
          <w:p>
            <w:pPr>
              <w:jc w:val="center"/>
              <w:spacing w:after="0" w:line="123"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9"/>
                <w:szCs w:val="9"/>
                <w:color w:val="auto"/>
              </w:rPr>
            </w:pPr>
          </w:p>
        </w:tc>
        <w:tc>
          <w:tcPr>
            <w:tcW w:w="7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shd w:val="clear" w:color="auto" w:fill="9ADAF6"/>
          </w:tcPr>
          <w:p>
            <w:pPr>
              <w:spacing w:after="0"/>
              <w:rPr>
                <w:sz w:val="9"/>
                <w:szCs w:val="9"/>
                <w:color w:val="auto"/>
              </w:rPr>
            </w:pPr>
          </w:p>
        </w:tc>
        <w:tc>
          <w:tcPr>
            <w:tcW w:w="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to be</w:t>
            </w:r>
          </w:p>
        </w:tc>
        <w:tc>
          <w:tcPr>
            <w:tcW w:w="0" w:type="dxa"/>
            <w:vAlign w:val="bottom"/>
          </w:tcPr>
          <w:p>
            <w:pPr>
              <w:spacing w:after="0"/>
              <w:rPr>
                <w:sz w:val="1"/>
                <w:szCs w:val="1"/>
                <w:color w:val="auto"/>
              </w:rPr>
            </w:pPr>
          </w:p>
        </w:tc>
      </w:tr>
      <w:tr>
        <w:trPr>
          <w:trHeight w:val="67"/>
        </w:trPr>
        <w:tc>
          <w:tcPr>
            <w:tcW w:w="40" w:type="dxa"/>
            <w:vAlign w:val="bottom"/>
            <w:tcBorders>
              <w:left w:val="single" w:sz="8" w:color="auto"/>
            </w:tcBorders>
          </w:tcPr>
          <w:p>
            <w:pPr>
              <w:spacing w:after="0"/>
              <w:rPr>
                <w:sz w:val="5"/>
                <w:szCs w:val="5"/>
                <w:color w:val="auto"/>
              </w:rPr>
            </w:pPr>
          </w:p>
        </w:tc>
        <w:tc>
          <w:tcPr>
            <w:tcW w:w="7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9ADAF6"/>
          </w:tcPr>
          <w:p>
            <w:pPr>
              <w:spacing w:after="0"/>
              <w:rPr>
                <w:sz w:val="5"/>
                <w:szCs w:val="5"/>
                <w:color w:val="auto"/>
              </w:rPr>
            </w:pPr>
          </w:p>
        </w:tc>
        <w:tc>
          <w:tcPr>
            <w:tcW w:w="1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Borders>
              <w:right w:val="single" w:sz="8" w:color="auto"/>
            </w:tcBorders>
            <w:vMerge w:val="continue"/>
            <w:shd w:val="clear" w:color="auto" w:fill="9ADAF6"/>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5"/>
                <w:szCs w:val="15"/>
                <w:b w:val="1"/>
                <w:bCs w:val="1"/>
                <w:color w:val="auto"/>
              </w:rPr>
              <w:t>Carried</w:t>
            </w: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5"/>
                <w:szCs w:val="15"/>
                <w:b w:val="1"/>
                <w:bCs w:val="1"/>
                <w:color w:val="auto"/>
              </w:rPr>
              <w:t>Forward</w:t>
            </w: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5"/>
          </w:tcPr>
          <w:p>
            <w:pPr>
              <w:jc w:val="center"/>
              <w:ind w:right="263"/>
              <w:spacing w:after="0"/>
              <w:rPr>
                <w:sz w:val="20"/>
                <w:szCs w:val="20"/>
                <w:color w:val="auto"/>
              </w:rPr>
            </w:pPr>
            <w:r>
              <w:rPr>
                <w:rFonts w:ascii="Arial" w:cs="Arial" w:eastAsia="Arial" w:hAnsi="Arial"/>
                <w:sz w:val="15"/>
                <w:szCs w:val="15"/>
                <w:b w:val="1"/>
                <w:bCs w:val="1"/>
                <w:color w:val="auto"/>
              </w:rPr>
              <w:t>Newly Registered Securities</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5"/>
                <w:szCs w:val="15"/>
                <w:color w:val="auto"/>
              </w:rPr>
              <w:t>Class A</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5"/>
                <w:szCs w:val="15"/>
                <w:color w:val="auto"/>
              </w:rPr>
              <w:t>Common</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5"/>
                <w:szCs w:val="15"/>
                <w:color w:val="auto"/>
              </w:rPr>
              <w:t>Fees to</w:t>
            </w:r>
          </w:p>
        </w:tc>
        <w:tc>
          <w:tcPr>
            <w:tcW w:w="20" w:type="dxa"/>
            <w:vAlign w:val="bottom"/>
          </w:tcPr>
          <w:p>
            <w:pPr>
              <w:spacing w:after="0"/>
              <w:rPr>
                <w:sz w:val="20"/>
                <w:szCs w:val="20"/>
                <w:color w:val="auto"/>
              </w:rPr>
            </w:pPr>
          </w:p>
        </w:tc>
        <w:tc>
          <w:tcPr>
            <w:tcW w:w="100" w:type="dxa"/>
            <w:vAlign w:val="bottom"/>
            <w:shd w:val="clear" w:color="auto" w:fill="E7E7E2"/>
          </w:tcPr>
          <w:p>
            <w:pPr>
              <w:jc w:val="right"/>
              <w:spacing w:after="0"/>
              <w:rPr>
                <w:sz w:val="20"/>
                <w:szCs w:val="20"/>
                <w:color w:val="auto"/>
              </w:rPr>
            </w:pPr>
            <w:r>
              <w:rPr>
                <w:rFonts w:ascii="Arial" w:cs="Arial" w:eastAsia="Arial" w:hAnsi="Arial"/>
                <w:sz w:val="15"/>
                <w:szCs w:val="15"/>
                <w:color w:val="auto"/>
                <w:w w:val="95"/>
              </w:rPr>
              <w:t>1</w:t>
            </w:r>
          </w:p>
        </w:tc>
        <w:tc>
          <w:tcPr>
            <w:tcW w:w="20" w:type="dxa"/>
            <w:vAlign w:val="bottom"/>
          </w:tcPr>
          <w:p>
            <w:pPr>
              <w:spacing w:after="0"/>
              <w:rPr>
                <w:sz w:val="20"/>
                <w:szCs w:val="20"/>
                <w:color w:val="auto"/>
              </w:rPr>
            </w:pPr>
          </w:p>
        </w:tc>
        <w:tc>
          <w:tcPr>
            <w:tcW w:w="620" w:type="dxa"/>
            <w:vAlign w:val="bottom"/>
            <w:shd w:val="clear" w:color="auto" w:fill="E7E7E2"/>
          </w:tcPr>
          <w:p>
            <w:pPr>
              <w:ind w:left="20"/>
              <w:spacing w:after="0"/>
              <w:rPr>
                <w:sz w:val="20"/>
                <w:szCs w:val="20"/>
                <w:color w:val="auto"/>
              </w:rPr>
            </w:pPr>
            <w:r>
              <w:rPr>
                <w:rFonts w:ascii="Arial" w:cs="Arial" w:eastAsia="Arial" w:hAnsi="Arial"/>
                <w:sz w:val="15"/>
                <w:szCs w:val="15"/>
                <w:color w:val="auto"/>
              </w:rPr>
              <w:t>Equity</w:t>
            </w:r>
          </w:p>
        </w:tc>
        <w:tc>
          <w:tcPr>
            <w:tcW w:w="20" w:type="dxa"/>
            <w:vAlign w:val="bottom"/>
          </w:tcPr>
          <w:p>
            <w:pPr>
              <w:spacing w:after="0"/>
              <w:rPr>
                <w:sz w:val="20"/>
                <w:szCs w:val="20"/>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5"/>
                <w:szCs w:val="15"/>
                <w:color w:val="auto"/>
              </w:rPr>
              <w:t>Stock, par</w:t>
            </w:r>
          </w:p>
        </w:tc>
        <w:tc>
          <w:tcPr>
            <w:tcW w:w="20" w:type="dxa"/>
            <w:vAlign w:val="bottom"/>
          </w:tcPr>
          <w:p>
            <w:pPr>
              <w:spacing w:after="0"/>
              <w:rPr>
                <w:sz w:val="20"/>
                <w:szCs w:val="20"/>
                <w:color w:val="auto"/>
              </w:rPr>
            </w:pPr>
          </w:p>
        </w:tc>
        <w:tc>
          <w:tcPr>
            <w:tcW w:w="740" w:type="dxa"/>
            <w:vAlign w:val="bottom"/>
            <w:shd w:val="clear" w:color="auto" w:fill="E7E7E2"/>
          </w:tcPr>
          <w:p>
            <w:pPr>
              <w:jc w:val="center"/>
              <w:ind w:left="23"/>
              <w:spacing w:after="0"/>
              <w:rPr>
                <w:sz w:val="20"/>
                <w:szCs w:val="20"/>
                <w:color w:val="auto"/>
              </w:rPr>
            </w:pPr>
            <w:r>
              <w:rPr>
                <w:rFonts w:ascii="Arial" w:cs="Arial" w:eastAsia="Arial" w:hAnsi="Arial"/>
                <w:sz w:val="15"/>
                <w:szCs w:val="15"/>
                <w:color w:val="auto"/>
              </w:rPr>
              <w:t>457(a)</w:t>
            </w:r>
          </w:p>
        </w:tc>
        <w:tc>
          <w:tcPr>
            <w:tcW w:w="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shd w:val="clear" w:color="auto" w:fill="E7E7E2"/>
          </w:tcPr>
          <w:p>
            <w:pPr>
              <w:jc w:val="right"/>
              <w:spacing w:after="0"/>
              <w:rPr>
                <w:sz w:val="20"/>
                <w:szCs w:val="20"/>
                <w:color w:val="auto"/>
              </w:rPr>
            </w:pPr>
            <w:r>
              <w:rPr>
                <w:rFonts w:ascii="Arial" w:cs="Arial" w:eastAsia="Arial" w:hAnsi="Arial"/>
                <w:sz w:val="15"/>
                <w:szCs w:val="15"/>
                <w:color w:val="auto"/>
              </w:rPr>
              <w:t>42,463,056</w:t>
            </w:r>
          </w:p>
        </w:tc>
        <w:tc>
          <w:tcPr>
            <w:tcW w:w="20" w:type="dxa"/>
            <w:vAlign w:val="bottom"/>
          </w:tcPr>
          <w:p>
            <w:pPr>
              <w:spacing w:after="0"/>
              <w:rPr>
                <w:sz w:val="20"/>
                <w:szCs w:val="20"/>
                <w:color w:val="auto"/>
              </w:rPr>
            </w:pPr>
          </w:p>
        </w:tc>
        <w:tc>
          <w:tcPr>
            <w:tcW w:w="740" w:type="dxa"/>
            <w:vAlign w:val="bottom"/>
            <w:shd w:val="clear" w:color="auto" w:fill="E7E7E2"/>
          </w:tcPr>
          <w:p>
            <w:pPr>
              <w:jc w:val="right"/>
              <w:spacing w:after="0"/>
              <w:rPr>
                <w:sz w:val="20"/>
                <w:szCs w:val="20"/>
                <w:color w:val="auto"/>
              </w:rPr>
            </w:pPr>
            <w:r>
              <w:rPr>
                <w:rFonts w:ascii="Arial" w:cs="Arial" w:eastAsia="Arial" w:hAnsi="Arial"/>
                <w:sz w:val="15"/>
                <w:szCs w:val="15"/>
                <w:color w:val="auto"/>
              </w:rPr>
              <w:t>$ 26.00</w:t>
            </w:r>
          </w:p>
        </w:tc>
        <w:tc>
          <w:tcPr>
            <w:tcW w:w="20" w:type="dxa"/>
            <w:vAlign w:val="bottom"/>
          </w:tcPr>
          <w:p>
            <w:pPr>
              <w:spacing w:after="0"/>
              <w:rPr>
                <w:sz w:val="20"/>
                <w:szCs w:val="20"/>
                <w:color w:val="auto"/>
              </w:rPr>
            </w:pPr>
          </w:p>
        </w:tc>
        <w:tc>
          <w:tcPr>
            <w:tcW w:w="1200" w:type="dxa"/>
            <w:vAlign w:val="bottom"/>
            <w:shd w:val="clear" w:color="auto" w:fill="E7E7E2"/>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740" w:type="dxa"/>
            <w:vAlign w:val="bottom"/>
            <w:shd w:val="clear" w:color="auto" w:fill="E7E7E2"/>
          </w:tcPr>
          <w:p>
            <w:pPr>
              <w:jc w:val="right"/>
              <w:spacing w:after="0"/>
              <w:rPr>
                <w:sz w:val="20"/>
                <w:szCs w:val="20"/>
                <w:color w:val="auto"/>
              </w:rPr>
            </w:pPr>
            <w:r>
              <w:rPr>
                <w:rFonts w:ascii="Arial" w:cs="Arial" w:eastAsia="Arial" w:hAnsi="Arial"/>
                <w:sz w:val="15"/>
                <w:szCs w:val="15"/>
                <w:color w:val="auto"/>
              </w:rPr>
              <w:t>0.0001381</w:t>
            </w:r>
          </w:p>
        </w:tc>
        <w:tc>
          <w:tcPr>
            <w:tcW w:w="20" w:type="dxa"/>
            <w:vAlign w:val="bottom"/>
          </w:tcPr>
          <w:p>
            <w:pPr>
              <w:spacing w:after="0"/>
              <w:rPr>
                <w:sz w:val="20"/>
                <w:szCs w:val="20"/>
                <w:color w:val="auto"/>
              </w:rPr>
            </w:pPr>
          </w:p>
        </w:tc>
        <w:tc>
          <w:tcPr>
            <w:tcW w:w="920" w:type="dxa"/>
            <w:vAlign w:val="bottom"/>
            <w:shd w:val="clear" w:color="auto" w:fill="E7E7E2"/>
          </w:tcPr>
          <w:p>
            <w:pPr>
              <w:jc w:val="right"/>
              <w:spacing w:after="0"/>
              <w:rPr>
                <w:sz w:val="20"/>
                <w:szCs w:val="20"/>
                <w:color w:val="auto"/>
              </w:rPr>
            </w:pPr>
            <w:r>
              <w:rPr>
                <w:rFonts w:ascii="Arial" w:cs="Arial" w:eastAsia="Arial" w:hAnsi="Arial"/>
                <w:sz w:val="15"/>
                <w:szCs w:val="15"/>
                <w:color w:val="auto"/>
              </w:rPr>
              <w:t>$ 138,657.85</w:t>
            </w:r>
          </w:p>
        </w:tc>
        <w:tc>
          <w:tcPr>
            <w:tcW w:w="20" w:type="dxa"/>
            <w:vAlign w:val="bottom"/>
          </w:tcPr>
          <w:p>
            <w:pPr>
              <w:spacing w:after="0"/>
              <w:rPr>
                <w:sz w:val="20"/>
                <w:szCs w:val="20"/>
                <w:color w:val="auto"/>
              </w:rPr>
            </w:pPr>
          </w:p>
        </w:tc>
        <w:tc>
          <w:tcPr>
            <w:tcW w:w="6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Borders>
              <w:right w:val="single" w:sz="8" w:color="auto"/>
            </w:tcBorders>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720" w:type="dxa"/>
            <w:vAlign w:val="bottom"/>
            <w:shd w:val="clear" w:color="auto" w:fill="E7E7E2"/>
          </w:tcPr>
          <w:p>
            <w:pPr>
              <w:spacing w:after="0" w:line="125" w:lineRule="exact"/>
              <w:rPr>
                <w:sz w:val="20"/>
                <w:szCs w:val="20"/>
                <w:color w:val="auto"/>
              </w:rPr>
            </w:pPr>
            <w:r>
              <w:rPr>
                <w:rFonts w:ascii="Arial" w:cs="Arial" w:eastAsia="Arial" w:hAnsi="Arial"/>
                <w:sz w:val="14"/>
                <w:szCs w:val="14"/>
                <w:color w:val="auto"/>
              </w:rPr>
              <w:t>be Paid</w:t>
            </w: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ind w:left="20"/>
              <w:spacing w:after="0" w:line="125" w:lineRule="exact"/>
              <w:rPr>
                <w:sz w:val="20"/>
                <w:szCs w:val="20"/>
                <w:color w:val="auto"/>
              </w:rPr>
            </w:pPr>
            <w:r>
              <w:rPr>
                <w:rFonts w:ascii="Arial" w:cs="Arial" w:eastAsia="Arial" w:hAnsi="Arial"/>
                <w:sz w:val="14"/>
                <w:szCs w:val="14"/>
                <w:color w:val="auto"/>
              </w:rPr>
              <w:t>value</w:t>
            </w: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jc w:val="right"/>
              <w:spacing w:after="0" w:line="125" w:lineRule="exact"/>
              <w:rPr>
                <w:sz w:val="20"/>
                <w:szCs w:val="20"/>
                <w:color w:val="auto"/>
              </w:rPr>
            </w:pPr>
            <w:r>
              <w:rPr>
                <w:rFonts w:ascii="Arial" w:cs="Arial" w:eastAsia="Arial" w:hAnsi="Arial"/>
                <w:sz w:val="14"/>
                <w:szCs w:val="14"/>
                <w:color w:val="auto"/>
              </w:rPr>
              <w:t>1,004,039,456.00</w:t>
            </w: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5"/>
                <w:szCs w:val="15"/>
                <w:color w:val="auto"/>
              </w:rPr>
              <w:t>$0.00000625</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5"/>
                <w:szCs w:val="15"/>
                <w:color w:val="auto"/>
              </w:rPr>
              <w:t>per share</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5"/>
                <w:szCs w:val="15"/>
                <w:color w:val="auto"/>
              </w:rPr>
              <w:t>Class A</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5"/>
                <w:szCs w:val="15"/>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5"/>
                <w:szCs w:val="15"/>
                <w:color w:val="auto"/>
              </w:rPr>
              <w:t>Common</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7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5"/>
                <w:szCs w:val="15"/>
                <w:color w:val="auto"/>
              </w:rPr>
              <w:t>Stock, par</w:t>
            </w: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5"/>
                <w:szCs w:val="15"/>
                <w:color w:val="auto"/>
              </w:rPr>
              <w:t>Previously</w:t>
            </w: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5"/>
                <w:szCs w:val="15"/>
                <w:color w:val="auto"/>
                <w:w w:val="95"/>
              </w:rPr>
              <w:t>2</w:t>
            </w:r>
          </w:p>
        </w:tc>
        <w:tc>
          <w:tcPr>
            <w:tcW w:w="20" w:type="dxa"/>
            <w:vAlign w:val="bottom"/>
          </w:tcPr>
          <w:p>
            <w:pPr>
              <w:spacing w:after="0"/>
              <w:rPr>
                <w:sz w:val="8"/>
                <w:szCs w:val="8"/>
                <w:color w:val="auto"/>
              </w:rPr>
            </w:pPr>
          </w:p>
        </w:tc>
        <w:tc>
          <w:tcPr>
            <w:tcW w:w="620" w:type="dxa"/>
            <w:vAlign w:val="bottom"/>
            <w:vMerge w:val="restart"/>
            <w:shd w:val="clear" w:color="auto" w:fill="E7E7E2"/>
          </w:tcPr>
          <w:p>
            <w:pPr>
              <w:ind w:left="20"/>
              <w:spacing w:after="0"/>
              <w:rPr>
                <w:sz w:val="20"/>
                <w:szCs w:val="20"/>
                <w:color w:val="auto"/>
              </w:rPr>
            </w:pPr>
            <w:r>
              <w:rPr>
                <w:rFonts w:ascii="Arial" w:cs="Arial" w:eastAsia="Arial" w:hAnsi="Arial"/>
                <w:sz w:val="15"/>
                <w:szCs w:val="15"/>
                <w:color w:val="auto"/>
              </w:rPr>
              <w:t>Equity</w:t>
            </w: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restart"/>
            <w:shd w:val="clear" w:color="auto" w:fill="E7E7E2"/>
          </w:tcPr>
          <w:p>
            <w:pPr>
              <w:jc w:val="center"/>
              <w:ind w:left="23"/>
              <w:spacing w:after="0"/>
              <w:rPr>
                <w:sz w:val="20"/>
                <w:szCs w:val="20"/>
                <w:color w:val="auto"/>
              </w:rPr>
            </w:pPr>
            <w:r>
              <w:rPr>
                <w:rFonts w:ascii="Arial" w:cs="Arial" w:eastAsia="Arial" w:hAnsi="Arial"/>
                <w:sz w:val="15"/>
                <w:szCs w:val="15"/>
                <w:color w:val="auto"/>
              </w:rPr>
              <w:t>457(a)</w:t>
            </w: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5"/>
                <w:szCs w:val="15"/>
                <w:color w:val="auto"/>
              </w:rPr>
              <w:t>3,846,154</w:t>
            </w:r>
          </w:p>
        </w:tc>
        <w:tc>
          <w:tcPr>
            <w:tcW w:w="20" w:type="dxa"/>
            <w:vAlign w:val="bottom"/>
          </w:tcPr>
          <w:p>
            <w:pPr>
              <w:spacing w:after="0"/>
              <w:rPr>
                <w:sz w:val="8"/>
                <w:szCs w:val="8"/>
                <w:color w:val="auto"/>
              </w:rPr>
            </w:pPr>
          </w:p>
        </w:tc>
        <w:tc>
          <w:tcPr>
            <w:tcW w:w="740" w:type="dxa"/>
            <w:vAlign w:val="bottom"/>
            <w:vMerge w:val="restart"/>
            <w:shd w:val="clear" w:color="auto" w:fill="E7E7E2"/>
          </w:tcPr>
          <w:p>
            <w:pPr>
              <w:jc w:val="right"/>
              <w:spacing w:after="0"/>
              <w:rPr>
                <w:sz w:val="20"/>
                <w:szCs w:val="20"/>
                <w:color w:val="auto"/>
              </w:rPr>
            </w:pPr>
            <w:r>
              <w:rPr>
                <w:rFonts w:ascii="Arial" w:cs="Arial" w:eastAsia="Arial" w:hAnsi="Arial"/>
                <w:sz w:val="15"/>
                <w:szCs w:val="15"/>
                <w:color w:val="auto"/>
              </w:rPr>
              <w:t>$ 26.00</w:t>
            </w:r>
          </w:p>
        </w:tc>
        <w:tc>
          <w:tcPr>
            <w:tcW w:w="20" w:type="dxa"/>
            <w:vAlign w:val="bottom"/>
          </w:tcPr>
          <w:p>
            <w:pPr>
              <w:spacing w:after="0"/>
              <w:rPr>
                <w:sz w:val="8"/>
                <w:szCs w:val="8"/>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5"/>
                <w:szCs w:val="15"/>
                <w:color w:val="auto"/>
              </w:rPr>
              <w:t>$ 100,000,000.00</w:t>
            </w: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jc w:val="right"/>
              <w:spacing w:after="0"/>
              <w:rPr>
                <w:sz w:val="20"/>
                <w:szCs w:val="20"/>
                <w:color w:val="auto"/>
              </w:rPr>
            </w:pPr>
            <w:r>
              <w:rPr>
                <w:rFonts w:ascii="Arial" w:cs="Arial" w:eastAsia="Arial" w:hAnsi="Arial"/>
                <w:sz w:val="15"/>
                <w:szCs w:val="15"/>
                <w:color w:val="auto"/>
              </w:rPr>
              <w:t>$ 15,310.00</w:t>
            </w: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7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5"/>
                <w:szCs w:val="15"/>
                <w:color w:val="auto"/>
              </w:rPr>
              <w:t>value</w:t>
            </w: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5"/>
                <w:szCs w:val="15"/>
                <w:color w:val="auto"/>
              </w:rPr>
              <w:t>Paid</w:t>
            </w: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40" w:type="dxa"/>
            <w:vAlign w:val="bottom"/>
            <w:tcBorders>
              <w:left w:val="single" w:sz="8" w:color="auto"/>
            </w:tcBorders>
          </w:tcPr>
          <w:p>
            <w:pPr>
              <w:spacing w:after="0"/>
              <w:rPr>
                <w:sz w:val="9"/>
                <w:szCs w:val="9"/>
                <w:color w:val="auto"/>
              </w:rPr>
            </w:pPr>
          </w:p>
        </w:tc>
        <w:tc>
          <w:tcPr>
            <w:tcW w:w="7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5"/>
                <w:szCs w:val="15"/>
                <w:color w:val="auto"/>
              </w:rPr>
              <w:t>$0.00000625</w:t>
            </w:r>
          </w:p>
        </w:tc>
        <w:tc>
          <w:tcPr>
            <w:tcW w:w="20" w:type="dxa"/>
            <w:vAlign w:val="bottom"/>
          </w:tcPr>
          <w:p>
            <w:pPr>
              <w:spacing w:after="0"/>
              <w:rPr>
                <w:sz w:val="9"/>
                <w:szCs w:val="9"/>
                <w:color w:val="auto"/>
              </w:rPr>
            </w:pPr>
          </w:p>
        </w:tc>
        <w:tc>
          <w:tcPr>
            <w:tcW w:w="740" w:type="dxa"/>
            <w:vAlign w:val="bottom"/>
            <w:shd w:val="clear" w:color="auto" w:fill="E7E7E2"/>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40" w:type="dxa"/>
            <w:vAlign w:val="bottom"/>
            <w:tcBorders>
              <w:left w:val="single" w:sz="8" w:color="auto"/>
            </w:tcBorders>
          </w:tcPr>
          <w:p>
            <w:pPr>
              <w:spacing w:after="0"/>
              <w:rPr>
                <w:sz w:val="6"/>
                <w:szCs w:val="6"/>
                <w:color w:val="auto"/>
              </w:rPr>
            </w:pPr>
          </w:p>
        </w:tc>
        <w:tc>
          <w:tcPr>
            <w:tcW w:w="72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vMerge w:val="continue"/>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shd w:val="clear" w:color="auto" w:fill="E7E7E2"/>
          </w:tcPr>
          <w:p>
            <w:pPr>
              <w:spacing w:after="0"/>
              <w:rPr>
                <w:sz w:val="6"/>
                <w:szCs w:val="6"/>
                <w:color w:val="auto"/>
              </w:rPr>
            </w:pPr>
          </w:p>
        </w:tc>
        <w:tc>
          <w:tcPr>
            <w:tcW w:w="1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Borders>
              <w:right w:val="single" w:sz="8" w:color="auto"/>
            </w:tcBorders>
            <w:shd w:val="clear" w:color="auto" w:fill="E7E7E2"/>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5"/>
                <w:szCs w:val="15"/>
                <w:color w:val="auto"/>
              </w:rPr>
              <w:t>per share</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5"/>
          </w:tcPr>
          <w:p>
            <w:pPr>
              <w:jc w:val="center"/>
              <w:ind w:right="263"/>
              <w:spacing w:after="0"/>
              <w:rPr>
                <w:sz w:val="20"/>
                <w:szCs w:val="20"/>
                <w:color w:val="auto"/>
              </w:rPr>
            </w:pPr>
            <w:r>
              <w:rPr>
                <w:rFonts w:ascii="Arial" w:cs="Arial" w:eastAsia="Arial" w:hAnsi="Arial"/>
                <w:sz w:val="15"/>
                <w:szCs w:val="15"/>
                <w:b w:val="1"/>
                <w:bCs w:val="1"/>
                <w:color w:val="auto"/>
              </w:rPr>
              <w:t>Carry Forward Securities</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5"/>
                <w:szCs w:val="15"/>
                <w:color w:val="auto"/>
              </w:rPr>
              <w:t>Carry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5"/>
                <w:szCs w:val="15"/>
                <w:color w:val="auto"/>
              </w:rPr>
              <w:t>Forward</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5"/>
                <w:szCs w:val="15"/>
                <w:color w:val="auto"/>
              </w:rPr>
              <w:t>Securities</w:t>
            </w: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 w:type="dxa"/>
            <w:vAlign w:val="bottom"/>
            <w:tcBorders>
              <w:lef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gridSpan w:val="4"/>
          </w:tcPr>
          <w:p>
            <w:pPr>
              <w:jc w:val="right"/>
              <w:spacing w:after="0"/>
              <w:rPr>
                <w:sz w:val="20"/>
                <w:szCs w:val="20"/>
                <w:color w:val="auto"/>
              </w:rPr>
            </w:pPr>
            <w:r>
              <w:rPr>
                <w:rFonts w:ascii="Arial" w:cs="Arial" w:eastAsia="Arial" w:hAnsi="Arial"/>
                <w:sz w:val="15"/>
                <w:szCs w:val="15"/>
                <w:color w:val="auto"/>
              </w:rPr>
              <w:t>Total Offering Amounts:</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$ 153,967.85</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 w:type="dxa"/>
            <w:vAlign w:val="bottom"/>
            <w:tcBorders>
              <w:lef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1,104,039,456.00</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gridSpan w:val="6"/>
          </w:tcPr>
          <w:p>
            <w:pPr>
              <w:jc w:val="right"/>
              <w:spacing w:after="0"/>
              <w:rPr>
                <w:sz w:val="20"/>
                <w:szCs w:val="20"/>
                <w:color w:val="auto"/>
              </w:rPr>
            </w:pPr>
            <w:r>
              <w:rPr>
                <w:rFonts w:ascii="Arial" w:cs="Arial" w:eastAsia="Arial" w:hAnsi="Arial"/>
                <w:sz w:val="15"/>
                <w:szCs w:val="15"/>
                <w:color w:val="auto"/>
              </w:rPr>
              <w:t>Total Fees Previously Paid:</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$ 15,310.00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gridSpan w:val="4"/>
          </w:tcPr>
          <w:p>
            <w:pPr>
              <w:jc w:val="right"/>
              <w:spacing w:after="0"/>
              <w:rPr>
                <w:sz w:val="20"/>
                <w:szCs w:val="20"/>
                <w:color w:val="auto"/>
              </w:rPr>
            </w:pPr>
            <w:r>
              <w:rPr>
                <w:rFonts w:ascii="Arial" w:cs="Arial" w:eastAsia="Arial" w:hAnsi="Arial"/>
                <w:sz w:val="15"/>
                <w:szCs w:val="15"/>
                <w:color w:val="auto"/>
              </w:rPr>
              <w:t>Total Fee Offsets: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$ 0.00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Net Fee Due:</w:t>
            </w: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$ 138,657.85</w:t>
            </w: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Offering Note</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Includes the aggregate offering price of additional shares that the underwriters have the option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6720840"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6720840" cy="37465"/>
                    </a:xfrm>
                    <a:prstGeom prst="rect">
                      <a:avLst/>
                    </a:prstGeom>
                    <a:noFill/>
                  </pic:spPr>
                </pic:pic>
              </a:graphicData>
            </a:graphic>
          </wp:anchor>
        </w:drawing>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This Maximum Aggregate Offering Price was originally registered under 457(o) and is now converted to 457(a)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6720840"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6720840" cy="3746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260" w:type="dxa"/>
            <w:vAlign w:val="bottom"/>
            <w:tcBorders>
              <w:bottom w:val="single" w:sz="8" w:color="auto"/>
            </w:tcBorders>
            <w:gridSpan w:val="10"/>
          </w:tcPr>
          <w:p>
            <w:pPr>
              <w:ind w:left="40"/>
              <w:spacing w:after="0"/>
              <w:rPr>
                <w:sz w:val="20"/>
                <w:szCs w:val="20"/>
                <w:color w:val="auto"/>
              </w:rPr>
            </w:pPr>
            <w:r>
              <w:rPr>
                <w:rFonts w:ascii="Arial" w:cs="Arial" w:eastAsia="Arial" w:hAnsi="Arial"/>
                <w:sz w:val="15"/>
                <w:szCs w:val="15"/>
                <w:b w:val="1"/>
                <w:bCs w:val="1"/>
                <w:color w:val="auto"/>
              </w:rPr>
              <w:t>Table 2: Fee Offset Claims and Sources</w:t>
            </w:r>
          </w:p>
        </w:tc>
        <w:tc>
          <w:tcPr>
            <w:tcW w:w="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6"/>
          </w:tcPr>
          <w:p>
            <w:pPr>
              <w:ind w:left="360"/>
              <w:spacing w:after="0" w:line="173" w:lineRule="exact"/>
              <w:rPr>
                <w:sz w:val="20"/>
                <w:szCs w:val="20"/>
                <w:color w:val="auto"/>
              </w:rPr>
            </w:pPr>
            <w:r>
              <w:rPr>
                <w:rFonts w:ascii="MS PGothic" w:cs="MS PGothic" w:eastAsia="MS PGothic" w:hAnsi="MS PGothic"/>
                <w:sz w:val="15"/>
                <w:szCs w:val="15"/>
                <w:b w:val="1"/>
                <w:bCs w:val="1"/>
                <w:color w:val="auto"/>
                <w:w w:val="98"/>
              </w:rPr>
              <w:t>☑</w:t>
            </w:r>
            <w:r>
              <w:rPr>
                <w:rFonts w:ascii="Arial" w:cs="Arial" w:eastAsia="Arial" w:hAnsi="Arial"/>
                <w:sz w:val="15"/>
                <w:szCs w:val="15"/>
                <w:b w:val="1"/>
                <w:bCs w:val="1"/>
                <w:color w:val="auto"/>
                <w:w w:val="98"/>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5"/>
                <w:szCs w:val="15"/>
                <w:b w:val="1"/>
                <w:bCs w:val="1"/>
                <w:color w:val="auto"/>
              </w:rPr>
              <w:t>Unsold</w:t>
            </w: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right w:val="single" w:sz="8" w:color="9ADAF6"/>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60" w:type="dxa"/>
            <w:vAlign w:val="bottom"/>
            <w:tcBorders>
              <w:right w:val="single" w:sz="8" w:color="9ADAF6"/>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Security</w:t>
            </w:r>
          </w:p>
        </w:tc>
        <w:tc>
          <w:tcPr>
            <w:tcW w:w="20" w:type="dxa"/>
            <w:vAlign w:val="bottom"/>
          </w:tcPr>
          <w:p>
            <w:pPr>
              <w:spacing w:after="0"/>
              <w:rPr>
                <w:sz w:val="15"/>
                <w:szCs w:val="15"/>
                <w:color w:val="auto"/>
              </w:rPr>
            </w:pPr>
          </w:p>
        </w:tc>
        <w:tc>
          <w:tcPr>
            <w:tcW w:w="840" w:type="dxa"/>
            <w:vAlign w:val="bottom"/>
            <w:tcBorders>
              <w:right w:val="single" w:sz="8" w:color="9ADAF6"/>
            </w:tcBorders>
            <w:gridSpan w:val="3"/>
            <w:shd w:val="clear" w:color="auto" w:fill="9ADAF6"/>
          </w:tcPr>
          <w:p>
            <w:pPr>
              <w:jc w:val="center"/>
              <w:spacing w:after="0"/>
              <w:rPr>
                <w:sz w:val="20"/>
                <w:szCs w:val="20"/>
                <w:color w:val="auto"/>
              </w:rPr>
            </w:pPr>
            <w:r>
              <w:rPr>
                <w:rFonts w:ascii="Arial" w:cs="Arial" w:eastAsia="Arial" w:hAnsi="Arial"/>
                <w:sz w:val="15"/>
                <w:szCs w:val="15"/>
                <w:b w:val="1"/>
                <w:bCs w:val="1"/>
                <w:color w:val="auto"/>
              </w:rPr>
              <w:t>Security</w:t>
            </w:r>
          </w:p>
        </w:tc>
        <w:tc>
          <w:tcPr>
            <w:tcW w:w="20" w:type="dxa"/>
            <w:vAlign w:val="bottom"/>
          </w:tcPr>
          <w:p>
            <w:pPr>
              <w:spacing w:after="0"/>
              <w:rPr>
                <w:sz w:val="15"/>
                <w:szCs w:val="15"/>
                <w:color w:val="auto"/>
              </w:rPr>
            </w:pPr>
          </w:p>
        </w:tc>
        <w:tc>
          <w:tcPr>
            <w:tcW w:w="840" w:type="dxa"/>
            <w:vAlign w:val="bottom"/>
            <w:gridSpan w:val="3"/>
            <w:shd w:val="clear" w:color="auto" w:fill="9ADAF6"/>
          </w:tcPr>
          <w:p>
            <w:pPr>
              <w:jc w:val="center"/>
              <w:spacing w:after="0"/>
              <w:rPr>
                <w:sz w:val="20"/>
                <w:szCs w:val="20"/>
                <w:color w:val="auto"/>
              </w:rPr>
            </w:pPr>
            <w:r>
              <w:rPr>
                <w:rFonts w:ascii="Arial" w:cs="Arial" w:eastAsia="Arial" w:hAnsi="Arial"/>
                <w:sz w:val="15"/>
                <w:szCs w:val="15"/>
                <w:b w:val="1"/>
                <w:bCs w:val="1"/>
                <w:color w:val="auto"/>
              </w:rPr>
              <w:t>Unsold</w:t>
            </w: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5"/>
                <w:szCs w:val="15"/>
                <w:b w:val="1"/>
                <w:bCs w:val="1"/>
                <w:color w:val="auto"/>
              </w:rPr>
              <w:t>Aggregate</w:t>
            </w:r>
          </w:p>
        </w:tc>
        <w:tc>
          <w:tcPr>
            <w:tcW w:w="20" w:type="dxa"/>
            <w:vAlign w:val="bottom"/>
          </w:tcPr>
          <w:p>
            <w:pPr>
              <w:spacing w:after="0"/>
              <w:rPr>
                <w:sz w:val="15"/>
                <w:szCs w:val="15"/>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Fee</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Form or</w:t>
            </w: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Initial</w:t>
            </w:r>
          </w:p>
        </w:tc>
        <w:tc>
          <w:tcPr>
            <w:tcW w:w="20" w:type="dxa"/>
            <w:vAlign w:val="bottom"/>
          </w:tcPr>
          <w:p>
            <w:pPr>
              <w:spacing w:after="0"/>
              <w:rPr>
                <w:sz w:val="15"/>
                <w:szCs w:val="15"/>
                <w:color w:val="auto"/>
              </w:rPr>
            </w:pPr>
          </w:p>
        </w:tc>
        <w:tc>
          <w:tcPr>
            <w:tcW w:w="580" w:type="dxa"/>
            <w:vAlign w:val="bottom"/>
            <w:tcBorders>
              <w:right w:val="single" w:sz="8" w:color="9ADAF6"/>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right w:val="single" w:sz="8" w:color="9ADAF6"/>
            </w:tcBorders>
            <w:gridSpan w:val="3"/>
            <w:vMerge w:val="restart"/>
            <w:shd w:val="clear" w:color="auto" w:fill="9ADAF6"/>
          </w:tcPr>
          <w:p>
            <w:pPr>
              <w:jc w:val="right"/>
              <w:ind w:right="103"/>
              <w:spacing w:after="0"/>
              <w:rPr>
                <w:sz w:val="20"/>
                <w:szCs w:val="20"/>
                <w:color w:val="auto"/>
              </w:rPr>
            </w:pPr>
            <w:r>
              <w:rPr>
                <w:rFonts w:ascii="Arial" w:cs="Arial" w:eastAsia="Arial" w:hAnsi="Arial"/>
                <w:sz w:val="15"/>
                <w:szCs w:val="15"/>
                <w:b w:val="1"/>
                <w:bCs w:val="1"/>
                <w:color w:val="auto"/>
              </w:rPr>
              <w:t>Fee</w:t>
            </w:r>
          </w:p>
        </w:tc>
        <w:tc>
          <w:tcPr>
            <w:tcW w:w="20" w:type="dxa"/>
            <w:vAlign w:val="bottom"/>
          </w:tcPr>
          <w:p>
            <w:pPr>
              <w:spacing w:after="0"/>
              <w:rPr>
                <w:sz w:val="15"/>
                <w:szCs w:val="15"/>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Type</w:t>
            </w:r>
          </w:p>
        </w:tc>
        <w:tc>
          <w:tcPr>
            <w:tcW w:w="20" w:type="dxa"/>
            <w:vAlign w:val="bottom"/>
          </w:tcPr>
          <w:p>
            <w:pPr>
              <w:spacing w:after="0"/>
              <w:rPr>
                <w:sz w:val="15"/>
                <w:szCs w:val="15"/>
                <w:color w:val="auto"/>
              </w:rPr>
            </w:pPr>
          </w:p>
        </w:tc>
        <w:tc>
          <w:tcPr>
            <w:tcW w:w="840" w:type="dxa"/>
            <w:vAlign w:val="bottom"/>
            <w:tcBorders>
              <w:right w:val="single" w:sz="8" w:color="9ADAF6"/>
            </w:tcBorders>
            <w:gridSpan w:val="3"/>
            <w:shd w:val="clear" w:color="auto" w:fill="9ADAF6"/>
          </w:tcPr>
          <w:p>
            <w:pPr>
              <w:jc w:val="center"/>
              <w:spacing w:after="0"/>
              <w:rPr>
                <w:sz w:val="20"/>
                <w:szCs w:val="20"/>
                <w:color w:val="auto"/>
              </w:rPr>
            </w:pPr>
            <w:r>
              <w:rPr>
                <w:rFonts w:ascii="Arial" w:cs="Arial" w:eastAsia="Arial" w:hAnsi="Arial"/>
                <w:sz w:val="15"/>
                <w:szCs w:val="15"/>
                <w:b w:val="1"/>
                <w:bCs w:val="1"/>
                <w:color w:val="auto"/>
              </w:rPr>
              <w:t>Title</w:t>
            </w:r>
          </w:p>
        </w:tc>
        <w:tc>
          <w:tcPr>
            <w:tcW w:w="20" w:type="dxa"/>
            <w:vAlign w:val="bottom"/>
          </w:tcPr>
          <w:p>
            <w:pPr>
              <w:spacing w:after="0"/>
              <w:rPr>
                <w:sz w:val="15"/>
                <w:szCs w:val="15"/>
                <w:color w:val="auto"/>
              </w:rPr>
            </w:pPr>
          </w:p>
        </w:tc>
        <w:tc>
          <w:tcPr>
            <w:tcW w:w="840" w:type="dxa"/>
            <w:vAlign w:val="bottom"/>
            <w:gridSpan w:val="3"/>
            <w:shd w:val="clear" w:color="auto" w:fill="9ADAF6"/>
          </w:tcPr>
          <w:p>
            <w:pPr>
              <w:jc w:val="center"/>
              <w:spacing w:after="0"/>
              <w:rPr>
                <w:sz w:val="20"/>
                <w:szCs w:val="20"/>
                <w:color w:val="auto"/>
              </w:rPr>
            </w:pPr>
            <w:r>
              <w:rPr>
                <w:rFonts w:ascii="Arial" w:cs="Arial" w:eastAsia="Arial" w:hAnsi="Arial"/>
                <w:sz w:val="15"/>
                <w:szCs w:val="15"/>
                <w:b w:val="1"/>
                <w:bCs w:val="1"/>
                <w:color w:val="auto"/>
              </w:rPr>
              <w:t>Securities</w:t>
            </w: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5"/>
                <w:szCs w:val="15"/>
                <w:b w:val="1"/>
                <w:bCs w:val="1"/>
                <w:color w:val="auto"/>
              </w:rPr>
              <w:t>Offering</w:t>
            </w:r>
          </w:p>
        </w:tc>
        <w:tc>
          <w:tcPr>
            <w:tcW w:w="20" w:type="dxa"/>
            <w:vAlign w:val="bottom"/>
          </w:tcPr>
          <w:p>
            <w:pPr>
              <w:spacing w:after="0"/>
              <w:rPr>
                <w:sz w:val="15"/>
                <w:szCs w:val="15"/>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Paid</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gridSpan w:val="3"/>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Registrant or Filer</w:t>
            </w:r>
          </w:p>
        </w:tc>
        <w:tc>
          <w:tcPr>
            <w:tcW w:w="20" w:type="dxa"/>
            <w:vAlign w:val="bottom"/>
          </w:tcPr>
          <w:p>
            <w:pPr>
              <w:spacing w:after="0"/>
              <w:rPr>
                <w:sz w:val="7"/>
                <w:szCs w:val="7"/>
                <w:color w:val="auto"/>
              </w:rPr>
            </w:pPr>
          </w:p>
        </w:tc>
        <w:tc>
          <w:tcPr>
            <w:tcW w:w="6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2"/>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File</w:t>
            </w:r>
          </w:p>
        </w:tc>
        <w:tc>
          <w:tcPr>
            <w:tcW w:w="20" w:type="dxa"/>
            <w:vAlign w:val="bottom"/>
          </w:tcPr>
          <w:p>
            <w:pPr>
              <w:spacing w:after="0"/>
              <w:rPr>
                <w:sz w:val="7"/>
                <w:szCs w:val="7"/>
                <w:color w:val="auto"/>
              </w:rPr>
            </w:pPr>
          </w:p>
        </w:tc>
        <w:tc>
          <w:tcPr>
            <w:tcW w:w="6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Borders>
              <w:right w:val="single" w:sz="8" w:color="9ADAF6"/>
            </w:tcBorders>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w w:val="99"/>
              </w:rPr>
              <w:t>Filing</w:t>
            </w:r>
          </w:p>
        </w:tc>
        <w:tc>
          <w:tcPr>
            <w:tcW w:w="20" w:type="dxa"/>
            <w:vAlign w:val="bottom"/>
          </w:tcPr>
          <w:p>
            <w:pPr>
              <w:spacing w:after="0"/>
              <w:rPr>
                <w:sz w:val="7"/>
                <w:szCs w:val="7"/>
                <w:color w:val="auto"/>
              </w:rPr>
            </w:pPr>
          </w:p>
        </w:tc>
        <w:tc>
          <w:tcPr>
            <w:tcW w:w="620" w:type="dxa"/>
            <w:vAlign w:val="bottom"/>
            <w:tcBorders>
              <w:right w:val="single" w:sz="8" w:color="9ADAF6"/>
            </w:tcBorders>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Associated</w:t>
            </w:r>
          </w:p>
        </w:tc>
        <w:tc>
          <w:tcPr>
            <w:tcW w:w="20" w:type="dxa"/>
            <w:vAlign w:val="bottom"/>
          </w:tcPr>
          <w:p>
            <w:pPr>
              <w:spacing w:after="0"/>
              <w:rPr>
                <w:sz w:val="7"/>
                <w:szCs w:val="7"/>
                <w:color w:val="auto"/>
              </w:rPr>
            </w:pPr>
          </w:p>
        </w:tc>
        <w:tc>
          <w:tcPr>
            <w:tcW w:w="84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Associated</w:t>
            </w:r>
          </w:p>
        </w:tc>
        <w:tc>
          <w:tcPr>
            <w:tcW w:w="20" w:type="dxa"/>
            <w:vAlign w:val="bottom"/>
          </w:tcPr>
          <w:p>
            <w:pPr>
              <w:spacing w:after="0"/>
              <w:rPr>
                <w:sz w:val="7"/>
                <w:szCs w:val="7"/>
                <w:color w:val="auto"/>
              </w:rPr>
            </w:pPr>
          </w:p>
        </w:tc>
        <w:tc>
          <w:tcPr>
            <w:tcW w:w="840" w:type="dxa"/>
            <w:vAlign w:val="bottom"/>
            <w:gridSpan w:val="3"/>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Associated</w:t>
            </w: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Amount</w:t>
            </w:r>
          </w:p>
        </w:tc>
        <w:tc>
          <w:tcPr>
            <w:tcW w:w="20" w:type="dxa"/>
            <w:vAlign w:val="bottom"/>
          </w:tcPr>
          <w:p>
            <w:pPr>
              <w:spacing w:after="0"/>
              <w:rPr>
                <w:sz w:val="7"/>
                <w:szCs w:val="7"/>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with</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40" w:type="dxa"/>
            <w:vAlign w:val="bottom"/>
            <w:tcBorders>
              <w:left w:val="single" w:sz="8" w:color="auto"/>
            </w:tcBorders>
          </w:tcPr>
          <w:p>
            <w:pPr>
              <w:spacing w:after="0"/>
              <w:rPr>
                <w:sz w:val="13"/>
                <w:szCs w:val="13"/>
                <w:color w:val="auto"/>
              </w:rPr>
            </w:pPr>
          </w:p>
        </w:tc>
        <w:tc>
          <w:tcPr>
            <w:tcW w:w="400" w:type="dxa"/>
            <w:vAlign w:val="bottom"/>
            <w:shd w:val="clear" w:color="auto" w:fill="9ADAF6"/>
          </w:tcPr>
          <w:p>
            <w:pPr>
              <w:spacing w:after="0"/>
              <w:rPr>
                <w:sz w:val="13"/>
                <w:szCs w:val="13"/>
                <w:color w:val="auto"/>
              </w:rPr>
            </w:pPr>
          </w:p>
        </w:tc>
        <w:tc>
          <w:tcPr>
            <w:tcW w:w="20" w:type="dxa"/>
            <w:vAlign w:val="bottom"/>
            <w:shd w:val="clear" w:color="auto" w:fill="9ADAF6"/>
          </w:tcPr>
          <w:p>
            <w:pPr>
              <w:spacing w:after="0"/>
              <w:rPr>
                <w:sz w:val="13"/>
                <w:szCs w:val="13"/>
                <w:color w:val="auto"/>
              </w:rPr>
            </w:pPr>
          </w:p>
        </w:tc>
        <w:tc>
          <w:tcPr>
            <w:tcW w:w="52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3"/>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shd w:val="clear" w:color="auto" w:fill="9ADAF6"/>
          </w:tcPr>
          <w:p>
            <w:pPr>
              <w:jc w:val="center"/>
              <w:spacing w:after="0" w:line="155" w:lineRule="exact"/>
              <w:rPr>
                <w:sz w:val="20"/>
                <w:szCs w:val="20"/>
                <w:color w:val="auto"/>
              </w:rPr>
            </w:pPr>
            <w:r>
              <w:rPr>
                <w:rFonts w:ascii="Arial" w:cs="Arial" w:eastAsia="Arial" w:hAnsi="Arial"/>
                <w:sz w:val="15"/>
                <w:szCs w:val="15"/>
                <w:b w:val="1"/>
                <w:bCs w:val="1"/>
                <w:color w:val="auto"/>
                <w:w w:val="99"/>
              </w:rPr>
              <w:t>Filing</w:t>
            </w:r>
          </w:p>
        </w:tc>
        <w:tc>
          <w:tcPr>
            <w:tcW w:w="20" w:type="dxa"/>
            <w:vAlign w:val="bottom"/>
          </w:tcPr>
          <w:p>
            <w:pPr>
              <w:spacing w:after="0"/>
              <w:rPr>
                <w:sz w:val="13"/>
                <w:szCs w:val="13"/>
                <w:color w:val="auto"/>
              </w:rPr>
            </w:pPr>
          </w:p>
        </w:tc>
        <w:tc>
          <w:tcPr>
            <w:tcW w:w="700" w:type="dxa"/>
            <w:vAlign w:val="bottom"/>
            <w:gridSpan w:val="2"/>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shd w:val="clear" w:color="auto" w:fill="9ADAF6"/>
          </w:tcPr>
          <w:p>
            <w:pPr>
              <w:jc w:val="center"/>
              <w:spacing w:after="0" w:line="155" w:lineRule="exact"/>
              <w:rPr>
                <w:sz w:val="20"/>
                <w:szCs w:val="20"/>
                <w:color w:val="auto"/>
              </w:rPr>
            </w:pPr>
            <w:r>
              <w:rPr>
                <w:rFonts w:ascii="Arial" w:cs="Arial" w:eastAsia="Arial" w:hAnsi="Arial"/>
                <w:sz w:val="15"/>
                <w:szCs w:val="15"/>
                <w:b w:val="1"/>
                <w:bCs w:val="1"/>
                <w:color w:val="auto"/>
              </w:rPr>
              <w:t>Filing</w:t>
            </w:r>
          </w:p>
        </w:tc>
        <w:tc>
          <w:tcPr>
            <w:tcW w:w="20" w:type="dxa"/>
            <w:vAlign w:val="bottom"/>
          </w:tcPr>
          <w:p>
            <w:pPr>
              <w:spacing w:after="0"/>
              <w:rPr>
                <w:sz w:val="13"/>
                <w:szCs w:val="13"/>
                <w:color w:val="auto"/>
              </w:rPr>
            </w:pPr>
          </w:p>
        </w:tc>
        <w:tc>
          <w:tcPr>
            <w:tcW w:w="580" w:type="dxa"/>
            <w:vAlign w:val="bottom"/>
            <w:tcBorders>
              <w:right w:val="single" w:sz="8" w:color="9ADAF6"/>
            </w:tcBorders>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right w:val="single" w:sz="8" w:color="9ADAF6"/>
            </w:tcBorders>
            <w:gridSpan w:val="3"/>
            <w:shd w:val="clear" w:color="auto" w:fill="9ADAF6"/>
          </w:tcPr>
          <w:p>
            <w:pPr>
              <w:jc w:val="right"/>
              <w:ind w:right="3"/>
              <w:spacing w:after="0" w:line="155" w:lineRule="exact"/>
              <w:rPr>
                <w:sz w:val="20"/>
                <w:szCs w:val="20"/>
                <w:color w:val="auto"/>
              </w:rPr>
            </w:pPr>
            <w:r>
              <w:rPr>
                <w:rFonts w:ascii="Arial" w:cs="Arial" w:eastAsia="Arial" w:hAnsi="Arial"/>
                <w:sz w:val="15"/>
                <w:szCs w:val="15"/>
                <w:b w:val="1"/>
                <w:bCs w:val="1"/>
                <w:color w:val="auto"/>
              </w:rPr>
              <w:t>Offset</w:t>
            </w:r>
          </w:p>
        </w:tc>
        <w:tc>
          <w:tcPr>
            <w:tcW w:w="20" w:type="dxa"/>
            <w:vAlign w:val="bottom"/>
          </w:tcPr>
          <w:p>
            <w:pPr>
              <w:spacing w:after="0"/>
              <w:rPr>
                <w:sz w:val="13"/>
                <w:szCs w:val="13"/>
                <w:color w:val="auto"/>
              </w:rPr>
            </w:pPr>
          </w:p>
        </w:tc>
        <w:tc>
          <w:tcPr>
            <w:tcW w:w="82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right w:val="single" w:sz="8" w:color="9ADAF6"/>
            </w:tcBorders>
            <w:gridSpan w:val="3"/>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vMerge w:val="continue"/>
            <w:shd w:val="clear" w:color="auto" w:fill="9ADAF6"/>
          </w:tcPr>
          <w:p>
            <w:pPr>
              <w:spacing w:after="0"/>
              <w:rPr>
                <w:sz w:val="13"/>
                <w:szCs w:val="13"/>
                <w:color w:val="auto"/>
              </w:rPr>
            </w:pPr>
          </w:p>
        </w:tc>
        <w:tc>
          <w:tcPr>
            <w:tcW w:w="920" w:type="dxa"/>
            <w:vAlign w:val="bottom"/>
            <w:gridSpan w:val="3"/>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shd w:val="clear" w:color="auto" w:fill="9ADAF6"/>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00" w:type="dxa"/>
            <w:vAlign w:val="bottom"/>
            <w:shd w:val="clear" w:color="auto" w:fill="9ADAF6"/>
          </w:tcPr>
          <w:p>
            <w:pPr>
              <w:jc w:val="center"/>
              <w:ind w:right="123"/>
              <w:spacing w:after="0"/>
              <w:rPr>
                <w:sz w:val="20"/>
                <w:szCs w:val="20"/>
                <w:color w:val="auto"/>
              </w:rPr>
            </w:pPr>
            <w:r>
              <w:rPr>
                <w:rFonts w:ascii="Arial" w:cs="Arial" w:eastAsia="Arial" w:hAnsi="Arial"/>
                <w:sz w:val="15"/>
                <w:szCs w:val="15"/>
                <w:b w:val="1"/>
                <w:bCs w:val="1"/>
                <w:color w:val="auto"/>
              </w:rPr>
              <w:t>Name</w:t>
            </w:r>
          </w:p>
        </w:tc>
        <w:tc>
          <w:tcPr>
            <w:tcW w:w="20" w:type="dxa"/>
            <w:vAlign w:val="bottom"/>
          </w:tcPr>
          <w:p>
            <w:pPr>
              <w:spacing w:after="0"/>
              <w:rPr>
                <w:sz w:val="15"/>
                <w:szCs w:val="15"/>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Type</w:t>
            </w:r>
          </w:p>
        </w:tc>
        <w:tc>
          <w:tcPr>
            <w:tcW w:w="20" w:type="dxa"/>
            <w:vAlign w:val="bottom"/>
          </w:tcPr>
          <w:p>
            <w:pPr>
              <w:spacing w:after="0"/>
              <w:rPr>
                <w:sz w:val="15"/>
                <w:szCs w:val="15"/>
                <w:color w:val="auto"/>
              </w:rPr>
            </w:pPr>
          </w:p>
        </w:tc>
        <w:tc>
          <w:tcPr>
            <w:tcW w:w="700" w:type="dxa"/>
            <w:vAlign w:val="bottom"/>
            <w:gridSpan w:val="2"/>
            <w:shd w:val="clear" w:color="auto" w:fill="9ADAF6"/>
          </w:tcPr>
          <w:p>
            <w:pPr>
              <w:jc w:val="center"/>
              <w:spacing w:after="0"/>
              <w:rPr>
                <w:sz w:val="20"/>
                <w:szCs w:val="20"/>
                <w:color w:val="auto"/>
              </w:rPr>
            </w:pPr>
            <w:r>
              <w:rPr>
                <w:rFonts w:ascii="Arial" w:cs="Arial" w:eastAsia="Arial" w:hAnsi="Arial"/>
                <w:sz w:val="15"/>
                <w:szCs w:val="15"/>
                <w:b w:val="1"/>
                <w:bCs w:val="1"/>
                <w:color w:val="auto"/>
              </w:rPr>
              <w:t>Number</w:t>
            </w:r>
          </w:p>
        </w:tc>
        <w:tc>
          <w:tcPr>
            <w:tcW w:w="20" w:type="dxa"/>
            <w:vAlign w:val="bottom"/>
          </w:tcPr>
          <w:p>
            <w:pPr>
              <w:spacing w:after="0"/>
              <w:rPr>
                <w:sz w:val="15"/>
                <w:szCs w:val="15"/>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Date</w:t>
            </w:r>
          </w:p>
        </w:tc>
        <w:tc>
          <w:tcPr>
            <w:tcW w:w="20" w:type="dxa"/>
            <w:vAlign w:val="bottom"/>
          </w:tcPr>
          <w:p>
            <w:pPr>
              <w:spacing w:after="0"/>
              <w:rPr>
                <w:sz w:val="15"/>
                <w:szCs w:val="15"/>
                <w:color w:val="auto"/>
              </w:rPr>
            </w:pPr>
          </w:p>
        </w:tc>
        <w:tc>
          <w:tcPr>
            <w:tcW w:w="580" w:type="dxa"/>
            <w:vAlign w:val="bottom"/>
            <w:tcBorders>
              <w:right w:val="single" w:sz="8" w:color="9ADAF6"/>
            </w:tcBorders>
            <w:shd w:val="clear" w:color="auto" w:fill="9ADAF6"/>
          </w:tcPr>
          <w:p>
            <w:pPr>
              <w:jc w:val="center"/>
              <w:spacing w:after="0"/>
              <w:rPr>
                <w:sz w:val="20"/>
                <w:szCs w:val="20"/>
                <w:color w:val="auto"/>
              </w:rPr>
            </w:pPr>
            <w:r>
              <w:rPr>
                <w:rFonts w:ascii="Arial" w:cs="Arial" w:eastAsia="Arial" w:hAnsi="Arial"/>
                <w:sz w:val="15"/>
                <w:szCs w:val="15"/>
                <w:b w:val="1"/>
                <w:bCs w:val="1"/>
                <w:color w:val="auto"/>
              </w:rPr>
              <w:t>Date</w:t>
            </w:r>
          </w:p>
        </w:tc>
        <w:tc>
          <w:tcPr>
            <w:tcW w:w="20" w:type="dxa"/>
            <w:vAlign w:val="bottom"/>
          </w:tcPr>
          <w:p>
            <w:pPr>
              <w:spacing w:after="0"/>
              <w:rPr>
                <w:sz w:val="15"/>
                <w:szCs w:val="15"/>
                <w:color w:val="auto"/>
              </w:rPr>
            </w:pPr>
          </w:p>
        </w:tc>
        <w:tc>
          <w:tcPr>
            <w:tcW w:w="620" w:type="dxa"/>
            <w:vAlign w:val="bottom"/>
            <w:tcBorders>
              <w:right w:val="single" w:sz="8" w:color="9ADAF6"/>
            </w:tcBorders>
            <w:gridSpan w:val="3"/>
            <w:shd w:val="clear" w:color="auto" w:fill="9ADAF6"/>
          </w:tcPr>
          <w:p>
            <w:pPr>
              <w:jc w:val="right"/>
              <w:spacing w:after="0"/>
              <w:rPr>
                <w:sz w:val="20"/>
                <w:szCs w:val="20"/>
                <w:color w:val="auto"/>
              </w:rPr>
            </w:pPr>
            <w:r>
              <w:rPr>
                <w:rFonts w:ascii="Arial" w:cs="Arial" w:eastAsia="Arial" w:hAnsi="Arial"/>
                <w:sz w:val="15"/>
                <w:szCs w:val="15"/>
                <w:b w:val="1"/>
                <w:bCs w:val="1"/>
                <w:color w:val="auto"/>
                <w:w w:val="99"/>
              </w:rPr>
              <w:t>Claimed</w:t>
            </w:r>
          </w:p>
        </w:tc>
        <w:tc>
          <w:tcPr>
            <w:tcW w:w="20" w:type="dxa"/>
            <w:vAlign w:val="bottom"/>
          </w:tcPr>
          <w:p>
            <w:pPr>
              <w:spacing w:after="0"/>
              <w:rPr>
                <w:sz w:val="15"/>
                <w:szCs w:val="15"/>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with Fee</w:t>
            </w:r>
          </w:p>
        </w:tc>
        <w:tc>
          <w:tcPr>
            <w:tcW w:w="20" w:type="dxa"/>
            <w:vAlign w:val="bottom"/>
          </w:tcPr>
          <w:p>
            <w:pPr>
              <w:spacing w:after="0"/>
              <w:rPr>
                <w:sz w:val="15"/>
                <w:szCs w:val="15"/>
                <w:color w:val="auto"/>
              </w:rPr>
            </w:pPr>
          </w:p>
        </w:tc>
        <w:tc>
          <w:tcPr>
            <w:tcW w:w="840" w:type="dxa"/>
            <w:vAlign w:val="bottom"/>
            <w:tcBorders>
              <w:right w:val="single" w:sz="8" w:color="9ADAF6"/>
            </w:tcBorders>
            <w:gridSpan w:val="3"/>
            <w:shd w:val="clear" w:color="auto" w:fill="9ADAF6"/>
          </w:tcPr>
          <w:p>
            <w:pPr>
              <w:jc w:val="center"/>
              <w:spacing w:after="0"/>
              <w:rPr>
                <w:sz w:val="20"/>
                <w:szCs w:val="20"/>
                <w:color w:val="auto"/>
              </w:rPr>
            </w:pPr>
            <w:r>
              <w:rPr>
                <w:rFonts w:ascii="Arial" w:cs="Arial" w:eastAsia="Arial" w:hAnsi="Arial"/>
                <w:sz w:val="15"/>
                <w:szCs w:val="15"/>
                <w:b w:val="1"/>
                <w:bCs w:val="1"/>
                <w:color w:val="auto"/>
                <w:w w:val="99"/>
              </w:rPr>
              <w:t>with Fee</w:t>
            </w:r>
          </w:p>
        </w:tc>
        <w:tc>
          <w:tcPr>
            <w:tcW w:w="20" w:type="dxa"/>
            <w:vAlign w:val="bottom"/>
          </w:tcPr>
          <w:p>
            <w:pPr>
              <w:spacing w:after="0"/>
              <w:rPr>
                <w:sz w:val="15"/>
                <w:szCs w:val="15"/>
                <w:color w:val="auto"/>
              </w:rPr>
            </w:pPr>
          </w:p>
        </w:tc>
        <w:tc>
          <w:tcPr>
            <w:tcW w:w="840" w:type="dxa"/>
            <w:vAlign w:val="bottom"/>
            <w:gridSpan w:val="3"/>
            <w:shd w:val="clear" w:color="auto" w:fill="9ADAF6"/>
          </w:tcPr>
          <w:p>
            <w:pPr>
              <w:jc w:val="center"/>
              <w:spacing w:after="0"/>
              <w:rPr>
                <w:sz w:val="20"/>
                <w:szCs w:val="20"/>
                <w:color w:val="auto"/>
              </w:rPr>
            </w:pPr>
            <w:r>
              <w:rPr>
                <w:rFonts w:ascii="Arial" w:cs="Arial" w:eastAsia="Arial" w:hAnsi="Arial"/>
                <w:sz w:val="15"/>
                <w:szCs w:val="15"/>
                <w:b w:val="1"/>
                <w:bCs w:val="1"/>
                <w:color w:val="auto"/>
              </w:rPr>
              <w:t>with Fee</w:t>
            </w: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5"/>
                <w:szCs w:val="15"/>
                <w:b w:val="1"/>
                <w:bCs w:val="1"/>
                <w:color w:val="auto"/>
              </w:rPr>
              <w:t>Associated</w:t>
            </w:r>
          </w:p>
        </w:tc>
        <w:tc>
          <w:tcPr>
            <w:tcW w:w="20" w:type="dxa"/>
            <w:vAlign w:val="bottom"/>
          </w:tcPr>
          <w:p>
            <w:pPr>
              <w:spacing w:after="0"/>
              <w:rPr>
                <w:sz w:val="15"/>
                <w:szCs w:val="15"/>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Fee</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40" w:type="dxa"/>
            <w:vAlign w:val="bottom"/>
            <w:tcBorders>
              <w:left w:val="single" w:sz="8" w:color="auto"/>
            </w:tcBorders>
          </w:tcPr>
          <w:p>
            <w:pPr>
              <w:spacing w:after="0"/>
              <w:rPr>
                <w:sz w:val="10"/>
                <w:szCs w:val="10"/>
                <w:color w:val="auto"/>
              </w:rPr>
            </w:pPr>
          </w:p>
        </w:tc>
        <w:tc>
          <w:tcPr>
            <w:tcW w:w="4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3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6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9ADAF6"/>
          </w:tcPr>
          <w:p>
            <w:pPr>
              <w:jc w:val="center"/>
              <w:spacing w:after="0" w:line="123" w:lineRule="exact"/>
              <w:rPr>
                <w:sz w:val="20"/>
                <w:szCs w:val="20"/>
                <w:color w:val="auto"/>
              </w:rPr>
            </w:pPr>
            <w:r>
              <w:rPr>
                <w:rFonts w:ascii="Arial" w:cs="Arial" w:eastAsia="Arial" w:hAnsi="Arial"/>
                <w:sz w:val="14"/>
                <w:szCs w:val="14"/>
                <w:b w:val="1"/>
                <w:bCs w:val="1"/>
                <w:color w:val="auto"/>
              </w:rPr>
              <w:t>Offset</w:t>
            </w:r>
          </w:p>
        </w:tc>
        <w:tc>
          <w:tcPr>
            <w:tcW w:w="20" w:type="dxa"/>
            <w:vAlign w:val="bottom"/>
          </w:tcPr>
          <w:p>
            <w:pPr>
              <w:spacing w:after="0"/>
              <w:rPr>
                <w:sz w:val="10"/>
                <w:szCs w:val="10"/>
                <w:color w:val="auto"/>
              </w:rPr>
            </w:pPr>
          </w:p>
        </w:tc>
        <w:tc>
          <w:tcPr>
            <w:tcW w:w="840" w:type="dxa"/>
            <w:vAlign w:val="bottom"/>
            <w:tcBorders>
              <w:right w:val="single" w:sz="8" w:color="9ADAF6"/>
            </w:tcBorders>
            <w:gridSpan w:val="3"/>
            <w:shd w:val="clear" w:color="auto" w:fill="9ADAF6"/>
          </w:tcPr>
          <w:p>
            <w:pPr>
              <w:jc w:val="center"/>
              <w:spacing w:after="0" w:line="123" w:lineRule="exact"/>
              <w:rPr>
                <w:sz w:val="20"/>
                <w:szCs w:val="20"/>
                <w:color w:val="auto"/>
              </w:rPr>
            </w:pPr>
            <w:r>
              <w:rPr>
                <w:rFonts w:ascii="Arial" w:cs="Arial" w:eastAsia="Arial" w:hAnsi="Arial"/>
                <w:sz w:val="14"/>
                <w:szCs w:val="14"/>
                <w:b w:val="1"/>
                <w:bCs w:val="1"/>
                <w:color w:val="auto"/>
              </w:rPr>
              <w:t>Offset</w:t>
            </w:r>
          </w:p>
        </w:tc>
        <w:tc>
          <w:tcPr>
            <w:tcW w:w="20" w:type="dxa"/>
            <w:vAlign w:val="bottom"/>
          </w:tcPr>
          <w:p>
            <w:pPr>
              <w:spacing w:after="0"/>
              <w:rPr>
                <w:sz w:val="10"/>
                <w:szCs w:val="10"/>
                <w:color w:val="auto"/>
              </w:rPr>
            </w:pPr>
          </w:p>
        </w:tc>
        <w:tc>
          <w:tcPr>
            <w:tcW w:w="840" w:type="dxa"/>
            <w:vAlign w:val="bottom"/>
            <w:gridSpan w:val="3"/>
            <w:shd w:val="clear" w:color="auto" w:fill="9ADAF6"/>
          </w:tcPr>
          <w:p>
            <w:pPr>
              <w:jc w:val="center"/>
              <w:spacing w:after="0" w:line="123" w:lineRule="exact"/>
              <w:rPr>
                <w:sz w:val="20"/>
                <w:szCs w:val="20"/>
                <w:color w:val="auto"/>
              </w:rPr>
            </w:pPr>
            <w:r>
              <w:rPr>
                <w:rFonts w:ascii="Arial" w:cs="Arial" w:eastAsia="Arial" w:hAnsi="Arial"/>
                <w:sz w:val="14"/>
                <w:szCs w:val="14"/>
                <w:b w:val="1"/>
                <w:bCs w:val="1"/>
                <w:color w:val="auto"/>
              </w:rPr>
              <w:t>Offset</w:t>
            </w:r>
          </w:p>
        </w:tc>
        <w:tc>
          <w:tcPr>
            <w:tcW w:w="920" w:type="dxa"/>
            <w:vAlign w:val="bottom"/>
            <w:gridSpan w:val="3"/>
            <w:shd w:val="clear" w:color="auto" w:fill="9ADAF6"/>
          </w:tcPr>
          <w:p>
            <w:pPr>
              <w:jc w:val="center"/>
              <w:spacing w:after="0" w:line="123" w:lineRule="exact"/>
              <w:rPr>
                <w:sz w:val="20"/>
                <w:szCs w:val="20"/>
                <w:color w:val="auto"/>
              </w:rPr>
            </w:pPr>
            <w:r>
              <w:rPr>
                <w:rFonts w:ascii="Arial" w:cs="Arial" w:eastAsia="Arial" w:hAnsi="Arial"/>
                <w:sz w:val="14"/>
                <w:szCs w:val="14"/>
                <w:b w:val="1"/>
                <w:bCs w:val="1"/>
                <w:color w:val="auto"/>
              </w:rPr>
              <w:t>with Fee</w:t>
            </w:r>
          </w:p>
        </w:tc>
        <w:tc>
          <w:tcPr>
            <w:tcW w:w="20" w:type="dxa"/>
            <w:vAlign w:val="bottom"/>
          </w:tcPr>
          <w:p>
            <w:pPr>
              <w:spacing w:after="0"/>
              <w:rPr>
                <w:sz w:val="10"/>
                <w:szCs w:val="10"/>
                <w:color w:val="auto"/>
              </w:rPr>
            </w:pPr>
          </w:p>
        </w:tc>
        <w:tc>
          <w:tcPr>
            <w:tcW w:w="600" w:type="dxa"/>
            <w:vAlign w:val="bottom"/>
            <w:shd w:val="clear" w:color="auto" w:fill="9ADAF6"/>
          </w:tcPr>
          <w:p>
            <w:pPr>
              <w:jc w:val="center"/>
              <w:spacing w:after="0" w:line="123" w:lineRule="exact"/>
              <w:rPr>
                <w:sz w:val="20"/>
                <w:szCs w:val="20"/>
                <w:color w:val="auto"/>
              </w:rPr>
            </w:pPr>
            <w:r>
              <w:rPr>
                <w:rFonts w:ascii="Arial" w:cs="Arial" w:eastAsia="Arial" w:hAnsi="Arial"/>
                <w:sz w:val="14"/>
                <w:szCs w:val="14"/>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right w:val="single" w:sz="8" w:color="9ADAF6"/>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60" w:type="dxa"/>
            <w:vAlign w:val="bottom"/>
            <w:tcBorders>
              <w:right w:val="single" w:sz="8" w:color="9ADAF6"/>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w w:val="99"/>
              </w:rPr>
              <w:t>Claimed</w:t>
            </w:r>
          </w:p>
        </w:tc>
        <w:tc>
          <w:tcPr>
            <w:tcW w:w="20" w:type="dxa"/>
            <w:vAlign w:val="bottom"/>
          </w:tcPr>
          <w:p>
            <w:pPr>
              <w:spacing w:after="0"/>
              <w:rPr>
                <w:sz w:val="15"/>
                <w:szCs w:val="15"/>
                <w:color w:val="auto"/>
              </w:rPr>
            </w:pPr>
          </w:p>
        </w:tc>
        <w:tc>
          <w:tcPr>
            <w:tcW w:w="840" w:type="dxa"/>
            <w:vAlign w:val="bottom"/>
            <w:tcBorders>
              <w:right w:val="single" w:sz="8" w:color="9ADAF6"/>
            </w:tcBorders>
            <w:gridSpan w:val="3"/>
            <w:shd w:val="clear" w:color="auto" w:fill="9ADAF6"/>
          </w:tcPr>
          <w:p>
            <w:pPr>
              <w:jc w:val="center"/>
              <w:spacing w:after="0"/>
              <w:rPr>
                <w:sz w:val="20"/>
                <w:szCs w:val="20"/>
                <w:color w:val="auto"/>
              </w:rPr>
            </w:pPr>
            <w:r>
              <w:rPr>
                <w:rFonts w:ascii="Arial" w:cs="Arial" w:eastAsia="Arial" w:hAnsi="Arial"/>
                <w:sz w:val="15"/>
                <w:szCs w:val="15"/>
                <w:b w:val="1"/>
                <w:bCs w:val="1"/>
                <w:color w:val="auto"/>
              </w:rPr>
              <w:t>Claimed</w:t>
            </w:r>
          </w:p>
        </w:tc>
        <w:tc>
          <w:tcPr>
            <w:tcW w:w="20" w:type="dxa"/>
            <w:vAlign w:val="bottom"/>
          </w:tcPr>
          <w:p>
            <w:pPr>
              <w:spacing w:after="0"/>
              <w:rPr>
                <w:sz w:val="15"/>
                <w:szCs w:val="15"/>
                <w:color w:val="auto"/>
              </w:rPr>
            </w:pPr>
          </w:p>
        </w:tc>
        <w:tc>
          <w:tcPr>
            <w:tcW w:w="840" w:type="dxa"/>
            <w:vAlign w:val="bottom"/>
            <w:gridSpan w:val="3"/>
            <w:shd w:val="clear" w:color="auto" w:fill="9ADAF6"/>
          </w:tcPr>
          <w:p>
            <w:pPr>
              <w:jc w:val="center"/>
              <w:spacing w:after="0"/>
              <w:rPr>
                <w:sz w:val="20"/>
                <w:szCs w:val="20"/>
                <w:color w:val="auto"/>
              </w:rPr>
            </w:pPr>
            <w:r>
              <w:rPr>
                <w:rFonts w:ascii="Arial" w:cs="Arial" w:eastAsia="Arial" w:hAnsi="Arial"/>
                <w:sz w:val="15"/>
                <w:szCs w:val="15"/>
                <w:b w:val="1"/>
                <w:bCs w:val="1"/>
                <w:color w:val="auto"/>
              </w:rPr>
              <w:t>Claimed</w:t>
            </w: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5"/>
                <w:szCs w:val="15"/>
                <w:b w:val="1"/>
                <w:bCs w:val="1"/>
                <w:color w:val="auto"/>
              </w:rPr>
              <w:t>Offset</w:t>
            </w:r>
          </w:p>
        </w:tc>
        <w:tc>
          <w:tcPr>
            <w:tcW w:w="20" w:type="dxa"/>
            <w:vAlign w:val="bottom"/>
          </w:tcPr>
          <w:p>
            <w:pPr>
              <w:spacing w:after="0"/>
              <w:rPr>
                <w:sz w:val="15"/>
                <w:szCs w:val="15"/>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5"/>
                <w:szCs w:val="15"/>
                <w:b w:val="1"/>
                <w:bCs w:val="1"/>
                <w:color w:val="auto"/>
              </w:rPr>
              <w:t>Source</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4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6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5"/>
                <w:szCs w:val="15"/>
                <w:b w:val="1"/>
                <w:bCs w:val="1"/>
                <w:color w:val="auto"/>
              </w:rPr>
              <w:t>Claimed</w:t>
            </w: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gridSpan w:val="10"/>
          </w:tcPr>
          <w:p>
            <w:pPr>
              <w:jc w:val="right"/>
              <w:ind w:right="103"/>
              <w:spacing w:after="0"/>
              <w:rPr>
                <w:sz w:val="20"/>
                <w:szCs w:val="20"/>
                <w:color w:val="auto"/>
              </w:rPr>
            </w:pPr>
            <w:r>
              <w:rPr>
                <w:rFonts w:ascii="Arial" w:cs="Arial" w:eastAsia="Arial" w:hAnsi="Arial"/>
                <w:sz w:val="15"/>
                <w:szCs w:val="15"/>
                <w:b w:val="1"/>
                <w:bCs w:val="1"/>
                <w:color w:val="auto"/>
              </w:rPr>
              <w:t>Rules 457(b) and 0-11(a)(2)</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940" w:type="dxa"/>
            <w:vAlign w:val="bottom"/>
            <w:gridSpan w:val="3"/>
            <w:shd w:val="clear" w:color="auto" w:fill="E7E7E2"/>
          </w:tcPr>
          <w:p>
            <w:pPr>
              <w:spacing w:after="0"/>
              <w:rPr>
                <w:sz w:val="20"/>
                <w:szCs w:val="20"/>
                <w:color w:val="auto"/>
              </w:rPr>
            </w:pPr>
            <w:r>
              <w:rPr>
                <w:rFonts w:ascii="Arial" w:cs="Arial" w:eastAsia="Arial" w:hAnsi="Arial"/>
                <w:sz w:val="15"/>
                <w:szCs w:val="15"/>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1500" w:type="dxa"/>
            <w:vAlign w:val="bottom"/>
            <w:gridSpan w:val="3"/>
            <w:vMerge w:val="restart"/>
            <w:shd w:val="clear" w:color="auto" w:fill="E7E7E2"/>
          </w:tcPr>
          <w:p>
            <w:pP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700" w:type="dxa"/>
            <w:vAlign w:val="bottom"/>
            <w:gridSpan w:val="2"/>
            <w:vMerge w:val="restart"/>
            <w:shd w:val="clear" w:color="auto" w:fill="E7E7E2"/>
          </w:tcPr>
          <w:p>
            <w:pPr>
              <w:jc w:val="cente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58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tcBorders>
              <w:right w:val="single" w:sz="8" w:color="E7E7E2"/>
            </w:tcBorders>
            <w:vMerge w:val="restart"/>
            <w:shd w:val="clear" w:color="auto" w:fill="E7E7E2"/>
          </w:tcPr>
          <w:p>
            <w:pPr>
              <w:jc w:val="right"/>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840" w:type="dxa"/>
            <w:vAlign w:val="bottom"/>
            <w:tcBorders>
              <w:right w:val="single" w:sz="8" w:color="E7E7E2"/>
            </w:tcBorders>
            <w:gridSpan w:val="3"/>
            <w:vMerge w:val="restart"/>
            <w:shd w:val="clear" w:color="auto" w:fill="E7E7E2"/>
          </w:tcPr>
          <w:p>
            <w:pPr>
              <w:ind w:left="20"/>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5"/>
                <w:szCs w:val="15"/>
                <w:color w:val="auto"/>
              </w:rPr>
              <w:t>N/A</w:t>
            </w:r>
          </w:p>
        </w:tc>
        <w:tc>
          <w:tcPr>
            <w:tcW w:w="920" w:type="dxa"/>
            <w:vAlign w:val="bottom"/>
            <w:gridSpan w:val="3"/>
            <w:vMerge w:val="restart"/>
            <w:shd w:val="clear" w:color="auto" w:fill="E7E7E2"/>
          </w:tcPr>
          <w:p>
            <w:pPr>
              <w:ind w:left="660"/>
              <w:spacing w:after="0"/>
              <w:rPr>
                <w:sz w:val="20"/>
                <w:szCs w:val="20"/>
                <w:color w:val="auto"/>
              </w:rPr>
            </w:pPr>
            <w:r>
              <w:rPr>
                <w:rFonts w:ascii="Arial" w:cs="Arial" w:eastAsia="Arial" w:hAnsi="Arial"/>
                <w:sz w:val="15"/>
                <w:szCs w:val="15"/>
                <w:color w:val="auto"/>
                <w:w w:val="95"/>
              </w:rPr>
              <w:t>N/A</w:t>
            </w:r>
          </w:p>
        </w:tc>
        <w:tc>
          <w:tcPr>
            <w:tcW w:w="20" w:type="dxa"/>
            <w:vAlign w:val="bottom"/>
          </w:tcPr>
          <w:p>
            <w:pPr>
              <w:spacing w:after="0"/>
              <w:rPr>
                <w:sz w:val="16"/>
                <w:szCs w:val="16"/>
                <w:color w:val="auto"/>
              </w:rPr>
            </w:pPr>
          </w:p>
        </w:tc>
        <w:tc>
          <w:tcPr>
            <w:tcW w:w="600" w:type="dxa"/>
            <w:vAlign w:val="bottom"/>
            <w:vMerge w:val="restart"/>
            <w:shd w:val="clear" w:color="auto" w:fill="E7E7E2"/>
          </w:tcPr>
          <w:p>
            <w:pPr>
              <w:ind w:left="340"/>
              <w:spacing w:after="0"/>
              <w:rPr>
                <w:sz w:val="20"/>
                <w:szCs w:val="20"/>
                <w:color w:val="auto"/>
              </w:rPr>
            </w:pPr>
            <w:r>
              <w:rPr>
                <w:rFonts w:ascii="Arial" w:cs="Arial" w:eastAsia="Arial" w:hAnsi="Arial"/>
                <w:sz w:val="15"/>
                <w:szCs w:val="15"/>
                <w:color w:val="auto"/>
                <w:w w:val="95"/>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40" w:type="dxa"/>
            <w:vAlign w:val="bottom"/>
            <w:tcBorders>
              <w:left w:val="single" w:sz="8" w:color="auto"/>
            </w:tcBorders>
          </w:tcPr>
          <w:p>
            <w:pPr>
              <w:spacing w:after="0"/>
              <w:rPr>
                <w:sz w:val="9"/>
                <w:szCs w:val="9"/>
                <w:color w:val="auto"/>
              </w:rPr>
            </w:pPr>
          </w:p>
        </w:tc>
        <w:tc>
          <w:tcPr>
            <w:tcW w:w="940" w:type="dxa"/>
            <w:vAlign w:val="bottom"/>
            <w:gridSpan w:val="3"/>
            <w:vMerge w:val="restart"/>
            <w:shd w:val="clear" w:color="auto" w:fill="E7E7E2"/>
          </w:tcPr>
          <w:p>
            <w:pPr>
              <w:spacing w:after="0"/>
              <w:rPr>
                <w:sz w:val="20"/>
                <w:szCs w:val="20"/>
                <w:color w:val="auto"/>
              </w:rPr>
            </w:pPr>
            <w:r>
              <w:rPr>
                <w:rFonts w:ascii="Arial" w:cs="Arial" w:eastAsia="Arial" w:hAnsi="Arial"/>
                <w:sz w:val="15"/>
                <w:szCs w:val="15"/>
                <w:color w:val="auto"/>
              </w:rPr>
              <w:t>Claims</w:t>
            </w:r>
          </w:p>
        </w:tc>
        <w:tc>
          <w:tcPr>
            <w:tcW w:w="20" w:type="dxa"/>
            <w:vAlign w:val="bottom"/>
          </w:tcPr>
          <w:p>
            <w:pPr>
              <w:spacing w:after="0"/>
              <w:rPr>
                <w:sz w:val="9"/>
                <w:szCs w:val="9"/>
                <w:color w:val="auto"/>
              </w:rPr>
            </w:pPr>
          </w:p>
        </w:tc>
        <w:tc>
          <w:tcPr>
            <w:tcW w:w="7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gridSpan w:val="3"/>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2"/>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right w:val="single" w:sz="8" w:color="E7E7E2"/>
            </w:tcBorders>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360" w:type="dxa"/>
            <w:vAlign w:val="bottom"/>
            <w:tcBorders>
              <w:right w:val="single" w:sz="8" w:color="E7E7E2"/>
            </w:tcBorders>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Borders>
              <w:right w:val="single" w:sz="8" w:color="E7E7E2"/>
            </w:tcBorders>
            <w:gridSpan w:val="3"/>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360" w:type="dxa"/>
            <w:vAlign w:val="bottom"/>
            <w:vMerge w:val="continue"/>
            <w:shd w:val="clear" w:color="auto" w:fill="E7E7E2"/>
          </w:tcPr>
          <w:p>
            <w:pPr>
              <w:spacing w:after="0"/>
              <w:rPr>
                <w:sz w:val="9"/>
                <w:szCs w:val="9"/>
                <w:color w:val="auto"/>
              </w:rPr>
            </w:pPr>
          </w:p>
        </w:tc>
        <w:tc>
          <w:tcPr>
            <w:tcW w:w="920" w:type="dxa"/>
            <w:vAlign w:val="bottom"/>
            <w:gridSpan w:val="3"/>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shd w:val="clear" w:color="auto" w:fill="E7E7E2"/>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0" w:type="dxa"/>
            <w:vAlign w:val="bottom"/>
            <w:tcBorders>
              <w:left w:val="single" w:sz="8" w:color="auto"/>
            </w:tcBorders>
          </w:tcPr>
          <w:p>
            <w:pPr>
              <w:spacing w:after="0"/>
              <w:rPr>
                <w:sz w:val="9"/>
                <w:szCs w:val="9"/>
                <w:color w:val="auto"/>
              </w:rPr>
            </w:pPr>
          </w:p>
        </w:tc>
        <w:tc>
          <w:tcPr>
            <w:tcW w:w="940" w:type="dxa"/>
            <w:vAlign w:val="bottom"/>
            <w:gridSpan w:val="3"/>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13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right w:val="single" w:sz="8" w:color="E7E7E2"/>
            </w:tcBorders>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360" w:type="dxa"/>
            <w:vAlign w:val="bottom"/>
            <w:tcBorders>
              <w:right w:val="single" w:sz="8" w:color="E7E7E2"/>
            </w:tcBorders>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140" w:type="dxa"/>
            <w:vAlign w:val="bottom"/>
            <w:tcBorders>
              <w:right w:val="single" w:sz="8" w:color="E7E7E2"/>
            </w:tcBorders>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360" w:type="dxa"/>
            <w:vAlign w:val="bottom"/>
            <w:shd w:val="clear" w:color="auto" w:fill="E7E7E2"/>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2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shd w:val="clear" w:color="auto" w:fill="E7E7E2"/>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940" w:type="dxa"/>
            <w:vAlign w:val="bottom"/>
            <w:gridSpan w:val="3"/>
            <w:shd w:val="clear" w:color="auto" w:fill="E7E7E2"/>
          </w:tcPr>
          <w:p>
            <w:pPr>
              <w:spacing w:after="0"/>
              <w:rPr>
                <w:sz w:val="20"/>
                <w:szCs w:val="20"/>
                <w:color w:val="auto"/>
              </w:rPr>
            </w:pPr>
            <w:r>
              <w:rPr>
                <w:rFonts w:ascii="Arial" w:cs="Arial" w:eastAsia="Arial" w:hAnsi="Arial"/>
                <w:sz w:val="15"/>
                <w:szCs w:val="15"/>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1500" w:type="dxa"/>
            <w:vAlign w:val="bottom"/>
            <w:gridSpan w:val="3"/>
            <w:vMerge w:val="restart"/>
            <w:shd w:val="clear" w:color="auto" w:fill="E7E7E2"/>
          </w:tcPr>
          <w:p>
            <w:pP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700" w:type="dxa"/>
            <w:vAlign w:val="bottom"/>
            <w:gridSpan w:val="2"/>
            <w:vMerge w:val="restart"/>
            <w:shd w:val="clear" w:color="auto" w:fill="E7E7E2"/>
          </w:tcPr>
          <w:p>
            <w:pPr>
              <w:jc w:val="cente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58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tcBorders>
              <w:right w:val="single" w:sz="8" w:color="E7E7E2"/>
            </w:tcBorders>
            <w:vMerge w:val="restart"/>
            <w:shd w:val="clear" w:color="auto" w:fill="E7E7E2"/>
          </w:tcPr>
          <w:p>
            <w:pPr>
              <w:jc w:val="right"/>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840" w:type="dxa"/>
            <w:vAlign w:val="bottom"/>
            <w:tcBorders>
              <w:right w:val="single" w:sz="8" w:color="E7E7E2"/>
            </w:tcBorders>
            <w:gridSpan w:val="3"/>
            <w:vMerge w:val="restart"/>
            <w:shd w:val="clear" w:color="auto" w:fill="E7E7E2"/>
          </w:tcPr>
          <w:p>
            <w:pPr>
              <w:ind w:left="20"/>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5"/>
                <w:szCs w:val="15"/>
                <w:color w:val="auto"/>
              </w:rPr>
              <w:t>N/A</w:t>
            </w:r>
          </w:p>
        </w:tc>
        <w:tc>
          <w:tcPr>
            <w:tcW w:w="920" w:type="dxa"/>
            <w:vAlign w:val="bottom"/>
            <w:gridSpan w:val="3"/>
            <w:vMerge w:val="restart"/>
            <w:shd w:val="clear" w:color="auto" w:fill="E7E7E2"/>
          </w:tcPr>
          <w:p>
            <w:pPr>
              <w:ind w:left="660"/>
              <w:spacing w:after="0"/>
              <w:rPr>
                <w:sz w:val="20"/>
                <w:szCs w:val="20"/>
                <w:color w:val="auto"/>
              </w:rPr>
            </w:pPr>
            <w:r>
              <w:rPr>
                <w:rFonts w:ascii="Arial" w:cs="Arial" w:eastAsia="Arial" w:hAnsi="Arial"/>
                <w:sz w:val="15"/>
                <w:szCs w:val="15"/>
                <w:color w:val="auto"/>
                <w:w w:val="95"/>
              </w:rPr>
              <w:t>N/A</w:t>
            </w:r>
          </w:p>
        </w:tc>
        <w:tc>
          <w:tcPr>
            <w:tcW w:w="20" w:type="dxa"/>
            <w:vAlign w:val="bottom"/>
          </w:tcPr>
          <w:p>
            <w:pPr>
              <w:spacing w:after="0"/>
              <w:rPr>
                <w:sz w:val="16"/>
                <w:szCs w:val="16"/>
                <w:color w:val="auto"/>
              </w:rPr>
            </w:pPr>
          </w:p>
        </w:tc>
        <w:tc>
          <w:tcPr>
            <w:tcW w:w="600" w:type="dxa"/>
            <w:vAlign w:val="bottom"/>
            <w:vMerge w:val="restart"/>
            <w:shd w:val="clear" w:color="auto" w:fill="E7E7E2"/>
          </w:tcPr>
          <w:p>
            <w:pPr>
              <w:ind w:left="340"/>
              <w:spacing w:after="0"/>
              <w:rPr>
                <w:sz w:val="20"/>
                <w:szCs w:val="20"/>
                <w:color w:val="auto"/>
              </w:rPr>
            </w:pPr>
            <w:r>
              <w:rPr>
                <w:rFonts w:ascii="Arial" w:cs="Arial" w:eastAsia="Arial" w:hAnsi="Arial"/>
                <w:sz w:val="15"/>
                <w:szCs w:val="15"/>
                <w:color w:val="auto"/>
                <w:w w:val="95"/>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40" w:type="dxa"/>
            <w:vAlign w:val="bottom"/>
            <w:tcBorders>
              <w:left w:val="single" w:sz="8" w:color="auto"/>
            </w:tcBorders>
          </w:tcPr>
          <w:p>
            <w:pPr>
              <w:spacing w:after="0"/>
              <w:rPr>
                <w:sz w:val="9"/>
                <w:szCs w:val="9"/>
                <w:color w:val="auto"/>
              </w:rPr>
            </w:pPr>
          </w:p>
        </w:tc>
        <w:tc>
          <w:tcPr>
            <w:tcW w:w="940" w:type="dxa"/>
            <w:vAlign w:val="bottom"/>
            <w:gridSpan w:val="3"/>
            <w:vMerge w:val="restart"/>
            <w:shd w:val="clear" w:color="auto" w:fill="E7E7E2"/>
          </w:tcPr>
          <w:p>
            <w:pPr>
              <w:spacing w:after="0"/>
              <w:rPr>
                <w:sz w:val="20"/>
                <w:szCs w:val="20"/>
                <w:color w:val="auto"/>
              </w:rPr>
            </w:pPr>
            <w:r>
              <w:rPr>
                <w:rFonts w:ascii="Arial" w:cs="Arial" w:eastAsia="Arial" w:hAnsi="Arial"/>
                <w:sz w:val="15"/>
                <w:szCs w:val="15"/>
                <w:color w:val="auto"/>
              </w:rPr>
              <w:t>Sources</w:t>
            </w:r>
          </w:p>
        </w:tc>
        <w:tc>
          <w:tcPr>
            <w:tcW w:w="20" w:type="dxa"/>
            <w:vAlign w:val="bottom"/>
          </w:tcPr>
          <w:p>
            <w:pPr>
              <w:spacing w:after="0"/>
              <w:rPr>
                <w:sz w:val="9"/>
                <w:szCs w:val="9"/>
                <w:color w:val="auto"/>
              </w:rPr>
            </w:pPr>
          </w:p>
        </w:tc>
        <w:tc>
          <w:tcPr>
            <w:tcW w:w="7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gridSpan w:val="3"/>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2"/>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right w:val="single" w:sz="8" w:color="E7E7E2"/>
            </w:tcBorders>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360" w:type="dxa"/>
            <w:vAlign w:val="bottom"/>
            <w:tcBorders>
              <w:right w:val="single" w:sz="8" w:color="E7E7E2"/>
            </w:tcBorders>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Borders>
              <w:right w:val="single" w:sz="8" w:color="E7E7E2"/>
            </w:tcBorders>
            <w:gridSpan w:val="3"/>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360" w:type="dxa"/>
            <w:vAlign w:val="bottom"/>
            <w:vMerge w:val="continue"/>
            <w:shd w:val="clear" w:color="auto" w:fill="E7E7E2"/>
          </w:tcPr>
          <w:p>
            <w:pPr>
              <w:spacing w:after="0"/>
              <w:rPr>
                <w:sz w:val="9"/>
                <w:szCs w:val="9"/>
                <w:color w:val="auto"/>
              </w:rPr>
            </w:pPr>
          </w:p>
        </w:tc>
        <w:tc>
          <w:tcPr>
            <w:tcW w:w="920" w:type="dxa"/>
            <w:vAlign w:val="bottom"/>
            <w:gridSpan w:val="3"/>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shd w:val="clear" w:color="auto" w:fill="E7E7E2"/>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94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4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3"/>
          </w:tcPr>
          <w:p>
            <w:pPr>
              <w:ind w:left="280"/>
              <w:spacing w:after="0"/>
              <w:rPr>
                <w:sz w:val="20"/>
                <w:szCs w:val="20"/>
                <w:color w:val="auto"/>
              </w:rPr>
            </w:pPr>
            <w:r>
              <w:rPr>
                <w:rFonts w:ascii="Arial" w:cs="Arial" w:eastAsia="Arial" w:hAnsi="Arial"/>
                <w:sz w:val="15"/>
                <w:szCs w:val="15"/>
                <w:b w:val="1"/>
                <w:bCs w:val="1"/>
                <w:color w:val="auto"/>
              </w:rPr>
              <w:t>Rule 457(p)</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940" w:type="dxa"/>
            <w:vAlign w:val="bottom"/>
            <w:gridSpan w:val="3"/>
            <w:shd w:val="clear" w:color="auto" w:fill="E7E7E2"/>
          </w:tcPr>
          <w:p>
            <w:pPr>
              <w:spacing w:after="0"/>
              <w:rPr>
                <w:sz w:val="20"/>
                <w:szCs w:val="20"/>
                <w:color w:val="auto"/>
              </w:rPr>
            </w:pPr>
            <w:r>
              <w:rPr>
                <w:rFonts w:ascii="Arial" w:cs="Arial" w:eastAsia="Arial" w:hAnsi="Arial"/>
                <w:sz w:val="15"/>
                <w:szCs w:val="15"/>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1500" w:type="dxa"/>
            <w:vAlign w:val="bottom"/>
            <w:gridSpan w:val="3"/>
            <w:vMerge w:val="restart"/>
            <w:shd w:val="clear" w:color="auto" w:fill="E7E7E2"/>
          </w:tcPr>
          <w:p>
            <w:pP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700" w:type="dxa"/>
            <w:vAlign w:val="bottom"/>
            <w:gridSpan w:val="2"/>
            <w:vMerge w:val="restart"/>
            <w:shd w:val="clear" w:color="auto" w:fill="E7E7E2"/>
          </w:tcPr>
          <w:p>
            <w:pPr>
              <w:jc w:val="cente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58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tcBorders>
              <w:right w:val="single" w:sz="8" w:color="E7E7E2"/>
            </w:tcBorders>
            <w:vMerge w:val="restart"/>
            <w:shd w:val="clear" w:color="auto" w:fill="E7E7E2"/>
          </w:tcPr>
          <w:p>
            <w:pPr>
              <w:jc w:val="right"/>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840" w:type="dxa"/>
            <w:vAlign w:val="bottom"/>
            <w:tcBorders>
              <w:right w:val="single" w:sz="8" w:color="E7E7E2"/>
            </w:tcBorders>
            <w:gridSpan w:val="3"/>
            <w:vMerge w:val="restart"/>
            <w:shd w:val="clear" w:color="auto" w:fill="E7E7E2"/>
          </w:tcPr>
          <w:p>
            <w:pPr>
              <w:ind w:left="20"/>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5"/>
                <w:szCs w:val="15"/>
                <w:color w:val="auto"/>
              </w:rPr>
              <w:t>N/A</w:t>
            </w:r>
          </w:p>
        </w:tc>
        <w:tc>
          <w:tcPr>
            <w:tcW w:w="920" w:type="dxa"/>
            <w:vAlign w:val="bottom"/>
            <w:gridSpan w:val="3"/>
            <w:vMerge w:val="restart"/>
            <w:shd w:val="clear" w:color="auto" w:fill="E7E7E2"/>
          </w:tcPr>
          <w:p>
            <w:pPr>
              <w:ind w:left="660"/>
              <w:spacing w:after="0"/>
              <w:rPr>
                <w:sz w:val="20"/>
                <w:szCs w:val="20"/>
                <w:color w:val="auto"/>
              </w:rPr>
            </w:pPr>
            <w:r>
              <w:rPr>
                <w:rFonts w:ascii="Arial" w:cs="Arial" w:eastAsia="Arial" w:hAnsi="Arial"/>
                <w:sz w:val="15"/>
                <w:szCs w:val="15"/>
                <w:color w:val="auto"/>
                <w:w w:val="95"/>
              </w:rPr>
              <w:t>N/A</w:t>
            </w:r>
          </w:p>
        </w:tc>
        <w:tc>
          <w:tcPr>
            <w:tcW w:w="20" w:type="dxa"/>
            <w:vAlign w:val="bottom"/>
          </w:tcPr>
          <w:p>
            <w:pPr>
              <w:spacing w:after="0"/>
              <w:rPr>
                <w:sz w:val="16"/>
                <w:szCs w:val="16"/>
                <w:color w:val="auto"/>
              </w:rPr>
            </w:pPr>
          </w:p>
        </w:tc>
        <w:tc>
          <w:tcPr>
            <w:tcW w:w="600" w:type="dxa"/>
            <w:vAlign w:val="bottom"/>
            <w:vMerge w:val="restart"/>
            <w:shd w:val="clear" w:color="auto" w:fill="E7E7E2"/>
          </w:tcPr>
          <w:p>
            <w:pPr>
              <w:ind w:left="340"/>
              <w:spacing w:after="0"/>
              <w:rPr>
                <w:sz w:val="20"/>
                <w:szCs w:val="20"/>
                <w:color w:val="auto"/>
              </w:rPr>
            </w:pPr>
            <w:r>
              <w:rPr>
                <w:rFonts w:ascii="Arial" w:cs="Arial" w:eastAsia="Arial" w:hAnsi="Arial"/>
                <w:sz w:val="15"/>
                <w:szCs w:val="15"/>
                <w:color w:val="auto"/>
                <w:w w:val="95"/>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40" w:type="dxa"/>
            <w:vAlign w:val="bottom"/>
            <w:tcBorders>
              <w:left w:val="single" w:sz="8" w:color="auto"/>
            </w:tcBorders>
          </w:tcPr>
          <w:p>
            <w:pPr>
              <w:spacing w:after="0"/>
              <w:rPr>
                <w:sz w:val="9"/>
                <w:szCs w:val="9"/>
                <w:color w:val="auto"/>
              </w:rPr>
            </w:pPr>
          </w:p>
        </w:tc>
        <w:tc>
          <w:tcPr>
            <w:tcW w:w="940" w:type="dxa"/>
            <w:vAlign w:val="bottom"/>
            <w:gridSpan w:val="3"/>
            <w:vMerge w:val="restart"/>
            <w:shd w:val="clear" w:color="auto" w:fill="E7E7E2"/>
          </w:tcPr>
          <w:p>
            <w:pPr>
              <w:spacing w:after="0"/>
              <w:rPr>
                <w:sz w:val="20"/>
                <w:szCs w:val="20"/>
                <w:color w:val="auto"/>
              </w:rPr>
            </w:pPr>
            <w:r>
              <w:rPr>
                <w:rFonts w:ascii="Arial" w:cs="Arial" w:eastAsia="Arial" w:hAnsi="Arial"/>
                <w:sz w:val="15"/>
                <w:szCs w:val="15"/>
                <w:color w:val="auto"/>
              </w:rPr>
              <w:t>Claims</w:t>
            </w:r>
          </w:p>
        </w:tc>
        <w:tc>
          <w:tcPr>
            <w:tcW w:w="20" w:type="dxa"/>
            <w:vAlign w:val="bottom"/>
          </w:tcPr>
          <w:p>
            <w:pPr>
              <w:spacing w:after="0"/>
              <w:rPr>
                <w:sz w:val="9"/>
                <w:szCs w:val="9"/>
                <w:color w:val="auto"/>
              </w:rPr>
            </w:pPr>
          </w:p>
        </w:tc>
        <w:tc>
          <w:tcPr>
            <w:tcW w:w="7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gridSpan w:val="3"/>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2"/>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right w:val="single" w:sz="8" w:color="E7E7E2"/>
            </w:tcBorders>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360" w:type="dxa"/>
            <w:vAlign w:val="bottom"/>
            <w:tcBorders>
              <w:right w:val="single" w:sz="8" w:color="E7E7E2"/>
            </w:tcBorders>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Borders>
              <w:right w:val="single" w:sz="8" w:color="E7E7E2"/>
            </w:tcBorders>
            <w:gridSpan w:val="3"/>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360" w:type="dxa"/>
            <w:vAlign w:val="bottom"/>
            <w:vMerge w:val="continue"/>
            <w:shd w:val="clear" w:color="auto" w:fill="E7E7E2"/>
          </w:tcPr>
          <w:p>
            <w:pPr>
              <w:spacing w:after="0"/>
              <w:rPr>
                <w:sz w:val="9"/>
                <w:szCs w:val="9"/>
                <w:color w:val="auto"/>
              </w:rPr>
            </w:pPr>
          </w:p>
        </w:tc>
        <w:tc>
          <w:tcPr>
            <w:tcW w:w="920" w:type="dxa"/>
            <w:vAlign w:val="bottom"/>
            <w:gridSpan w:val="3"/>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shd w:val="clear" w:color="auto" w:fill="E7E7E2"/>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0" w:type="dxa"/>
            <w:vAlign w:val="bottom"/>
            <w:tcBorders>
              <w:left w:val="single" w:sz="8" w:color="auto"/>
            </w:tcBorders>
          </w:tcPr>
          <w:p>
            <w:pPr>
              <w:spacing w:after="0"/>
              <w:rPr>
                <w:sz w:val="9"/>
                <w:szCs w:val="9"/>
                <w:color w:val="auto"/>
              </w:rPr>
            </w:pPr>
          </w:p>
        </w:tc>
        <w:tc>
          <w:tcPr>
            <w:tcW w:w="940" w:type="dxa"/>
            <w:vAlign w:val="bottom"/>
            <w:gridSpan w:val="3"/>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13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right w:val="single" w:sz="8" w:color="E7E7E2"/>
            </w:tcBorders>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360" w:type="dxa"/>
            <w:vAlign w:val="bottom"/>
            <w:tcBorders>
              <w:right w:val="single" w:sz="8" w:color="E7E7E2"/>
            </w:tcBorders>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140" w:type="dxa"/>
            <w:vAlign w:val="bottom"/>
            <w:tcBorders>
              <w:right w:val="single" w:sz="8" w:color="E7E7E2"/>
            </w:tcBorders>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360" w:type="dxa"/>
            <w:vAlign w:val="bottom"/>
            <w:shd w:val="clear" w:color="auto" w:fill="E7E7E2"/>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2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shd w:val="clear" w:color="auto" w:fill="E7E7E2"/>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940" w:type="dxa"/>
            <w:vAlign w:val="bottom"/>
            <w:gridSpan w:val="3"/>
            <w:shd w:val="clear" w:color="auto" w:fill="E7E7E2"/>
          </w:tcPr>
          <w:p>
            <w:pPr>
              <w:spacing w:after="0"/>
              <w:rPr>
                <w:sz w:val="20"/>
                <w:szCs w:val="20"/>
                <w:color w:val="auto"/>
              </w:rPr>
            </w:pPr>
            <w:r>
              <w:rPr>
                <w:rFonts w:ascii="Arial" w:cs="Arial" w:eastAsia="Arial" w:hAnsi="Arial"/>
                <w:sz w:val="15"/>
                <w:szCs w:val="15"/>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40"/>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1500" w:type="dxa"/>
            <w:vAlign w:val="bottom"/>
            <w:gridSpan w:val="3"/>
            <w:vMerge w:val="restart"/>
            <w:shd w:val="clear" w:color="auto" w:fill="E7E7E2"/>
          </w:tcPr>
          <w:p>
            <w:pP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700" w:type="dxa"/>
            <w:vAlign w:val="bottom"/>
            <w:gridSpan w:val="2"/>
            <w:vMerge w:val="restart"/>
            <w:shd w:val="clear" w:color="auto" w:fill="E7E7E2"/>
          </w:tcPr>
          <w:p>
            <w:pPr>
              <w:jc w:val="cente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58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tcBorders>
              <w:right w:val="single" w:sz="8" w:color="E7E7E2"/>
            </w:tcBorders>
            <w:vMerge w:val="restart"/>
            <w:shd w:val="clear" w:color="auto" w:fill="E7E7E2"/>
          </w:tcPr>
          <w:p>
            <w:pPr>
              <w:jc w:val="right"/>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840" w:type="dxa"/>
            <w:vAlign w:val="bottom"/>
            <w:tcBorders>
              <w:right w:val="single" w:sz="8" w:color="E7E7E2"/>
            </w:tcBorders>
            <w:gridSpan w:val="3"/>
            <w:vMerge w:val="restart"/>
            <w:shd w:val="clear" w:color="auto" w:fill="E7E7E2"/>
          </w:tcPr>
          <w:p>
            <w:pPr>
              <w:ind w:left="20"/>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5"/>
                <w:szCs w:val="15"/>
                <w:color w:val="auto"/>
              </w:rPr>
              <w:t>N/A</w:t>
            </w:r>
          </w:p>
        </w:tc>
        <w:tc>
          <w:tcPr>
            <w:tcW w:w="920" w:type="dxa"/>
            <w:vAlign w:val="bottom"/>
            <w:gridSpan w:val="3"/>
            <w:vMerge w:val="restart"/>
            <w:shd w:val="clear" w:color="auto" w:fill="E7E7E2"/>
          </w:tcPr>
          <w:p>
            <w:pPr>
              <w:ind w:left="660"/>
              <w:spacing w:after="0"/>
              <w:rPr>
                <w:sz w:val="20"/>
                <w:szCs w:val="20"/>
                <w:color w:val="auto"/>
              </w:rPr>
            </w:pPr>
            <w:r>
              <w:rPr>
                <w:rFonts w:ascii="Arial" w:cs="Arial" w:eastAsia="Arial" w:hAnsi="Arial"/>
                <w:sz w:val="15"/>
                <w:szCs w:val="15"/>
                <w:color w:val="auto"/>
                <w:w w:val="95"/>
              </w:rPr>
              <w:t>N/A</w:t>
            </w:r>
          </w:p>
        </w:tc>
        <w:tc>
          <w:tcPr>
            <w:tcW w:w="20" w:type="dxa"/>
            <w:vAlign w:val="bottom"/>
          </w:tcPr>
          <w:p>
            <w:pPr>
              <w:spacing w:after="0"/>
              <w:rPr>
                <w:sz w:val="16"/>
                <w:szCs w:val="16"/>
                <w:color w:val="auto"/>
              </w:rPr>
            </w:pPr>
          </w:p>
        </w:tc>
        <w:tc>
          <w:tcPr>
            <w:tcW w:w="600" w:type="dxa"/>
            <w:vAlign w:val="bottom"/>
            <w:vMerge w:val="restart"/>
            <w:shd w:val="clear" w:color="auto" w:fill="E7E7E2"/>
          </w:tcPr>
          <w:p>
            <w:pPr>
              <w:ind w:left="340"/>
              <w:spacing w:after="0"/>
              <w:rPr>
                <w:sz w:val="20"/>
                <w:szCs w:val="20"/>
                <w:color w:val="auto"/>
              </w:rPr>
            </w:pPr>
            <w:r>
              <w:rPr>
                <w:rFonts w:ascii="Arial" w:cs="Arial" w:eastAsia="Arial" w:hAnsi="Arial"/>
                <w:sz w:val="15"/>
                <w:szCs w:val="15"/>
                <w:color w:val="auto"/>
                <w:w w:val="95"/>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40" w:type="dxa"/>
            <w:vAlign w:val="bottom"/>
            <w:tcBorders>
              <w:left w:val="single" w:sz="8" w:color="auto"/>
            </w:tcBorders>
          </w:tcPr>
          <w:p>
            <w:pPr>
              <w:spacing w:after="0"/>
              <w:rPr>
                <w:sz w:val="9"/>
                <w:szCs w:val="9"/>
                <w:color w:val="auto"/>
              </w:rPr>
            </w:pPr>
          </w:p>
        </w:tc>
        <w:tc>
          <w:tcPr>
            <w:tcW w:w="940" w:type="dxa"/>
            <w:vAlign w:val="bottom"/>
            <w:gridSpan w:val="3"/>
            <w:vMerge w:val="restart"/>
            <w:shd w:val="clear" w:color="auto" w:fill="E7E7E2"/>
          </w:tcPr>
          <w:p>
            <w:pPr>
              <w:spacing w:after="0"/>
              <w:rPr>
                <w:sz w:val="20"/>
                <w:szCs w:val="20"/>
                <w:color w:val="auto"/>
              </w:rPr>
            </w:pPr>
            <w:r>
              <w:rPr>
                <w:rFonts w:ascii="Arial" w:cs="Arial" w:eastAsia="Arial" w:hAnsi="Arial"/>
                <w:sz w:val="15"/>
                <w:szCs w:val="15"/>
                <w:color w:val="auto"/>
              </w:rPr>
              <w:t>Sources</w:t>
            </w:r>
          </w:p>
        </w:tc>
        <w:tc>
          <w:tcPr>
            <w:tcW w:w="20" w:type="dxa"/>
            <w:vAlign w:val="bottom"/>
          </w:tcPr>
          <w:p>
            <w:pPr>
              <w:spacing w:after="0"/>
              <w:rPr>
                <w:sz w:val="9"/>
                <w:szCs w:val="9"/>
                <w:color w:val="auto"/>
              </w:rPr>
            </w:pPr>
          </w:p>
        </w:tc>
        <w:tc>
          <w:tcPr>
            <w:tcW w:w="7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gridSpan w:val="3"/>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2"/>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right w:val="single" w:sz="8" w:color="E7E7E2"/>
            </w:tcBorders>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360" w:type="dxa"/>
            <w:vAlign w:val="bottom"/>
            <w:tcBorders>
              <w:right w:val="single" w:sz="8" w:color="E7E7E2"/>
            </w:tcBorders>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Borders>
              <w:right w:val="single" w:sz="8" w:color="E7E7E2"/>
            </w:tcBorders>
            <w:gridSpan w:val="3"/>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360" w:type="dxa"/>
            <w:vAlign w:val="bottom"/>
            <w:vMerge w:val="continue"/>
            <w:shd w:val="clear" w:color="auto" w:fill="E7E7E2"/>
          </w:tcPr>
          <w:p>
            <w:pPr>
              <w:spacing w:after="0"/>
              <w:rPr>
                <w:sz w:val="9"/>
                <w:szCs w:val="9"/>
                <w:color w:val="auto"/>
              </w:rPr>
            </w:pPr>
          </w:p>
        </w:tc>
        <w:tc>
          <w:tcPr>
            <w:tcW w:w="920" w:type="dxa"/>
            <w:vAlign w:val="bottom"/>
            <w:gridSpan w:val="3"/>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shd w:val="clear" w:color="auto" w:fill="E7E7E2"/>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94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4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260" w:type="dxa"/>
            <w:vAlign w:val="bottom"/>
            <w:tcBorders>
              <w:bottom w:val="single" w:sz="8" w:color="auto"/>
            </w:tcBorders>
            <w:gridSpan w:val="10"/>
          </w:tcPr>
          <w:p>
            <w:pPr>
              <w:ind w:left="40"/>
              <w:spacing w:after="0"/>
              <w:rPr>
                <w:sz w:val="20"/>
                <w:szCs w:val="20"/>
                <w:color w:val="auto"/>
              </w:rPr>
            </w:pPr>
            <w:r>
              <w:rPr>
                <w:rFonts w:ascii="Arial" w:cs="Arial" w:eastAsia="Arial" w:hAnsi="Arial"/>
                <w:sz w:val="15"/>
                <w:szCs w:val="15"/>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ind w:left="360"/>
              <w:spacing w:after="0" w:line="173" w:lineRule="exact"/>
              <w:rPr>
                <w:sz w:val="20"/>
                <w:szCs w:val="20"/>
                <w:color w:val="auto"/>
              </w:rPr>
            </w:pPr>
            <w:r>
              <w:rPr>
                <w:rFonts w:ascii="MS PGothic" w:cs="MS PGothic" w:eastAsia="MS PGothic" w:hAnsi="MS PGothic"/>
                <w:sz w:val="15"/>
                <w:szCs w:val="15"/>
                <w:b w:val="1"/>
                <w:bCs w:val="1"/>
                <w:color w:val="auto"/>
                <w:w w:val="98"/>
              </w:rPr>
              <w:t>☑</w:t>
            </w:r>
            <w:r>
              <w:rPr>
                <w:rFonts w:ascii="Arial" w:cs="Arial" w:eastAsia="Arial" w:hAnsi="Arial"/>
                <w:sz w:val="15"/>
                <w:szCs w:val="15"/>
                <w:b w:val="1"/>
                <w:bCs w:val="1"/>
                <w:color w:val="auto"/>
                <w:w w:val="98"/>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tcBorders>
              <w:right w:val="single" w:sz="8" w:color="9ADAF6"/>
            </w:tcBorders>
            <w:gridSpan w:val="3"/>
            <w:shd w:val="clear" w:color="auto" w:fill="9ADAF6"/>
          </w:tcPr>
          <w:p>
            <w:pPr>
              <w:ind w:left="340"/>
              <w:spacing w:after="0"/>
              <w:rPr>
                <w:sz w:val="20"/>
                <w:szCs w:val="20"/>
                <w:color w:val="auto"/>
              </w:rPr>
            </w:pPr>
            <w:r>
              <w:rPr>
                <w:rFonts w:ascii="Arial" w:cs="Arial" w:eastAsia="Arial" w:hAnsi="Arial"/>
                <w:sz w:val="15"/>
                <w:szCs w:val="15"/>
                <w:b w:val="1"/>
                <w:bCs w:val="1"/>
                <w:color w:val="auto"/>
              </w:rPr>
              <w:t>Amount of</w:t>
            </w: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gridSpan w:val="5"/>
            <w:shd w:val="clear" w:color="auto" w:fill="9ADAF6"/>
          </w:tcPr>
          <w:p>
            <w:pPr>
              <w:jc w:val="center"/>
              <w:spacing w:after="0"/>
              <w:rPr>
                <w:sz w:val="20"/>
                <w:szCs w:val="20"/>
                <w:color w:val="auto"/>
              </w:rPr>
            </w:pPr>
            <w:r>
              <w:rPr>
                <w:rFonts w:ascii="Arial" w:cs="Arial" w:eastAsia="Arial" w:hAnsi="Arial"/>
                <w:sz w:val="15"/>
                <w:szCs w:val="15"/>
                <w:b w:val="1"/>
                <w:bCs w:val="1"/>
                <w:color w:val="auto"/>
              </w:rPr>
              <w:t>Maximum Aggregate</w:t>
            </w:r>
          </w:p>
        </w:tc>
        <w:tc>
          <w:tcPr>
            <w:tcW w:w="20" w:type="dxa"/>
            <w:vAlign w:val="bottom"/>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660" w:type="dxa"/>
            <w:vAlign w:val="bottom"/>
            <w:tcBorders>
              <w:right w:val="single" w:sz="8" w:color="auto"/>
            </w:tcBorders>
            <w:gridSpan w:val="3"/>
            <w:vMerge w:val="restart"/>
            <w:shd w:val="clear" w:color="auto" w:fill="9ADAF6"/>
          </w:tcPr>
          <w:p>
            <w:pPr>
              <w:jc w:val="center"/>
              <w:ind w:right="220"/>
              <w:spacing w:after="0"/>
              <w:rPr>
                <w:sz w:val="20"/>
                <w:szCs w:val="20"/>
                <w:color w:val="auto"/>
              </w:rPr>
            </w:pPr>
            <w:r>
              <w:rPr>
                <w:rFonts w:ascii="Arial" w:cs="Arial" w:eastAsia="Arial" w:hAnsi="Arial"/>
                <w:sz w:val="15"/>
                <w:szCs w:val="15"/>
                <w:b w:val="1"/>
                <w:bCs w:val="1"/>
                <w:color w:val="auto"/>
              </w:rPr>
              <w:t>Initial</w:t>
            </w: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0" w:type="dxa"/>
            <w:vAlign w:val="bottom"/>
            <w:tcBorders>
              <w:right w:val="single" w:sz="8" w:color="9ADAF6"/>
            </w:tcBorders>
            <w:gridSpan w:val="3"/>
            <w:vMerge w:val="restart"/>
            <w:shd w:val="clear" w:color="auto" w:fill="9ADAF6"/>
          </w:tcPr>
          <w:p>
            <w:pPr>
              <w:ind w:left="360"/>
              <w:spacing w:after="0"/>
              <w:rPr>
                <w:sz w:val="20"/>
                <w:szCs w:val="20"/>
                <w:color w:val="auto"/>
              </w:rPr>
            </w:pPr>
            <w:r>
              <w:rPr>
                <w:rFonts w:ascii="Arial" w:cs="Arial" w:eastAsia="Arial" w:hAnsi="Arial"/>
                <w:sz w:val="15"/>
                <w:szCs w:val="15"/>
                <w:b w:val="1"/>
                <w:bCs w:val="1"/>
                <w:color w:val="auto"/>
              </w:rPr>
              <w:t>Securities</w:t>
            </w: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Borders>
              <w:right w:val="single" w:sz="8" w:color="9ADAF6"/>
            </w:tcBorders>
            <w:shd w:val="clear" w:color="auto" w:fill="9ADAF6"/>
          </w:tcPr>
          <w:p>
            <w:pPr>
              <w:spacing w:after="0"/>
              <w:rPr>
                <w:sz w:val="7"/>
                <w:szCs w:val="7"/>
                <w:color w:val="auto"/>
              </w:rPr>
            </w:pPr>
          </w:p>
        </w:tc>
        <w:tc>
          <w:tcPr>
            <w:tcW w:w="1540" w:type="dxa"/>
            <w:vAlign w:val="bottom"/>
            <w:gridSpan w:val="4"/>
            <w:vMerge w:val="restart"/>
            <w:shd w:val="clear" w:color="auto" w:fill="9ADAF6"/>
          </w:tcPr>
          <w:p>
            <w:pPr>
              <w:jc w:val="center"/>
              <w:ind w:right="284"/>
              <w:spacing w:after="0"/>
              <w:rPr>
                <w:sz w:val="20"/>
                <w:szCs w:val="20"/>
                <w:color w:val="auto"/>
              </w:rPr>
            </w:pPr>
            <w:r>
              <w:rPr>
                <w:rFonts w:ascii="Arial" w:cs="Arial" w:eastAsia="Arial" w:hAnsi="Arial"/>
                <w:sz w:val="15"/>
                <w:szCs w:val="15"/>
                <w:b w:val="1"/>
                <w:bCs w:val="1"/>
                <w:color w:val="auto"/>
              </w:rPr>
              <w:t>Offering Price of</w:t>
            </w: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480" w:type="dxa"/>
            <w:vAlign w:val="bottom"/>
            <w:gridSpan w:val="2"/>
            <w:vMerge w:val="restart"/>
            <w:shd w:val="clear" w:color="auto" w:fill="9ADAF6"/>
          </w:tcPr>
          <w:p>
            <w:pPr>
              <w:jc w:val="center"/>
              <w:ind w:right="44"/>
              <w:spacing w:after="0"/>
              <w:rPr>
                <w:sz w:val="20"/>
                <w:szCs w:val="20"/>
                <w:color w:val="auto"/>
              </w:rPr>
            </w:pPr>
            <w:r>
              <w:rPr>
                <w:rFonts w:ascii="Arial" w:cs="Arial" w:eastAsia="Arial" w:hAnsi="Arial"/>
                <w:sz w:val="15"/>
                <w:szCs w:val="15"/>
                <w:b w:val="1"/>
                <w:bCs w:val="1"/>
                <w:color w:val="auto"/>
                <w:w w:val="95"/>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660" w:type="dxa"/>
            <w:vAlign w:val="bottom"/>
            <w:tcBorders>
              <w:right w:val="single" w:sz="8" w:color="auto"/>
            </w:tcBorders>
            <w:gridSpan w:val="3"/>
            <w:vMerge w:val="continue"/>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3"/>
            <w:vMerge w:val="restart"/>
            <w:shd w:val="clear" w:color="auto" w:fill="9ADAF6"/>
          </w:tcPr>
          <w:p>
            <w:pPr>
              <w:ind w:left="240"/>
              <w:spacing w:after="0"/>
              <w:rPr>
                <w:sz w:val="20"/>
                <w:szCs w:val="20"/>
                <w:color w:val="auto"/>
              </w:rPr>
            </w:pPr>
            <w:r>
              <w:rPr>
                <w:rFonts w:ascii="Arial" w:cs="Arial" w:eastAsia="Arial" w:hAnsi="Arial"/>
                <w:sz w:val="15"/>
                <w:szCs w:val="15"/>
                <w:b w:val="1"/>
                <w:bCs w:val="1"/>
                <w:color w:val="auto"/>
              </w:rPr>
              <w:t>Security Type</w:t>
            </w:r>
          </w:p>
        </w:tc>
        <w:tc>
          <w:tcPr>
            <w:tcW w:w="20" w:type="dxa"/>
            <w:vAlign w:val="bottom"/>
            <w:shd w:val="clear" w:color="auto" w:fill="9ADAF6"/>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20" w:type="dxa"/>
            <w:vAlign w:val="bottom"/>
            <w:gridSpan w:val="5"/>
            <w:vMerge w:val="restart"/>
            <w:shd w:val="clear" w:color="auto" w:fill="9ADAF6"/>
          </w:tcPr>
          <w:p>
            <w:pPr>
              <w:ind w:left="620"/>
              <w:spacing w:after="0"/>
              <w:rPr>
                <w:sz w:val="20"/>
                <w:szCs w:val="20"/>
                <w:color w:val="auto"/>
              </w:rPr>
            </w:pPr>
            <w:r>
              <w:rPr>
                <w:rFonts w:ascii="Arial" w:cs="Arial" w:eastAsia="Arial" w:hAnsi="Arial"/>
                <w:sz w:val="15"/>
                <w:szCs w:val="15"/>
                <w:b w:val="1"/>
                <w:bCs w:val="1"/>
                <w:color w:val="auto"/>
              </w:rPr>
              <w:t>Security Class Title</w:t>
            </w:r>
          </w:p>
        </w:tc>
        <w:tc>
          <w:tcPr>
            <w:tcW w:w="20" w:type="dxa"/>
            <w:vAlign w:val="bottom"/>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0" w:type="dxa"/>
            <w:vAlign w:val="bottom"/>
            <w:tcBorders>
              <w:right w:val="single" w:sz="8" w:color="9ADAF6"/>
            </w:tcBorders>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right w:val="single" w:sz="8" w:color="9ADAF6"/>
            </w:tcBorders>
            <w:shd w:val="clear" w:color="auto" w:fill="9ADAF6"/>
          </w:tcPr>
          <w:p>
            <w:pPr>
              <w:spacing w:after="0"/>
              <w:rPr>
                <w:sz w:val="8"/>
                <w:szCs w:val="8"/>
                <w:color w:val="auto"/>
              </w:rPr>
            </w:pPr>
          </w:p>
        </w:tc>
        <w:tc>
          <w:tcPr>
            <w:tcW w:w="154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right w:val="single" w:sz="8" w:color="9ADAF6"/>
            </w:tcBorders>
            <w:shd w:val="clear" w:color="auto" w:fill="9ADAF6"/>
          </w:tcPr>
          <w:p>
            <w:pPr>
              <w:spacing w:after="0"/>
              <w:rPr>
                <w:sz w:val="8"/>
                <w:szCs w:val="8"/>
                <w:color w:val="auto"/>
              </w:rPr>
            </w:pPr>
          </w:p>
        </w:tc>
        <w:tc>
          <w:tcPr>
            <w:tcW w:w="48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gridSpan w:val="2"/>
            <w:vMerge w:val="restart"/>
            <w:shd w:val="clear" w:color="auto" w:fill="9ADAF6"/>
          </w:tcPr>
          <w:p>
            <w:pPr>
              <w:ind w:left="80"/>
              <w:spacing w:after="0"/>
              <w:rPr>
                <w:sz w:val="20"/>
                <w:szCs w:val="20"/>
                <w:color w:val="auto"/>
              </w:rPr>
            </w:pPr>
            <w:r>
              <w:rPr>
                <w:rFonts w:ascii="Arial" w:cs="Arial" w:eastAsia="Arial" w:hAnsi="Arial"/>
                <w:sz w:val="15"/>
                <w:szCs w:val="15"/>
                <w:b w:val="1"/>
                <w:bCs w:val="1"/>
                <w:color w:val="auto"/>
              </w:rPr>
              <w:t>File Number</w:t>
            </w:r>
          </w:p>
        </w:tc>
        <w:tc>
          <w:tcPr>
            <w:tcW w:w="20" w:type="dxa"/>
            <w:vAlign w:val="bottom"/>
          </w:tcPr>
          <w:p>
            <w:pPr>
              <w:spacing w:after="0"/>
              <w:rPr>
                <w:sz w:val="8"/>
                <w:szCs w:val="8"/>
                <w:color w:val="auto"/>
              </w:rPr>
            </w:pPr>
          </w:p>
        </w:tc>
        <w:tc>
          <w:tcPr>
            <w:tcW w:w="880" w:type="dxa"/>
            <w:vAlign w:val="bottom"/>
            <w:tcBorders>
              <w:right w:val="single" w:sz="8" w:color="auto"/>
            </w:tcBorders>
            <w:gridSpan w:val="4"/>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Effective</w:t>
            </w: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6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0" w:type="dxa"/>
            <w:vAlign w:val="bottom"/>
            <w:tcBorders>
              <w:right w:val="single" w:sz="8" w:color="9ADAF6"/>
            </w:tcBorders>
            <w:gridSpan w:val="3"/>
            <w:vMerge w:val="restart"/>
            <w:shd w:val="clear" w:color="auto" w:fill="9ADAF6"/>
          </w:tcPr>
          <w:p>
            <w:pPr>
              <w:ind w:left="340"/>
              <w:spacing w:after="0"/>
              <w:rPr>
                <w:sz w:val="20"/>
                <w:szCs w:val="20"/>
                <w:color w:val="auto"/>
              </w:rPr>
            </w:pPr>
            <w:r>
              <w:rPr>
                <w:rFonts w:ascii="Arial" w:cs="Arial" w:eastAsia="Arial" w:hAnsi="Arial"/>
                <w:sz w:val="15"/>
                <w:szCs w:val="15"/>
                <w:b w:val="1"/>
                <w:bCs w:val="1"/>
                <w:color w:val="auto"/>
              </w:rPr>
              <w:t>Previously</w:t>
            </w: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900" w:type="dxa"/>
            <w:vAlign w:val="bottom"/>
            <w:gridSpan w:val="5"/>
            <w:vMerge w:val="restart"/>
            <w:shd w:val="clear" w:color="auto" w:fill="9ADAF6"/>
          </w:tcPr>
          <w:p>
            <w:pPr>
              <w:jc w:val="center"/>
              <w:spacing w:after="0"/>
              <w:rPr>
                <w:sz w:val="20"/>
                <w:szCs w:val="20"/>
                <w:color w:val="auto"/>
              </w:rPr>
            </w:pPr>
            <w:r>
              <w:rPr>
                <w:rFonts w:ascii="Arial" w:cs="Arial" w:eastAsia="Arial" w:hAnsi="Arial"/>
                <w:sz w:val="15"/>
                <w:szCs w:val="15"/>
                <w:b w:val="1"/>
                <w:bCs w:val="1"/>
                <w:color w:val="auto"/>
              </w:rPr>
              <w:t>Securities Previously</w:t>
            </w: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480" w:type="dxa"/>
            <w:vAlign w:val="bottom"/>
            <w:gridSpan w:val="2"/>
            <w:vMerge w:val="restart"/>
            <w:shd w:val="clear" w:color="auto" w:fill="9ADAF6"/>
          </w:tcPr>
          <w:p>
            <w:pPr>
              <w:jc w:val="center"/>
              <w:ind w:right="44"/>
              <w:spacing w:after="0"/>
              <w:rPr>
                <w:sz w:val="20"/>
                <w:szCs w:val="20"/>
                <w:color w:val="auto"/>
              </w:rPr>
            </w:pPr>
            <w:r>
              <w:rPr>
                <w:rFonts w:ascii="Arial" w:cs="Arial" w:eastAsia="Arial" w:hAnsi="Arial"/>
                <w:sz w:val="15"/>
                <w:szCs w:val="15"/>
                <w:b w:val="1"/>
                <w:bCs w:val="1"/>
                <w:color w:val="auto"/>
              </w:rPr>
              <w:t>Type</w:t>
            </w:r>
          </w:p>
        </w:tc>
        <w:tc>
          <w:tcPr>
            <w:tcW w:w="20" w:type="dxa"/>
            <w:vAlign w:val="bottom"/>
          </w:tcPr>
          <w:p>
            <w:pPr>
              <w:spacing w:after="0"/>
              <w:rPr>
                <w:sz w:val="7"/>
                <w:szCs w:val="7"/>
                <w:color w:val="auto"/>
              </w:rPr>
            </w:pPr>
          </w:p>
        </w:tc>
        <w:tc>
          <w:tcPr>
            <w:tcW w:w="10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Borders>
              <w:right w:val="single" w:sz="8" w:color="auto"/>
            </w:tcBorders>
            <w:gridSpan w:val="4"/>
            <w:vMerge w:val="continue"/>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0" w:type="dxa"/>
            <w:vAlign w:val="bottom"/>
            <w:tcBorders>
              <w:right w:val="single" w:sz="8" w:color="9ADAF6"/>
            </w:tcBorders>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9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right w:val="single" w:sz="8" w:color="9ADAF6"/>
            </w:tcBorders>
            <w:shd w:val="clear" w:color="auto" w:fill="9ADAF6"/>
          </w:tcPr>
          <w:p>
            <w:pPr>
              <w:spacing w:after="0"/>
              <w:rPr>
                <w:sz w:val="8"/>
                <w:szCs w:val="8"/>
                <w:color w:val="auto"/>
              </w:rPr>
            </w:pPr>
          </w:p>
        </w:tc>
        <w:tc>
          <w:tcPr>
            <w:tcW w:w="48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5"/>
                <w:szCs w:val="15"/>
                <w:b w:val="1"/>
                <w:bCs w:val="1"/>
                <w:color w:val="auto"/>
              </w:rPr>
              <w:t>Date</w:t>
            </w: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9"/>
                <w:szCs w:val="9"/>
                <w:color w:val="auto"/>
              </w:rPr>
            </w:pPr>
          </w:p>
        </w:tc>
        <w:tc>
          <w:tcPr>
            <w:tcW w:w="4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60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6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200" w:type="dxa"/>
            <w:vAlign w:val="bottom"/>
            <w:tcBorders>
              <w:right w:val="single" w:sz="8" w:color="9ADAF6"/>
            </w:tcBorders>
            <w:gridSpan w:val="3"/>
            <w:vMerge w:val="restart"/>
            <w:shd w:val="clear" w:color="auto" w:fill="9ADAF6"/>
          </w:tcPr>
          <w:p>
            <w:pPr>
              <w:ind w:left="320"/>
              <w:spacing w:after="0"/>
              <w:rPr>
                <w:sz w:val="20"/>
                <w:szCs w:val="20"/>
                <w:color w:val="auto"/>
              </w:rPr>
            </w:pPr>
            <w:r>
              <w:rPr>
                <w:rFonts w:ascii="Arial" w:cs="Arial" w:eastAsia="Arial" w:hAnsi="Arial"/>
                <w:sz w:val="15"/>
                <w:szCs w:val="15"/>
                <w:b w:val="1"/>
                <w:bCs w:val="1"/>
                <w:color w:val="auto"/>
              </w:rPr>
              <w:t>Registered</w:t>
            </w:r>
          </w:p>
        </w:tc>
        <w:tc>
          <w:tcPr>
            <w:tcW w:w="20" w:type="dxa"/>
            <w:vAlign w:val="bottom"/>
            <w:shd w:val="clear" w:color="auto" w:fill="9ADAF6"/>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right w:val="single" w:sz="8" w:color="9ADAF6"/>
            </w:tcBorders>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520" w:type="dxa"/>
            <w:vAlign w:val="bottom"/>
            <w:gridSpan w:val="3"/>
            <w:vMerge w:val="restart"/>
            <w:shd w:val="clear" w:color="auto" w:fill="9ADAF6"/>
          </w:tcPr>
          <w:p>
            <w:pPr>
              <w:jc w:val="center"/>
              <w:ind w:right="304"/>
              <w:spacing w:after="0"/>
              <w:rPr>
                <w:sz w:val="20"/>
                <w:szCs w:val="20"/>
                <w:color w:val="auto"/>
              </w:rPr>
            </w:pPr>
            <w:r>
              <w:rPr>
                <w:rFonts w:ascii="Arial" w:cs="Arial" w:eastAsia="Arial" w:hAnsi="Arial"/>
                <w:sz w:val="15"/>
                <w:szCs w:val="15"/>
                <w:b w:val="1"/>
                <w:bCs w:val="1"/>
                <w:color w:val="auto"/>
              </w:rPr>
              <w:t>Registered</w:t>
            </w:r>
          </w:p>
        </w:tc>
        <w:tc>
          <w:tcPr>
            <w:tcW w:w="20" w:type="dxa"/>
            <w:vAlign w:val="bottom"/>
          </w:tcPr>
          <w:p>
            <w:pPr>
              <w:spacing w:after="0"/>
              <w:rPr>
                <w:sz w:val="9"/>
                <w:szCs w:val="9"/>
                <w:color w:val="auto"/>
              </w:rPr>
            </w:pPr>
          </w:p>
        </w:tc>
        <w:tc>
          <w:tcPr>
            <w:tcW w:w="140" w:type="dxa"/>
            <w:vAlign w:val="bottom"/>
            <w:tcBorders>
              <w:right w:val="single" w:sz="8" w:color="9ADAF6"/>
            </w:tcBorders>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4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shd w:val="clear" w:color="auto" w:fill="9ADAF6"/>
          </w:tcPr>
          <w:p>
            <w:pPr>
              <w:spacing w:after="0"/>
              <w:rPr>
                <w:sz w:val="9"/>
                <w:szCs w:val="9"/>
                <w:color w:val="auto"/>
              </w:rPr>
            </w:pPr>
          </w:p>
        </w:tc>
        <w:tc>
          <w:tcPr>
            <w:tcW w:w="6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640" w:type="dxa"/>
            <w:vAlign w:val="bottom"/>
            <w:tcBorders>
              <w:right w:val="single" w:sz="8" w:color="auto"/>
            </w:tcBorders>
            <w:gridSpan w:val="2"/>
            <w:vMerge w:val="continue"/>
            <w:shd w:val="clear" w:color="auto" w:fill="9ADAF6"/>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0" w:type="dxa"/>
            <w:vAlign w:val="bottom"/>
            <w:tcBorders>
              <w:right w:val="single" w:sz="8" w:color="9ADAF6"/>
            </w:tcBorders>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5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40" w:type="dxa"/>
            <w:vAlign w:val="bottom"/>
            <w:tcBorders>
              <w:right w:val="single" w:sz="8" w:color="auto"/>
            </w:tcBorders>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40" w:type="dxa"/>
            <w:vAlign w:val="bottom"/>
            <w:tcBorders>
              <w:left w:val="single" w:sz="8" w:color="auto"/>
            </w:tcBorders>
          </w:tcPr>
          <w:p>
            <w:pPr>
              <w:spacing w:after="0"/>
              <w:rPr>
                <w:sz w:val="18"/>
                <w:szCs w:val="18"/>
                <w:color w:val="auto"/>
              </w:rPr>
            </w:pPr>
          </w:p>
        </w:tc>
        <w:tc>
          <w:tcPr>
            <w:tcW w:w="400" w:type="dxa"/>
            <w:vAlign w:val="bottom"/>
            <w:shd w:val="clear" w:color="auto" w:fill="E7E7E2"/>
          </w:tcPr>
          <w:p>
            <w:pPr>
              <w:ind w:left="80"/>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8"/>
                <w:szCs w:val="18"/>
                <w:color w:val="auto"/>
              </w:rPr>
            </w:pPr>
          </w:p>
        </w:tc>
        <w:tc>
          <w:tcPr>
            <w:tcW w:w="520" w:type="dxa"/>
            <w:vAlign w:val="bottom"/>
            <w:shd w:val="clear" w:color="auto" w:fill="E7E7E2"/>
          </w:tcPr>
          <w:p>
            <w:pPr>
              <w:ind w:left="20"/>
              <w:spacing w:after="0"/>
              <w:rPr>
                <w:sz w:val="20"/>
                <w:szCs w:val="20"/>
                <w:color w:val="auto"/>
              </w:rPr>
            </w:pPr>
            <w:r>
              <w:rPr>
                <w:rFonts w:ascii="Arial" w:cs="Arial" w:eastAsia="Arial" w:hAnsi="Arial"/>
                <w:sz w:val="15"/>
                <w:szCs w:val="15"/>
                <w:color w:val="auto"/>
              </w:rPr>
              <w:t>N/A</w:t>
            </w: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20"/>
                <w:szCs w:val="20"/>
                <w:color w:val="auto"/>
              </w:rPr>
            </w:pPr>
            <w:r>
              <w:rPr>
                <w:rFonts w:ascii="Arial" w:cs="Arial" w:eastAsia="Arial" w:hAnsi="Arial"/>
                <w:sz w:val="15"/>
                <w:szCs w:val="15"/>
                <w:color w:val="auto"/>
              </w:rPr>
              <w:t>N/A</w:t>
            </w: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tcBorders>
              <w:right w:val="single" w:sz="8" w:color="E7E7E2"/>
            </w:tcBorders>
            <w:shd w:val="clear" w:color="auto" w:fill="E7E7E2"/>
          </w:tcPr>
          <w:p>
            <w:pPr>
              <w:spacing w:after="0"/>
              <w:rPr>
                <w:sz w:val="18"/>
                <w:szCs w:val="18"/>
                <w:color w:val="auto"/>
              </w:rPr>
            </w:pPr>
          </w:p>
        </w:tc>
        <w:tc>
          <w:tcPr>
            <w:tcW w:w="260" w:type="dxa"/>
            <w:vAlign w:val="bottom"/>
            <w:gridSpan w:val="2"/>
            <w:shd w:val="clear" w:color="auto" w:fill="E7E7E2"/>
          </w:tcPr>
          <w:p>
            <w:pPr>
              <w:spacing w:after="0"/>
              <w:rPr>
                <w:sz w:val="20"/>
                <w:szCs w:val="20"/>
                <w:color w:val="auto"/>
              </w:rPr>
            </w:pPr>
            <w:r>
              <w:rPr>
                <w:rFonts w:ascii="Arial" w:cs="Arial" w:eastAsia="Arial" w:hAnsi="Arial"/>
                <w:sz w:val="15"/>
                <w:szCs w:val="15"/>
                <w:color w:val="auto"/>
                <w:w w:val="95"/>
              </w:rPr>
              <w:t>N/A</w:t>
            </w:r>
          </w:p>
        </w:tc>
        <w:tc>
          <w:tcPr>
            <w:tcW w:w="20" w:type="dxa"/>
            <w:vAlign w:val="bottom"/>
          </w:tcPr>
          <w:p>
            <w:pPr>
              <w:spacing w:after="0"/>
              <w:rPr>
                <w:sz w:val="18"/>
                <w:szCs w:val="18"/>
                <w:color w:val="auto"/>
              </w:rPr>
            </w:pPr>
          </w:p>
        </w:tc>
        <w:tc>
          <w:tcPr>
            <w:tcW w:w="360" w:type="dxa"/>
            <w:vAlign w:val="bottom"/>
            <w:tcBorders>
              <w:righ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80" w:type="dxa"/>
            <w:vAlign w:val="bottom"/>
            <w:shd w:val="clear" w:color="auto" w:fill="E7E7E2"/>
          </w:tcPr>
          <w:p>
            <w:pPr>
              <w:ind w:left="400"/>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460" w:type="dxa"/>
            <w:vAlign w:val="bottom"/>
            <w:shd w:val="clear" w:color="auto" w:fill="E7E7E2"/>
          </w:tcPr>
          <w:p>
            <w:pPr>
              <w:jc w:val="center"/>
              <w:ind w:right="84"/>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680" w:type="dxa"/>
            <w:vAlign w:val="bottom"/>
            <w:shd w:val="clear" w:color="auto" w:fill="E7E7E2"/>
          </w:tcPr>
          <w:p>
            <w:pPr>
              <w:ind w:left="40"/>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40" w:type="dxa"/>
            <w:vAlign w:val="bottom"/>
            <w:tcBorders>
              <w:right w:val="single" w:sz="8" w:color="auto"/>
            </w:tcBorders>
            <w:gridSpan w:val="2"/>
            <w:shd w:val="clear" w:color="auto" w:fill="E7E7E2"/>
          </w:tcPr>
          <w:p>
            <w:pPr>
              <w:jc w:val="center"/>
              <w:ind w:right="26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0" w:orient="portrait"/>
          <w:cols w:equalWidth="0" w:num="1">
            <w:col w:w="10680"/>
          </w:cols>
          <w:pgMar w:left="640" w:top="578" w:right="580" w:bottom="807" w:gutter="0" w:footer="0" w:header="0"/>
        </w:sectPr>
      </w:pPr>
    </w:p>
    <w:bookmarkStart w:id="218" w:name="page219"/>
    <w:bookmarkEnd w:id="218"/>
    <w:p>
      <w:pPr>
        <w:ind w:left="10040"/>
        <w:spacing w:after="0"/>
        <w:rPr>
          <w:sz w:val="20"/>
          <w:szCs w:val="20"/>
          <w:color w:val="auto"/>
        </w:rPr>
      </w:pPr>
      <w:r>
        <w:rPr>
          <w:rFonts w:ascii="Times New Roman" w:cs="Times New Roman" w:eastAsia="Times New Roman" w:hAnsi="Times New Roman"/>
          <w:sz w:val="12"/>
          <w:szCs w:val="12"/>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Navan,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138430</wp:posOffset>
            </wp:positionV>
            <wp:extent cx="1561465"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1561465" cy="63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Underwriting Agreement</w:t>
      </w:r>
    </w:p>
    <w:p>
      <w:pPr>
        <w:spacing w:after="0" w:line="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 ], 2025</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Goldman Sachs &amp; Co. LLC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Citigroup Global Markets Inc.</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As representatives (the “Representatives”) of the several Underwriters</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named in Schedule I hereto,</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c/o Goldman Sachs &amp; Co. LLC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200 West Street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 10282-2198</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c/o Citigroup Global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388 Greenwich Street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 10013</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88" w:lineRule="exact"/>
        <w:rPr>
          <w:sz w:val="20"/>
          <w:szCs w:val="20"/>
          <w:color w:val="auto"/>
        </w:rPr>
      </w:pPr>
    </w:p>
    <w:p>
      <w:pPr>
        <w:jc w:val="both"/>
        <w:ind w:firstLine="459"/>
        <w:spacing w:after="0" w:line="263" w:lineRule="auto"/>
        <w:rPr>
          <w:sz w:val="20"/>
          <w:szCs w:val="20"/>
          <w:color w:val="auto"/>
        </w:rPr>
      </w:pPr>
      <w:r>
        <w:rPr>
          <w:rFonts w:ascii="Arial" w:cs="Arial" w:eastAsia="Arial" w:hAnsi="Arial"/>
          <w:sz w:val="14"/>
          <w:szCs w:val="14"/>
          <w:color w:val="auto"/>
        </w:rPr>
        <w:t>Navan, Inc., a Delaware corporation (the “Company”), proposes, subject to the terms and conditions stated in this agreement (this “Agreement”), to issue and sell to the Underwriters named in Schedule I hereto (the “Underwriters”) an aggregate of [ • ] shares and, at the election of the Underwriters, up to [ • ] additional shares of Class A Common Stock, par value $ 0.00000625 per share (“Stock”), of the Company and the stockholders of the Company named in Schedule II hereto (the “Selling Stockholders”) propose, subject to the terms and conditions stated in this Agreement, to sell to the Underwriters an aggregate of [ • ] shares of Stock. The aggregate of [ • ] shares to be sold by the Company and the Selling Stockholders is herein called the “Firm Shares” and the aggregate of [ • ] additional shares to be sold by the Company is herein called the “Optional Shares”. The Firm Shares and the Optional Shares that the Underwriters elect to purchase pursuant to Section 2 hereof are herein collectively called the “Shares”.</w:t>
      </w:r>
    </w:p>
    <w:p>
      <w:pPr>
        <w:spacing w:after="0" w:line="124" w:lineRule="exact"/>
        <w:rPr>
          <w:sz w:val="20"/>
          <w:szCs w:val="20"/>
          <w:color w:val="auto"/>
        </w:rPr>
      </w:pPr>
    </w:p>
    <w:p>
      <w:pPr>
        <w:ind w:left="740" w:hanging="274"/>
        <w:spacing w:after="0"/>
        <w:tabs>
          <w:tab w:leader="none" w:pos="74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(a)  The Company represents and warrants to, and agrees with, each of the Underwriters that:</w:t>
      </w:r>
    </w:p>
    <w:p>
      <w:pPr>
        <w:spacing w:after="0" w:line="87" w:lineRule="exact"/>
        <w:rPr>
          <w:rFonts w:ascii="Arial" w:cs="Arial" w:eastAsia="Arial" w:hAnsi="Arial"/>
          <w:sz w:val="14"/>
          <w:szCs w:val="14"/>
          <w:color w:val="auto"/>
        </w:rPr>
      </w:pPr>
    </w:p>
    <w:p>
      <w:pPr>
        <w:jc w:val="both"/>
        <w:ind w:left="460" w:firstLine="350"/>
        <w:spacing w:after="0" w:line="265" w:lineRule="auto"/>
        <w:tabs>
          <w:tab w:leader="none" w:pos="1144" w:val="left"/>
        </w:tabs>
        <w:numPr>
          <w:ilvl w:val="1"/>
          <w:numId w:val="203"/>
        </w:numPr>
        <w:rPr>
          <w:rFonts w:ascii="Arial" w:cs="Arial" w:eastAsia="Arial" w:hAnsi="Arial"/>
          <w:sz w:val="14"/>
          <w:szCs w:val="14"/>
          <w:color w:val="auto"/>
        </w:rPr>
      </w:pPr>
      <w:r>
        <w:rPr>
          <w:rFonts w:ascii="Arial" w:cs="Arial" w:eastAsia="Arial" w:hAnsi="Arial"/>
          <w:sz w:val="14"/>
          <w:szCs w:val="14"/>
          <w:color w:val="auto"/>
        </w:rPr>
        <w:t>A registration statement on Form S-1 (File No. 333-290396) (the “Initial Registration Statement”) in respect of the Shares has been filed with the Securities and Exchange Commission (the “Commission”); the Initial Registration Statement and any post-effective amendment thereto, each in the form heretofore delivered to the Representatives, have become effective or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no stop order suspending the effectiveness of the Initial Registration Statement, any post-effective amendment thereto or the Rule 462(b)</w:t>
      </w:r>
    </w:p>
    <w:p>
      <w:pPr>
        <w:sectPr>
          <w:pgSz w:w="11900" w:h="16840" w:orient="portrait"/>
          <w:cols w:equalWidth="0" w:num="1">
            <w:col w:w="10620"/>
          </w:cols>
          <w:pgMar w:left="640" w:top="557" w:right="640" w:bottom="1440" w:gutter="0" w:footer="0" w:header="0"/>
        </w:sectPr>
      </w:pPr>
    </w:p>
    <w:bookmarkStart w:id="219" w:name="page220"/>
    <w:bookmarkEnd w:id="219"/>
    <w:p>
      <w:pPr>
        <w:spacing w:after="0" w:line="3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Registration Statement, if any, has been issued and no proceeding for that purpose or pursuant to Section 8A of the Act has been initiated or, to the Company’s knowledge,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became or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1(a)(iii) hereof) is hereinafter called the “Pricing Prospectus”; and such final prospectus, in the form first filed pursuant to Rule 424(b) under the Act, is hereinafter called the “Prospectus”; any oral or written communication with potential investors undertaken in reliance on Section 5(d) of the Act or Rule 163B under the Act is hereinafter called a “Testing-the -Waters Communication”; any Testing-the-Waters Communication that is a written communication within the meaning of Rule 405 under the Act is hereinafter called a “Written Testing- the-Waters Communication”; and any “issuer free writing prospectus” as defined in Rule 433 under the Act relating to the Shares is hereinafter called an “Issuer Free Writing Prospectus”);</w:t>
      </w:r>
    </w:p>
    <w:p>
      <w:pPr>
        <w:spacing w:after="0" w:line="48" w:lineRule="exact"/>
        <w:rPr>
          <w:sz w:val="20"/>
          <w:szCs w:val="20"/>
          <w:color w:val="auto"/>
        </w:rPr>
      </w:pPr>
    </w:p>
    <w:p>
      <w:pPr>
        <w:jc w:val="both"/>
        <w:ind w:right="20" w:firstLine="350"/>
        <w:spacing w:after="0" w:line="265" w:lineRule="auto"/>
        <w:tabs>
          <w:tab w:leader="none" w:pos="760" w:val="left"/>
        </w:tabs>
        <w:numPr>
          <w:ilvl w:val="0"/>
          <w:numId w:val="204"/>
        </w:numPr>
        <w:rPr>
          <w:rFonts w:ascii="Arial" w:cs="Arial" w:eastAsia="Arial" w:hAnsi="Arial"/>
          <w:sz w:val="14"/>
          <w:szCs w:val="14"/>
          <w:color w:val="auto"/>
        </w:rPr>
      </w:pPr>
      <w:r>
        <w:rPr>
          <w:rFonts w:ascii="Arial" w:cs="Arial" w:eastAsia="Arial" w:hAnsi="Arial"/>
          <w:sz w:val="14"/>
          <w:szCs w:val="14"/>
          <w:color w:val="auto"/>
        </w:rPr>
        <w:t>(A)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(x) the Underwriter Information (as defined in Section 10(c) of this Agreement) or (y) any Selling Stockholder Information (as defined in Section 1(b)(vii) of this Agreement);</w:t>
      </w:r>
    </w:p>
    <w:p>
      <w:pPr>
        <w:spacing w:after="0" w:line="43" w:lineRule="exact"/>
        <w:rPr>
          <w:rFonts w:ascii="Arial" w:cs="Arial" w:eastAsia="Arial" w:hAnsi="Arial"/>
          <w:sz w:val="14"/>
          <w:szCs w:val="14"/>
          <w:color w:val="auto"/>
        </w:rPr>
      </w:pPr>
    </w:p>
    <w:p>
      <w:pPr>
        <w:jc w:val="both"/>
        <w:ind w:firstLine="350"/>
        <w:spacing w:after="0" w:line="263" w:lineRule="auto"/>
        <w:tabs>
          <w:tab w:leader="none" w:pos="750" w:val="left"/>
        </w:tabs>
        <w:numPr>
          <w:ilvl w:val="0"/>
          <w:numId w:val="204"/>
        </w:numPr>
        <w:rPr>
          <w:rFonts w:ascii="Arial" w:cs="Arial" w:eastAsia="Arial" w:hAnsi="Arial"/>
          <w:sz w:val="14"/>
          <w:szCs w:val="14"/>
          <w:color w:val="auto"/>
        </w:rPr>
      </w:pPr>
      <w:r>
        <w:rPr>
          <w:rFonts w:ascii="Arial" w:cs="Arial" w:eastAsia="Arial" w:hAnsi="Arial"/>
          <w:sz w:val="14"/>
          <w:szCs w:val="14"/>
          <w:color w:val="auto"/>
        </w:rPr>
        <w:t>For the purposes of this Agreement, the “Applicable Time” is [ • ] p.m. (Eastern time) on the date of this Agreement. The Pricing Prospectus, as supplemented by the information listed on Schedule III(c)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will not, include any untrue</w:t>
      </w:r>
    </w:p>
    <w:p>
      <w:pPr>
        <w:sectPr>
          <w:pgSz w:w="11900" w:h="16840" w:orient="portrait"/>
          <w:cols w:equalWidth="0" w:num="1">
            <w:col w:w="10160"/>
          </w:cols>
          <w:pgMar w:left="1100" w:top="1440" w:right="640" w:bottom="1440" w:gutter="0" w:footer="0" w:header="0"/>
        </w:sectPr>
      </w:pPr>
    </w:p>
    <w:bookmarkStart w:id="220" w:name="page221"/>
    <w:bookmarkEnd w:id="220"/>
    <w:p>
      <w:pPr>
        <w:spacing w:after="0" w:line="39" w:lineRule="exact"/>
        <w:rPr>
          <w:sz w:val="20"/>
          <w:szCs w:val="20"/>
          <w:color w:val="auto"/>
        </w:rPr>
      </w:pPr>
    </w:p>
    <w:p>
      <w:pPr>
        <w:jc w:val="both"/>
        <w:ind w:right="20"/>
        <w:spacing w:after="0" w:line="278" w:lineRule="auto"/>
        <w:rPr>
          <w:sz w:val="20"/>
          <w:szCs w:val="20"/>
          <w:color w:val="auto"/>
        </w:rPr>
      </w:pPr>
      <w:r>
        <w:rPr>
          <w:rFonts w:ascii="Arial" w:cs="Arial" w:eastAsia="Arial" w:hAnsi="Arial"/>
          <w:sz w:val="14"/>
          <w:szCs w:val="14"/>
          <w:color w:val="auto"/>
        </w:rPr>
        <w:t>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(A) the Underwriter Information or (B) any Selling Stockholder Information;</w:t>
      </w:r>
    </w:p>
    <w:p>
      <w:pPr>
        <w:spacing w:after="0" w:line="34" w:lineRule="exact"/>
        <w:rPr>
          <w:sz w:val="20"/>
          <w:szCs w:val="20"/>
          <w:color w:val="auto"/>
        </w:rPr>
      </w:pPr>
    </w:p>
    <w:p>
      <w:pPr>
        <w:ind w:firstLine="350"/>
        <w:spacing w:after="0" w:line="299" w:lineRule="auto"/>
        <w:tabs>
          <w:tab w:leader="none" w:pos="598" w:val="left"/>
        </w:tabs>
        <w:numPr>
          <w:ilvl w:val="0"/>
          <w:numId w:val="205"/>
        </w:numPr>
        <w:rPr>
          <w:rFonts w:ascii="Arial" w:cs="Arial" w:eastAsia="Arial" w:hAnsi="Arial"/>
          <w:sz w:val="14"/>
          <w:szCs w:val="14"/>
          <w:color w:val="auto"/>
        </w:rPr>
      </w:pPr>
      <w:r>
        <w:rPr>
          <w:rFonts w:ascii="Arial" w:cs="Arial" w:eastAsia="Arial" w:hAnsi="Arial"/>
          <w:sz w:val="14"/>
          <w:szCs w:val="14"/>
          <w:color w:val="auto"/>
        </w:rPr>
        <w:t>No documents were filed with the Commission since the Commission’s close of business on the business day immediately prior to the date of this Agreement and prior to the execution of this Agreement, except as set forth on Schedule III(b) hereto;</w:t>
      </w:r>
    </w:p>
    <w:p>
      <w:pPr>
        <w:spacing w:after="0" w:line="19" w:lineRule="exact"/>
        <w:rPr>
          <w:rFonts w:ascii="Arial" w:cs="Arial" w:eastAsia="Arial" w:hAnsi="Arial"/>
          <w:sz w:val="14"/>
          <w:szCs w:val="14"/>
          <w:color w:val="auto"/>
        </w:rPr>
      </w:pPr>
    </w:p>
    <w:p>
      <w:pPr>
        <w:jc w:val="both"/>
        <w:ind w:firstLine="350"/>
        <w:spacing w:after="0" w:line="263" w:lineRule="auto"/>
        <w:tabs>
          <w:tab w:leader="none" w:pos="734" w:val="left"/>
        </w:tabs>
        <w:numPr>
          <w:ilvl w:val="0"/>
          <w:numId w:val="205"/>
        </w:numPr>
        <w:rPr>
          <w:rFonts w:ascii="Arial" w:cs="Arial" w:eastAsia="Arial" w:hAnsi="Arial"/>
          <w:sz w:val="14"/>
          <w:szCs w:val="14"/>
          <w:color w:val="auto"/>
        </w:rPr>
      </w:pPr>
      <w:r>
        <w:rPr>
          <w:rFonts w:ascii="Arial" w:cs="Arial" w:eastAsia="Arial" w:hAnsi="Arial"/>
          <w:sz w:val="14"/>
          <w:szCs w:val="14"/>
          <w:color w:val="auto"/>
        </w:rPr>
        <w:t>The Registration Statement, at the time it became effective, conformed, and the Prospectus and any further amendments or supplements to the Registration Statement and the Prospectus, as of the date of the Prospectus or such amendment or supplement,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(with respect to the Prospectus, in light of the circumstances under which they are made) not misleading; provided, however, that this representation and warranty shall not apply to any statements or omissions made in reliance upon and in conformity with (A) the Underwriter Information or (B) any Selling Stockholder Information;</w:t>
      </w:r>
    </w:p>
    <w:p>
      <w:pPr>
        <w:spacing w:after="0" w:line="219" w:lineRule="exact"/>
        <w:rPr>
          <w:rFonts w:ascii="Arial" w:cs="Arial" w:eastAsia="Arial" w:hAnsi="Arial"/>
          <w:sz w:val="14"/>
          <w:szCs w:val="14"/>
          <w:color w:val="auto"/>
        </w:rPr>
      </w:pPr>
    </w:p>
    <w:p>
      <w:pPr>
        <w:jc w:val="both"/>
        <w:ind w:firstLine="350"/>
        <w:spacing w:after="0" w:line="259" w:lineRule="auto"/>
        <w:tabs>
          <w:tab w:leader="none" w:pos="729" w:val="left"/>
        </w:tabs>
        <w:numPr>
          <w:ilvl w:val="0"/>
          <w:numId w:val="205"/>
        </w:numPr>
        <w:rPr>
          <w:rFonts w:ascii="Arial" w:cs="Arial" w:eastAsia="Arial" w:hAnsi="Arial"/>
          <w:sz w:val="14"/>
          <w:szCs w:val="14"/>
          <w:color w:val="auto"/>
        </w:rPr>
      </w:pPr>
      <w:r>
        <w:rPr>
          <w:rFonts w:ascii="Arial" w:cs="Arial" w:eastAsia="Arial" w:hAnsi="Arial"/>
          <w:sz w:val="14"/>
          <w:szCs w:val="14"/>
          <w:color w:val="auto"/>
        </w:rPr>
        <w:t>Neither the Company nor any of its subsidiaries has, since the date of the latest audited financial statements included in the Pricing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would be required to be filed as an exhibit to the Registration Statement pursuant to Item 601 of Regulation S-K of the Act or incurred any liability or obligation, direct or contingent, that is material to the Company and its subsidiaries taken as a whole, in each case other than as set forth or contemplated in the Pricing Prospectus; and, since the respective dates as of which information is given in the Registration Statement and the Pricing Prospectus, there has not been (x) any change in the capital stock (other than as a result of (i) the exercise or settlement, if any, of stock options or restricted stock units (including any “net” or “cashless” exercises or settlements) or the award, if any, of stock options or restricted stock units, in each case in the ordinary course of business pursuant to the Company’s equity plans that are described in the Pricing Prospectus and the Prospectus, (ii) the repurchase of shares of capital stock upon termination of the holder’s employment or service with the Company pursuant to agreements providing for an option to repurchase or a right of first refusal on behalf of the Company, (iii) the issuance, if any, of stock upon exercise or conversion of Company securities as described in the Pricing Prospectus and the Prospectus) or long-term debt of the Company or any of its subsidiaries, or (iv) as otherwise set forth or contemplated in the Pricing Prospectus or the Prospectus,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or results of operations of</w:t>
      </w:r>
    </w:p>
    <w:p>
      <w:pPr>
        <w:sectPr>
          <w:pgSz w:w="11900" w:h="16840" w:orient="portrait"/>
          <w:cols w:equalWidth="0" w:num="1">
            <w:col w:w="10160"/>
          </w:cols>
          <w:pgMar w:left="1100" w:top="1440" w:right="640" w:bottom="1440" w:gutter="0" w:footer="0" w:header="0"/>
        </w:sectPr>
      </w:pPr>
    </w:p>
    <w:bookmarkStart w:id="221" w:name="page222"/>
    <w:bookmarkEnd w:id="221"/>
    <w:p>
      <w:pPr>
        <w:spacing w:after="0" w:line="39" w:lineRule="exact"/>
        <w:rPr>
          <w:sz w:val="20"/>
          <w:szCs w:val="20"/>
          <w:color w:val="auto"/>
        </w:rPr>
      </w:pPr>
    </w:p>
    <w:p>
      <w:pPr>
        <w:jc w:val="both"/>
        <w:ind w:right="20"/>
        <w:spacing w:after="0" w:line="278" w:lineRule="auto"/>
        <w:rPr>
          <w:sz w:val="20"/>
          <w:szCs w:val="20"/>
          <w:color w:val="auto"/>
        </w:rPr>
      </w:pPr>
      <w:r>
        <w:rPr>
          <w:rFonts w:ascii="Arial" w:cs="Arial" w:eastAsia="Arial" w:hAnsi="Arial"/>
          <w:sz w:val="14"/>
          <w:szCs w:val="14"/>
          <w:color w:val="auto"/>
        </w:rPr>
        <w:t>the Company and its subsidiaries, taken as a whole, except as set forth or contemplated in the Pricing Prospectus, or (ii) the ability of the Company to perform its obligations under this Agreement, including the issuance and sale of the Shares, or to consummate the transactions contemplated in the Pricing Prospectus and the Prospectus;</w:t>
      </w:r>
    </w:p>
    <w:p>
      <w:pPr>
        <w:spacing w:after="0" w:line="34" w:lineRule="exact"/>
        <w:rPr>
          <w:sz w:val="20"/>
          <w:szCs w:val="20"/>
          <w:color w:val="auto"/>
        </w:rPr>
      </w:pPr>
    </w:p>
    <w:p>
      <w:pPr>
        <w:jc w:val="both"/>
        <w:ind w:firstLine="350"/>
        <w:spacing w:after="0" w:line="267" w:lineRule="auto"/>
        <w:tabs>
          <w:tab w:leader="none" w:pos="786" w:val="left"/>
        </w:tabs>
        <w:numPr>
          <w:ilvl w:val="1"/>
          <w:numId w:val="206"/>
        </w:numPr>
        <w:rPr>
          <w:rFonts w:ascii="Arial" w:cs="Arial" w:eastAsia="Arial" w:hAnsi="Arial"/>
          <w:sz w:val="14"/>
          <w:szCs w:val="14"/>
          <w:color w:val="auto"/>
        </w:rPr>
      </w:pPr>
      <w:r>
        <w:rPr>
          <w:rFonts w:ascii="Arial" w:cs="Arial" w:eastAsia="Arial" w:hAnsi="Arial"/>
          <w:sz w:val="14"/>
          <w:szCs w:val="14"/>
          <w:color w:val="auto"/>
        </w:rPr>
        <w:t>The Company and its subsidiaries have good and marketable title in fee simple to all real property and good and marketable title to all personal property owned by them (other than with respect to intellectual property and Intellectual Property Rights, title to which is addressed exclusively in subsection</w:t>
      </w:r>
    </w:p>
    <w:p>
      <w:pPr>
        <w:jc w:val="both"/>
        <w:ind w:firstLine="6"/>
        <w:spacing w:after="0" w:line="259" w:lineRule="auto"/>
        <w:tabs>
          <w:tab w:leader="none" w:pos="351" w:val="left"/>
        </w:tabs>
        <w:numPr>
          <w:ilvl w:val="0"/>
          <w:numId w:val="207"/>
        </w:numPr>
        <w:rPr>
          <w:rFonts w:ascii="Arial" w:cs="Arial" w:eastAsia="Arial" w:hAnsi="Arial"/>
          <w:sz w:val="14"/>
          <w:szCs w:val="14"/>
          <w:color w:val="auto"/>
        </w:rPr>
      </w:pPr>
      <w:r>
        <w:rPr>
          <w:rFonts w:ascii="Arial" w:cs="Arial" w:eastAsia="Arial" w:hAnsi="Arial"/>
          <w:sz w:val="14"/>
          <w:szCs w:val="14"/>
          <w:color w:val="auto"/>
        </w:rPr>
        <w:t>of this Section 1(a)), in each case free and clear of all liens, encumbrances and defects except such as (i) are described in the Pricing Prospectus or (ii)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to the Company’s knowledge, under valid, subsisting and enforceable leases (subject to the effects of (i) bankruptcy, insolvency, fraudulent conveyance, fraudulent transfer, reorganization, moratorium or other similar laws relating to or affecting the rights or remedies of creditors generally; (ii) the application of general principles of equity (including, without limitation, concepts of materiality, reasonableness, good faith and fair dealing, regardless of whether enforcement is considered in proceedings at law or in equity); and (iii) applicable law and public policy with respect to the rights to indemnity and contribution) with such exceptions as are not material and do not materially interfere with the use made and proposed to be made of such property and buildings by the Company and its subsidiaries;</w:t>
      </w:r>
    </w:p>
    <w:p>
      <w:pPr>
        <w:spacing w:after="0" w:line="50" w:lineRule="exact"/>
        <w:rPr>
          <w:rFonts w:ascii="Arial" w:cs="Arial" w:eastAsia="Arial" w:hAnsi="Arial"/>
          <w:sz w:val="14"/>
          <w:szCs w:val="14"/>
          <w:color w:val="auto"/>
        </w:rPr>
      </w:pPr>
    </w:p>
    <w:p>
      <w:pPr>
        <w:jc w:val="both"/>
        <w:ind w:firstLine="350"/>
        <w:spacing w:after="0" w:line="263" w:lineRule="auto"/>
        <w:tabs>
          <w:tab w:leader="none" w:pos="818" w:val="left"/>
        </w:tabs>
        <w:numPr>
          <w:ilvl w:val="1"/>
          <w:numId w:val="207"/>
        </w:numPr>
        <w:rPr>
          <w:rFonts w:ascii="Arial" w:cs="Arial" w:eastAsia="Arial" w:hAnsi="Arial"/>
          <w:sz w:val="14"/>
          <w:szCs w:val="14"/>
          <w:color w:val="auto"/>
        </w:rPr>
      </w:pPr>
      <w:r>
        <w:rPr>
          <w:rFonts w:ascii="Arial" w:cs="Arial" w:eastAsia="Arial" w:hAnsi="Arial"/>
          <w:sz w:val="14"/>
          <w:szCs w:val="14"/>
          <w:color w:val="auto"/>
        </w:rPr>
        <w:t>Each of the Company and each of its subsidiaries has been (i) duly organized and is validly existing and in good standing under the laws of its jurisdiction of organization (where such concept exists), with power and authority (corporate and other) to own its properties and conduct its business as described in the Pricing Prospectus, and (ii) 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significant subsidiary (as such term is defined in Rule 1-02 of Regulation S-X promulgated under the Act), if any, of the Company has been listed in Exhibit 21.1 to the Registration Statement;</w:t>
      </w:r>
    </w:p>
    <w:p>
      <w:pPr>
        <w:spacing w:after="0" w:line="47" w:lineRule="exact"/>
        <w:rPr>
          <w:rFonts w:ascii="Arial" w:cs="Arial" w:eastAsia="Arial" w:hAnsi="Arial"/>
          <w:sz w:val="14"/>
          <w:szCs w:val="14"/>
          <w:color w:val="auto"/>
        </w:rPr>
      </w:pPr>
    </w:p>
    <w:p>
      <w:pPr>
        <w:jc w:val="both"/>
        <w:ind w:right="20" w:firstLine="350"/>
        <w:spacing w:after="0" w:line="265" w:lineRule="auto"/>
        <w:tabs>
          <w:tab w:leader="none" w:pos="720" w:val="left"/>
        </w:tabs>
        <w:numPr>
          <w:ilvl w:val="1"/>
          <w:numId w:val="207"/>
        </w:numPr>
        <w:rPr>
          <w:rFonts w:ascii="Arial" w:cs="Arial" w:eastAsia="Arial" w:hAnsi="Arial"/>
          <w:sz w:val="14"/>
          <w:szCs w:val="14"/>
          <w:color w:val="auto"/>
        </w:rPr>
      </w:pPr>
      <w:r>
        <w:rPr>
          <w:rFonts w:ascii="Arial" w:cs="Arial" w:eastAsia="Arial" w:hAnsi="Arial"/>
          <w:sz w:val="14"/>
          <w:szCs w:val="14"/>
          <w:color w:val="auto"/>
        </w:rPr>
        <w:t>The Company has an authorized capitalization as set forth in the Pricing Prospectus and all of the issued and outstanding shares of capital stock of the Company, including the Shares to be sold by the Selling Stockholders, have been duly and validly authorized and issued and are fully paid and non-assessable and conform in all material respects to the description of the Stock contained in the Pricing Disclosure Package and the Prospectus; and all of the issued and outstanding shares of capital stock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for such liens or encumbrances described in the Pricing Prospectus and the Prospectus;</w:t>
      </w:r>
    </w:p>
    <w:p>
      <w:pPr>
        <w:sectPr>
          <w:pgSz w:w="11900" w:h="16840" w:orient="portrait"/>
          <w:cols w:equalWidth="0" w:num="1">
            <w:col w:w="10160"/>
          </w:cols>
          <w:pgMar w:left="1100" w:top="1440" w:right="640" w:bottom="1440" w:gutter="0" w:footer="0" w:header="0"/>
        </w:sectPr>
      </w:pPr>
    </w:p>
    <w:bookmarkStart w:id="222" w:name="page223"/>
    <w:bookmarkEnd w:id="222"/>
    <w:p>
      <w:pPr>
        <w:spacing w:after="0" w:line="39" w:lineRule="exact"/>
        <w:rPr>
          <w:sz w:val="20"/>
          <w:szCs w:val="20"/>
          <w:color w:val="auto"/>
        </w:rPr>
      </w:pPr>
    </w:p>
    <w:p>
      <w:pPr>
        <w:jc w:val="both"/>
        <w:ind w:left="-340" w:firstLine="350"/>
        <w:spacing w:after="0" w:line="271" w:lineRule="auto"/>
        <w:tabs>
          <w:tab w:leader="none" w:pos="346" w:val="left"/>
        </w:tabs>
        <w:numPr>
          <w:ilvl w:val="0"/>
          <w:numId w:val="208"/>
        </w:numPr>
        <w:rPr>
          <w:rFonts w:ascii="Arial" w:cs="Arial" w:eastAsia="Arial" w:hAnsi="Arial"/>
          <w:sz w:val="14"/>
          <w:szCs w:val="14"/>
          <w:color w:val="auto"/>
        </w:rPr>
      </w:pPr>
      <w:r>
        <w:rPr>
          <w:rFonts w:ascii="Arial" w:cs="Arial" w:eastAsia="Arial" w:hAnsi="Arial"/>
          <w:sz w:val="14"/>
          <w:szCs w:val="14"/>
          <w:color w:val="auto"/>
        </w:rPr>
        <w:t>The unissued Shares to be issued and sold by the Company to the Underwriters hereunder have been duly and validly authorized and, when issued and delivered against payment therefor as provided herein, will be duly and validly issued and fully paid and non-assessable and will conform in all material respects to the description of the Stock contained in the Pricing Disclosure Package and the Prospectus; and the issuance of such Shares is not subject to any preemptive or similar rights, in each case other than rights that have been complied with or waived in writing as of the date of this Agreement;</w:t>
      </w:r>
    </w:p>
    <w:p>
      <w:pPr>
        <w:spacing w:after="0" w:line="38" w:lineRule="exact"/>
        <w:rPr>
          <w:rFonts w:ascii="Arial" w:cs="Arial" w:eastAsia="Arial" w:hAnsi="Arial"/>
          <w:sz w:val="14"/>
          <w:szCs w:val="14"/>
          <w:color w:val="auto"/>
        </w:rPr>
      </w:pPr>
    </w:p>
    <w:p>
      <w:pPr>
        <w:jc w:val="both"/>
        <w:ind w:left="-340" w:firstLine="350"/>
        <w:spacing w:after="0" w:line="260" w:lineRule="auto"/>
        <w:tabs>
          <w:tab w:leader="none" w:pos="435" w:val="left"/>
        </w:tabs>
        <w:numPr>
          <w:ilvl w:val="0"/>
          <w:numId w:val="208"/>
        </w:numPr>
        <w:rPr>
          <w:rFonts w:ascii="Arial" w:cs="Arial" w:eastAsia="Arial" w:hAnsi="Arial"/>
          <w:sz w:val="14"/>
          <w:szCs w:val="14"/>
          <w:color w:val="auto"/>
        </w:rPr>
      </w:pPr>
      <w:r>
        <w:rPr>
          <w:rFonts w:ascii="Arial" w:cs="Arial" w:eastAsia="Arial" w:hAnsi="Arial"/>
          <w:sz w:val="14"/>
          <w:szCs w:val="14"/>
          <w:color w:val="auto"/>
        </w:rPr>
        <w:t>The issue and sale of the Shares to be sold by the Company and the compliance by the Company with this Agreement and the Paying Agent Agreement (as defined below) and the consummation of the transactions contemplated in this Agreement and the Pricing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clauses (A) and (C) for such defaults, breaches or violations that would not, individually or in the aggregate, reasonably be expected to have a Material Adverse Effect; and no consent, approval, authorization, order, registration or qualification of or with any such court or governmental agency or regulatory body is required for the issue of the Shares to be sold by the Company and the sale of the Shares or the consummation by the Company of the transactions contemplated by this Agreement, except such as have been obtained under the Act, the approval by the Financial Industry Regulatory Authority (“FINRA”) of the underwriting terms and arrangements, the approval for listing of the Shares on the Nasdaq Global Select Market (the “Exchange”) and such consents, approvals, authorizations, orders, registrations or qualifications as may be required under state securities or Blue Sky laws in connection with the purchase and distribution of the Shares by the Underwriters;</w:t>
      </w:r>
    </w:p>
    <w:p>
      <w:pPr>
        <w:spacing w:after="0" w:line="220" w:lineRule="exact"/>
        <w:rPr>
          <w:rFonts w:ascii="Arial" w:cs="Arial" w:eastAsia="Arial" w:hAnsi="Arial"/>
          <w:sz w:val="14"/>
          <w:szCs w:val="14"/>
          <w:color w:val="auto"/>
        </w:rPr>
      </w:pPr>
    </w:p>
    <w:p>
      <w:pPr>
        <w:jc w:val="both"/>
        <w:ind w:left="-340" w:firstLine="350"/>
        <w:spacing w:after="0" w:line="265" w:lineRule="auto"/>
        <w:tabs>
          <w:tab w:leader="none" w:pos="465" w:val="left"/>
        </w:tabs>
        <w:numPr>
          <w:ilvl w:val="0"/>
          <w:numId w:val="208"/>
        </w:numPr>
        <w:rPr>
          <w:rFonts w:ascii="Arial" w:cs="Arial" w:eastAsia="Arial" w:hAnsi="Arial"/>
          <w:sz w:val="14"/>
          <w:szCs w:val="14"/>
          <w:color w:val="auto"/>
        </w:rPr>
      </w:pPr>
      <w:r>
        <w:rPr>
          <w:rFonts w:ascii="Arial" w:cs="Arial" w:eastAsia="Arial" w:hAnsi="Arial"/>
          <w:sz w:val="14"/>
          <w:szCs w:val="14"/>
          <w:color w:val="auto"/>
        </w:rPr>
        <w:t>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spacing w:after="0" w:line="43" w:lineRule="exact"/>
        <w:rPr>
          <w:rFonts w:ascii="Arial" w:cs="Arial" w:eastAsia="Arial" w:hAnsi="Arial"/>
          <w:sz w:val="14"/>
          <w:szCs w:val="14"/>
          <w:color w:val="auto"/>
        </w:rPr>
      </w:pPr>
    </w:p>
    <w:p>
      <w:pPr>
        <w:ind w:left="-340" w:right="20" w:firstLine="350"/>
        <w:spacing w:after="0" w:line="299" w:lineRule="auto"/>
        <w:tabs>
          <w:tab w:leader="none" w:pos="460" w:val="left"/>
        </w:tabs>
        <w:numPr>
          <w:ilvl w:val="0"/>
          <w:numId w:val="208"/>
        </w:numPr>
        <w:rPr>
          <w:rFonts w:ascii="Arial" w:cs="Arial" w:eastAsia="Arial" w:hAnsi="Arial"/>
          <w:sz w:val="14"/>
          <w:szCs w:val="14"/>
          <w:color w:val="auto"/>
        </w:rPr>
      </w:pPr>
      <w:r>
        <w:rPr>
          <w:rFonts w:ascii="Arial" w:cs="Arial" w:eastAsia="Arial" w:hAnsi="Arial"/>
          <w:sz w:val="14"/>
          <w:szCs w:val="14"/>
          <w:color w:val="auto"/>
        </w:rPr>
        <w:t>The statements set forth in the Pricing Prospectus and the Prospectus under the caption “Description of Capital Stock”, insofar as they purport to constitute a summary of the terms of the Stock, under the caption “Material U.S. Federal Income Tax</w:t>
      </w:r>
    </w:p>
    <w:p>
      <w:pPr>
        <w:sectPr>
          <w:pgSz w:w="11900" w:h="16840" w:orient="portrait"/>
          <w:cols w:equalWidth="0" w:num="1">
            <w:col w:w="9820"/>
          </w:cols>
          <w:pgMar w:left="1440" w:top="1440" w:right="640" w:bottom="1440" w:gutter="0" w:footer="0" w:header="0"/>
        </w:sectPr>
      </w:pPr>
    </w:p>
    <w:bookmarkStart w:id="223" w:name="page224"/>
    <w:bookmarkEnd w:id="223"/>
    <w:p>
      <w:pPr>
        <w:spacing w:after="0" w:line="3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Consequences to Non-U.S. Holders of Our Class A Common Stock,” and under the caption “Underwriting,” insofar as they purport to describe the provisions of the laws (other than laws, rules and regulations relating to selling restrictions in various foreign jurisdictions) and documents referred to therein, are accurate, complete and fair in all material respects; provided, however, that this representation and warranty shall not apply to any statements or omissions made in reliance upon and in conformity with the Underwriter Information or the Selling Stockholder Information;</w:t>
      </w:r>
    </w:p>
    <w:p>
      <w:pPr>
        <w:spacing w:after="0" w:line="38" w:lineRule="exact"/>
        <w:rPr>
          <w:sz w:val="20"/>
          <w:szCs w:val="20"/>
          <w:color w:val="auto"/>
        </w:rPr>
      </w:pPr>
    </w:p>
    <w:p>
      <w:pPr>
        <w:jc w:val="both"/>
        <w:ind w:right="20" w:firstLine="350"/>
        <w:spacing w:after="0" w:line="262" w:lineRule="auto"/>
        <w:tabs>
          <w:tab w:leader="none" w:pos="827" w:val="left"/>
        </w:tabs>
        <w:numPr>
          <w:ilvl w:val="0"/>
          <w:numId w:val="209"/>
        </w:numPr>
        <w:rPr>
          <w:rFonts w:ascii="Arial" w:cs="Arial" w:eastAsia="Arial" w:hAnsi="Arial"/>
          <w:sz w:val="14"/>
          <w:szCs w:val="14"/>
          <w:color w:val="auto"/>
        </w:rPr>
      </w:pPr>
      <w:r>
        <w:rPr>
          <w:rFonts w:ascii="Arial" w:cs="Arial" w:eastAsia="Arial" w:hAnsi="Arial"/>
          <w:sz w:val="14"/>
          <w:szCs w:val="14"/>
          <w:color w:val="auto"/>
        </w:rPr>
        <w:t>Other than as set forth in the Pricing Prospectus, there are no legal, governmental or regulatory investigations, actions, demands, claims, suits, arbitrations, inquiries or proceedings (“Actions”) pending to which the Company or any of its subsidiaries or, to the Company’s knowledge, any officer or director of the Company, is a party or of which any property of the Company or any of its subsidiaries or, to the Company’s knowledge, any officer or director of the Company, is the subject which, if determined adversely to the Company or any of its subsidiaries (or such officer or director), would, individually or in the aggregate, reasonably be expected to have a Material Adverse Effect; and, to the Company’s knowledge, no such proceedings are threatened or contemplated by governmental authorities or others; there are no current or pending Actions that are required under the Act to be described in the Registration Statement or the Pricing Prospectus that are not so described therein; and there are no statutes, regulations or contracts or other documents that are required under the Act to be filed as exhibits to the Registration Statement or described in the Registration Statement, the Pricing Prospectus that are not so filed as exhibits to the Registration Statement or described in the Registration Statement and the Pricing Prospectus;</w:t>
      </w:r>
    </w:p>
    <w:p>
      <w:pPr>
        <w:spacing w:after="0" w:line="44" w:lineRule="exact"/>
        <w:rPr>
          <w:rFonts w:ascii="Arial" w:cs="Arial" w:eastAsia="Arial" w:hAnsi="Arial"/>
          <w:sz w:val="14"/>
          <w:szCs w:val="14"/>
          <w:color w:val="auto"/>
        </w:rPr>
      </w:pPr>
    </w:p>
    <w:p>
      <w:pPr>
        <w:ind w:right="20" w:firstLine="350"/>
        <w:spacing w:after="0" w:line="299" w:lineRule="auto"/>
        <w:tabs>
          <w:tab w:leader="none" w:pos="770" w:val="left"/>
        </w:tabs>
        <w:numPr>
          <w:ilvl w:val="0"/>
          <w:numId w:val="209"/>
        </w:numPr>
        <w:rPr>
          <w:rFonts w:ascii="Arial" w:cs="Arial" w:eastAsia="Arial" w:hAnsi="Arial"/>
          <w:sz w:val="14"/>
          <w:szCs w:val="14"/>
          <w:color w:val="auto"/>
        </w:rPr>
      </w:pPr>
      <w:r>
        <w:rPr>
          <w:rFonts w:ascii="Arial" w:cs="Arial" w:eastAsia="Arial" w:hAnsi="Arial"/>
          <w:sz w:val="14"/>
          <w:szCs w:val="14"/>
          <w:color w:val="auto"/>
        </w:rPr>
        <w:t>The Company is not and, immediately after giving effect to the offering and sale of the Shares and the application of the proceeds thereof, will not be an “investment company,” as such term is defined in the Investment Company Act of 1940, as amended (the “Investment Company Act”);</w:t>
      </w:r>
    </w:p>
    <w:p>
      <w:pPr>
        <w:spacing w:after="0" w:line="19" w:lineRule="exact"/>
        <w:rPr>
          <w:rFonts w:ascii="Arial" w:cs="Arial" w:eastAsia="Arial" w:hAnsi="Arial"/>
          <w:sz w:val="14"/>
          <w:szCs w:val="14"/>
          <w:color w:val="auto"/>
        </w:rPr>
      </w:pPr>
    </w:p>
    <w:p>
      <w:pPr>
        <w:jc w:val="both"/>
        <w:ind w:right="20" w:firstLine="350"/>
        <w:spacing w:after="0" w:line="278" w:lineRule="auto"/>
        <w:tabs>
          <w:tab w:leader="none" w:pos="782" w:val="left"/>
        </w:tabs>
        <w:numPr>
          <w:ilvl w:val="0"/>
          <w:numId w:val="209"/>
        </w:numPr>
        <w:rPr>
          <w:rFonts w:ascii="Arial" w:cs="Arial" w:eastAsia="Arial" w:hAnsi="Arial"/>
          <w:sz w:val="14"/>
          <w:szCs w:val="14"/>
          <w:color w:val="auto"/>
        </w:rPr>
      </w:pPr>
      <w:r>
        <w:rPr>
          <w:rFonts w:ascii="Arial" w:cs="Arial" w:eastAsia="Arial" w:hAnsi="Arial"/>
          <w:sz w:val="14"/>
          <w:szCs w:val="14"/>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under Rule 405 under the Act;</w:t>
      </w:r>
    </w:p>
    <w:p>
      <w:pPr>
        <w:spacing w:after="0" w:line="33" w:lineRule="exact"/>
        <w:rPr>
          <w:rFonts w:ascii="Arial" w:cs="Arial" w:eastAsia="Arial" w:hAnsi="Arial"/>
          <w:sz w:val="14"/>
          <w:szCs w:val="14"/>
          <w:color w:val="auto"/>
        </w:rPr>
      </w:pPr>
    </w:p>
    <w:p>
      <w:pPr>
        <w:ind w:right="20" w:firstLine="350"/>
        <w:spacing w:after="0" w:line="299" w:lineRule="auto"/>
        <w:tabs>
          <w:tab w:leader="none" w:pos="844" w:val="left"/>
        </w:tabs>
        <w:numPr>
          <w:ilvl w:val="0"/>
          <w:numId w:val="209"/>
        </w:numPr>
        <w:rPr>
          <w:rFonts w:ascii="Arial" w:cs="Arial" w:eastAsia="Arial" w:hAnsi="Arial"/>
          <w:sz w:val="14"/>
          <w:szCs w:val="14"/>
          <w:color w:val="auto"/>
        </w:rPr>
      </w:pPr>
      <w:r>
        <w:rPr>
          <w:rFonts w:ascii="Arial" w:cs="Arial" w:eastAsia="Arial" w:hAnsi="Arial"/>
          <w:sz w:val="14"/>
          <w:szCs w:val="14"/>
          <w:color w:val="auto"/>
        </w:rPr>
        <w:t>PricewaterhouseCoopers LLP, which has certified certain financial statements of the Company and its subsidiaries, is an independent registered public accounting firm as required by the Act and the rules and regulations of the Commission thereunder;</w:t>
      </w:r>
    </w:p>
    <w:p>
      <w:pPr>
        <w:spacing w:after="0" w:line="19" w:lineRule="exact"/>
        <w:rPr>
          <w:rFonts w:ascii="Arial" w:cs="Arial" w:eastAsia="Arial" w:hAnsi="Arial"/>
          <w:sz w:val="14"/>
          <w:szCs w:val="14"/>
          <w:color w:val="auto"/>
        </w:rPr>
      </w:pPr>
    </w:p>
    <w:p>
      <w:pPr>
        <w:jc w:val="both"/>
        <w:ind w:firstLine="350"/>
        <w:spacing w:after="0" w:line="263" w:lineRule="auto"/>
        <w:tabs>
          <w:tab w:leader="none" w:pos="922" w:val="left"/>
        </w:tabs>
        <w:numPr>
          <w:ilvl w:val="0"/>
          <w:numId w:val="209"/>
        </w:numPr>
        <w:rPr>
          <w:rFonts w:ascii="Arial" w:cs="Arial" w:eastAsia="Arial" w:hAnsi="Arial"/>
          <w:sz w:val="14"/>
          <w:szCs w:val="14"/>
          <w:color w:val="auto"/>
        </w:rPr>
      </w:pPr>
      <w:r>
        <w:rPr>
          <w:rFonts w:ascii="Arial" w:cs="Arial" w:eastAsia="Arial" w:hAnsi="Arial"/>
          <w:sz w:val="14"/>
          <w:szCs w:val="14"/>
          <w:color w:val="auto"/>
        </w:rPr>
        <w:t>The Company maintains a system of internal control over financial reporting (as such term is defined in Rule 13a-15(f) under the Securities Exchange Act of 1934, as amended (the “Exchange Act”)) that (i) complies with the applicable requirements of the Exchange Act,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U.S. generally accepted accounting principles (“GAAP”) and (iii) is designed to provide reasonable assurance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w:t>
      </w:r>
    </w:p>
    <w:p>
      <w:pPr>
        <w:sectPr>
          <w:pgSz w:w="11900" w:h="16840" w:orient="portrait"/>
          <w:cols w:equalWidth="0" w:num="1">
            <w:col w:w="10160"/>
          </w:cols>
          <w:pgMar w:left="1100" w:top="1440" w:right="640" w:bottom="1440" w:gutter="0" w:footer="0" w:header="0"/>
        </w:sectPr>
      </w:pPr>
    </w:p>
    <w:bookmarkStart w:id="224" w:name="page225"/>
    <w:bookmarkEnd w:id="224"/>
    <w:p>
      <w:pPr>
        <w:spacing w:after="0" w:line="39" w:lineRule="exact"/>
        <w:rPr>
          <w:sz w:val="20"/>
          <w:szCs w:val="20"/>
          <w:color w:val="auto"/>
        </w:rPr>
      </w:pPr>
    </w:p>
    <w:p>
      <w:pPr>
        <w:jc w:val="both"/>
        <w:ind w:left="-6" w:right="20" w:firstLine="6"/>
        <w:spacing w:after="0" w:line="267" w:lineRule="auto"/>
        <w:tabs>
          <w:tab w:leader="none" w:pos="254" w:val="left"/>
        </w:tabs>
        <w:numPr>
          <w:ilvl w:val="0"/>
          <w:numId w:val="210"/>
        </w:numPr>
        <w:rPr>
          <w:rFonts w:ascii="Arial" w:cs="Arial" w:eastAsia="Arial" w:hAnsi="Arial"/>
          <w:sz w:val="14"/>
          <w:szCs w:val="14"/>
          <w:color w:val="auto"/>
        </w:rPr>
      </w:pPr>
      <w:r>
        <w:rPr>
          <w:rFonts w:ascii="Arial" w:cs="Arial" w:eastAsia="Arial" w:hAnsi="Arial"/>
          <w:sz w:val="14"/>
          <w:szCs w:val="14"/>
          <w:color w:val="auto"/>
        </w:rPr>
        <w:t>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 provided, however, that this subsection does not require that the Company comply with Section 404 of the Sarbanes-Oxley Act of 2002, as amended and the rules and regulations promulgated in connection therewith (the “Sarbanes-Oxley Act”) as of an earlier date than it would otherwise be required to so comply under applicable law;</w:t>
      </w:r>
    </w:p>
    <w:p>
      <w:pPr>
        <w:spacing w:after="0" w:line="42" w:lineRule="exact"/>
        <w:rPr>
          <w:rFonts w:ascii="Arial" w:cs="Arial" w:eastAsia="Arial" w:hAnsi="Arial"/>
          <w:sz w:val="14"/>
          <w:szCs w:val="14"/>
          <w:color w:val="auto"/>
        </w:rPr>
      </w:pPr>
    </w:p>
    <w:p>
      <w:pPr>
        <w:jc w:val="both"/>
        <w:ind w:left="-6" w:firstLine="350"/>
        <w:spacing w:after="0" w:line="278" w:lineRule="auto"/>
        <w:tabs>
          <w:tab w:leader="none" w:pos="814" w:val="left"/>
        </w:tabs>
        <w:numPr>
          <w:ilvl w:val="1"/>
          <w:numId w:val="210"/>
        </w:numPr>
        <w:rPr>
          <w:rFonts w:ascii="Arial" w:cs="Arial" w:eastAsia="Arial" w:hAnsi="Arial"/>
          <w:sz w:val="14"/>
          <w:szCs w:val="14"/>
          <w:color w:val="auto"/>
        </w:rPr>
      </w:pPr>
      <w:r>
        <w:rPr>
          <w:rFonts w:ascii="Arial" w:cs="Arial" w:eastAsia="Arial" w:hAnsi="Arial"/>
          <w:sz w:val="14"/>
          <w:szCs w:val="14"/>
          <w:color w:val="auto"/>
        </w:rPr>
        <w:t>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33" w:lineRule="exact"/>
        <w:rPr>
          <w:rFonts w:ascii="Arial" w:cs="Arial" w:eastAsia="Arial" w:hAnsi="Arial"/>
          <w:sz w:val="14"/>
          <w:szCs w:val="14"/>
          <w:color w:val="auto"/>
        </w:rPr>
      </w:pPr>
    </w:p>
    <w:p>
      <w:pPr>
        <w:jc w:val="both"/>
        <w:ind w:left="-6" w:right="20" w:firstLine="350"/>
        <w:spacing w:after="0" w:line="271" w:lineRule="auto"/>
        <w:tabs>
          <w:tab w:leader="none" w:pos="767" w:val="left"/>
        </w:tabs>
        <w:numPr>
          <w:ilvl w:val="1"/>
          <w:numId w:val="210"/>
        </w:numPr>
        <w:rPr>
          <w:rFonts w:ascii="Arial" w:cs="Arial" w:eastAsia="Arial" w:hAnsi="Arial"/>
          <w:sz w:val="14"/>
          <w:szCs w:val="14"/>
          <w:color w:val="auto"/>
        </w:rPr>
      </w:pPr>
      <w:r>
        <w:rPr>
          <w:rFonts w:ascii="Arial" w:cs="Arial" w:eastAsia="Arial" w:hAnsi="Arial"/>
          <w:sz w:val="14"/>
          <w:szCs w:val="14"/>
          <w:color w:val="auto"/>
        </w:rPr>
        <w:t>The Company maintains disclosure controls and procedures (as such term is defined in Rule 13a-15(e) under the Exchange Act) that comply with the applicable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38" w:lineRule="exact"/>
        <w:rPr>
          <w:rFonts w:ascii="Arial" w:cs="Arial" w:eastAsia="Arial" w:hAnsi="Arial"/>
          <w:sz w:val="14"/>
          <w:szCs w:val="14"/>
          <w:color w:val="auto"/>
        </w:rPr>
      </w:pPr>
    </w:p>
    <w:p>
      <w:pPr>
        <w:ind w:left="774" w:hanging="430"/>
        <w:spacing w:after="0"/>
        <w:tabs>
          <w:tab w:leader="none" w:pos="774" w:val="left"/>
        </w:tabs>
        <w:numPr>
          <w:ilvl w:val="1"/>
          <w:numId w:val="210"/>
        </w:numPr>
        <w:rPr>
          <w:rFonts w:ascii="Arial" w:cs="Arial" w:eastAsia="Arial" w:hAnsi="Arial"/>
          <w:sz w:val="14"/>
          <w:szCs w:val="14"/>
          <w:color w:val="auto"/>
        </w:rPr>
      </w:pPr>
      <w:r>
        <w:rPr>
          <w:rFonts w:ascii="Arial" w:cs="Arial" w:eastAsia="Arial" w:hAnsi="Arial"/>
          <w:sz w:val="14"/>
          <w:szCs w:val="14"/>
          <w:color w:val="auto"/>
        </w:rPr>
        <w:t>This Agreement and the Paying Agent Agreement have been duly authorized, executed and delivered by the Company;</w:t>
      </w:r>
    </w:p>
    <w:p>
      <w:pPr>
        <w:spacing w:after="0" w:line="87" w:lineRule="exact"/>
        <w:rPr>
          <w:rFonts w:ascii="Arial" w:cs="Arial" w:eastAsia="Arial" w:hAnsi="Arial"/>
          <w:sz w:val="14"/>
          <w:szCs w:val="14"/>
          <w:color w:val="auto"/>
        </w:rPr>
      </w:pPr>
    </w:p>
    <w:p>
      <w:pPr>
        <w:jc w:val="both"/>
        <w:ind w:left="-6" w:right="20" w:firstLine="350"/>
        <w:spacing w:after="0" w:line="271" w:lineRule="auto"/>
        <w:tabs>
          <w:tab w:leader="none" w:pos="683" w:val="left"/>
        </w:tabs>
        <w:numPr>
          <w:ilvl w:val="1"/>
          <w:numId w:val="210"/>
        </w:numPr>
        <w:rPr>
          <w:rFonts w:ascii="Arial" w:cs="Arial" w:eastAsia="Arial" w:hAnsi="Arial"/>
          <w:sz w:val="14"/>
          <w:szCs w:val="14"/>
          <w:color w:val="auto"/>
        </w:rPr>
      </w:pPr>
      <w:r>
        <w:rPr>
          <w:rFonts w:ascii="Arial" w:cs="Arial" w:eastAsia="Arial" w:hAnsi="Arial"/>
          <w:sz w:val="14"/>
          <w:szCs w:val="14"/>
          <w:color w:val="auto"/>
        </w:rPr>
        <w:t>Except as have been waived or complied with in connection with the issuance and sale of the Shares contemplated hereby and as described in each of the Registration Statement, the Time of Sale Prospectus and the Prospectus, there are no contracts, agreements or understandings between the Company and any person granting such person the right to require the Company to file a registration statement under the Act with respect to any securities of the Company or to require the Company to include such securities with the Shares registered pursuant to the Registration Statement;</w:t>
      </w:r>
    </w:p>
    <w:p>
      <w:pPr>
        <w:spacing w:after="0" w:line="38" w:lineRule="exact"/>
        <w:rPr>
          <w:rFonts w:ascii="Arial" w:cs="Arial" w:eastAsia="Arial" w:hAnsi="Arial"/>
          <w:sz w:val="14"/>
          <w:szCs w:val="14"/>
          <w:color w:val="auto"/>
        </w:rPr>
      </w:pPr>
    </w:p>
    <w:p>
      <w:pPr>
        <w:jc w:val="both"/>
        <w:ind w:left="-6" w:firstLine="350"/>
        <w:spacing w:after="0" w:line="261" w:lineRule="auto"/>
        <w:tabs>
          <w:tab w:leader="none" w:pos="723" w:val="left"/>
        </w:tabs>
        <w:numPr>
          <w:ilvl w:val="1"/>
          <w:numId w:val="210"/>
        </w:numPr>
        <w:rPr>
          <w:rFonts w:ascii="Arial" w:cs="Arial" w:eastAsia="Arial" w:hAnsi="Arial"/>
          <w:sz w:val="14"/>
          <w:szCs w:val="14"/>
          <w:color w:val="auto"/>
        </w:rPr>
      </w:pPr>
      <w:r>
        <w:rPr>
          <w:rFonts w:ascii="Arial" w:cs="Arial" w:eastAsia="Arial" w:hAnsi="Arial"/>
          <w:sz w:val="14"/>
          <w:szCs w:val="14"/>
          <w:color w:val="auto"/>
        </w:rPr>
        <w:t>Neither the Company nor any of its subsidiaries, nor any director or officer of the Company or any of its subsidiaries, nor, to the knowledge of the Company, any employee, agent, affiliate, representative or other person associated with or acting on behalf of the Company or any of its subsidiaries or affiliates has (i) 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Foreign Corrupt Practices Act of 1977, as amended, or the rules and regulations thereunder, the Bribery Act 2010 of the United Kingdom or any other applicable anti-corruption, anti-bribery or related law, statute or regulation (collectively, “Anti-Corruption Laws”); the Company and each of its subsidiaries have conducted their businesses in compliance with Anti-Corruption Laws and have instituted and maintained and will continue to maintain policies and procedures reasonably designed to promote and achieve compliance with such laws and with the representations and warranties contained herein; neither the Company nor any of its subsidiaries will use, directly or indirectly, the proceeds of the offering in furtherance of an offer, payment, promise to pay, or authorization of the payment or giving of money, or anything else of value, to any</w:t>
      </w:r>
    </w:p>
    <w:p>
      <w:pPr>
        <w:sectPr>
          <w:pgSz w:w="11900" w:h="16840" w:orient="portrait"/>
          <w:cols w:equalWidth="0" w:num="1">
            <w:col w:w="10154"/>
          </w:cols>
          <w:pgMar w:left="1106" w:top="1440" w:right="640" w:bottom="1440" w:gutter="0" w:footer="0" w:header="0"/>
        </w:sectPr>
      </w:pPr>
    </w:p>
    <w:bookmarkStart w:id="225" w:name="page226"/>
    <w:bookmarkEnd w:id="225"/>
    <w:p>
      <w:pPr>
        <w:spacing w:after="0" w:line="3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person in violation of Anti-Corruption Laws; no action, suit, proceeding or investigation by or before any court or governmental agency, authority or body or any arbitrator involving the Company or any of its subsidiaries, directors or officers with respect to the Anti-Corruption Laws is pending or, to the knowledge of the Company, threatened;</w:t>
      </w:r>
    </w:p>
    <w:p>
      <w:pPr>
        <w:spacing w:after="0" w:line="34" w:lineRule="exact"/>
        <w:rPr>
          <w:sz w:val="20"/>
          <w:szCs w:val="20"/>
          <w:color w:val="auto"/>
        </w:rPr>
      </w:pPr>
    </w:p>
    <w:p>
      <w:pPr>
        <w:jc w:val="both"/>
        <w:ind w:firstLine="350"/>
        <w:spacing w:after="0" w:line="264" w:lineRule="auto"/>
        <w:tabs>
          <w:tab w:leader="none" w:pos="74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the rules and regulations thereunder and any related or similar rules, regulation or guidelines issued, administered or enforced by any governmental agency (collectively, the “Money Laundering Laws”) and no action, suit or proceeding or investigation by or before any court or governmental agency, authority or body or any arbitrator involving the Company or any of its subsidiaries with respect to the Money Laundering Laws is pending or, to the knowledge of the Company, threatened;</w:t>
      </w:r>
    </w:p>
    <w:p>
      <w:pPr>
        <w:spacing w:after="0" w:line="219" w:lineRule="exact"/>
        <w:rPr>
          <w:rFonts w:ascii="Arial" w:cs="Arial" w:eastAsia="Arial" w:hAnsi="Arial"/>
          <w:sz w:val="14"/>
          <w:szCs w:val="14"/>
          <w:color w:val="auto"/>
        </w:rPr>
      </w:pPr>
    </w:p>
    <w:p>
      <w:pPr>
        <w:jc w:val="both"/>
        <w:ind w:firstLine="350"/>
        <w:spacing w:after="0" w:line="260" w:lineRule="auto"/>
        <w:tabs>
          <w:tab w:leader="none" w:pos="706" w:val="left"/>
        </w:tabs>
        <w:numPr>
          <w:ilvl w:val="0"/>
          <w:numId w:val="211"/>
        </w:numPr>
        <w:rPr>
          <w:rFonts w:ascii="Arial" w:cs="Arial" w:eastAsia="Arial" w:hAnsi="Arial"/>
          <w:sz w:val="14"/>
          <w:szCs w:val="14"/>
          <w:color w:val="auto"/>
        </w:rPr>
      </w:pPr>
      <w:r>
        <w:rPr>
          <w:rFonts w:ascii="Arial" w:cs="Arial" w:eastAsia="Arial" w:hAnsi="Arial"/>
          <w:sz w:val="14"/>
          <w:szCs w:val="14"/>
          <w:color w:val="auto"/>
        </w:rPr>
        <w:t>Neither the Company nor any of its subsidiaries, nor any director or officer of the Company or any of its subsidiaries, nor, to the knowledge of the Company, any employee, agent, affiliate or other person associated with or acting on behalf of the Company or any of its subsidiaries is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His Majesty’s Treasury, the United Nations Security Council or other relevant sanctions authority (collectively, “Sanctions”), (ii) located, organized or resident in a country or territory that is the subject or target of comprehensive Sanctions (a “Sanctioned Jurisdiction”),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of territory, that, at the time of such funding or facilitation, is the subject or the target of Sanctions prohibiting such funding or facilitation in violation of Sanctions (ii) in any other manner that will result in a violation by any person (including any person participating in the transaction, whether as underwriter, advisor, investor or otherwise) of Sanctions; neither the Company nor any of its subsidiaries is engaged in, or has, at any time since April 24, 2019, engaged in, any dealings or transactions with or involving any individual or entity that was or is, as applicable, at the time of such dealing or transaction, the subject or target of Sanctions or with any Sanctioned Jurisdiction, in violation of Sanctions; the Company and its subsidiaries have instituted, and maintain, policies and procedures designed to promote and achieve continued compliance with Sanctions;</w:t>
      </w:r>
    </w:p>
    <w:p>
      <w:pPr>
        <w:spacing w:after="0" w:line="46" w:lineRule="exact"/>
        <w:rPr>
          <w:rFonts w:ascii="Arial" w:cs="Arial" w:eastAsia="Arial" w:hAnsi="Arial"/>
          <w:sz w:val="14"/>
          <w:szCs w:val="14"/>
          <w:color w:val="auto"/>
        </w:rPr>
      </w:pPr>
    </w:p>
    <w:p>
      <w:pPr>
        <w:jc w:val="both"/>
        <w:ind w:firstLine="350"/>
        <w:spacing w:after="0" w:line="271" w:lineRule="auto"/>
        <w:tabs>
          <w:tab w:leader="none" w:pos="847" w:val="left"/>
        </w:tabs>
        <w:numPr>
          <w:ilvl w:val="0"/>
          <w:numId w:val="211"/>
        </w:numPr>
        <w:rPr>
          <w:rFonts w:ascii="Arial" w:cs="Arial" w:eastAsia="Arial" w:hAnsi="Arial"/>
          <w:sz w:val="14"/>
          <w:szCs w:val="14"/>
          <w:color w:val="auto"/>
        </w:rPr>
      </w:pPr>
      <w:r>
        <w:rPr>
          <w:rFonts w:ascii="Arial" w:cs="Arial" w:eastAsia="Arial" w:hAnsi="Arial"/>
          <w:sz w:val="14"/>
          <w:szCs w:val="14"/>
          <w:color w:val="auto"/>
        </w:rPr>
        <w:t>Neither the Company nor any of its subsidiaries (i) is a “covered foreign person” within the meaning of the final rules implementing Executive Order 14105 of August 9, 2023, Addressing United States Investments in Certain National Security Technologies and Products in Countries of Concern“ (the ”Outbound Order“), promulgated by Office of Investment Security, Department of the Treasury, (ii) is currently engaged in, or has plans to engage in, one or more of the activities identified in the</w:t>
      </w:r>
    </w:p>
    <w:p>
      <w:pPr>
        <w:sectPr>
          <w:pgSz w:w="11900" w:h="16840" w:orient="portrait"/>
          <w:cols w:equalWidth="0" w:num="1">
            <w:col w:w="10140"/>
          </w:cols>
          <w:pgMar w:left="1100" w:top="1440" w:right="660" w:bottom="1440" w:gutter="0" w:footer="0" w:header="0"/>
        </w:sectPr>
      </w:pPr>
    </w:p>
    <w:bookmarkStart w:id="226" w:name="page227"/>
    <w:bookmarkEnd w:id="226"/>
    <w:p>
      <w:pPr>
        <w:spacing w:after="0" w:line="39"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color w:val="auto"/>
        </w:rPr>
        <w:t>definitions of ”notifiable transaction“ or ”prohibited transaction“ under 31 C.F.R. Part 850 and (iii) is currently holding or has plans to hold, directly or indirectly, a board seat on, a voting or equity interest in, or any contractual power to direct or cause the direction of the management or policies of a ”person of a country of concern“ (as identified in the Outbound Order) that engages in one or more activities identified in the definitions of ”notifiable transaction“ or ”prohibited transaction” under 31 C.F.R. Part 850;</w:t>
      </w:r>
    </w:p>
    <w:p>
      <w:pPr>
        <w:spacing w:after="0" w:line="38" w:lineRule="exact"/>
        <w:rPr>
          <w:sz w:val="20"/>
          <w:szCs w:val="20"/>
          <w:color w:val="auto"/>
        </w:rPr>
      </w:pPr>
    </w:p>
    <w:p>
      <w:pPr>
        <w:jc w:val="both"/>
        <w:ind w:firstLine="350"/>
        <w:spacing w:after="0" w:line="261" w:lineRule="auto"/>
        <w:tabs>
          <w:tab w:leader="none" w:pos="759" w:val="left"/>
        </w:tabs>
        <w:numPr>
          <w:ilvl w:val="0"/>
          <w:numId w:val="212"/>
        </w:numPr>
        <w:rPr>
          <w:rFonts w:ascii="Arial" w:cs="Arial" w:eastAsia="Arial" w:hAnsi="Arial"/>
          <w:sz w:val="14"/>
          <w:szCs w:val="14"/>
          <w:color w:val="auto"/>
        </w:rPr>
      </w:pPr>
      <w:r>
        <w:rPr>
          <w:rFonts w:ascii="Arial" w:cs="Arial" w:eastAsia="Arial" w:hAnsi="Arial"/>
          <w:sz w:val="14"/>
          <w:szCs w:val="14"/>
          <w:color w:val="auto"/>
        </w:rPr>
        <w:t>The financial statements included in the Registration Statement, the Pricing Prospectus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GAAP applied on a consistent basis throughout the periods involved. The supporting schedules, if any, present fairly in all material respects in accordance with GAAP the information required to be stated therein.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in all material respects with Regulation G of the Exchange Act and Item 10 of Regulation S-K of the Act, to the extent applicable;</w:t>
      </w:r>
    </w:p>
    <w:p>
      <w:pPr>
        <w:spacing w:after="0" w:line="45" w:lineRule="exact"/>
        <w:rPr>
          <w:rFonts w:ascii="Arial" w:cs="Arial" w:eastAsia="Arial" w:hAnsi="Arial"/>
          <w:sz w:val="14"/>
          <w:szCs w:val="14"/>
          <w:color w:val="auto"/>
        </w:rPr>
      </w:pPr>
    </w:p>
    <w:p>
      <w:pPr>
        <w:jc w:val="both"/>
        <w:ind w:firstLine="350"/>
        <w:spacing w:after="0" w:line="271" w:lineRule="auto"/>
        <w:tabs>
          <w:tab w:leader="none" w:pos="802" w:val="left"/>
        </w:tabs>
        <w:numPr>
          <w:ilvl w:val="0"/>
          <w:numId w:val="212"/>
        </w:numPr>
        <w:rPr>
          <w:rFonts w:ascii="Arial" w:cs="Arial" w:eastAsia="Arial" w:hAnsi="Arial"/>
          <w:sz w:val="14"/>
          <w:szCs w:val="14"/>
          <w:color w:val="auto"/>
        </w:rPr>
      </w:pPr>
      <w:r>
        <w:rPr>
          <w:rFonts w:ascii="Arial" w:cs="Arial" w:eastAsia="Arial" w:hAnsi="Arial"/>
          <w:sz w:val="14"/>
          <w:szCs w:val="14"/>
          <w:color w:val="auto"/>
        </w:rPr>
        <w:t>The Company has not sold or issued any shares of Stock during the six-month period preceding the date of the Prospectus, including any sales pursuant to Rule 144A or Regulation D of the Act, other than (i) shares issued pursuant to employee benefit plans, stock option plans or other employee compensation plans or pursuant to outstanding options, rights or warrants or (ii) as disclosed in the Registration Statement, the Pricing Prospectus and the Prospectus;</w:t>
      </w:r>
    </w:p>
    <w:p>
      <w:pPr>
        <w:spacing w:after="0" w:line="38" w:lineRule="exact"/>
        <w:rPr>
          <w:rFonts w:ascii="Arial" w:cs="Arial" w:eastAsia="Arial" w:hAnsi="Arial"/>
          <w:sz w:val="14"/>
          <w:szCs w:val="14"/>
          <w:color w:val="auto"/>
        </w:rPr>
      </w:pPr>
    </w:p>
    <w:p>
      <w:pPr>
        <w:jc w:val="both"/>
        <w:ind w:right="20" w:firstLine="350"/>
        <w:spacing w:after="0" w:line="262" w:lineRule="auto"/>
        <w:tabs>
          <w:tab w:leader="none" w:pos="729" w:val="left"/>
        </w:tabs>
        <w:numPr>
          <w:ilvl w:val="0"/>
          <w:numId w:val="212"/>
        </w:numPr>
        <w:rPr>
          <w:rFonts w:ascii="Arial" w:cs="Arial" w:eastAsia="Arial" w:hAnsi="Arial"/>
          <w:sz w:val="14"/>
          <w:szCs w:val="14"/>
          <w:color w:val="auto"/>
        </w:rPr>
      </w:pPr>
      <w:r>
        <w:rPr>
          <w:rFonts w:ascii="Arial" w:cs="Arial" w:eastAsia="Arial" w:hAnsi="Arial"/>
          <w:sz w:val="14"/>
          <w:szCs w:val="14"/>
          <w:color w:val="auto"/>
        </w:rPr>
        <w:t>The Company and its subsidiaries have filed all federal, state, local and foreign tax returns required to be filed through the date of this Agreement or have requested extensions thereof (except where the failure to file would not, singly or in the aggregate, reasonably be expected to have a Material Adverse Effect on the Company and its subsidiaries, taken as a whole) and have paid all taxes required to be paid thereon (except for cases in which the failure to file or pay would not, singly or in the aggregate, reasonably be expected to have a Material Adverse Effect on the Company and its subsidiaries, taken as a whole, or, except as currently being contested in good faith and for which reserves required by GAAP have been created in the financial statements of the Company), and no tax deficiency has been determined adversely to the Company or any of its subsidiaries which, singly or in the aggregate, has had (nor does the Company nor any of its subsidiaries have any notice or knowledge of any tax deficiency which could reasonably be expected to be determined adversely to the Company or its subsidiaries and which could reasonably be expected to have) a Material Adverse Effect on the Company and its subsidiaries, taken as a whole. The Company</w:t>
      </w:r>
    </w:p>
    <w:p>
      <w:pPr>
        <w:sectPr>
          <w:pgSz w:w="11900" w:h="16840" w:orient="portrait"/>
          <w:cols w:equalWidth="0" w:num="1">
            <w:col w:w="10160"/>
          </w:cols>
          <w:pgMar w:left="1100" w:top="1440" w:right="640" w:bottom="1440" w:gutter="0" w:footer="0" w:header="0"/>
        </w:sectPr>
      </w:pPr>
    </w:p>
    <w:bookmarkStart w:id="227" w:name="page228"/>
    <w:bookmarkEnd w:id="227"/>
    <w:p>
      <w:pPr>
        <w:spacing w:after="0" w:line="3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and each of its subsidiaries are and have at all times been resident for tax purposes in their jurisdiction of incorporation and are not and have not been treated as resident in any other jurisdiction for any tax purpose (including any double taxation arrangement) and neither the Company nor any of its subsidiaries has received any written claim from any governmental or regulatory authority that the Company or any of its subsidiaries is or may be subject to tax or required to file a tax return in a jurisdiction where it does not file tax returns. At all times since the incorporation of the Company and up to the date hereof, the value of the assets of the Company and of its subsidiaries that were or are located in Israel or owned by an Israeli subsidiary of the Company did not represent the majority of the assets of the Company;</w:t>
      </w:r>
    </w:p>
    <w:p>
      <w:pPr>
        <w:spacing w:after="0" w:line="43" w:lineRule="exact"/>
        <w:rPr>
          <w:sz w:val="20"/>
          <w:szCs w:val="20"/>
          <w:color w:val="auto"/>
        </w:rPr>
      </w:pPr>
    </w:p>
    <w:p>
      <w:pPr>
        <w:jc w:val="both"/>
        <w:ind w:right="20" w:firstLine="350"/>
        <w:spacing w:after="0" w:line="261" w:lineRule="auto"/>
        <w:tabs>
          <w:tab w:leader="none" w:pos="715" w:val="left"/>
        </w:tabs>
        <w:numPr>
          <w:ilvl w:val="0"/>
          <w:numId w:val="213"/>
        </w:numPr>
        <w:rPr>
          <w:rFonts w:ascii="Arial" w:cs="Arial" w:eastAsia="Arial" w:hAnsi="Arial"/>
          <w:sz w:val="14"/>
          <w:szCs w:val="14"/>
          <w:color w:val="auto"/>
        </w:rPr>
      </w:pPr>
      <w:r>
        <w:rPr>
          <w:rFonts w:ascii="Arial" w:cs="Arial" w:eastAsia="Arial" w:hAnsi="Arial"/>
          <w:sz w:val="14"/>
          <w:szCs w:val="14"/>
          <w:color w:val="auto"/>
        </w:rPr>
        <w:t>Except as would not, individually or in the aggregate, reasonably be expected to have a Material Adverse Effect, the Company and each of its subsidiaries: (i) own or otherwise possess (or can acquire on commercially reasonable terms) adequate rights to use all patents, trademarks, rights in service marks, trade names, domain names, copyrights, software, systems and technology, know-how (including trade secrets and other unpatented and/or unpatentable proprietary or confidential information, systems or procedures) and other intellectual property rights (collectively, “Intellectual Property Rights”) necessary for the conduct of their respective businesses as currently conducted, (ii) do not, through the conduct of their respective businesses, infringe or otherwise violate the Intellectual Property Rights of others, and (iii) have not received any written notice of any claim of infringement or other violation of any such Intellectual Property Rights of others. As between the Company and Navan Labs Israel Ltd. (the “Israeli Subsidiary”), the Company is the sole and exclusive owner of all legal and economic rights, title, and interest in any intellectual property developed by, or with the assistance of, the Israeli subsidiary. The Company’s executive officers based in the United States control, direct, and take significant decisions regarding the Company’s intellectual property, including development strategy and plans;</w:t>
      </w:r>
    </w:p>
    <w:p>
      <w:pPr>
        <w:spacing w:after="0" w:line="223" w:lineRule="exact"/>
        <w:rPr>
          <w:rFonts w:ascii="Arial" w:cs="Arial" w:eastAsia="Arial" w:hAnsi="Arial"/>
          <w:sz w:val="14"/>
          <w:szCs w:val="14"/>
          <w:color w:val="auto"/>
        </w:rPr>
      </w:pPr>
    </w:p>
    <w:p>
      <w:pPr>
        <w:jc w:val="both"/>
        <w:ind w:firstLine="350"/>
        <w:spacing w:after="0" w:line="260" w:lineRule="auto"/>
        <w:tabs>
          <w:tab w:leader="none" w:pos="746" w:val="left"/>
        </w:tabs>
        <w:numPr>
          <w:ilvl w:val="0"/>
          <w:numId w:val="213"/>
        </w:numPr>
        <w:rPr>
          <w:rFonts w:ascii="Arial" w:cs="Arial" w:eastAsia="Arial" w:hAnsi="Arial"/>
          <w:sz w:val="14"/>
          <w:szCs w:val="14"/>
          <w:color w:val="auto"/>
        </w:rPr>
      </w:pPr>
      <w:r>
        <w:rPr>
          <w:rFonts w:ascii="Arial" w:cs="Arial" w:eastAsia="Arial" w:hAnsi="Arial"/>
          <w:sz w:val="14"/>
          <w:szCs w:val="14"/>
          <w:color w:val="auto"/>
        </w:rPr>
        <w:t>Except as would not, individually or in the aggregate, reasonably be expected to have a Material Adverse Effect: (i) the information technology assets and equipment, computers, systems, networks, hardware, software, websites, applications and databases used by the Company and its subsidiaries (collectively, “IT Systems”) are, to the Company’s knowledge, adequate for, and operate and perform as required in connection with the operation of the business of the Company and its subsidiaries as currently conducted, free and clear of all bugs, errors, defects, Trojan horses, time bombs, malware and other corruptants; (ii) the Company and its subsidiaries have implemented and maintained commercially reasonable controls, policies, procedures and safeguards designed to protect their material confidential information and the security and integrity of the IT Systems and any data (including all personal, personally identifiable, sensitive, confidential or regulated data (“Personal Data”)) stored, contained or transmitted by the IT Systems or otherwise used in connection with their businesses; (iii) except as described in each of the Registration Statement, the Pricing Prospectus and the Prospectus, there have been no breaches, violations, or outages of, or unauthorized uses, unauthorized disclosures, unauthorized modifications, or unauthorized accesses to, Personal Data or the IT Systems, except for those that have been remedied without material cost or liability to the Company or its subsidiaries or the dutyof the Company or its subsidiaries to notify any other person, nor any incidents under internal review or investigations relating to the same; and (iv) the Company and its subsidiaries are presently in compliance in all material respects with all applicable laws</w:t>
      </w:r>
    </w:p>
    <w:p>
      <w:pPr>
        <w:sectPr>
          <w:pgSz w:w="11900" w:h="16840" w:orient="portrait"/>
          <w:cols w:equalWidth="0" w:num="1">
            <w:col w:w="10160"/>
          </w:cols>
          <w:pgMar w:left="1100" w:top="1440" w:right="640" w:bottom="1440" w:gutter="0" w:footer="0" w:header="0"/>
        </w:sectPr>
      </w:pPr>
    </w:p>
    <w:bookmarkStart w:id="228" w:name="page229"/>
    <w:bookmarkEnd w:id="228"/>
    <w:p>
      <w:pPr>
        <w:spacing w:after="0" w:line="3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or statutes and all judgments, orders, rules and regulations of any court or arbitrator or governmental or regulatory authority, internal policies and contractual obligations relating to the privacy and security of the IT Systems and Personal Data and to the protection of the IT Systems and Personal Data (collectively, the “Company Privacy Commitments”) from unauthorized use, access, disclosure, misappropriation, or modification. Except as would not, individually or in the aggregate, reasonably be expected to have a Material Adverse Effect, neither the Company nor any of its subsidiaries has received or been involved in, and there is no circumstance that would reasonably be expected to give rise to, any legal proceeding, order, notice, communication, warrant, regulatory opinion or audit result or allegation from a governmental entity or any other person (including an end user) alleging non-compliance by the Company or its subsidiaries with a relevant requirement of Company Privacy Commitments;</w:t>
      </w:r>
    </w:p>
    <w:p>
      <w:pPr>
        <w:spacing w:after="0" w:line="47" w:lineRule="exact"/>
        <w:rPr>
          <w:sz w:val="20"/>
          <w:szCs w:val="20"/>
          <w:color w:val="auto"/>
        </w:rPr>
      </w:pPr>
    </w:p>
    <w:p>
      <w:pPr>
        <w:jc w:val="both"/>
        <w:ind w:firstLine="350"/>
        <w:spacing w:after="0" w:line="278" w:lineRule="auto"/>
        <w:tabs>
          <w:tab w:leader="none" w:pos="775" w:val="left"/>
        </w:tabs>
        <w:numPr>
          <w:ilvl w:val="0"/>
          <w:numId w:val="214"/>
        </w:numPr>
        <w:rPr>
          <w:rFonts w:ascii="Arial" w:cs="Arial" w:eastAsia="Arial" w:hAnsi="Arial"/>
          <w:sz w:val="14"/>
          <w:szCs w:val="14"/>
          <w:color w:val="auto"/>
        </w:rPr>
      </w:pPr>
      <w:r>
        <w:rPr>
          <w:rFonts w:ascii="Arial" w:cs="Arial" w:eastAsia="Arial" w:hAnsi="Arial"/>
          <w:sz w:val="14"/>
          <w:szCs w:val="14"/>
          <w:color w:val="auto"/>
        </w:rPr>
        <w:t>No forward-looking statement (within the meaning of Section 27A of the Act and Section 21E of the Exchange Act) included or incorporated by reference in any of the Registration Statement, the Pricing Prospectus or the Prospectus has been made or reaffirmed without a reasonable basis or has been disclosed other than in good faith;</w:t>
      </w:r>
    </w:p>
    <w:p>
      <w:pPr>
        <w:spacing w:after="0" w:line="33" w:lineRule="exact"/>
        <w:rPr>
          <w:rFonts w:ascii="Arial" w:cs="Arial" w:eastAsia="Arial" w:hAnsi="Arial"/>
          <w:sz w:val="14"/>
          <w:szCs w:val="14"/>
          <w:color w:val="auto"/>
        </w:rPr>
      </w:pPr>
    </w:p>
    <w:p>
      <w:pPr>
        <w:jc w:val="both"/>
        <w:ind w:right="20" w:firstLine="350"/>
        <w:spacing w:after="0" w:line="278" w:lineRule="auto"/>
        <w:tabs>
          <w:tab w:leader="none" w:pos="796" w:val="left"/>
        </w:tabs>
        <w:numPr>
          <w:ilvl w:val="0"/>
          <w:numId w:val="214"/>
        </w:numPr>
        <w:rPr>
          <w:rFonts w:ascii="Arial" w:cs="Arial" w:eastAsia="Arial" w:hAnsi="Arial"/>
          <w:sz w:val="14"/>
          <w:szCs w:val="14"/>
          <w:color w:val="auto"/>
        </w:rPr>
      </w:pPr>
      <w:r>
        <w:rPr>
          <w:rFonts w:ascii="Arial" w:cs="Arial" w:eastAsia="Arial" w:hAnsi="Arial"/>
          <w:sz w:val="14"/>
          <w:szCs w:val="14"/>
          <w:color w:val="auto"/>
        </w:rPr>
        <w:t>Nothing has come to the attention of the Company that has caused the Company to believe that the statistical and market-related data included in each of the Registration Statement, the Pricing Prospectus and the Prospectus are not based on or derived from sources that are reliable and accurate in all material respects;</w:t>
      </w:r>
    </w:p>
    <w:p>
      <w:pPr>
        <w:spacing w:after="0" w:line="33" w:lineRule="exact"/>
        <w:rPr>
          <w:rFonts w:ascii="Arial" w:cs="Arial" w:eastAsia="Arial" w:hAnsi="Arial"/>
          <w:sz w:val="14"/>
          <w:szCs w:val="14"/>
          <w:color w:val="auto"/>
        </w:rPr>
      </w:pPr>
    </w:p>
    <w:p>
      <w:pPr>
        <w:ind w:right="20" w:firstLine="350"/>
        <w:spacing w:after="0" w:line="299" w:lineRule="auto"/>
        <w:tabs>
          <w:tab w:leader="none" w:pos="807" w:val="left"/>
        </w:tabs>
        <w:numPr>
          <w:ilvl w:val="0"/>
          <w:numId w:val="214"/>
        </w:numPr>
        <w:rPr>
          <w:rFonts w:ascii="Arial" w:cs="Arial" w:eastAsia="Arial" w:hAnsi="Arial"/>
          <w:sz w:val="14"/>
          <w:szCs w:val="14"/>
          <w:color w:val="auto"/>
        </w:rPr>
      </w:pPr>
      <w:r>
        <w:rPr>
          <w:rFonts w:ascii="Arial" w:cs="Arial" w:eastAsia="Arial" w:hAnsi="Arial"/>
          <w:sz w:val="14"/>
          <w:szCs w:val="14"/>
          <w:color w:val="auto"/>
        </w:rPr>
        <w:t>There is and has been no failure on the part of the Company or any of the Company’s directors or officers, in their capacities as such, to comply with any applicable provision of the Sarbanes-Oxley Act, including Section 402 related to loans;</w:t>
      </w:r>
    </w:p>
    <w:p>
      <w:pPr>
        <w:spacing w:after="0" w:line="19" w:lineRule="exact"/>
        <w:rPr>
          <w:rFonts w:ascii="Arial" w:cs="Arial" w:eastAsia="Arial" w:hAnsi="Arial"/>
          <w:sz w:val="14"/>
          <w:szCs w:val="14"/>
          <w:color w:val="auto"/>
        </w:rPr>
      </w:pPr>
    </w:p>
    <w:p>
      <w:pPr>
        <w:jc w:val="both"/>
        <w:ind w:firstLine="350"/>
        <w:spacing w:after="0" w:line="291" w:lineRule="auto"/>
        <w:tabs>
          <w:tab w:leader="none" w:pos="767" w:val="left"/>
        </w:tabs>
        <w:numPr>
          <w:ilvl w:val="0"/>
          <w:numId w:val="214"/>
        </w:numPr>
        <w:rPr>
          <w:rFonts w:ascii="Arial" w:cs="Arial" w:eastAsia="Arial" w:hAnsi="Arial"/>
          <w:sz w:val="14"/>
          <w:szCs w:val="14"/>
          <w:color w:val="auto"/>
        </w:rPr>
      </w:pPr>
      <w:r>
        <w:rPr>
          <w:rFonts w:ascii="Arial" w:cs="Arial" w:eastAsia="Arial" w:hAnsi="Arial"/>
          <w:sz w:val="14"/>
          <w:szCs w:val="14"/>
          <w:color w:val="auto"/>
        </w:rPr>
        <w:t>Neither the Company nor any of its affiliates has taken or will take, directly or indirectly, any action designed to or that could reasonably be expected to cause or result in the stabilization or manipulation of the price of any security of the Company or any of its subsidiaries in connection with the offering of the Shares;</w:t>
      </w:r>
    </w:p>
    <w:p>
      <w:pPr>
        <w:spacing w:after="0" w:line="202" w:lineRule="exact"/>
        <w:rPr>
          <w:rFonts w:ascii="Arial" w:cs="Arial" w:eastAsia="Arial" w:hAnsi="Arial"/>
          <w:sz w:val="14"/>
          <w:szCs w:val="14"/>
          <w:color w:val="auto"/>
        </w:rPr>
      </w:pPr>
    </w:p>
    <w:p>
      <w:pPr>
        <w:jc w:val="both"/>
        <w:ind w:right="20" w:firstLine="350"/>
        <w:spacing w:after="0" w:line="265" w:lineRule="auto"/>
        <w:tabs>
          <w:tab w:leader="none" w:pos="800" w:val="left"/>
        </w:tabs>
        <w:numPr>
          <w:ilvl w:val="0"/>
          <w:numId w:val="214"/>
        </w:numPr>
        <w:rPr>
          <w:rFonts w:ascii="Arial" w:cs="Arial" w:eastAsia="Arial" w:hAnsi="Arial"/>
          <w:sz w:val="14"/>
          <w:szCs w:val="14"/>
          <w:color w:val="auto"/>
        </w:rPr>
      </w:pPr>
      <w:r>
        <w:rPr>
          <w:rFonts w:ascii="Arial" w:cs="Arial" w:eastAsia="Arial" w:hAnsi="Arial"/>
          <w:sz w:val="14"/>
          <w:szCs w:val="14"/>
          <w:color w:val="auto"/>
        </w:rPr>
        <w:t>The Company and each of its subsidiaries have such permits, licenses, approvals, consents, franchises, certificates of need and other approvals or authorizations of governmental or regulatory authorities (“Permits”) as are necessary under applicable law to own their respective properties and conduct their respective businesses in the manner described in the Registration Statement, the Pricing Prospectus and the Prospectus, except for any of the foregoing that would not reasonably be expected, individually or in the aggregate, to have a Material Adverse Effect. Neither the Company nor any of its subsidiaries has received notice of any proceedings related to the revocation or modification of any such Permits that, individually or in the aggregate, if the subject of an unfavorable decision, ruling or finding, would reasonably be expected to have a Material Adverse Effect;</w:t>
      </w:r>
    </w:p>
    <w:p>
      <w:pPr>
        <w:spacing w:after="0" w:line="43" w:lineRule="exact"/>
        <w:rPr>
          <w:rFonts w:ascii="Arial" w:cs="Arial" w:eastAsia="Arial" w:hAnsi="Arial"/>
          <w:sz w:val="14"/>
          <w:szCs w:val="14"/>
          <w:color w:val="auto"/>
        </w:rPr>
      </w:pPr>
    </w:p>
    <w:p>
      <w:pPr>
        <w:ind w:right="20" w:firstLine="350"/>
        <w:spacing w:after="0" w:line="299" w:lineRule="auto"/>
        <w:tabs>
          <w:tab w:leader="none" w:pos="843" w:val="left"/>
        </w:tabs>
        <w:numPr>
          <w:ilvl w:val="0"/>
          <w:numId w:val="214"/>
        </w:numPr>
        <w:rPr>
          <w:rFonts w:ascii="Arial" w:cs="Arial" w:eastAsia="Arial" w:hAnsi="Arial"/>
          <w:sz w:val="14"/>
          <w:szCs w:val="14"/>
          <w:color w:val="auto"/>
        </w:rPr>
      </w:pPr>
      <w:r>
        <w:rPr>
          <w:rFonts w:ascii="Arial" w:cs="Arial" w:eastAsia="Arial" w:hAnsi="Arial"/>
          <w:sz w:val="14"/>
          <w:szCs w:val="14"/>
          <w:color w:val="auto"/>
        </w:rPr>
        <w:t>The Company and its subsidiaries, taken as a whole, are insured against such losses and risks and in such amounts as are, in the Company’s reasonable judgment, prudent and customary in the businesses in which they are engaged and as required by law;</w:t>
      </w:r>
    </w:p>
    <w:p>
      <w:pPr>
        <w:spacing w:after="0" w:line="19" w:lineRule="exact"/>
        <w:rPr>
          <w:rFonts w:ascii="Arial" w:cs="Arial" w:eastAsia="Arial" w:hAnsi="Arial"/>
          <w:sz w:val="14"/>
          <w:szCs w:val="14"/>
          <w:color w:val="auto"/>
        </w:rPr>
      </w:pPr>
    </w:p>
    <w:p>
      <w:pPr>
        <w:ind w:right="20" w:firstLine="350"/>
        <w:spacing w:after="0" w:line="299" w:lineRule="auto"/>
        <w:tabs>
          <w:tab w:leader="none" w:pos="905" w:val="left"/>
        </w:tabs>
        <w:numPr>
          <w:ilvl w:val="0"/>
          <w:numId w:val="214"/>
        </w:numPr>
        <w:rPr>
          <w:rFonts w:ascii="Arial" w:cs="Arial" w:eastAsia="Arial" w:hAnsi="Arial"/>
          <w:sz w:val="14"/>
          <w:szCs w:val="14"/>
          <w:color w:val="auto"/>
        </w:rPr>
      </w:pPr>
      <w:r>
        <w:rPr>
          <w:rFonts w:ascii="Arial" w:cs="Arial" w:eastAsia="Arial" w:hAnsi="Arial"/>
          <w:sz w:val="14"/>
          <w:szCs w:val="14"/>
          <w:color w:val="auto"/>
        </w:rPr>
        <w:t>From the time of initial confidential submission of a registration statement relating to the Shares with the Commission through the date hereof, the Company has been and is an “emerging growth company” as defined in Section 2(a)(19) of the Act (an “Emerging Growth Company”);</w:t>
      </w:r>
    </w:p>
    <w:p>
      <w:pPr>
        <w:sectPr>
          <w:pgSz w:w="11900" w:h="16840" w:orient="portrait"/>
          <w:cols w:equalWidth="0" w:num="1">
            <w:col w:w="10160"/>
          </w:cols>
          <w:pgMar w:left="1100" w:top="1440" w:right="640" w:bottom="1440" w:gutter="0" w:footer="0" w:header="0"/>
        </w:sectPr>
      </w:pPr>
    </w:p>
    <w:bookmarkStart w:id="229" w:name="page230"/>
    <w:bookmarkEnd w:id="229"/>
    <w:p>
      <w:pPr>
        <w:spacing w:after="0" w:line="39" w:lineRule="exact"/>
        <w:rPr>
          <w:sz w:val="20"/>
          <w:szCs w:val="20"/>
          <w:color w:val="auto"/>
        </w:rPr>
      </w:pPr>
    </w:p>
    <w:p>
      <w:pPr>
        <w:ind w:firstLine="350"/>
        <w:spacing w:after="0" w:line="299" w:lineRule="auto"/>
        <w:tabs>
          <w:tab w:leader="none" w:pos="800" w:val="left"/>
        </w:tabs>
        <w:numPr>
          <w:ilvl w:val="0"/>
          <w:numId w:val="215"/>
        </w:numPr>
        <w:rPr>
          <w:rFonts w:ascii="Arial" w:cs="Arial" w:eastAsia="Arial" w:hAnsi="Arial"/>
          <w:sz w:val="14"/>
          <w:szCs w:val="14"/>
          <w:color w:val="auto"/>
        </w:rPr>
      </w:pPr>
      <w:r>
        <w:rPr>
          <w:rFonts w:ascii="Arial" w:cs="Arial" w:eastAsia="Arial" w:hAnsi="Arial"/>
          <w:sz w:val="14"/>
          <w:szCs w:val="14"/>
          <w:color w:val="auto"/>
        </w:rPr>
        <w:t>Neither the Company nor any of its subsidiaries has issued or guaranteed any debt securities that are rated by any “nationally recognized statistical rating organization”, as that term is defined by the Commission for purposes of Rule 436(g)(2) under the Act;</w:t>
      </w:r>
    </w:p>
    <w:p>
      <w:pPr>
        <w:spacing w:after="0" w:line="20" w:lineRule="exact"/>
        <w:rPr>
          <w:sz w:val="20"/>
          <w:szCs w:val="20"/>
          <w:color w:val="auto"/>
        </w:rPr>
      </w:pPr>
    </w:p>
    <w:p>
      <w:pPr>
        <w:jc w:val="both"/>
        <w:ind w:firstLine="345"/>
        <w:spacing w:after="0" w:line="264" w:lineRule="auto"/>
        <w:rPr>
          <w:sz w:val="20"/>
          <w:szCs w:val="20"/>
          <w:color w:val="auto"/>
        </w:rPr>
      </w:pPr>
      <w:r>
        <w:rPr>
          <w:rFonts w:ascii="Arial" w:cs="Arial" w:eastAsia="Arial" w:hAnsi="Arial"/>
          <w:sz w:val="14"/>
          <w:szCs w:val="14"/>
          <w:color w:val="auto"/>
        </w:rPr>
        <w:t>(xl) No stamp, registration, documentary, capital, issuance, transfer or other similar taxes or duties (“Stamp Taxes”) are payable by or on behalf of the Underwriters in any jurisdiction in which the Company or a Selling Stockholder, as applicable, is organized or incorporated, engaged in business for tax purposes or otherwise resident for tax purposes or has a permanent establishment, or any political subdivision of any of the foregoing having the power to tax (the “Relevant Taxing Jurisdiction”) in connection with (i) the creation, issuance or delivery by the Company of the Shares to be sold by the Company, (ii) the purchase by the Underwriters of the Shares to be sold by the Company in the manner contemplated by this Agreement, (iii) the initial resale and delivery by the Underwriters of the Shares to be sold by the Company in the manner contemplated by this Agreement and the Prospectus, or (iv) the execution and delivery of this Agreement;</w:t>
      </w:r>
    </w:p>
    <w:p>
      <w:pPr>
        <w:spacing w:after="0" w:line="220" w:lineRule="exact"/>
        <w:rPr>
          <w:sz w:val="20"/>
          <w:szCs w:val="20"/>
          <w:color w:val="auto"/>
        </w:rPr>
      </w:pPr>
    </w:p>
    <w:p>
      <w:pPr>
        <w:jc w:val="both"/>
        <w:ind w:right="20" w:firstLine="345"/>
        <w:spacing w:after="0" w:line="299" w:lineRule="auto"/>
        <w:rPr>
          <w:sz w:val="20"/>
          <w:szCs w:val="20"/>
          <w:color w:val="auto"/>
        </w:rPr>
      </w:pPr>
      <w:r>
        <w:rPr>
          <w:rFonts w:ascii="Arial" w:cs="Arial" w:eastAsia="Arial" w:hAnsi="Arial"/>
          <w:sz w:val="14"/>
          <w:szCs w:val="14"/>
          <w:color w:val="auto"/>
        </w:rPr>
        <w:t>(xli) The Company is not, and has not been, a “United States real property holding corporation” (as defined in Section 897(c)(2) of the Internal Revenue Code of 1986, as amended (the “Code”)) during the applicable period specified in Section 897(c)(1)(A)(ii) of the Code;</w:t>
      </w:r>
    </w:p>
    <w:p>
      <w:pPr>
        <w:spacing w:after="0" w:line="20" w:lineRule="exact"/>
        <w:rPr>
          <w:sz w:val="20"/>
          <w:szCs w:val="20"/>
          <w:color w:val="auto"/>
        </w:rPr>
      </w:pPr>
    </w:p>
    <w:p>
      <w:pPr>
        <w:jc w:val="both"/>
        <w:ind w:right="20" w:firstLine="345"/>
        <w:spacing w:after="0" w:line="262" w:lineRule="auto"/>
        <w:rPr>
          <w:sz w:val="20"/>
          <w:szCs w:val="20"/>
          <w:color w:val="auto"/>
        </w:rPr>
      </w:pPr>
      <w:r>
        <w:rPr>
          <w:rFonts w:ascii="Arial" w:cs="Arial" w:eastAsia="Arial" w:hAnsi="Arial"/>
          <w:sz w:val="14"/>
          <w:szCs w:val="14"/>
          <w:color w:val="auto"/>
        </w:rPr>
        <w:t>(xlii) The holders of substantially all shares of Stock that have not delivered a lock-up letter as described in Section 9(k) hereof in the form attached as Annex II (the “Lock-Up Agreement”) to the Underwriters as of the date hereof are bound by market standoﬀ provisions with the Company that impose restrictions on transfers (subject to certain exceptions set forth in such provisions) with respect to such holders’ securities for the entirety of the Lock-Up Period (as defined in the Lock- Up Agreement) without the consent of the Company (“Market Standoﬀ Provisions”) . Each such Market Standoff Provision is enforceable by the Company and is in full force and effect as of the date hereof and shall remain in full force and effect for the entirety of the Lock-Up Period. The holders of securities that are exercisable or convertible into or exchangeable for, or that represent the right to receive, Stock that have not delivered a Lock-Up Agreement to the Underwriters as of the date hereof are either bound by Market Standoff Provisions or required, upon exercise, conversion or exchange of such securities, to become bound by Market Standoff Provisions.</w:t>
      </w:r>
    </w:p>
    <w:p>
      <w:pPr>
        <w:spacing w:after="0" w:line="48" w:lineRule="exact"/>
        <w:rPr>
          <w:sz w:val="20"/>
          <w:szCs w:val="20"/>
          <w:color w:val="auto"/>
        </w:rPr>
      </w:pPr>
    </w:p>
    <w:p>
      <w:pPr>
        <w:ind w:left="340" w:hanging="334"/>
        <w:spacing w:after="0"/>
        <w:tabs>
          <w:tab w:leader="none" w:pos="340" w:val="left"/>
        </w:tabs>
        <w:numPr>
          <w:ilvl w:val="0"/>
          <w:numId w:val="216"/>
        </w:numPr>
        <w:rPr>
          <w:rFonts w:ascii="Arial" w:cs="Arial" w:eastAsia="Arial" w:hAnsi="Arial"/>
          <w:sz w:val="14"/>
          <w:szCs w:val="14"/>
          <w:color w:val="auto"/>
        </w:rPr>
      </w:pPr>
      <w:r>
        <w:rPr>
          <w:rFonts w:ascii="Arial" w:cs="Arial" w:eastAsia="Arial" w:hAnsi="Arial"/>
          <w:sz w:val="14"/>
          <w:szCs w:val="14"/>
          <w:color w:val="auto"/>
        </w:rPr>
        <w:t>Each of the Selling Stockholders severally and not jointly represents and warrants to, and agrees with, each of the Underwriters and the Company that:</w:t>
      </w:r>
    </w:p>
    <w:p>
      <w:pPr>
        <w:spacing w:after="0" w:line="87" w:lineRule="exact"/>
        <w:rPr>
          <w:rFonts w:ascii="Arial" w:cs="Arial" w:eastAsia="Arial" w:hAnsi="Arial"/>
          <w:sz w:val="14"/>
          <w:szCs w:val="14"/>
          <w:color w:val="auto"/>
        </w:rPr>
      </w:pPr>
    </w:p>
    <w:p>
      <w:pPr>
        <w:jc w:val="both"/>
        <w:ind w:firstLine="350"/>
        <w:spacing w:after="0" w:line="263" w:lineRule="auto"/>
        <w:tabs>
          <w:tab w:leader="none" w:pos="664" w:val="left"/>
        </w:tabs>
        <w:numPr>
          <w:ilvl w:val="1"/>
          <w:numId w:val="216"/>
        </w:numPr>
        <w:rPr>
          <w:rFonts w:ascii="Arial" w:cs="Arial" w:eastAsia="Arial" w:hAnsi="Arial"/>
          <w:sz w:val="14"/>
          <w:szCs w:val="14"/>
          <w:color w:val="auto"/>
        </w:rPr>
      </w:pPr>
      <w:r>
        <w:rPr>
          <w:rFonts w:ascii="Arial" w:cs="Arial" w:eastAsia="Arial" w:hAnsi="Arial"/>
          <w:sz w:val="14"/>
          <w:szCs w:val="14"/>
          <w:color w:val="auto"/>
        </w:rPr>
        <w:t>All consents, approvals, authorizations and orders necessary for the execution and delivery by such Selling Stockholder of this Agreement and the Power of Attorney and the Custody Agreement referred to below and, if executed by or on behalf of such Selling Stockholder, the Paying Agent Agreement, and for the sale and delivery of the Shares to be sold by such Selling Stockholder hereunder, have been obtained, except for the registration under the Act of the Shares and such consents, approvals, authorizations and orders as may be required under state or non-US securities or blue sky laws, the rules and regulations of FINRA or the approval for listing on the Exchange or such other approvals as have been or will be made or obtained on or prior to the First Time of Delivery ; and such Selling Stockholder has full right, power and authority to enter into this Agreement, the Power-of-Attorney, the Paying Agent Agreement (if executed by or on behalf of such Selling Stockholder), and the Custody Agreement and</w:t>
      </w:r>
    </w:p>
    <w:p>
      <w:pPr>
        <w:sectPr>
          <w:pgSz w:w="11900" w:h="16840" w:orient="portrait"/>
          <w:cols w:equalWidth="0" w:num="1">
            <w:col w:w="10160"/>
          </w:cols>
          <w:pgMar w:left="1100" w:top="1440" w:right="640" w:bottom="1440" w:gutter="0" w:footer="0" w:header="0"/>
        </w:sectPr>
      </w:pPr>
    </w:p>
    <w:bookmarkStart w:id="230" w:name="page231"/>
    <w:bookmarkEnd w:id="230"/>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to sell, assign, transfer and deliver the Shares to be sold by such Selling Stockholder hereunder;</w:t>
      </w:r>
    </w:p>
    <w:p>
      <w:pPr>
        <w:spacing w:after="0" w:line="88" w:lineRule="exact"/>
        <w:rPr>
          <w:sz w:val="20"/>
          <w:szCs w:val="20"/>
          <w:color w:val="auto"/>
        </w:rPr>
      </w:pPr>
    </w:p>
    <w:p>
      <w:pPr>
        <w:jc w:val="both"/>
        <w:ind w:firstLine="350"/>
        <w:spacing w:after="0" w:line="259" w:lineRule="auto"/>
        <w:tabs>
          <w:tab w:leader="none" w:pos="695" w:val="left"/>
        </w:tabs>
        <w:numPr>
          <w:ilvl w:val="0"/>
          <w:numId w:val="217"/>
        </w:numPr>
        <w:rPr>
          <w:rFonts w:ascii="Arial" w:cs="Arial" w:eastAsia="Arial" w:hAnsi="Arial"/>
          <w:sz w:val="14"/>
          <w:szCs w:val="14"/>
          <w:color w:val="auto"/>
        </w:rPr>
      </w:pPr>
      <w:r>
        <w:rPr>
          <w:rFonts w:ascii="Arial" w:cs="Arial" w:eastAsia="Arial" w:hAnsi="Arial"/>
          <w:sz w:val="14"/>
          <w:szCs w:val="14"/>
          <w:color w:val="auto"/>
        </w:rPr>
        <w:t>The sale of the Shares to be sold by such Selling Stockholder hereunder and the compliance by such Selling Stockholder with this Agreement, the Power of Attorney, the Paying Agent Agreement (if executed by or on behalf of such Selling Stockholder) and the Custody Agreement and the consummation of the transactions herein and therein contemplated will not conflict with or result in a breach or violation of any of the terms or provisions of, or constitute a default under, (a) any indenture, mortgage, deed of trust, loan agreement, lease or other agreement or instrument to which such Selling Stockholder is a party or by which such Selling Stockholder is bound or to which any of the property or assets of such Selling Stockholder is subject, (b) the provisions of the Certificate of Incorporation or by-laws of such Selling Stockholder if such Selling Stockholder is a corporation, the Partnership Agreement of such Selling Stockholder if such Selling Stockholder is a partnership (or similar applicable organizational document) or (c) any statute or any judgment, order, rule or regulation of any court or governmental agency or body having jurisdiction over such Selling Stockholder or any of its subsidiaries or any property or assets of such Selling Stockholder; except, in the case of clauses (a) and (c) for such conflicts, defaults, breaches or violations that would not, individually or in the aggregate, reasonably be expected to materially impact the validity of the Shares or the ability of such Selling Stockholder to perform its obligations under this Agreement; and no consent, approval, authorization, order, registration or qualification of or with any such court or governmental body or agency is required for the performance by such Selling Stockholder of its obligations under this Agreement, the Power of Attorney, the Paying Agent Agreement (if executed by or on behalf of such Selling Stockholder) and the Custody Agreement and the consummation by such Selling Stockholder of the transactions contemplated by this Agreement, the Power of Attorney, the Paying Agent Agreement (if executed by or on behalf of such Selling Stockholder) and the Custody Agreement in connection with the Shares to be sold by such Selling Stockholder hereunder, except the registration under the Act of the Shares and such consents, approvals, authorizations, orders, registrations or qualifications as may be required under state securities or Blue Sky laws or non-US laws, the rules and regulations of FINRA or the listing on the Exchange in connection with the purchase and distribution of the Shares by the Underwriters and such consents, approvals, authorizations, orders, registrations or qualifications that have already been obtained, made or waived in connection with the purchase and distribution of the Shares by the Underwriters;</w:t>
      </w:r>
    </w:p>
    <w:p>
      <w:pPr>
        <w:spacing w:after="0" w:line="221" w:lineRule="exact"/>
        <w:rPr>
          <w:rFonts w:ascii="Arial" w:cs="Arial" w:eastAsia="Arial" w:hAnsi="Arial"/>
          <w:sz w:val="14"/>
          <w:szCs w:val="14"/>
          <w:color w:val="auto"/>
        </w:rPr>
      </w:pPr>
    </w:p>
    <w:p>
      <w:pPr>
        <w:jc w:val="both"/>
        <w:ind w:right="20" w:firstLine="350"/>
        <w:spacing w:after="0" w:line="267" w:lineRule="auto"/>
        <w:tabs>
          <w:tab w:leader="none" w:pos="699" w:val="left"/>
        </w:tabs>
        <w:numPr>
          <w:ilvl w:val="0"/>
          <w:numId w:val="217"/>
        </w:numPr>
        <w:rPr>
          <w:rFonts w:ascii="Arial" w:cs="Arial" w:eastAsia="Arial" w:hAnsi="Arial"/>
          <w:sz w:val="14"/>
          <w:szCs w:val="14"/>
          <w:color w:val="auto"/>
        </w:rPr>
      </w:pPr>
      <w:r>
        <w:rPr>
          <w:rFonts w:ascii="Arial" w:cs="Arial" w:eastAsia="Arial" w:hAnsi="Arial"/>
          <w:sz w:val="14"/>
          <w:szCs w:val="14"/>
          <w:color w:val="auto"/>
        </w:rPr>
        <w:t>Such Selling Stockholder has, and immediately prior to the Time of Delivery (as defined in Section 4 hereof) such Selling Stockholder will have, good and valid title to, or a valid “security entitlement” within the meaning of Section 8-501 of the New York Uniform Commercial Code in respect of, the Shares to be sold by such Selling Stockholder hereunder at such Time of Delivery, free and clear of all liens, encumbrances, equities or claims; and, upon delivery of such Shares and payment therefor pursuant hereto, good and valid title to such Shares, free and clear of all liens, encumbrances, equities or claims, will pass to the several Underwriters;</w:t>
      </w:r>
    </w:p>
    <w:p>
      <w:pPr>
        <w:spacing w:after="0" w:line="42" w:lineRule="exact"/>
        <w:rPr>
          <w:rFonts w:ascii="Arial" w:cs="Arial" w:eastAsia="Arial" w:hAnsi="Arial"/>
          <w:sz w:val="14"/>
          <w:szCs w:val="14"/>
          <w:color w:val="auto"/>
        </w:rPr>
      </w:pPr>
    </w:p>
    <w:p>
      <w:pPr>
        <w:ind w:right="20" w:firstLine="350"/>
        <w:spacing w:after="0" w:line="299" w:lineRule="auto"/>
        <w:tabs>
          <w:tab w:leader="none" w:pos="586" w:val="left"/>
        </w:tabs>
        <w:numPr>
          <w:ilvl w:val="0"/>
          <w:numId w:val="217"/>
        </w:numPr>
        <w:rPr>
          <w:rFonts w:ascii="Arial" w:cs="Arial" w:eastAsia="Arial" w:hAnsi="Arial"/>
          <w:sz w:val="14"/>
          <w:szCs w:val="14"/>
          <w:color w:val="auto"/>
        </w:rPr>
      </w:pPr>
      <w:r>
        <w:rPr>
          <w:rFonts w:ascii="Arial" w:cs="Arial" w:eastAsia="Arial" w:hAnsi="Arial"/>
          <w:sz w:val="14"/>
          <w:szCs w:val="14"/>
          <w:color w:val="auto"/>
        </w:rPr>
        <w:t>If the Shares held by a Selling Stockholder are represented in book entry format, upon payment for the Shares to be sold by such Selling Stockholder, delivery of such Shares, as directed by the Underwriters, to Cede &amp; Co. (“Cede”) or such other</w:t>
      </w:r>
    </w:p>
    <w:p>
      <w:pPr>
        <w:sectPr>
          <w:pgSz w:w="11900" w:h="16840" w:orient="portrait"/>
          <w:cols w:equalWidth="0" w:num="1">
            <w:col w:w="10160"/>
          </w:cols>
          <w:pgMar w:left="1100" w:top="1440" w:right="640" w:bottom="1440" w:gutter="0" w:footer="0" w:header="0"/>
        </w:sectPr>
      </w:pPr>
    </w:p>
    <w:bookmarkStart w:id="231" w:name="page232"/>
    <w:bookmarkEnd w:id="231"/>
    <w:p>
      <w:pPr>
        <w:spacing w:after="0" w:line="3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nominee as may be designated by The Depository Trust Company (“DTC”), registration of such Shares in the name of Cede or such other nominee and the crediting of such Shares on the books of DTC to securities accounts of the Underwriters (A) DTC shall be a “protected purchaser” of such Stock within the meaning of Section 8-303 of the UCC, (B) under Section 8-501 of the UCC, the Underwriters will acquire a valid security entitlement in respect of such Shares, and (C) an action based on an adverse claim to such securities entitlement, whether framed in conversion, replevin, constructive trust, equitable lien or other theory may not be successfully asserted against the Underwriters with respect to such security entitlement. For purposes of this representation, such Selling Stockholder may assume that when such payment, delivery and crediting occur, (x) such Shares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UCC;</w:t>
      </w:r>
    </w:p>
    <w:p>
      <w:pPr>
        <w:spacing w:after="0" w:line="45" w:lineRule="exact"/>
        <w:rPr>
          <w:sz w:val="20"/>
          <w:szCs w:val="20"/>
          <w:color w:val="auto"/>
        </w:rPr>
      </w:pPr>
    </w:p>
    <w:p>
      <w:pPr>
        <w:ind w:firstLine="350"/>
        <w:spacing w:after="0" w:line="299" w:lineRule="auto"/>
        <w:tabs>
          <w:tab w:leader="none" w:pos="802" w:val="left"/>
        </w:tabs>
        <w:numPr>
          <w:ilvl w:val="0"/>
          <w:numId w:val="218"/>
        </w:numPr>
        <w:rPr>
          <w:rFonts w:ascii="Arial" w:cs="Arial" w:eastAsia="Arial" w:hAnsi="Arial"/>
          <w:sz w:val="14"/>
          <w:szCs w:val="14"/>
          <w:color w:val="auto"/>
        </w:rPr>
      </w:pPr>
      <w:r>
        <w:rPr>
          <w:rFonts w:ascii="Arial" w:cs="Arial" w:eastAsia="Arial" w:hAnsi="Arial"/>
          <w:sz w:val="14"/>
          <w:szCs w:val="14"/>
          <w:color w:val="auto"/>
        </w:rPr>
        <w:t>On or prior to the date of the Pricing Prospectus, such Selling Stockholder has executed and delivered to the Underwriters an agreement substantially in the form of Annex II hereto;</w:t>
      </w:r>
    </w:p>
    <w:p>
      <w:pPr>
        <w:spacing w:after="0" w:line="19" w:lineRule="exact"/>
        <w:rPr>
          <w:rFonts w:ascii="Arial" w:cs="Arial" w:eastAsia="Arial" w:hAnsi="Arial"/>
          <w:sz w:val="14"/>
          <w:szCs w:val="14"/>
          <w:color w:val="auto"/>
        </w:rPr>
      </w:pPr>
    </w:p>
    <w:p>
      <w:pPr>
        <w:jc w:val="both"/>
        <w:ind w:right="20" w:firstLine="350"/>
        <w:spacing w:after="0" w:line="291" w:lineRule="auto"/>
        <w:tabs>
          <w:tab w:leader="none" w:pos="792" w:val="left"/>
        </w:tabs>
        <w:numPr>
          <w:ilvl w:val="0"/>
          <w:numId w:val="218"/>
        </w:numPr>
        <w:rPr>
          <w:rFonts w:ascii="Arial" w:cs="Arial" w:eastAsia="Arial" w:hAnsi="Arial"/>
          <w:sz w:val="14"/>
          <w:szCs w:val="14"/>
          <w:color w:val="auto"/>
        </w:rPr>
      </w:pPr>
      <w:r>
        <w:rPr>
          <w:rFonts w:ascii="Arial" w:cs="Arial" w:eastAsia="Arial" w:hAnsi="Arial"/>
          <w:sz w:val="14"/>
          <w:szCs w:val="14"/>
          <w:color w:val="auto"/>
        </w:rPr>
        <w:t>Such Selling Stockholder has not taken and will not take, directly or indirectly, any action that is designed to or that has constituted or might reasonably be expected to cause or result in stabilization or manipulation of the price of any security of the Company to facilitate the sale or resale of the Shares;</w:t>
      </w:r>
    </w:p>
    <w:p>
      <w:pPr>
        <w:spacing w:after="0" w:line="202" w:lineRule="exact"/>
        <w:rPr>
          <w:rFonts w:ascii="Arial" w:cs="Arial" w:eastAsia="Arial" w:hAnsi="Arial"/>
          <w:sz w:val="14"/>
          <w:szCs w:val="14"/>
          <w:color w:val="auto"/>
        </w:rPr>
      </w:pPr>
    </w:p>
    <w:p>
      <w:pPr>
        <w:jc w:val="both"/>
        <w:ind w:firstLine="350"/>
        <w:spacing w:after="0" w:line="261" w:lineRule="auto"/>
        <w:tabs>
          <w:tab w:leader="none" w:pos="744" w:val="left"/>
        </w:tabs>
        <w:numPr>
          <w:ilvl w:val="0"/>
          <w:numId w:val="218"/>
        </w:numPr>
        <w:rPr>
          <w:rFonts w:ascii="Arial" w:cs="Arial" w:eastAsia="Arial" w:hAnsi="Arial"/>
          <w:sz w:val="14"/>
          <w:szCs w:val="14"/>
          <w:color w:val="auto"/>
        </w:rPr>
      </w:pPr>
      <w:r>
        <w:rPr>
          <w:rFonts w:ascii="Arial" w:cs="Arial" w:eastAsia="Arial" w:hAnsi="Arial"/>
          <w:sz w:val="14"/>
          <w:szCs w:val="14"/>
          <w:color w:val="auto"/>
        </w:rPr>
        <w:t>To the extent that any statements or omissions made in the Registration Statement, any Preliminary Prospectus, the Prospectus or any amendment or supplement thereto are made in reliance upon and in conformity with written information furnished to the Company by such Selling Stockholder pursuant to Items 7 and 11(m) of Form S-1 expressly for use therein, such Registration Statement and Preliminary Prospectus did, and the Prospectus and any further amendments or supplements to the Registration Statement and the Prospectus will, when they become effective or are filed with the Commission, as the case may be, not contain any untrue statement of a material fact or omit to state any material fact required to be stated therein or necessary to make the statements therein not misleading; provided that this representation and warranty shall be limited to statements or omissions made in reliance upon and in conformity with information relating to such Selling Stockholder furnished to the Company in writing by such Selling Stockholder expressly for use in the Pricing Prospectus, the Prospectus or any amendments or supplements thereto, it being understood and agreed that the only information furnished by such Selling Stockholder consists of the name of such Selling Stockholder, the number of offered shares and the address and other information of such Selling Stockholder which appear in the Pricing Prospectus or any Prospectus in the table (and corresponding footnotes) under the caption “Principal and Selling Stockholders” (with respect to each Selling Stockholder, the “Selling Stockholder Information”);</w:t>
      </w:r>
    </w:p>
    <w:p>
      <w:pPr>
        <w:spacing w:after="0" w:line="45" w:lineRule="exact"/>
        <w:rPr>
          <w:rFonts w:ascii="Arial" w:cs="Arial" w:eastAsia="Arial" w:hAnsi="Arial"/>
          <w:sz w:val="14"/>
          <w:szCs w:val="14"/>
          <w:color w:val="auto"/>
        </w:rPr>
      </w:pPr>
    </w:p>
    <w:p>
      <w:pPr>
        <w:ind w:firstLine="350"/>
        <w:spacing w:after="0" w:line="299" w:lineRule="auto"/>
        <w:tabs>
          <w:tab w:leader="none" w:pos="766" w:val="left"/>
        </w:tabs>
        <w:numPr>
          <w:ilvl w:val="0"/>
          <w:numId w:val="218"/>
        </w:numPr>
        <w:rPr>
          <w:rFonts w:ascii="Arial" w:cs="Arial" w:eastAsia="Arial" w:hAnsi="Arial"/>
          <w:sz w:val="14"/>
          <w:szCs w:val="14"/>
          <w:color w:val="auto"/>
        </w:rPr>
      </w:pPr>
      <w:r>
        <w:rPr>
          <w:rFonts w:ascii="Arial" w:cs="Arial" w:eastAsia="Arial" w:hAnsi="Arial"/>
          <w:sz w:val="14"/>
          <w:szCs w:val="14"/>
          <w:color w:val="auto"/>
        </w:rPr>
        <w:t>Each Selling Stockholder will deliver to the Representatives prior to or at the First Time of Delivery a properly completed and executed United States Internal Revenue Service Form W-9 (or appropriate Internal Revenue Service Form W-8);</w:t>
      </w:r>
    </w:p>
    <w:p>
      <w:pPr>
        <w:sectPr>
          <w:pgSz w:w="11900" w:h="16840" w:orient="portrait"/>
          <w:cols w:equalWidth="0" w:num="1">
            <w:col w:w="10160"/>
          </w:cols>
          <w:pgMar w:left="1100" w:top="1440" w:right="640" w:bottom="1440" w:gutter="0" w:footer="0" w:header="0"/>
        </w:sectPr>
      </w:pPr>
    </w:p>
    <w:bookmarkStart w:id="232" w:name="page233"/>
    <w:bookmarkEnd w:id="232"/>
    <w:p>
      <w:pPr>
        <w:spacing w:after="0" w:line="39" w:lineRule="exact"/>
        <w:rPr>
          <w:sz w:val="20"/>
          <w:szCs w:val="20"/>
          <w:color w:val="auto"/>
        </w:rPr>
      </w:pPr>
    </w:p>
    <w:p>
      <w:pPr>
        <w:jc w:val="both"/>
        <w:ind w:left="-340" w:right="20" w:firstLine="350"/>
        <w:spacing w:after="0" w:line="278" w:lineRule="auto"/>
        <w:tabs>
          <w:tab w:leader="none" w:pos="408" w:val="left"/>
        </w:tabs>
        <w:numPr>
          <w:ilvl w:val="0"/>
          <w:numId w:val="219"/>
        </w:numPr>
        <w:rPr>
          <w:rFonts w:ascii="Arial" w:cs="Arial" w:eastAsia="Arial" w:hAnsi="Arial"/>
          <w:sz w:val="14"/>
          <w:szCs w:val="14"/>
          <w:color w:val="auto"/>
        </w:rPr>
      </w:pPr>
      <w:r>
        <w:rPr>
          <w:rFonts w:ascii="Arial" w:cs="Arial" w:eastAsia="Arial" w:hAnsi="Arial"/>
          <w:sz w:val="14"/>
          <w:szCs w:val="14"/>
          <w:color w:val="auto"/>
        </w:rPr>
        <w:t>No Stamp Taxes are payable by or on behalf of the Underwriters in any Relevant Taxing Jurisdiction in connection with (i) the delivery of the Shares by such Selling Stockholder, (ii) the purchase by the Underwriters of the Shares from such Selling Stockholder in the manner contemplated by this Agreement, and (iii) the sale and delivery of the Shares by the Selling Stockholder to the Underwriters in the manner contemplated by this Agreement and the Prospectus;</w:t>
      </w:r>
    </w:p>
    <w:p>
      <w:pPr>
        <w:spacing w:after="0" w:line="33" w:lineRule="exact"/>
        <w:rPr>
          <w:rFonts w:ascii="Arial" w:cs="Arial" w:eastAsia="Arial" w:hAnsi="Arial"/>
          <w:sz w:val="14"/>
          <w:szCs w:val="14"/>
          <w:color w:val="auto"/>
        </w:rPr>
      </w:pPr>
    </w:p>
    <w:p>
      <w:pPr>
        <w:ind w:left="-340" w:firstLine="350"/>
        <w:spacing w:after="0" w:line="262" w:lineRule="auto"/>
        <w:tabs>
          <w:tab w:leader="none" w:pos="225" w:val="left"/>
        </w:tabs>
        <w:numPr>
          <w:ilvl w:val="0"/>
          <w:numId w:val="219"/>
        </w:numPr>
        <w:rPr>
          <w:rFonts w:ascii="Arial" w:cs="Arial" w:eastAsia="Arial" w:hAnsi="Arial"/>
          <w:sz w:val="14"/>
          <w:szCs w:val="14"/>
          <w:color w:val="auto"/>
        </w:rPr>
      </w:pPr>
      <w:r>
        <w:rPr>
          <w:rFonts w:ascii="Arial" w:cs="Arial" w:eastAsia="Arial" w:hAnsi="Arial"/>
          <w:sz w:val="14"/>
          <w:szCs w:val="14"/>
          <w:color w:val="auto"/>
        </w:rPr>
        <w:t>Certificates in negotiable form or book-entry securities entitlements representing all of the Shares to be sold by such Selling Stockholder hereunder have been placed in custody under a Custody Agreement, in the form heretofore furnished to the Representatives (the “Custody Agreement”), duly executed and delivered by or on behalf of such Selling Stockholder to Computershare Trust Company, N.A., as custodian (the “Custodian”), and such Selling Stockholder has duly executed and delivered a Power of Attorney, in the form heretofore furnished to the Representatives (the “Power of Attorney”), appointing the persons indicated in Schedule II hereto, and each of them, as such Selling Stockholder’s attorneys-in-fact (the “Attorneys-in-Fact”) with authority to execute and deliver this Agreement, the Custody Agreement and the Paying Agent Agreement (if applicable) on behalf of such Selling Stockholder, to determine the purchase price to be paid by the Underwriters to the Selling Stockholders as provided in Section 2 hereof, to authorize the delivery of the Shares to be sold by such Selling Stockholder hereunder and otherwise to act on behalf of such Selling Stockholder in connection with the transactions contemplated by this Agreement, the Custody Agreement, and the Paying Agent Agreement (if applicable);</w:t>
      </w:r>
    </w:p>
    <w:p>
      <w:pPr>
        <w:spacing w:after="0" w:line="44" w:lineRule="exact"/>
        <w:rPr>
          <w:rFonts w:ascii="Arial" w:cs="Arial" w:eastAsia="Arial" w:hAnsi="Arial"/>
          <w:sz w:val="14"/>
          <w:szCs w:val="14"/>
          <w:color w:val="auto"/>
        </w:rPr>
      </w:pPr>
    </w:p>
    <w:p>
      <w:pPr>
        <w:jc w:val="both"/>
        <w:ind w:left="-340" w:firstLine="350"/>
        <w:spacing w:after="0" w:line="260" w:lineRule="auto"/>
        <w:tabs>
          <w:tab w:leader="none" w:pos="399" w:val="left"/>
        </w:tabs>
        <w:numPr>
          <w:ilvl w:val="0"/>
          <w:numId w:val="219"/>
        </w:numPr>
        <w:rPr>
          <w:rFonts w:ascii="Arial" w:cs="Arial" w:eastAsia="Arial" w:hAnsi="Arial"/>
          <w:sz w:val="14"/>
          <w:szCs w:val="14"/>
          <w:color w:val="auto"/>
        </w:rPr>
      </w:pPr>
      <w:r>
        <w:rPr>
          <w:rFonts w:ascii="Arial" w:cs="Arial" w:eastAsia="Arial" w:hAnsi="Arial"/>
          <w:sz w:val="14"/>
          <w:szCs w:val="14"/>
          <w:color w:val="auto"/>
        </w:rPr>
        <w:t>The Shares held in custody for such Selling Stockholder under the Custody Agreement are subject to the interests of the Underwriters hereunder; the arrangements made by such Selling Stockholder for such custody, and the appointment by such Selling Stockholder of the Attorneys-in-Fact by the Power of Attorney, are to that extent irrevocable; the obligations of the Selling Stockholders hereunder shall not be terminated by operation of law, whether by the death or incapacity of any individual Selling Stockholder or, in the case of an estate or trust, by the death or incapacity of any executor or trustee or the termination of such estate or trust, or in the case of a partnership or corporation, by the dissolution of such partnership, limited liability company or corporation, or by the occurrence of any other event; if any individual Selling Stockholder or any such executor or trustee should die or become incapacitated, or if any such estate or trust should be terminated, or if any such partnership, limited liability company or corporation should be dissolved, or if any other such event should occur, before the delivery of the Shares to be sold by such Selling Stockholder hereunder, certificates representing the Shares to be sold by such Selling Stockholder hereunder shall be delivered by or on behalf of the Selling Stockholders in accordance with the terms and conditions of this Agreement and of the Custody Agreements; and actions taken by the Attorneys-in-Fact pursuant to the Powers of Attorney shall be as valid as if such death, incapacity, termination, dissolution or other event had not occurred, regardless of whether or not the Custodian, the Attorneys-in-Fact, or any of them, shall have received notice of such death, incapacity, termination, dissolution or other event;</w:t>
      </w:r>
    </w:p>
    <w:p>
      <w:pPr>
        <w:spacing w:after="0" w:line="50" w:lineRule="exact"/>
        <w:rPr>
          <w:rFonts w:ascii="Arial" w:cs="Arial" w:eastAsia="Arial" w:hAnsi="Arial"/>
          <w:sz w:val="14"/>
          <w:szCs w:val="14"/>
          <w:color w:val="auto"/>
        </w:rPr>
      </w:pPr>
    </w:p>
    <w:p>
      <w:pPr>
        <w:jc w:val="both"/>
        <w:ind w:left="-340" w:right="20" w:firstLine="350"/>
        <w:spacing w:after="0" w:line="278" w:lineRule="auto"/>
        <w:tabs>
          <w:tab w:leader="none" w:pos="453" w:val="left"/>
        </w:tabs>
        <w:numPr>
          <w:ilvl w:val="0"/>
          <w:numId w:val="219"/>
        </w:numPr>
        <w:rPr>
          <w:rFonts w:ascii="Arial" w:cs="Arial" w:eastAsia="Arial" w:hAnsi="Arial"/>
          <w:sz w:val="14"/>
          <w:szCs w:val="14"/>
          <w:color w:val="auto"/>
        </w:rPr>
      </w:pPr>
      <w:r>
        <w:rPr>
          <w:rFonts w:ascii="Arial" w:cs="Arial" w:eastAsia="Arial" w:hAnsi="Arial"/>
          <w:sz w:val="14"/>
          <w:szCs w:val="14"/>
          <w:color w:val="auto"/>
        </w:rPr>
        <w:t>Such Selling Stockholder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w:t>
      </w:r>
    </w:p>
    <w:p>
      <w:pPr>
        <w:sectPr>
          <w:pgSz w:w="11900" w:h="16840" w:orient="portrait"/>
          <w:cols w:equalWidth="0" w:num="1">
            <w:col w:w="9820"/>
          </w:cols>
          <w:pgMar w:left="1440" w:top="1440" w:right="640" w:bottom="1440" w:gutter="0" w:footer="0" w:header="0"/>
        </w:sectPr>
      </w:pPr>
    </w:p>
    <w:bookmarkStart w:id="233" w:name="page234"/>
    <w:bookmarkEnd w:id="233"/>
    <w:p>
      <w:pPr>
        <w:spacing w:after="0" w:line="39"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color w:val="auto"/>
        </w:rPr>
        <w:t>at the time of such funding, is the subject or the target of Sanctions prohibiting such funding or facilitation, or in any other manner that will result in a violation by any person (including any person participating in the transaction, whether as underwriter, advisor, investor or otherwise) of Sanctions, or (ii) in furtherance of an offer, payment, promise to pay, or authorization of the payment or giving of money, or anything else of value, to any person in violation of any Money Laundering Laws or any Anti-Corruption Laws;</w:t>
      </w:r>
    </w:p>
    <w:p>
      <w:pPr>
        <w:spacing w:after="0" w:line="38" w:lineRule="exact"/>
        <w:rPr>
          <w:sz w:val="20"/>
          <w:szCs w:val="20"/>
          <w:color w:val="auto"/>
        </w:rPr>
      </w:pPr>
    </w:p>
    <w:p>
      <w:pPr>
        <w:ind w:right="20" w:firstLine="350"/>
        <w:spacing w:after="0" w:line="299" w:lineRule="auto"/>
        <w:tabs>
          <w:tab w:leader="none" w:pos="78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Such Selling Stockholder is not prompted by any material information concerning the Company or any of its subsidiaries that is not disclosed in the Pricing Prospectus to sell its Shares pursuant to this Agreement;</w:t>
      </w:r>
    </w:p>
    <w:p>
      <w:pPr>
        <w:spacing w:after="0" w:line="19" w:lineRule="exact"/>
        <w:rPr>
          <w:rFonts w:ascii="Arial" w:cs="Arial" w:eastAsia="Arial" w:hAnsi="Arial"/>
          <w:sz w:val="14"/>
          <w:szCs w:val="14"/>
          <w:color w:val="auto"/>
        </w:rPr>
      </w:pPr>
    </w:p>
    <w:p>
      <w:pPr>
        <w:jc w:val="both"/>
        <w:ind w:right="20" w:firstLine="350"/>
        <w:spacing w:after="0" w:line="260" w:lineRule="auto"/>
        <w:tabs>
          <w:tab w:leader="none" w:pos="774" w:val="left"/>
        </w:tabs>
        <w:numPr>
          <w:ilvl w:val="0"/>
          <w:numId w:val="220"/>
        </w:numPr>
        <w:rPr>
          <w:rFonts w:ascii="Arial" w:cs="Arial" w:eastAsia="Arial" w:hAnsi="Arial"/>
          <w:sz w:val="14"/>
          <w:szCs w:val="14"/>
          <w:color w:val="auto"/>
        </w:rPr>
      </w:pPr>
      <w:r>
        <w:rPr>
          <w:rFonts w:ascii="Arial" w:cs="Arial" w:eastAsia="Arial" w:hAnsi="Arial"/>
          <w:sz w:val="14"/>
          <w:szCs w:val="14"/>
          <w:color w:val="auto"/>
        </w:rPr>
        <w:t>Such Selling Stockholder, if (x) such Selling Stockholder executed the Paying Agent Agreement (or if the Paying Agent Agreement was executed on behalf of such Selling Stockholder) or (y) the Shares that are sold by such Selling Stockholder are 102 Shares (as defined below), acknowledges, understands and agrees that (i) the Underwriters, the Representatives, the Paying Agent (as defined below), the 102 Trustee (as defined below) and anyone acting on their behalf is entitled to and may deduct and withhold from any amounts payable or otherwise deliverable pursuant to this Agreement to such Selling Stockholder amounts as are required to be deducted and withheld under Israeli and other applicable laws, (ii) any amounts so withheld or deducted shall be treated for all purposes of this Agreement as having been paid to such Selling Stockholder, and (iii) any amounts payable or otherwise deliverable pursuant to this Agreement to such Selling Stockholder will be deposited with the Paying Agent and will be released by the Paying Agent to such Selling Stockholder (or the 102 Trustee) only upon full satisfaction of all applicable withholding tax obligations with respect thereto and (iv) any payment for the Shares to be sold by such Selling Stockholder by or on behalf of the Underwriters to the Paying Agent shall be considered as if it was made to such Selling Stockholder and the Underwriters shall have no further obligations to such Selling Stockholder with respect to such payment and no interest shall accrue or be payable with respect to any such payment; such Selling Stockholder hereby validly and irrevocably waives, to the fullest extent permitted by applicable law, any claim, cause, or right of action against the Underwriters and the Representatives arising out of or relating to the arrangements contemplated by this clause (xiv) and acknowledges that this waiver was an essential term of the Underwriters’ agreement to perform the actions described herein;</w:t>
      </w:r>
    </w:p>
    <w:p>
      <w:pPr>
        <w:spacing w:after="0" w:line="48" w:lineRule="exact"/>
        <w:rPr>
          <w:rFonts w:ascii="Arial" w:cs="Arial" w:eastAsia="Arial" w:hAnsi="Arial"/>
          <w:sz w:val="14"/>
          <w:szCs w:val="14"/>
          <w:color w:val="auto"/>
        </w:rPr>
      </w:pPr>
    </w:p>
    <w:p>
      <w:pPr>
        <w:jc w:val="both"/>
        <w:ind w:firstLine="350"/>
        <w:spacing w:after="0" w:line="271" w:lineRule="auto"/>
        <w:tabs>
          <w:tab w:leader="none" w:pos="742" w:val="left"/>
        </w:tabs>
        <w:numPr>
          <w:ilvl w:val="0"/>
          <w:numId w:val="220"/>
        </w:numPr>
        <w:rPr>
          <w:rFonts w:ascii="Arial" w:cs="Arial" w:eastAsia="Arial" w:hAnsi="Arial"/>
          <w:sz w:val="14"/>
          <w:szCs w:val="14"/>
          <w:color w:val="auto"/>
        </w:rPr>
      </w:pPr>
      <w:r>
        <w:rPr>
          <w:rFonts w:ascii="Arial" w:cs="Arial" w:eastAsia="Arial" w:hAnsi="Arial"/>
          <w:sz w:val="14"/>
          <w:szCs w:val="14"/>
          <w:color w:val="auto"/>
        </w:rPr>
        <w:t>Such Selling Stockholder, if organized or domiciled in a jurisdiction outside of the United States, has the power to submit, and pursuant to Section 19 has, to the extent permitted by law, legally, validly, effectively and irrevocably submitted, to the exclusive jurisdiction of the U.S. federal and New York state courts in the Borough of Manhattan in The City of New York in any suit or proceeding arising out of or relating to this Agreement, the Custody Agreement, the Paying Agent Agreement or the transactions contemplated hereby; and</w:t>
      </w:r>
    </w:p>
    <w:p>
      <w:pPr>
        <w:spacing w:after="0" w:line="38" w:lineRule="exact"/>
        <w:rPr>
          <w:rFonts w:ascii="Arial" w:cs="Arial" w:eastAsia="Arial" w:hAnsi="Arial"/>
          <w:sz w:val="14"/>
          <w:szCs w:val="14"/>
          <w:color w:val="auto"/>
        </w:rPr>
      </w:pPr>
    </w:p>
    <w:p>
      <w:pPr>
        <w:jc w:val="both"/>
        <w:ind w:right="20" w:firstLine="350"/>
        <w:spacing w:after="0" w:line="278" w:lineRule="auto"/>
        <w:tabs>
          <w:tab w:leader="none" w:pos="823" w:val="left"/>
        </w:tabs>
        <w:numPr>
          <w:ilvl w:val="0"/>
          <w:numId w:val="220"/>
        </w:numPr>
        <w:rPr>
          <w:rFonts w:ascii="Arial" w:cs="Arial" w:eastAsia="Arial" w:hAnsi="Arial"/>
          <w:sz w:val="14"/>
          <w:szCs w:val="14"/>
          <w:color w:val="auto"/>
        </w:rPr>
      </w:pPr>
      <w:r>
        <w:rPr>
          <w:rFonts w:ascii="Arial" w:cs="Arial" w:eastAsia="Arial" w:hAnsi="Arial"/>
          <w:sz w:val="14"/>
          <w:szCs w:val="14"/>
          <w:color w:val="auto"/>
        </w:rPr>
        <w:t>Such Selling Stockholder, if (x) such Selling Stockholder did not execute the Paying Agent Agreement (or the Paying Agent Agreement was not executed on behalf of such Selling Stockholder) or (y) the Shares that are sold by such Selling Stockholder are not 102 Shares, is not subject to taxation in Israel in connection with the sale of the Shares by such Selling Stockholder.</w:t>
      </w:r>
    </w:p>
    <w:p>
      <w:pPr>
        <w:sectPr>
          <w:pgSz w:w="11900" w:h="16840" w:orient="portrait"/>
          <w:cols w:equalWidth="0" w:num="1">
            <w:col w:w="10160"/>
          </w:cols>
          <w:pgMar w:left="1100" w:top="1440" w:right="640" w:bottom="1440" w:gutter="0" w:footer="0" w:header="0"/>
        </w:sectPr>
      </w:pPr>
    </w:p>
    <w:bookmarkStart w:id="234" w:name="page235"/>
    <w:bookmarkEnd w:id="234"/>
    <w:p>
      <w:pPr>
        <w:spacing w:after="0" w:line="39" w:lineRule="exact"/>
        <w:rPr>
          <w:sz w:val="20"/>
          <w:szCs w:val="20"/>
          <w:color w:val="auto"/>
        </w:rPr>
      </w:pPr>
    </w:p>
    <w:p>
      <w:pPr>
        <w:jc w:val="both"/>
        <w:ind w:firstLine="466"/>
        <w:spacing w:after="0" w:line="260" w:lineRule="auto"/>
        <w:tabs>
          <w:tab w:leader="none" w:pos="762" w:val="left"/>
        </w:tabs>
        <w:numPr>
          <w:ilvl w:val="0"/>
          <w:numId w:val="221"/>
        </w:numPr>
        <w:rPr>
          <w:rFonts w:ascii="Arial" w:cs="Arial" w:eastAsia="Arial" w:hAnsi="Arial"/>
          <w:sz w:val="14"/>
          <w:szCs w:val="14"/>
          <w:color w:val="auto"/>
        </w:rPr>
      </w:pPr>
      <w:r>
        <w:rPr>
          <w:rFonts w:ascii="Arial" w:cs="Arial" w:eastAsia="Arial" w:hAnsi="Arial"/>
          <w:sz w:val="14"/>
          <w:szCs w:val="14"/>
          <w:color w:val="auto"/>
        </w:rPr>
        <w:t>Subject to the terms and conditions herein set forth, (a) the Company and each of the Selling Stockholders agree, severally and not jointly, to sell to each of the Underwriters, and each of the Underwriters agrees, severally and not jointly, to purchase from the Company and each of the Selling Stockholders, at a purchase price per share of $[ • ], the number of Firm Shares (to be adjusted by you so as to eliminate fractional shares) determined by multiplying the aggregate number of Firm Shares to be sold by the Company and each of the Selling Stockholders as set forth opposite their respective names in Schedule II hereto by a fraction, the numerator of which is the aggregate number of Firm Shares to be purchased by such Underwriter as set forth opposite the name of such Underwriter in Schedule I hereto and the denominator of which is the aggregate number of Firm Shares to be purchased by all of the Underwriters from the Company and all of the Selling Stockholders hereunder and (b) in the event and to the extent that the Underwriters shall exercise the election to purchase Optional Shares as provided below, the Company agrees to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the Representatives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220" w:lineRule="exact"/>
        <w:rPr>
          <w:sz w:val="20"/>
          <w:szCs w:val="20"/>
          <w:color w:val="auto"/>
        </w:rPr>
      </w:pPr>
    </w:p>
    <w:p>
      <w:pPr>
        <w:jc w:val="both"/>
        <w:ind w:firstLine="459"/>
        <w:spacing w:after="0" w:line="263" w:lineRule="auto"/>
        <w:rPr>
          <w:sz w:val="20"/>
          <w:szCs w:val="20"/>
          <w:color w:val="auto"/>
        </w:rPr>
      </w:pPr>
      <w:r>
        <w:rPr>
          <w:rFonts w:ascii="Arial" w:cs="Arial" w:eastAsia="Arial" w:hAnsi="Arial"/>
          <w:sz w:val="14"/>
          <w:szCs w:val="14"/>
          <w:color w:val="auto"/>
        </w:rPr>
        <w:t>The Company hereby grants to the Underwriters the right to purchase at their election up to [ • ]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the Representatives to the Company, given within a period of 30 calendar days after the date of this Agreement, setting forth the aggregate number of Optional Shares to be purchased and the date on which such Optional Shares are to be delivered, as determined by the Representatives but in no event earlier than the First Time of Delivery (as defined in Section 4 hereof) or, unless the Representatives and the Company otherwise agree in writing, earlier than one or later than ten business days after the date of such notice.</w:t>
      </w:r>
    </w:p>
    <w:p>
      <w:pPr>
        <w:spacing w:after="0" w:line="47" w:lineRule="exact"/>
        <w:rPr>
          <w:sz w:val="20"/>
          <w:szCs w:val="20"/>
          <w:color w:val="auto"/>
        </w:rPr>
      </w:pPr>
    </w:p>
    <w:p>
      <w:pPr>
        <w:ind w:right="20" w:firstLine="466"/>
        <w:spacing w:after="0" w:line="299" w:lineRule="auto"/>
        <w:tabs>
          <w:tab w:leader="none" w:pos="766" w:val="left"/>
        </w:tabs>
        <w:numPr>
          <w:ilvl w:val="0"/>
          <w:numId w:val="222"/>
        </w:numPr>
        <w:rPr>
          <w:rFonts w:ascii="Arial" w:cs="Arial" w:eastAsia="Arial" w:hAnsi="Arial"/>
          <w:sz w:val="14"/>
          <w:szCs w:val="14"/>
          <w:color w:val="auto"/>
        </w:rPr>
      </w:pPr>
      <w:r>
        <w:rPr>
          <w:rFonts w:ascii="Arial" w:cs="Arial" w:eastAsia="Arial" w:hAnsi="Arial"/>
          <w:sz w:val="14"/>
          <w:szCs w:val="14"/>
          <w:color w:val="auto"/>
        </w:rPr>
        <w:t>Upon the authorization by the Representatives of the release of the Shares, the several Underwriters propose to offer the Shares for sale upon the terms and conditions set forth in the Pricing Disclosure Package and the Prospectus.</w:t>
      </w:r>
    </w:p>
    <w:p>
      <w:pPr>
        <w:spacing w:after="0" w:line="19" w:lineRule="exact"/>
        <w:rPr>
          <w:rFonts w:ascii="Arial" w:cs="Arial" w:eastAsia="Arial" w:hAnsi="Arial"/>
          <w:sz w:val="14"/>
          <w:szCs w:val="14"/>
          <w:color w:val="auto"/>
        </w:rPr>
      </w:pPr>
    </w:p>
    <w:p>
      <w:pPr>
        <w:jc w:val="both"/>
        <w:ind w:right="20" w:firstLine="466"/>
        <w:spacing w:after="0" w:line="267" w:lineRule="auto"/>
        <w:tabs>
          <w:tab w:leader="none" w:pos="771" w:val="left"/>
        </w:tabs>
        <w:numPr>
          <w:ilvl w:val="0"/>
          <w:numId w:val="222"/>
        </w:numPr>
        <w:rPr>
          <w:rFonts w:ascii="Arial" w:cs="Arial" w:eastAsia="Arial" w:hAnsi="Arial"/>
          <w:sz w:val="14"/>
          <w:szCs w:val="14"/>
          <w:color w:val="auto"/>
        </w:rPr>
      </w:pPr>
      <w:r>
        <w:rPr>
          <w:rFonts w:ascii="Arial" w:cs="Arial" w:eastAsia="Arial" w:hAnsi="Arial"/>
          <w:sz w:val="14"/>
          <w:szCs w:val="14"/>
          <w:color w:val="auto"/>
        </w:rPr>
        <w:t>(a) The Shares to be purchased by each Underwriter hereunder, in definitive or book-entry form, and in such authorized denominations and registered in such names as the Representatives may request upon at least twenty-four hours’ prior notice to the Company and the Selling Stockholders shall be delivered by or on behalf of the Company and the Selling Stockholders to the Representatives, through the facilities of the Depository Trust Company (“DTC”), for the account of such Underwriter, against payment by or on behalf of such Underwriter of the purchase price therefor by wire transfer of Federal (same-day) funds to the accounts specified by the Company and the Custodian and, with respect to the Shares sold by</w:t>
      </w:r>
    </w:p>
    <w:p>
      <w:pPr>
        <w:sectPr>
          <w:pgSz w:w="11900" w:h="16840" w:orient="portrait"/>
          <w:cols w:equalWidth="0" w:num="1">
            <w:col w:w="10620"/>
          </w:cols>
          <w:pgMar w:left="640" w:top="1440" w:right="640" w:bottom="1440" w:gutter="0" w:footer="0" w:header="0"/>
        </w:sectPr>
      </w:pPr>
    </w:p>
    <w:bookmarkStart w:id="235" w:name="page236"/>
    <w:bookmarkEnd w:id="235"/>
    <w:p>
      <w:pPr>
        <w:spacing w:after="0" w:line="3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Selling Stockholders that signed the Paying Agent Agreement (or on whose behalf the Paying Agent Agreement was signed) or whose Shares that are sold hereunder are 102 Shares, the account specified by ESOP Management and Trust Services Ltd. (the “Paying Agent”) to be held in trust for such Selling Stockholders, to the Representatives at least twenty-four hours in advance with any transfer or similar taxes payable in connection with the sale of the Shares to be paid by the Company (or if applicable, Selling Stockholders). The Company and the Selling Stockholders will cause the certificates, if any, representing the Shares to be made available for checking and packaging at least twenty -four hours prior to the Time of Delivery (as defined below) with respect thereto at the office of DTC or its designated custodian (the “Designated Office”). The time and date of such delivery and payment shall be, with respect to the Firm Shares, 9:30 a.m., Eastern time, on [ • ], or such other time and date as the Representatives, the Company and the Attorneys-in-Fact may agree upon in writing, and, with respect to the Optional Shares, 9:30 a.m., Eastern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 “102 Shares” means Shares sold hereunder by Selling Stockholders that were granted to, or issued further to the vesting or exercise of equity awards granted to, any Selling Stockholder pursuant to or that are to be taxed under Section 102(b)(2) or Section 102(b)(3) of the Israeli Income Tax Ordinance (New Version), 5721-1961.</w:t>
      </w:r>
    </w:p>
    <w:p>
      <w:pPr>
        <w:spacing w:after="0" w:line="48" w:lineRule="exact"/>
        <w:rPr>
          <w:sz w:val="20"/>
          <w:szCs w:val="20"/>
          <w:color w:val="auto"/>
        </w:rPr>
      </w:pPr>
    </w:p>
    <w:p>
      <w:pPr>
        <w:jc w:val="both"/>
        <w:ind w:right="20" w:firstLine="459"/>
        <w:spacing w:after="0" w:line="259" w:lineRule="auto"/>
        <w:rPr>
          <w:sz w:val="20"/>
          <w:szCs w:val="20"/>
          <w:color w:val="auto"/>
        </w:rPr>
      </w:pPr>
      <w:r>
        <w:rPr>
          <w:rFonts w:ascii="Arial" w:cs="Arial" w:eastAsia="Arial" w:hAnsi="Arial"/>
          <w:sz w:val="14"/>
          <w:szCs w:val="14"/>
          <w:color w:val="auto"/>
        </w:rPr>
        <w:t>The Underwriters, the Representatives, the Paying Agent, the 102 Trustee and anyone acting on their behalf shall be entitled to deduct and withhold from any amounts payable or otherwise deliverable pursuant to this Agreement to any Selling Stockholder that signed the Paying Agent Agreement (or the Paying Agent Agreement was executed on behalf of such Selling Stockholder) or whose Shares that are sold hereunder are 102 Shares, such amounts as are required to be deducted and withheld with respect to the making of any such payment under the Israeli Income Tax Ordinance (New Version), 5721-1961, and the rules and regulations promulgated thereunder or any other applicable law; provided, however, should the Paying Agent deliver to the Representatives prior to the First Time of Delivery an undertaking in accordance with the provisions of the Income Tax Circular 19/2018 (Transaction for Sale of Rights in a Corporation that includes Consideration that will be Transferred to the Seller at Future Dates) in the form attached as an exhibit to the paying agent agreement with the Paying Agent in connection with the sale of Shares by Selling Stockholders hereunder (the “Paying Agent Agreement”), payments made by the Underwriters or on their behalf to the Paying Agent shall be without any deduction or withholding of any taxes imposed under Israeli law, and in such case, any applicable withholding of Israeli taxes required to be made from any amounts payable to any such Selling Stockholder shall be made by the Paying Agent or the 102 Trustee, as applicable, pursuant to applicable Israeli law. The Paying Agent shall act as the withholding agent on behalf of the Underwriters, all in accordance with the provisions of the Paying Agent Agreement. With respect to any taxes withheld or deducted under applicable Israeli law, such withheld amounts, if any, shall be treated for all purposes of this Agreement as having been paid to the applicable Selling Stockholder. For the avoidance of doubt, any payment for the Shares to be sold by the Selling Stockholders contemplated by this paragraph made by or on behalf of the Underwriters to the Paying Agent shall be considered as if it was made to the applicable Selling Stockholder and the Underwriters shall have no further obligations to any such applicable Selling Stockholder with respect to such payment and no interest shall accrue or be payable</w:t>
      </w:r>
    </w:p>
    <w:p>
      <w:pPr>
        <w:sectPr>
          <w:pgSz w:w="11900" w:h="16840" w:orient="portrait"/>
          <w:cols w:equalWidth="0" w:num="1">
            <w:col w:w="10620"/>
          </w:cols>
          <w:pgMar w:left="640" w:top="1440" w:right="640" w:bottom="1440" w:gutter="0" w:footer="0" w:header="0"/>
        </w:sectPr>
      </w:pPr>
    </w:p>
    <w:bookmarkStart w:id="236" w:name="page237"/>
    <w:bookmarkEnd w:id="236"/>
    <w:p>
      <w:pPr>
        <w:spacing w:after="0" w:line="39"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color w:val="auto"/>
        </w:rPr>
        <w:t>with respect to any such payment. “102 Trustee” means the trustee appointed by the Company in accordance with the provisions of the Israeli Income Tax Ordinance (New Version), 5721-1961, and the rules and regulations promulgated thereunder and approved by the Israel Tax Authority with respect to 102 Shares.</w:t>
      </w:r>
    </w:p>
    <w:p>
      <w:pPr>
        <w:spacing w:after="0" w:line="20" w:lineRule="exact"/>
        <w:rPr>
          <w:sz w:val="20"/>
          <w:szCs w:val="20"/>
          <w:color w:val="auto"/>
        </w:rPr>
      </w:pPr>
    </w:p>
    <w:p>
      <w:pPr>
        <w:jc w:val="both"/>
        <w:ind w:right="20" w:firstLine="466"/>
        <w:spacing w:after="0" w:line="263" w:lineRule="auto"/>
        <w:tabs>
          <w:tab w:leader="none" w:pos="816" w:val="left"/>
        </w:tabs>
        <w:numPr>
          <w:ilvl w:val="0"/>
          <w:numId w:val="223"/>
        </w:numPr>
        <w:rPr>
          <w:rFonts w:ascii="Arial" w:cs="Arial" w:eastAsia="Arial" w:hAnsi="Arial"/>
          <w:sz w:val="14"/>
          <w:szCs w:val="14"/>
          <w:color w:val="auto"/>
        </w:rPr>
      </w:pPr>
      <w:r>
        <w:rPr>
          <w:rFonts w:ascii="Arial" w:cs="Arial" w:eastAsia="Arial" w:hAnsi="Arial"/>
          <w:sz w:val="14"/>
          <w:szCs w:val="14"/>
          <w:color w:val="auto"/>
        </w:rPr>
        <w:t>The documents to be delivered at each Time of Delivery by or on behalf of the parties hereto pursuant to Section 9 hereof, including the cross receipt for the Shares and any additional documents requested by the Underwriters pursuant to Section 9(m) hereof, will be delivered at the offices of Fenwick &amp; West LLP, 801 California Street, Mountain View, California 94041 (the “Closing Location”), and the Shares will be delivered at the Designated Office, all at such Time of Delivery. A meeting may be held virtually at 3:00 p.m., Eastern time, on the New York Business Day next preceding such Time of Delivery, or at such other time as the Underwriters, the Company and the Selling Stockholders or their respective counsel shall agree to,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219" w:lineRule="exact"/>
        <w:rPr>
          <w:sz w:val="20"/>
          <w:szCs w:val="20"/>
          <w:color w:val="auto"/>
        </w:rPr>
      </w:pPr>
    </w:p>
    <w:p>
      <w:pPr>
        <w:ind w:left="740" w:hanging="274"/>
        <w:spacing w:after="0"/>
        <w:tabs>
          <w:tab w:leader="none" w:pos="740" w:val="left"/>
        </w:tabs>
        <w:numPr>
          <w:ilvl w:val="0"/>
          <w:numId w:val="224"/>
        </w:numPr>
        <w:rPr>
          <w:rFonts w:ascii="Arial" w:cs="Arial" w:eastAsia="Arial" w:hAnsi="Arial"/>
          <w:sz w:val="14"/>
          <w:szCs w:val="14"/>
          <w:color w:val="auto"/>
        </w:rPr>
      </w:pPr>
      <w:r>
        <w:rPr>
          <w:rFonts w:ascii="Arial" w:cs="Arial" w:eastAsia="Arial" w:hAnsi="Arial"/>
          <w:sz w:val="14"/>
          <w:szCs w:val="14"/>
          <w:color w:val="auto"/>
        </w:rPr>
        <w:t>The Company agrees with each of the Underwriters:</w:t>
      </w:r>
    </w:p>
    <w:p>
      <w:pPr>
        <w:spacing w:after="0" w:line="88" w:lineRule="exact"/>
        <w:rPr>
          <w:sz w:val="20"/>
          <w:szCs w:val="20"/>
          <w:color w:val="auto"/>
        </w:rPr>
      </w:pPr>
    </w:p>
    <w:p>
      <w:pPr>
        <w:jc w:val="both"/>
        <w:ind w:right="20" w:firstLine="466"/>
        <w:spacing w:after="0" w:line="260" w:lineRule="auto"/>
        <w:tabs>
          <w:tab w:leader="none" w:pos="795" w:val="left"/>
        </w:tabs>
        <w:numPr>
          <w:ilvl w:val="0"/>
          <w:numId w:val="225"/>
        </w:numPr>
        <w:rPr>
          <w:rFonts w:ascii="Arial" w:cs="Arial" w:eastAsia="Arial" w:hAnsi="Arial"/>
          <w:sz w:val="14"/>
          <w:szCs w:val="14"/>
          <w:color w:val="auto"/>
        </w:rPr>
      </w:pPr>
      <w:r>
        <w:rPr>
          <w:rFonts w:ascii="Arial" w:cs="Arial" w:eastAsia="Arial" w:hAnsi="Arial"/>
          <w:sz w:val="14"/>
          <w:szCs w:val="14"/>
          <w:color w:val="auto"/>
        </w:rPr>
        <w:t>To prepare the Prospectus in a form approved by the Representatives and to file such Prospectus pursuant to Rule 424(b) under the Act prior to the earlier of the First Time of Delivery and the Commission’s close of business on the first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the Representatives promptly after reasonable notice thereof; to advise the Representatives, promptly after it receives notice thereof, of the time when any amendment to the Registration Statement has been filed or becomes effective or any amendment or supplement to the Prospectus has been filed and to furnish the Representatives with copies thereof; to file promptly all material required to be filed by the Company with the Commission pursuant to Rule 433(d) under the Act; to advise the Representatives,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50" w:lineRule="exact"/>
        <w:rPr>
          <w:rFonts w:ascii="Arial" w:cs="Arial" w:eastAsia="Arial" w:hAnsi="Arial"/>
          <w:sz w:val="14"/>
          <w:szCs w:val="14"/>
          <w:color w:val="auto"/>
        </w:rPr>
      </w:pPr>
    </w:p>
    <w:p>
      <w:pPr>
        <w:jc w:val="both"/>
        <w:ind w:firstLine="466"/>
        <w:spacing w:after="0" w:line="271" w:lineRule="auto"/>
        <w:tabs>
          <w:tab w:leader="none" w:pos="868" w:val="left"/>
        </w:tabs>
        <w:numPr>
          <w:ilvl w:val="0"/>
          <w:numId w:val="225"/>
        </w:numPr>
        <w:rPr>
          <w:rFonts w:ascii="Arial" w:cs="Arial" w:eastAsia="Arial" w:hAnsi="Arial"/>
          <w:sz w:val="14"/>
          <w:szCs w:val="14"/>
          <w:color w:val="auto"/>
        </w:rPr>
      </w:pPr>
      <w:r>
        <w:rPr>
          <w:rFonts w:ascii="Arial" w:cs="Arial" w:eastAsia="Arial" w:hAnsi="Arial"/>
          <w:sz w:val="14"/>
          <w:szCs w:val="14"/>
          <w:color w:val="auto"/>
        </w:rPr>
        <w:t>Promptly from time to time to take such action as the Representatives may reasonably request to qualify the Shares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or to file a general consent to service of process in any jurisdiction (where not otherwise required);</w:t>
      </w:r>
    </w:p>
    <w:p>
      <w:pPr>
        <w:sectPr>
          <w:pgSz w:w="11900" w:h="16840" w:orient="portrait"/>
          <w:cols w:equalWidth="0" w:num="1">
            <w:col w:w="10620"/>
          </w:cols>
          <w:pgMar w:left="640" w:top="1440" w:right="640" w:bottom="1440" w:gutter="0" w:footer="0" w:header="0"/>
        </w:sectPr>
      </w:pPr>
    </w:p>
    <w:bookmarkStart w:id="237" w:name="page238"/>
    <w:bookmarkEnd w:id="237"/>
    <w:p>
      <w:pPr>
        <w:spacing w:after="0" w:line="39" w:lineRule="exact"/>
        <w:rPr>
          <w:sz w:val="20"/>
          <w:szCs w:val="20"/>
          <w:color w:val="auto"/>
        </w:rPr>
      </w:pPr>
    </w:p>
    <w:p>
      <w:pPr>
        <w:jc w:val="both"/>
        <w:ind w:left="-466" w:firstLine="466"/>
        <w:spacing w:after="0" w:line="260" w:lineRule="auto"/>
        <w:tabs>
          <w:tab w:leader="none" w:pos="373" w:val="left"/>
        </w:tabs>
        <w:numPr>
          <w:ilvl w:val="0"/>
          <w:numId w:val="226"/>
        </w:numPr>
        <w:rPr>
          <w:rFonts w:ascii="Arial" w:cs="Arial" w:eastAsia="Arial" w:hAnsi="Arial"/>
          <w:sz w:val="14"/>
          <w:szCs w:val="14"/>
          <w:color w:val="auto"/>
        </w:rPr>
      </w:pPr>
      <w:r>
        <w:rPr>
          <w:rFonts w:ascii="Arial" w:cs="Arial" w:eastAsia="Arial" w:hAnsi="Arial"/>
          <w:sz w:val="14"/>
          <w:szCs w:val="14"/>
          <w:color w:val="auto"/>
        </w:rPr>
        <w:t>Prior to 10:00 a.m., Eastern time, on the New York Business Day next succeeding the date of this Agreement (or such later date and time as may be agreed to by the Representatives and the Company) and from time to time, to furnish the Underwriters with written and electronic copies of the Prospectus in New York City in such quantities as the Representatives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the Representatives and upon the Representatives’ request to prepare and furnish without charge to each Underwriter and to any dealer in securities as many written and electronic copies as the Representatives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the Representatives’ request but at the expense of such Underwriter, to prepare and deliver to such Underwriter as many written and electronic copies as the Representatives may request of an amended or supplemented Prospectus complying with Section 10(a)(3) of the Act;</w:t>
      </w:r>
    </w:p>
    <w:p>
      <w:pPr>
        <w:spacing w:after="0" w:line="220" w:lineRule="exact"/>
        <w:rPr>
          <w:rFonts w:ascii="Arial" w:cs="Arial" w:eastAsia="Arial" w:hAnsi="Arial"/>
          <w:sz w:val="14"/>
          <w:szCs w:val="14"/>
          <w:color w:val="auto"/>
        </w:rPr>
      </w:pPr>
    </w:p>
    <w:p>
      <w:pPr>
        <w:jc w:val="both"/>
        <w:ind w:left="-466" w:firstLine="466"/>
        <w:spacing w:after="0" w:line="271" w:lineRule="auto"/>
        <w:tabs>
          <w:tab w:leader="none" w:pos="343" w:val="left"/>
        </w:tabs>
        <w:numPr>
          <w:ilvl w:val="0"/>
          <w:numId w:val="226"/>
        </w:numPr>
        <w:rPr>
          <w:rFonts w:ascii="Arial" w:cs="Arial" w:eastAsia="Arial" w:hAnsi="Arial"/>
          <w:sz w:val="14"/>
          <w:szCs w:val="14"/>
          <w:color w:val="auto"/>
        </w:rPr>
      </w:pPr>
      <w:r>
        <w:rPr>
          <w:rFonts w:ascii="Arial" w:cs="Arial" w:eastAsia="Arial" w:hAnsi="Arial"/>
          <w:sz w:val="14"/>
          <w:szCs w:val="14"/>
          <w:color w:val="auto"/>
        </w:rPr>
        <w:t>Before amending or supplementing the Registration Statement, the Preliminary Prospectus or the Prospectus, to furnish the Underwriters with written and electronic copies of each such proposed amendment or supplement and not to file any such proposed amendment or supplement to which the Underwriters reasonably object, and to file with the Commission within the applicable period specified in Rule 424(b) under the Securities Act any prospectus required to be filed pursuant to such Rule;</w:t>
      </w:r>
    </w:p>
    <w:p>
      <w:pPr>
        <w:spacing w:after="0" w:line="38" w:lineRule="exact"/>
        <w:rPr>
          <w:rFonts w:ascii="Arial" w:cs="Arial" w:eastAsia="Arial" w:hAnsi="Arial"/>
          <w:sz w:val="14"/>
          <w:szCs w:val="14"/>
          <w:color w:val="auto"/>
        </w:rPr>
      </w:pPr>
    </w:p>
    <w:p>
      <w:pPr>
        <w:jc w:val="both"/>
        <w:ind w:left="-466" w:right="20" w:firstLine="466"/>
        <w:spacing w:after="0" w:line="271" w:lineRule="auto"/>
        <w:tabs>
          <w:tab w:leader="none" w:pos="329" w:val="left"/>
        </w:tabs>
        <w:numPr>
          <w:ilvl w:val="0"/>
          <w:numId w:val="226"/>
        </w:numPr>
        <w:rPr>
          <w:rFonts w:ascii="Arial" w:cs="Arial" w:eastAsia="Arial" w:hAnsi="Arial"/>
          <w:sz w:val="14"/>
          <w:szCs w:val="14"/>
          <w:color w:val="auto"/>
        </w:rPr>
      </w:pPr>
      <w:r>
        <w:rPr>
          <w:rFonts w:ascii="Arial" w:cs="Arial" w:eastAsia="Arial" w:hAnsi="Arial"/>
          <w:sz w:val="14"/>
          <w:szCs w:val="14"/>
          <w:color w:val="auto"/>
        </w:rPr>
        <w:t>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38" w:lineRule="exact"/>
        <w:rPr>
          <w:rFonts w:ascii="Arial" w:cs="Arial" w:eastAsia="Arial" w:hAnsi="Arial"/>
          <w:sz w:val="14"/>
          <w:szCs w:val="14"/>
          <w:color w:val="auto"/>
        </w:rPr>
      </w:pPr>
    </w:p>
    <w:p>
      <w:pPr>
        <w:jc w:val="both"/>
        <w:ind w:left="-466" w:right="20" w:firstLine="466"/>
        <w:spacing w:after="0" w:line="265" w:lineRule="auto"/>
        <w:tabs>
          <w:tab w:leader="none" w:pos="346" w:val="left"/>
        </w:tabs>
        <w:numPr>
          <w:ilvl w:val="0"/>
          <w:numId w:val="226"/>
        </w:numPr>
        <w:rPr>
          <w:rFonts w:ascii="Arial" w:cs="Arial" w:eastAsia="Arial" w:hAnsi="Arial"/>
          <w:sz w:val="14"/>
          <w:szCs w:val="14"/>
          <w:color w:val="auto"/>
        </w:rPr>
      </w:pPr>
      <w:r>
        <w:rPr>
          <w:rFonts w:ascii="Arial" w:cs="Arial" w:eastAsia="Arial" w:hAnsi="Arial"/>
          <w:sz w:val="14"/>
          <w:szCs w:val="14"/>
          <w:color w:val="auto"/>
        </w:rPr>
        <w:t>(1) During the period beginning from the date hereof and ending on the earlier of (i) end of the 180th day after the date of the Prospectus and (ii) the opening of trading on the second full trading day following the Company’s release of earnings (which for this purpose shall not include “flash” numbers or preliminary, partial earnings) for the second completed quarterly period following the most recent period for which financial statements are included in the Prospectus (the “Company Lock-Up Period”), not to (i)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w:t>
      </w:r>
    </w:p>
    <w:p>
      <w:pPr>
        <w:sectPr>
          <w:pgSz w:w="11900" w:h="16840" w:orient="portrait"/>
          <w:cols w:equalWidth="0" w:num="1">
            <w:col w:w="10154"/>
          </w:cols>
          <w:pgMar w:left="1106" w:top="1440" w:right="640" w:bottom="1440" w:gutter="0" w:footer="0" w:header="0"/>
        </w:sectPr>
      </w:pPr>
    </w:p>
    <w:bookmarkStart w:id="238" w:name="page239"/>
    <w:bookmarkEnd w:id="238"/>
    <w:p>
      <w:pPr>
        <w:spacing w:after="0" w:line="3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Representative’s prior written consent;</w:t>
      </w:r>
    </w:p>
    <w:p>
      <w:pPr>
        <w:spacing w:after="0" w:line="38" w:lineRule="exact"/>
        <w:rPr>
          <w:sz w:val="20"/>
          <w:szCs w:val="20"/>
          <w:color w:val="auto"/>
        </w:rPr>
      </w:pPr>
    </w:p>
    <w:p>
      <w:pPr>
        <w:jc w:val="both"/>
        <w:ind w:firstLine="919"/>
        <w:spacing w:after="0" w:line="259" w:lineRule="auto"/>
        <w:rPr>
          <w:sz w:val="20"/>
          <w:szCs w:val="20"/>
          <w:color w:val="auto"/>
        </w:rPr>
      </w:pPr>
      <w:r>
        <w:rPr>
          <w:rFonts w:ascii="Arial" w:cs="Arial" w:eastAsia="Arial" w:hAnsi="Arial"/>
          <w:sz w:val="14"/>
          <w:szCs w:val="14"/>
          <w:color w:val="auto"/>
        </w:rPr>
        <w:t>The restrictions contained in the preceding paragraph shall not apply to (A) the Shares to be sold hereunder, (B) the issuance by the Company of shares of Stock upon the exercise of options or the settlement of restricted stock units (including any net exercise or settlement) outstanding as of, or issued after, the date hereof pursuant to the Company’s equity plans described in the Pricing Prospectus and the Prospectus or other arrangement described in the Pricing Prospectus, (C) the issuance by the Company of shares of Stock upon the conversion or exchange of convertible or exchangeable securities outstanding as of the date hereof as described in the Pricing Prospectus and the Prospectus, (D) the issuance by the Company of shares of Stock upon conversion of shares of the Company’s Class B Common Stock, par value $ 0.00000625 per share, (E) the issuance by the Company of shares of Stock or securities convertible into, exchangeable for or that represent the right to receive shares of Stock, in each case pursuant to the Company’s equity plans described in the Pricing Prospectus and the Prospectus, (F) the issuance by the Company of shares of Stock or securities convertible into, exchangeable for or that represent the right to receive shares of Stock in connection with (x) the acquisition by the Company or any of its subsidiaries of the securities, business, technology, property or other assets of another person or entity or pursuant to an employee benefit plan assumed by the Company in connection with such acquisition, and the issuance of any such securities pursuant to any such agreement, or (y) the Company’s joint ventures, commercial relationships and other strategic relationships, or (G) the filing of any registration statement(s) on Form S-8 relating to the securities granted or to be granted pursuant to (A) the Company’s equity plans that are described in the Pricing Prospectus and the Prospectus or (B) any assumed employee benefit plan contemplated by clause (F); provided, that the aggregate number of shares of Stock that the Company may sell or issue or agree to sell or issue pursuant to clause (F) shall not exceed 10% of the total number of shares of Class A and Class B common stock, par value $0.00000625 per share, of the Company outstanding immediately following the issuance of the Shares contemplated by this Agreement; and provided further, that in the case of clauses (B), (C), (E) and (F), the Company shall cause each recipient of such securities to execute and deliver to Goldman Sachs &amp; Co. LLC and Citigroup Global Markets Inc., as Representatives, on or prior to the issuance of such securities, a Lock- Up Agreement for the remainder of the Lock-Up Period (as defined therein) and enter stop transfer instructions with the Company’s transfer agent and registrar on such securities, which the Company agrees it will not waive or amend without the prior written consent of Representatives.</w:t>
      </w:r>
    </w:p>
    <w:p>
      <w:pPr>
        <w:spacing w:after="0" w:line="222" w:lineRule="exact"/>
        <w:rPr>
          <w:sz w:val="20"/>
          <w:szCs w:val="20"/>
          <w:color w:val="auto"/>
        </w:rPr>
      </w:pPr>
    </w:p>
    <w:p>
      <w:pPr>
        <w:jc w:val="both"/>
        <w:ind w:firstLine="919"/>
        <w:spacing w:after="0" w:line="267" w:lineRule="auto"/>
        <w:rPr>
          <w:sz w:val="20"/>
          <w:szCs w:val="20"/>
          <w:color w:val="auto"/>
        </w:rPr>
      </w:pPr>
      <w:r>
        <w:rPr>
          <w:rFonts w:ascii="Arial" w:cs="Arial" w:eastAsia="Arial" w:hAnsi="Arial"/>
          <w:sz w:val="14"/>
          <w:szCs w:val="14"/>
          <w:color w:val="auto"/>
        </w:rPr>
        <w:t>In addition, during the Lock-Up Period, the Company agrees to (a) enforce the Market Standoff Provisions and any similar transfer restrictions contained in any agreement between the Company and any of its securityholders, including, without limitation, through the issuance of stop transfer instructions to the Company’s transfer agent and registrar with respect to any transaction that would constitute a breach of, or default under, the transfer restrictions, except that this provision shall not prevent the Company from effecting such a waiver or amendment to permit a transfer of securities that would be permissible under the terms of the Lock-Up Agreement, and (b) not amend or waive any such transfer restrictions with respect to any such holder without the prior written consent of the Representatives.</w:t>
      </w:r>
    </w:p>
    <w:p>
      <w:pPr>
        <w:sectPr>
          <w:pgSz w:w="11900" w:h="16840" w:orient="portrait"/>
          <w:cols w:equalWidth="0" w:num="1">
            <w:col w:w="10620"/>
          </w:cols>
          <w:pgMar w:left="640" w:top="1440" w:right="640" w:bottom="1440" w:gutter="0" w:footer="0" w:header="0"/>
        </w:sectPr>
      </w:pPr>
    </w:p>
    <w:bookmarkStart w:id="239" w:name="page240"/>
    <w:bookmarkEnd w:id="239"/>
    <w:p>
      <w:pPr>
        <w:spacing w:after="0" w:line="39" w:lineRule="exact"/>
        <w:rPr>
          <w:sz w:val="20"/>
          <w:szCs w:val="20"/>
          <w:color w:val="auto"/>
        </w:rPr>
      </w:pPr>
    </w:p>
    <w:p>
      <w:pPr>
        <w:jc w:val="both"/>
        <w:ind w:left="-466" w:firstLine="1384"/>
        <w:spacing w:after="0" w:line="271" w:lineRule="auto"/>
        <w:tabs>
          <w:tab w:leader="none" w:pos="1128" w:val="left"/>
        </w:tabs>
        <w:numPr>
          <w:ilvl w:val="1"/>
          <w:numId w:val="227"/>
        </w:numPr>
        <w:rPr>
          <w:rFonts w:ascii="Arial" w:cs="Arial" w:eastAsia="Arial" w:hAnsi="Arial"/>
          <w:sz w:val="14"/>
          <w:szCs w:val="14"/>
          <w:color w:val="auto"/>
        </w:rPr>
      </w:pPr>
      <w:r>
        <w:rPr>
          <w:rFonts w:ascii="Arial" w:cs="Arial" w:eastAsia="Arial" w:hAnsi="Arial"/>
          <w:sz w:val="14"/>
          <w:szCs w:val="14"/>
          <w:color w:val="auto"/>
        </w:rPr>
        <w:t>If the Representatives, in their sole discretion, agree to release or waive the restrictions set forth in a Lock-Up Agreement described in Section 9(k)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Annex I hereto through a major news service at least two business days before the effective date of the release or waiver.</w:t>
      </w:r>
    </w:p>
    <w:p>
      <w:pPr>
        <w:spacing w:after="0" w:line="38" w:lineRule="exact"/>
        <w:rPr>
          <w:rFonts w:ascii="Arial" w:cs="Arial" w:eastAsia="Arial" w:hAnsi="Arial"/>
          <w:sz w:val="14"/>
          <w:szCs w:val="14"/>
          <w:color w:val="auto"/>
        </w:rPr>
      </w:pPr>
    </w:p>
    <w:p>
      <w:pPr>
        <w:jc w:val="both"/>
        <w:ind w:left="-466" w:firstLine="466"/>
        <w:spacing w:after="0" w:line="264" w:lineRule="auto"/>
        <w:tabs>
          <w:tab w:leader="none" w:pos="363" w:val="left"/>
        </w:tabs>
        <w:numPr>
          <w:ilvl w:val="0"/>
          <w:numId w:val="228"/>
        </w:numPr>
        <w:rPr>
          <w:rFonts w:ascii="Arial" w:cs="Arial" w:eastAsia="Arial" w:hAnsi="Arial"/>
          <w:sz w:val="14"/>
          <w:szCs w:val="14"/>
          <w:color w:val="auto"/>
        </w:rPr>
      </w:pPr>
      <w:r>
        <w:rPr>
          <w:rFonts w:ascii="Arial" w:cs="Arial" w:eastAsia="Arial" w:hAnsi="Arial"/>
          <w:sz w:val="14"/>
          <w:szCs w:val="14"/>
          <w:color w:val="auto"/>
        </w:rPr>
        <w:t>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that no reports, documents or other information need to be furnished pursuant to this Section 5(g) to the extent that they are available on EDGAR;</w:t>
      </w:r>
    </w:p>
    <w:p>
      <w:pPr>
        <w:spacing w:after="0" w:line="219" w:lineRule="exact"/>
        <w:rPr>
          <w:rFonts w:ascii="Arial" w:cs="Arial" w:eastAsia="Arial" w:hAnsi="Arial"/>
          <w:sz w:val="14"/>
          <w:szCs w:val="14"/>
          <w:color w:val="auto"/>
        </w:rPr>
      </w:pPr>
    </w:p>
    <w:p>
      <w:pPr>
        <w:jc w:val="both"/>
        <w:ind w:left="-466" w:firstLine="466"/>
        <w:spacing w:after="0" w:line="262" w:lineRule="auto"/>
        <w:tabs>
          <w:tab w:leader="none" w:pos="363" w:val="left"/>
        </w:tabs>
        <w:numPr>
          <w:ilvl w:val="0"/>
          <w:numId w:val="228"/>
        </w:numPr>
        <w:rPr>
          <w:rFonts w:ascii="Arial" w:cs="Arial" w:eastAsia="Arial" w:hAnsi="Arial"/>
          <w:sz w:val="14"/>
          <w:szCs w:val="14"/>
          <w:color w:val="auto"/>
        </w:rPr>
      </w:pPr>
      <w:r>
        <w:rPr>
          <w:rFonts w:ascii="Arial" w:cs="Arial" w:eastAsia="Arial" w:hAnsi="Arial"/>
          <w:sz w:val="14"/>
          <w:szCs w:val="14"/>
          <w:color w:val="auto"/>
        </w:rPr>
        <w:t>During a period of three years from the effective date of the Registration Statement, so long as the Company is subject to the reporting requirements of either Section 13 or Section 15(d) of the Exchange Act, to furnish to the Representatives copies of all reports or other communications (financial or other) furnished to stockholders, and to deliver to the Representatives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the Representatives may from time to time reasonably request (such financial statements to be on a consolidated basis to the extent the accounts of the Company and its subsidiaries are consolidated in reports furnished to its stockholders generally or to the Commission); provided that no reports, documents or other information need to be furnished pursuant to this Section 5(h) to the extent that they are available on EDGAR or to the extent such provisions of such reports, documents or other information would require public disclosure by the Company under Regulation FD;</w:t>
      </w:r>
    </w:p>
    <w:p>
      <w:pPr>
        <w:spacing w:after="0" w:line="48" w:lineRule="exact"/>
        <w:rPr>
          <w:rFonts w:ascii="Arial" w:cs="Arial" w:eastAsia="Arial" w:hAnsi="Arial"/>
          <w:sz w:val="14"/>
          <w:szCs w:val="14"/>
          <w:color w:val="auto"/>
        </w:rPr>
      </w:pPr>
    </w:p>
    <w:p>
      <w:pPr>
        <w:ind w:left="-466" w:right="40" w:firstLine="466"/>
        <w:spacing w:after="0" w:line="299" w:lineRule="auto"/>
        <w:tabs>
          <w:tab w:leader="none" w:pos="331" w:val="left"/>
        </w:tabs>
        <w:numPr>
          <w:ilvl w:val="0"/>
          <w:numId w:val="228"/>
        </w:numPr>
        <w:rPr>
          <w:rFonts w:ascii="Arial" w:cs="Arial" w:eastAsia="Arial" w:hAnsi="Arial"/>
          <w:sz w:val="14"/>
          <w:szCs w:val="14"/>
          <w:color w:val="auto"/>
        </w:rPr>
      </w:pPr>
      <w:r>
        <w:rPr>
          <w:rFonts w:ascii="Arial" w:cs="Arial" w:eastAsia="Arial" w:hAnsi="Arial"/>
          <w:sz w:val="14"/>
          <w:szCs w:val="14"/>
          <w:color w:val="auto"/>
        </w:rPr>
        <w:t>To use the net proceeds received by it from the sale of the Shares pursuant to this Agreement in the manner specified in the Pricing Prospectus under the caption “Use of Proceeds”;</w:t>
      </w:r>
    </w:p>
    <w:p>
      <w:pPr>
        <w:spacing w:after="0" w:line="19" w:lineRule="exact"/>
        <w:rPr>
          <w:rFonts w:ascii="Arial" w:cs="Arial" w:eastAsia="Arial" w:hAnsi="Arial"/>
          <w:sz w:val="14"/>
          <w:szCs w:val="14"/>
          <w:color w:val="auto"/>
        </w:rPr>
      </w:pPr>
    </w:p>
    <w:p>
      <w:pPr>
        <w:ind w:left="334" w:hanging="334"/>
        <w:spacing w:after="0"/>
        <w:tabs>
          <w:tab w:leader="none" w:pos="334" w:val="left"/>
        </w:tabs>
        <w:numPr>
          <w:ilvl w:val="0"/>
          <w:numId w:val="228"/>
        </w:numPr>
        <w:rPr>
          <w:rFonts w:ascii="Arial" w:cs="Arial" w:eastAsia="Arial" w:hAnsi="Arial"/>
          <w:sz w:val="14"/>
          <w:szCs w:val="14"/>
          <w:color w:val="auto"/>
        </w:rPr>
      </w:pPr>
      <w:r>
        <w:rPr>
          <w:rFonts w:ascii="Arial" w:cs="Arial" w:eastAsia="Arial" w:hAnsi="Arial"/>
          <w:sz w:val="14"/>
          <w:szCs w:val="14"/>
          <w:color w:val="auto"/>
        </w:rPr>
        <w:t>To use its best efforts to list for trading, subject to notice of issuance, the Shares on the Exchange;</w:t>
      </w:r>
    </w:p>
    <w:p>
      <w:pPr>
        <w:spacing w:after="0" w:line="87" w:lineRule="exact"/>
        <w:rPr>
          <w:rFonts w:ascii="Arial" w:cs="Arial" w:eastAsia="Arial" w:hAnsi="Arial"/>
          <w:sz w:val="14"/>
          <w:szCs w:val="14"/>
          <w:color w:val="auto"/>
        </w:rPr>
      </w:pPr>
    </w:p>
    <w:p>
      <w:pPr>
        <w:ind w:left="374" w:hanging="374"/>
        <w:spacing w:after="0"/>
        <w:tabs>
          <w:tab w:leader="none" w:pos="374" w:val="left"/>
        </w:tabs>
        <w:numPr>
          <w:ilvl w:val="0"/>
          <w:numId w:val="228"/>
        </w:numPr>
        <w:rPr>
          <w:rFonts w:ascii="Arial" w:cs="Arial" w:eastAsia="Arial" w:hAnsi="Arial"/>
          <w:sz w:val="14"/>
          <w:szCs w:val="14"/>
          <w:color w:val="auto"/>
        </w:rPr>
      </w:pPr>
      <w:r>
        <w:rPr>
          <w:rFonts w:ascii="Arial" w:cs="Arial" w:eastAsia="Arial" w:hAnsi="Arial"/>
          <w:sz w:val="14"/>
          <w:szCs w:val="14"/>
          <w:color w:val="auto"/>
        </w:rPr>
        <w:t>To file with the Commission such information on Form 10-Q or Form 10-K as may be required by Rule 463 under the Act;</w:t>
      </w:r>
    </w:p>
    <w:p>
      <w:pPr>
        <w:spacing w:after="0" w:line="87" w:lineRule="exact"/>
        <w:rPr>
          <w:rFonts w:ascii="Arial" w:cs="Arial" w:eastAsia="Arial" w:hAnsi="Arial"/>
          <w:sz w:val="14"/>
          <w:szCs w:val="14"/>
          <w:color w:val="auto"/>
        </w:rPr>
      </w:pPr>
    </w:p>
    <w:p>
      <w:pPr>
        <w:jc w:val="both"/>
        <w:ind w:left="-466" w:right="20" w:firstLine="466"/>
        <w:spacing w:after="0" w:line="278" w:lineRule="auto"/>
        <w:tabs>
          <w:tab w:leader="none" w:pos="328" w:val="left"/>
        </w:tabs>
        <w:numPr>
          <w:ilvl w:val="0"/>
          <w:numId w:val="228"/>
        </w:numPr>
        <w:rPr>
          <w:rFonts w:ascii="Arial" w:cs="Arial" w:eastAsia="Arial" w:hAnsi="Arial"/>
          <w:sz w:val="14"/>
          <w:szCs w:val="14"/>
          <w:color w:val="auto"/>
        </w:rPr>
      </w:pPr>
      <w:r>
        <w:rPr>
          <w:rFonts w:ascii="Arial" w:cs="Arial" w:eastAsia="Arial" w:hAnsi="Arial"/>
          <w:sz w:val="14"/>
          <w:szCs w:val="14"/>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w:t>
      </w:r>
    </w:p>
    <w:p>
      <w:pPr>
        <w:spacing w:after="0" w:line="33" w:lineRule="exact"/>
        <w:rPr>
          <w:rFonts w:ascii="Arial" w:cs="Arial" w:eastAsia="Arial" w:hAnsi="Arial"/>
          <w:sz w:val="14"/>
          <w:szCs w:val="14"/>
          <w:color w:val="auto"/>
        </w:rPr>
      </w:pPr>
    </w:p>
    <w:p>
      <w:pPr>
        <w:ind w:left="-466" w:right="20" w:firstLine="466"/>
        <w:spacing w:after="0" w:line="299" w:lineRule="auto"/>
        <w:tabs>
          <w:tab w:leader="none" w:pos="551" w:val="left"/>
        </w:tabs>
        <w:numPr>
          <w:ilvl w:val="0"/>
          <w:numId w:val="228"/>
        </w:numPr>
        <w:rPr>
          <w:rFonts w:ascii="Arial" w:cs="Arial" w:eastAsia="Arial" w:hAnsi="Arial"/>
          <w:sz w:val="14"/>
          <w:szCs w:val="14"/>
          <w:color w:val="auto"/>
        </w:rPr>
      </w:pPr>
      <w:r>
        <w:rPr>
          <w:rFonts w:ascii="Arial" w:cs="Arial" w:eastAsia="Arial" w:hAnsi="Arial"/>
          <w:sz w:val="14"/>
          <w:szCs w:val="14"/>
          <w:color w:val="auto"/>
        </w:rPr>
        <w:t>Upon request of any Underwriter, to furnish, or cause to be furnished, to such Underwriter an electronic version of the Company’s trademarks, servicemarks and corporate</w:t>
      </w:r>
    </w:p>
    <w:p>
      <w:pPr>
        <w:sectPr>
          <w:pgSz w:w="11900" w:h="16840" w:orient="portrait"/>
          <w:cols w:equalWidth="0" w:num="1">
            <w:col w:w="10154"/>
          </w:cols>
          <w:pgMar w:left="1106" w:top="1440" w:right="640" w:bottom="1440" w:gutter="0" w:footer="0" w:header="0"/>
        </w:sectPr>
      </w:pPr>
    </w:p>
    <w:bookmarkStart w:id="240" w:name="page241"/>
    <w:bookmarkEnd w:id="240"/>
    <w:p>
      <w:pPr>
        <w:spacing w:after="0" w:line="39"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logo for use on the website, if any, operated by such Underwriter for the purpose of facilitating the on-line offering of the Shares (the “License”); provided, however, that the License shall be non-exclusive and used solely for the purpose described above, is granted without any fee and may not be assigned, sublicensed or transferred; and</w:t>
      </w:r>
    </w:p>
    <w:p>
      <w:pPr>
        <w:spacing w:after="0" w:line="203" w:lineRule="exact"/>
        <w:rPr>
          <w:sz w:val="20"/>
          <w:szCs w:val="20"/>
          <w:color w:val="auto"/>
        </w:rPr>
      </w:pPr>
    </w:p>
    <w:p>
      <w:pPr>
        <w:ind w:right="40" w:firstLine="466"/>
        <w:spacing w:after="0" w:line="299" w:lineRule="auto"/>
        <w:tabs>
          <w:tab w:leader="none" w:pos="867" w:val="left"/>
        </w:tabs>
        <w:numPr>
          <w:ilvl w:val="0"/>
          <w:numId w:val="229"/>
        </w:numPr>
        <w:rPr>
          <w:rFonts w:ascii="Arial" w:cs="Arial" w:eastAsia="Arial" w:hAnsi="Arial"/>
          <w:sz w:val="14"/>
          <w:szCs w:val="14"/>
          <w:color w:val="auto"/>
        </w:rPr>
      </w:pPr>
      <w:r>
        <w:rPr>
          <w:rFonts w:ascii="Arial" w:cs="Arial" w:eastAsia="Arial" w:hAnsi="Arial"/>
          <w:sz w:val="14"/>
          <w:szCs w:val="14"/>
          <w:color w:val="auto"/>
        </w:rPr>
        <w:t>To promptly notify the Representatives if the Company ceases to be an Emerging Growth Company at any time prior to the later of (i) completion of the distribution of the Shares within the meaning of the Act and (ii) the last Time of Delivery.</w:t>
      </w:r>
    </w:p>
    <w:p>
      <w:pPr>
        <w:spacing w:after="0" w:line="20" w:lineRule="exact"/>
        <w:rPr>
          <w:sz w:val="20"/>
          <w:szCs w:val="20"/>
          <w:color w:val="auto"/>
        </w:rPr>
      </w:pPr>
    </w:p>
    <w:p>
      <w:pPr>
        <w:jc w:val="both"/>
        <w:ind w:firstLine="466"/>
        <w:spacing w:after="0" w:line="265" w:lineRule="auto"/>
        <w:tabs>
          <w:tab w:leader="none" w:pos="743" w:val="left"/>
        </w:tabs>
        <w:numPr>
          <w:ilvl w:val="0"/>
          <w:numId w:val="230"/>
        </w:numPr>
        <w:rPr>
          <w:rFonts w:ascii="Arial" w:cs="Arial" w:eastAsia="Arial" w:hAnsi="Arial"/>
          <w:sz w:val="14"/>
          <w:szCs w:val="14"/>
          <w:color w:val="auto"/>
        </w:rPr>
      </w:pPr>
      <w:r>
        <w:rPr>
          <w:rFonts w:ascii="Arial" w:cs="Arial" w:eastAsia="Arial" w:hAnsi="Arial"/>
          <w:sz w:val="14"/>
          <w:szCs w:val="14"/>
          <w:color w:val="auto"/>
        </w:rPr>
        <w:t>(a) The Company represents and agrees that, without the prior consent of the Representatives, it has not made and will not make any offer relating to the Shares that would constitute a “free writing prospectus” as defined in Rule 405 under the Act; each Selling Stockholder represents and agrees that, without the prior consent of the Company and the Representatives, it has not made and will not make any offer relating to the Shares that would constitute a free writing prospectus; and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III(a) hereto;</w:t>
      </w:r>
    </w:p>
    <w:p>
      <w:pPr>
        <w:spacing w:after="0" w:line="43" w:lineRule="exact"/>
        <w:rPr>
          <w:sz w:val="20"/>
          <w:szCs w:val="20"/>
          <w:color w:val="auto"/>
        </w:rPr>
      </w:pPr>
    </w:p>
    <w:p>
      <w:pPr>
        <w:jc w:val="both"/>
        <w:ind w:right="20" w:firstLine="466"/>
        <w:spacing w:after="0" w:line="278" w:lineRule="auto"/>
        <w:tabs>
          <w:tab w:leader="none" w:pos="819" w:val="left"/>
        </w:tabs>
        <w:numPr>
          <w:ilvl w:val="0"/>
          <w:numId w:val="231"/>
        </w:numPr>
        <w:rPr>
          <w:rFonts w:ascii="Arial" w:cs="Arial" w:eastAsia="Arial" w:hAnsi="Arial"/>
          <w:sz w:val="14"/>
          <w:szCs w:val="14"/>
          <w:color w:val="auto"/>
        </w:rPr>
      </w:pPr>
      <w:r>
        <w:rPr>
          <w:rFonts w:ascii="Arial" w:cs="Arial" w:eastAsia="Arial" w:hAnsi="Arial"/>
          <w:sz w:val="14"/>
          <w:szCs w:val="14"/>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33" w:lineRule="exact"/>
        <w:rPr>
          <w:rFonts w:ascii="Arial" w:cs="Arial" w:eastAsia="Arial" w:hAnsi="Arial"/>
          <w:sz w:val="14"/>
          <w:szCs w:val="14"/>
          <w:color w:val="auto"/>
        </w:rPr>
      </w:pPr>
    </w:p>
    <w:p>
      <w:pPr>
        <w:jc w:val="both"/>
        <w:ind w:firstLine="466"/>
        <w:spacing w:after="0" w:line="265" w:lineRule="auto"/>
        <w:tabs>
          <w:tab w:leader="none" w:pos="842" w:val="left"/>
        </w:tabs>
        <w:numPr>
          <w:ilvl w:val="0"/>
          <w:numId w:val="231"/>
        </w:numPr>
        <w:rPr>
          <w:rFonts w:ascii="Arial" w:cs="Arial" w:eastAsia="Arial" w:hAnsi="Arial"/>
          <w:sz w:val="14"/>
          <w:szCs w:val="14"/>
          <w:color w:val="auto"/>
        </w:rPr>
      </w:pPr>
      <w:r>
        <w:rPr>
          <w:rFonts w:ascii="Arial" w:cs="Arial" w:eastAsia="Arial" w:hAnsi="Arial"/>
          <w:sz w:val="14"/>
          <w:szCs w:val="14"/>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w:t>
      </w:r>
    </w:p>
    <w:p>
      <w:pPr>
        <w:spacing w:after="0" w:line="43" w:lineRule="exact"/>
        <w:rPr>
          <w:rFonts w:ascii="Arial" w:cs="Arial" w:eastAsia="Arial" w:hAnsi="Arial"/>
          <w:sz w:val="14"/>
          <w:szCs w:val="14"/>
          <w:color w:val="auto"/>
        </w:rPr>
      </w:pPr>
    </w:p>
    <w:p>
      <w:pPr>
        <w:jc w:val="both"/>
        <w:ind w:firstLine="466"/>
        <w:spacing w:after="0" w:line="265" w:lineRule="auto"/>
        <w:tabs>
          <w:tab w:leader="none" w:pos="799" w:val="left"/>
        </w:tabs>
        <w:numPr>
          <w:ilvl w:val="0"/>
          <w:numId w:val="231"/>
        </w:numPr>
        <w:rPr>
          <w:rFonts w:ascii="Arial" w:cs="Arial" w:eastAsia="Arial" w:hAnsi="Arial"/>
          <w:sz w:val="14"/>
          <w:szCs w:val="14"/>
          <w:color w:val="auto"/>
        </w:rPr>
      </w:pPr>
      <w:r>
        <w:rPr>
          <w:rFonts w:ascii="Arial" w:cs="Arial" w:eastAsia="Arial" w:hAnsi="Arial"/>
          <w:sz w:val="14"/>
          <w:szCs w:val="14"/>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Communications, other than those distributed with the prior consent of the Representatives that are listed on Schedule III(d) hereto; and the Company reconfirms that the Underwriters have been authorized to act on its behalf in engaging in Testing-the-Waters Communications; and</w:t>
      </w:r>
    </w:p>
    <w:p>
      <w:pPr>
        <w:spacing w:after="0" w:line="43" w:lineRule="exact"/>
        <w:rPr>
          <w:rFonts w:ascii="Arial" w:cs="Arial" w:eastAsia="Arial" w:hAnsi="Arial"/>
          <w:sz w:val="14"/>
          <w:szCs w:val="14"/>
          <w:color w:val="auto"/>
        </w:rPr>
      </w:pPr>
    </w:p>
    <w:p>
      <w:pPr>
        <w:jc w:val="both"/>
        <w:ind w:right="40" w:firstLine="466"/>
        <w:spacing w:after="0" w:line="267" w:lineRule="auto"/>
        <w:tabs>
          <w:tab w:leader="none" w:pos="892" w:val="left"/>
        </w:tabs>
        <w:numPr>
          <w:ilvl w:val="0"/>
          <w:numId w:val="231"/>
        </w:numPr>
        <w:rPr>
          <w:rFonts w:ascii="Arial" w:cs="Arial" w:eastAsia="Arial" w:hAnsi="Arial"/>
          <w:sz w:val="14"/>
          <w:szCs w:val="14"/>
          <w:color w:val="auto"/>
        </w:rPr>
      </w:pPr>
      <w:r>
        <w:rPr>
          <w:rFonts w:ascii="Arial" w:cs="Arial" w:eastAsia="Arial" w:hAnsi="Arial"/>
          <w:sz w:val="14"/>
          <w:szCs w:val="14"/>
          <w:color w:val="auto"/>
        </w:rPr>
        <w:t>Each Underwriter represents and agrees that (i) any Testing-the-Waters Communications undertaken by it were with entities that such Underwriter reasonably believes are qualified institutional buyers as defined in Rule 144A under the Act or institutions that are accredited investors as defined in Rule 501(a)(1), (a)</w:t>
      </w:r>
    </w:p>
    <w:p>
      <w:pPr>
        <w:spacing w:after="0"/>
        <w:rPr>
          <w:rFonts w:ascii="Arial" w:cs="Arial" w:eastAsia="Arial" w:hAnsi="Arial"/>
          <w:sz w:val="14"/>
          <w:szCs w:val="14"/>
          <w:color w:val="auto"/>
        </w:rPr>
      </w:pPr>
      <w:r>
        <w:rPr>
          <w:rFonts w:ascii="Arial" w:cs="Arial" w:eastAsia="Arial" w:hAnsi="Arial"/>
          <w:sz w:val="14"/>
          <w:szCs w:val="14"/>
          <w:color w:val="auto"/>
        </w:rPr>
        <w:t>(2), (a)(3), (a)(7) or (a)(8) under the Act and</w:t>
      </w:r>
    </w:p>
    <w:p>
      <w:pPr>
        <w:sectPr>
          <w:pgSz w:w="11900" w:h="16840" w:orient="portrait"/>
          <w:cols w:equalWidth="0" w:num="1">
            <w:col w:w="10620"/>
          </w:cols>
          <w:pgMar w:left="640" w:top="1440" w:right="640" w:bottom="1440" w:gutter="0" w:footer="0" w:header="0"/>
        </w:sectPr>
      </w:pPr>
    </w:p>
    <w:bookmarkStart w:id="241" w:name="page242"/>
    <w:bookmarkEnd w:id="241"/>
    <w:p>
      <w:pPr>
        <w:spacing w:after="0" w:line="39" w:lineRule="exact"/>
        <w:rPr>
          <w:sz w:val="20"/>
          <w:szCs w:val="20"/>
          <w:color w:val="auto"/>
        </w:rPr>
      </w:pPr>
    </w:p>
    <w:p>
      <w:pPr>
        <w:ind w:right="40" w:firstLine="7"/>
        <w:spacing w:after="0" w:line="299" w:lineRule="auto"/>
        <w:tabs>
          <w:tab w:leader="none" w:pos="210" w:val="left"/>
        </w:tabs>
        <w:numPr>
          <w:ilvl w:val="0"/>
          <w:numId w:val="232"/>
        </w:numPr>
        <w:rPr>
          <w:rFonts w:ascii="Arial" w:cs="Arial" w:eastAsia="Arial" w:hAnsi="Arial"/>
          <w:sz w:val="14"/>
          <w:szCs w:val="14"/>
          <w:color w:val="auto"/>
        </w:rPr>
      </w:pPr>
      <w:r>
        <w:rPr>
          <w:rFonts w:ascii="Arial" w:cs="Arial" w:eastAsia="Arial" w:hAnsi="Arial"/>
          <w:sz w:val="14"/>
          <w:szCs w:val="14"/>
          <w:color w:val="auto"/>
        </w:rPr>
        <w:t>it will not distribute, or authorize any other person to distribute, any Written Testing the Waters Communication, other than those distributed with the prior written authorization of the Company.</w:t>
      </w:r>
    </w:p>
    <w:p>
      <w:pPr>
        <w:spacing w:after="0" w:line="19" w:lineRule="exact"/>
        <w:rPr>
          <w:rFonts w:ascii="Arial" w:cs="Arial" w:eastAsia="Arial" w:hAnsi="Arial"/>
          <w:sz w:val="14"/>
          <w:szCs w:val="14"/>
          <w:color w:val="auto"/>
        </w:rPr>
      </w:pPr>
    </w:p>
    <w:p>
      <w:pPr>
        <w:ind w:left="740" w:hanging="274"/>
        <w:spacing w:after="0"/>
        <w:tabs>
          <w:tab w:leader="none" w:pos="740" w:val="left"/>
        </w:tabs>
        <w:numPr>
          <w:ilvl w:val="1"/>
          <w:numId w:val="232"/>
        </w:numPr>
        <w:rPr>
          <w:rFonts w:ascii="Arial" w:cs="Arial" w:eastAsia="Arial" w:hAnsi="Arial"/>
          <w:sz w:val="14"/>
          <w:szCs w:val="14"/>
          <w:color w:val="auto"/>
        </w:rPr>
      </w:pPr>
      <w:r>
        <w:rPr>
          <w:rFonts w:ascii="Arial" w:cs="Arial" w:eastAsia="Arial" w:hAnsi="Arial"/>
          <w:sz w:val="14"/>
          <w:szCs w:val="14"/>
          <w:color w:val="auto"/>
        </w:rPr>
        <w:t>The Company and each of the Selling Stockholders covenant and agree with the several Underwriters that (a) the Company will pay or cause to be paid the</w:t>
      </w:r>
    </w:p>
    <w:p>
      <w:pPr>
        <w:spacing w:after="0" w:line="25" w:lineRule="exact"/>
        <w:rPr>
          <w:rFonts w:ascii="Arial" w:cs="Arial" w:eastAsia="Arial" w:hAnsi="Arial"/>
          <w:sz w:val="14"/>
          <w:szCs w:val="14"/>
          <w:color w:val="auto"/>
        </w:rPr>
      </w:pPr>
    </w:p>
    <w:p>
      <w:pPr>
        <w:jc w:val="both"/>
        <w:ind w:right="20"/>
        <w:spacing w:after="0" w:line="256" w:lineRule="auto"/>
        <w:rPr>
          <w:rFonts w:ascii="Arial" w:cs="Arial" w:eastAsia="Arial" w:hAnsi="Arial"/>
          <w:sz w:val="14"/>
          <w:szCs w:val="14"/>
          <w:color w:val="auto"/>
        </w:rPr>
      </w:pPr>
      <w:r>
        <w:rPr>
          <w:rFonts w:ascii="Arial" w:cs="Arial" w:eastAsia="Arial" w:hAnsi="Arial"/>
          <w:sz w:val="14"/>
          <w:szCs w:val="14"/>
          <w:color w:val="auto"/>
        </w:rPr>
        <w:t>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reasonable and documented fees and disbursements of counsel for the Underwriters in connection with such qualification and in connection with the Blue Sky survey; (iv) all fees and expenses in connection with listing the Shares on the Exchange; and (v) the filing fees incident to, and the reasonable and documented fees and disbursements of counsel for the Underwriters in connection with, any required review by FINRA of the terms of the sale of the Shares (provided, that the amount payable by the Company with respect to the fees and disbursements of counsel for the Underwriters pursuant to subsections (iii) and (v) shall not exceed $75,000 in the aggregate);</w:t>
      </w:r>
    </w:p>
    <w:p>
      <w:pPr>
        <w:spacing w:after="0" w:line="5" w:lineRule="exact"/>
        <w:rPr>
          <w:rFonts w:ascii="Arial" w:cs="Arial" w:eastAsia="Arial" w:hAnsi="Arial"/>
          <w:sz w:val="14"/>
          <w:szCs w:val="14"/>
          <w:color w:val="auto"/>
        </w:rPr>
      </w:pPr>
    </w:p>
    <w:p>
      <w:pPr>
        <w:jc w:val="both"/>
        <w:ind w:firstLine="7"/>
        <w:spacing w:after="0" w:line="258" w:lineRule="auto"/>
        <w:tabs>
          <w:tab w:leader="none" w:pos="25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the cost of preparing stock certificates; (vii) the cost and charges of any transfer agent or registrar; (viii) the fees and expenses of the Paying Agent; and (ix) all other costs and expenses incident to the performance of its obligations hereunder which are not otherwise specifically provided for in this Section; and (b) such Selling Stockholder will pay or cause to be paid all costs and expenses incident to the performance of such Selling Stockholder’s obligations hereunder with respect to (i) any fees and expenses of counsel for such Selling Stockholder other than those agreed to be paid by the Company, and (ii) all out-of-pocket expenses and taxes incident to the sale and delivery of the Shares to be sold by such Selling Stockholder to the Underwriters hereunder. In connection with clause (b)(ii) of the preceding sentence, the Representatives agree to pay New York State stock transfer tax, and the Selling Stockholders agree to reimburse the Representatives for associated carrying costs if such tax payment is not rebated on the day of payment and for any portion of such tax payment not rebated. It is understood, however, that the Company shall bear, and the Selling Stockholders shall not be required to pay or to reimburse the Company for, the cost of any other matters not directly relating to the sale and purchase of the Shares pursuant to this Agreement, and that, except as provided in this Section, and Sections 10 and 13 hereof, (i) the Underwriters will pay all of their own costs and expenses, including the fees of their counsel, stock transfer taxes on resale of any of the Shares by them, and any advertising expenses connected with any offers they may make, (ii) the Company will bear all of the Company’s (but not the Underwriters’) travel and lodging expenses and the Underwriters will bear all of the Underwriters’ (but not the Company’s) travel and lodging expenses, in each case, in connection with any roadshow (as defined below), and (iii) notwithstanding clause (ii), the Company, on the one hand, and the Underwriters, on the other hand, shall each pay 50% of the cost of any chartered plane, chartered jet or other chartered aircraft used in connection with any roadshow.</w:t>
      </w:r>
    </w:p>
    <w:p>
      <w:pPr>
        <w:spacing w:after="0" w:line="50" w:lineRule="exact"/>
        <w:rPr>
          <w:rFonts w:ascii="Arial" w:cs="Arial" w:eastAsia="Arial" w:hAnsi="Arial"/>
          <w:sz w:val="14"/>
          <w:szCs w:val="14"/>
          <w:color w:val="auto"/>
        </w:rPr>
      </w:pPr>
    </w:p>
    <w:p>
      <w:pPr>
        <w:ind w:firstLine="466"/>
        <w:spacing w:after="0" w:line="299" w:lineRule="auto"/>
        <w:tabs>
          <w:tab w:leader="none" w:pos="764" w:val="left"/>
        </w:tabs>
        <w:numPr>
          <w:ilvl w:val="1"/>
          <w:numId w:val="233"/>
        </w:numPr>
        <w:rPr>
          <w:rFonts w:ascii="Arial" w:cs="Arial" w:eastAsia="Arial" w:hAnsi="Arial"/>
          <w:sz w:val="14"/>
          <w:szCs w:val="14"/>
          <w:color w:val="auto"/>
        </w:rPr>
      </w:pPr>
      <w:r>
        <w:rPr>
          <w:rFonts w:ascii="Arial" w:cs="Arial" w:eastAsia="Arial" w:hAnsi="Arial"/>
          <w:sz w:val="14"/>
          <w:szCs w:val="14"/>
          <w:color w:val="auto"/>
        </w:rPr>
        <w:t>The Company (or if applicable, the Selling Stockholders) will indemnify and hold harmless the Underwriters against (to the extent actually paid or payable by the Underwriters)</w:t>
      </w:r>
    </w:p>
    <w:p>
      <w:pPr>
        <w:sectPr>
          <w:pgSz w:w="11900" w:h="16840" w:orient="portrait"/>
          <w:cols w:equalWidth="0" w:num="1">
            <w:col w:w="10620"/>
          </w:cols>
          <w:pgMar w:left="640" w:top="1440" w:right="640" w:bottom="1440" w:gutter="0" w:footer="0" w:header="0"/>
        </w:sectPr>
      </w:pPr>
    </w:p>
    <w:bookmarkStart w:id="242" w:name="page243"/>
    <w:bookmarkEnd w:id="242"/>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any Stamp Taxes, including any interest and penalties with respect thereto, in connection with the issuance, sale and delivery of the Shares by the Company or such Selling Stockholder, as applicable, to the Underwriters, the initial resale and delivery by the Underwriters of the Shares as contemplated herein or the execution and delivery of this Agreement. The Selling Stockholders will indemnify and hold harmless the Underwriters against any losses, damages, costs and expenses (including reasonable fees and disbursements of their legal counsel) which any of the Underwriters may incur or become subject to, arising from or out of any claim or liability resulting from a breach of the representation contained in Section 1(b)(xvi). All payments made or deemed to be made under this Agreement by, or on behalf of, the Company or a Selling Stockholder, as applicable, will be made exclusive of and without withholding or deduction for or on account of any present or future taxes, duties, assessments or governmental charges of whatsoever nature imposed or levied by or on behalf of any Relevant Taxing Jurisdiction unless the Company or a Selling Stockholder, as applicable, is or becomes required by law to withhold or deduct such taxes, duties, assessments or other governmental charges. In such event, except for any taxes on net income, capital gains or franchise taxes imposed on the Underwriters by a Relevant Taxing Jurisdiction as a result of any present or former connection (other than any connection resulting from the transactions contemplated by this Agreement) between the Underwriters and the Relevant Taxing Jurisdiction imposing such withholding or deductions, the Company or a Selling Stockholder, as applicable, will pay such additional amounts as may be necessary in order to ensure that the net amounts received by each Underwriter after such withholding or deduction shall equal the amounts that would have been received had such deduction or withholding not been required or made. If requested by the Company, the Underwriters shall reasonably cooperate with the Company by using commercially reasonable efforts to provide customary information or documentation, that the Underwriters are legally entitled to provide and the provision of which does not cause a non-de minimis prejudice to the Underwriters’ legal or commercial position, to the extent necessary for the Company to obtain an exemption from, or reduction in, withholding or deduction in connection with the payments under this Agreement. Upon request, the Company or a Selling Stockholder, as applicable, shall provide to the Representatives evidence of any amounts withheld or deducted pursuant to the foregoing and shall also provide to the Representatives any official tax receipt or other documentation issued by the appropriate governmental authorities with respect to the payment of such amounts to such governmental authorities. All sums payable or deemed payable by the Company or a Selling Stockholder, as applicable, under this Agreement shall be considered exclusive of value added tax, sales tax or similar taxes, which taxes shall be borne, paid, collected and remitted by the Company or such Selling Stockholder, if and as applicable.</w:t>
      </w:r>
    </w:p>
    <w:p>
      <w:pPr>
        <w:spacing w:after="0" w:line="46" w:lineRule="exact"/>
        <w:rPr>
          <w:sz w:val="20"/>
          <w:szCs w:val="20"/>
          <w:color w:val="auto"/>
        </w:rPr>
      </w:pPr>
    </w:p>
    <w:p>
      <w:pPr>
        <w:jc w:val="both"/>
        <w:ind w:right="20" w:firstLine="466"/>
        <w:spacing w:after="0" w:line="271" w:lineRule="auto"/>
        <w:tabs>
          <w:tab w:leader="none" w:pos="819" w:val="left"/>
        </w:tabs>
        <w:numPr>
          <w:ilvl w:val="0"/>
          <w:numId w:val="234"/>
        </w:numPr>
        <w:rPr>
          <w:rFonts w:ascii="Arial" w:cs="Arial" w:eastAsia="Arial" w:hAnsi="Arial"/>
          <w:sz w:val="14"/>
          <w:szCs w:val="14"/>
          <w:color w:val="auto"/>
        </w:rPr>
      </w:pPr>
      <w:r>
        <w:rPr>
          <w:rFonts w:ascii="Arial" w:cs="Arial" w:eastAsia="Arial" w:hAnsi="Arial"/>
          <w:sz w:val="14"/>
          <w:szCs w:val="14"/>
          <w:color w:val="auto"/>
        </w:rPr>
        <w:t>The obligations of the Underwriters hereunder, as to the Shares to be delivered at each Time of Delivery, shall be subject, in their discretion, to the condition that all representations and warranties and other statements of the Company and the Selling Stockholders herein are, at and as of the Applicable Time and such Time of Delivery, true and correct, the condition that the Company and the Selling Stockholders shall have performed all of its and their obligations hereunder theretofore to be performed, and the following additional conditions:</w:t>
      </w:r>
    </w:p>
    <w:p>
      <w:pPr>
        <w:spacing w:after="0" w:line="38" w:lineRule="exact"/>
        <w:rPr>
          <w:sz w:val="20"/>
          <w:szCs w:val="20"/>
          <w:color w:val="auto"/>
        </w:rPr>
      </w:pPr>
    </w:p>
    <w:p>
      <w:pPr>
        <w:jc w:val="both"/>
        <w:ind w:right="20" w:firstLine="466"/>
        <w:spacing w:after="0" w:line="278" w:lineRule="auto"/>
        <w:tabs>
          <w:tab w:leader="none" w:pos="841" w:val="left"/>
        </w:tabs>
        <w:numPr>
          <w:ilvl w:val="0"/>
          <w:numId w:val="235"/>
        </w:numPr>
        <w:rPr>
          <w:rFonts w:ascii="Arial" w:cs="Arial" w:eastAsia="Arial" w:hAnsi="Arial"/>
          <w:sz w:val="14"/>
          <w:szCs w:val="14"/>
          <w:color w:val="auto"/>
        </w:rPr>
      </w:pPr>
      <w:r>
        <w:rPr>
          <w:rFonts w:ascii="Arial" w:cs="Arial" w:eastAsia="Arial" w:hAnsi="Arial"/>
          <w:sz w:val="14"/>
          <w:szCs w:val="14"/>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w:t>
      </w:r>
    </w:p>
    <w:p>
      <w:pPr>
        <w:sectPr>
          <w:pgSz w:w="11900" w:h="16840" w:orient="portrait"/>
          <w:cols w:equalWidth="0" w:num="1">
            <w:col w:w="10620"/>
          </w:cols>
          <w:pgMar w:left="640" w:top="1440" w:right="640" w:bottom="1440" w:gutter="0" w:footer="0" w:header="0"/>
        </w:sectPr>
      </w:pPr>
    </w:p>
    <w:bookmarkStart w:id="243" w:name="page244"/>
    <w:bookmarkEnd w:id="243"/>
    <w:p>
      <w:pPr>
        <w:spacing w:after="0" w:line="39" w:lineRule="exact"/>
        <w:rPr>
          <w:sz w:val="20"/>
          <w:szCs w:val="20"/>
          <w:color w:val="auto"/>
        </w:rPr>
      </w:pPr>
    </w:p>
    <w:p>
      <w:pPr>
        <w:jc w:val="both"/>
        <w:ind w:right="60"/>
        <w:spacing w:after="0" w:line="267" w:lineRule="auto"/>
        <w:rPr>
          <w:sz w:val="20"/>
          <w:szCs w:val="20"/>
          <w:color w:val="auto"/>
        </w:rPr>
      </w:pPr>
      <w:r>
        <w:rPr>
          <w:rFonts w:ascii="Arial" w:cs="Arial" w:eastAsia="Arial" w:hAnsi="Arial"/>
          <w:sz w:val="14"/>
          <w:szCs w:val="14"/>
          <w:color w:val="auto"/>
        </w:rPr>
        <w:t>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the Representatives’ reasonable satisfaction;</w:t>
      </w:r>
    </w:p>
    <w:p>
      <w:pPr>
        <w:spacing w:after="0" w:line="42" w:lineRule="exact"/>
        <w:rPr>
          <w:sz w:val="20"/>
          <w:szCs w:val="20"/>
          <w:color w:val="auto"/>
        </w:rPr>
      </w:pPr>
    </w:p>
    <w:p>
      <w:pPr>
        <w:jc w:val="both"/>
        <w:ind w:right="60" w:firstLine="466"/>
        <w:spacing w:after="0" w:line="278" w:lineRule="auto"/>
        <w:tabs>
          <w:tab w:leader="none" w:pos="822" w:val="left"/>
        </w:tabs>
        <w:numPr>
          <w:ilvl w:val="0"/>
          <w:numId w:val="236"/>
        </w:numPr>
        <w:rPr>
          <w:rFonts w:ascii="Arial" w:cs="Arial" w:eastAsia="Arial" w:hAnsi="Arial"/>
          <w:sz w:val="14"/>
          <w:szCs w:val="14"/>
          <w:color w:val="auto"/>
        </w:rPr>
      </w:pPr>
      <w:r>
        <w:rPr>
          <w:rFonts w:ascii="Arial" w:cs="Arial" w:eastAsia="Arial" w:hAnsi="Arial"/>
          <w:sz w:val="14"/>
          <w:szCs w:val="14"/>
          <w:color w:val="auto"/>
        </w:rPr>
        <w:t>Fenwick &amp; West LLP, counsel for the Underwriters, shall have furnished to the Representatives such written opinion or opinions and negative assurance letter, dated such Time of Delivery, in form and substance satisfactory to the Representatives, and such counsel shall have received such papers and information as they may reasonably request to enable them to pass upon such matters;</w:t>
      </w:r>
    </w:p>
    <w:p>
      <w:pPr>
        <w:spacing w:after="0" w:line="33" w:lineRule="exact"/>
        <w:rPr>
          <w:rFonts w:ascii="Arial" w:cs="Arial" w:eastAsia="Arial" w:hAnsi="Arial"/>
          <w:sz w:val="14"/>
          <w:szCs w:val="14"/>
          <w:color w:val="auto"/>
        </w:rPr>
      </w:pPr>
    </w:p>
    <w:p>
      <w:pPr>
        <w:ind w:right="80" w:firstLine="466"/>
        <w:spacing w:after="0" w:line="299" w:lineRule="auto"/>
        <w:tabs>
          <w:tab w:leader="none" w:pos="813" w:val="left"/>
        </w:tabs>
        <w:numPr>
          <w:ilvl w:val="0"/>
          <w:numId w:val="236"/>
        </w:numPr>
        <w:rPr>
          <w:rFonts w:ascii="Arial" w:cs="Arial" w:eastAsia="Arial" w:hAnsi="Arial"/>
          <w:sz w:val="14"/>
          <w:szCs w:val="14"/>
          <w:color w:val="auto"/>
        </w:rPr>
      </w:pPr>
      <w:r>
        <w:rPr>
          <w:rFonts w:ascii="Arial" w:cs="Arial" w:eastAsia="Arial" w:hAnsi="Arial"/>
          <w:sz w:val="14"/>
          <w:szCs w:val="14"/>
          <w:color w:val="auto"/>
        </w:rPr>
        <w:t>Cooley LLP, counsel for the Company, shall have furnished to the Representatives such written opinion or opinions and negative assurance letter, dated such Time of Delivery, in form and substance satisfactory to the Representatives;</w:t>
      </w:r>
    </w:p>
    <w:p>
      <w:pPr>
        <w:spacing w:after="0" w:line="19" w:lineRule="exact"/>
        <w:rPr>
          <w:rFonts w:ascii="Arial" w:cs="Arial" w:eastAsia="Arial" w:hAnsi="Arial"/>
          <w:sz w:val="14"/>
          <w:szCs w:val="14"/>
          <w:color w:val="auto"/>
        </w:rPr>
      </w:pPr>
    </w:p>
    <w:p>
      <w:pPr>
        <w:ind w:right="80" w:firstLine="466"/>
        <w:spacing w:after="0" w:line="299" w:lineRule="auto"/>
        <w:tabs>
          <w:tab w:leader="none" w:pos="886" w:val="left"/>
        </w:tabs>
        <w:numPr>
          <w:ilvl w:val="0"/>
          <w:numId w:val="236"/>
        </w:numPr>
        <w:rPr>
          <w:rFonts w:ascii="Arial" w:cs="Arial" w:eastAsia="Arial" w:hAnsi="Arial"/>
          <w:sz w:val="14"/>
          <w:szCs w:val="14"/>
          <w:color w:val="auto"/>
        </w:rPr>
      </w:pPr>
      <w:r>
        <w:rPr>
          <w:rFonts w:ascii="Arial" w:cs="Arial" w:eastAsia="Arial" w:hAnsi="Arial"/>
          <w:sz w:val="14"/>
          <w:szCs w:val="14"/>
          <w:color w:val="auto"/>
        </w:rPr>
        <w:t>Whalen LLP, counsel for each of the Selling Stockholders, shall have furnished to the Representatives their written opinion with respect to each of the Selling Stockholders for whom they are acting as counsel, dated such Time of Delivery, in form and substance satisfactory to the Representatives;</w:t>
      </w:r>
    </w:p>
    <w:p>
      <w:pPr>
        <w:spacing w:after="0" w:line="19" w:lineRule="exact"/>
        <w:rPr>
          <w:rFonts w:ascii="Arial" w:cs="Arial" w:eastAsia="Arial" w:hAnsi="Arial"/>
          <w:sz w:val="14"/>
          <w:szCs w:val="14"/>
          <w:color w:val="auto"/>
        </w:rPr>
      </w:pPr>
    </w:p>
    <w:p>
      <w:pPr>
        <w:jc w:val="both"/>
        <w:ind w:right="60" w:firstLine="466"/>
        <w:spacing w:after="0" w:line="278" w:lineRule="auto"/>
        <w:tabs>
          <w:tab w:leader="none" w:pos="840" w:val="left"/>
        </w:tabs>
        <w:numPr>
          <w:ilvl w:val="0"/>
          <w:numId w:val="236"/>
        </w:numPr>
        <w:rPr>
          <w:rFonts w:ascii="Arial" w:cs="Arial" w:eastAsia="Arial" w:hAnsi="Arial"/>
          <w:sz w:val="14"/>
          <w:szCs w:val="14"/>
          <w:color w:val="auto"/>
        </w:rPr>
      </w:pPr>
      <w:r>
        <w:rPr>
          <w:rFonts w:ascii="Arial" w:cs="Arial" w:eastAsia="Arial" w:hAnsi="Arial"/>
          <w:sz w:val="14"/>
          <w:szCs w:val="14"/>
          <w:color w:val="auto"/>
        </w:rPr>
        <w:t>On the date of the Prospectus at a time prior to the execution of this Agreement, at 9:30 a.m., Eastern time, on the effective date of any post-effective amendment to the Registration Statement filed subsequent to the date of this Agreement and also at each Time of Delivery, PricewaterhouseCoopers LLP shall have furnished to the Representatives a letter or letters, dated the respective dates of delivery thereof, in form and substance satisfactory to the Representatives;</w:t>
      </w:r>
    </w:p>
    <w:p>
      <w:pPr>
        <w:spacing w:after="0" w:line="33" w:lineRule="exact"/>
        <w:rPr>
          <w:rFonts w:ascii="Arial" w:cs="Arial" w:eastAsia="Arial" w:hAnsi="Arial"/>
          <w:sz w:val="14"/>
          <w:szCs w:val="14"/>
          <w:color w:val="auto"/>
        </w:rPr>
      </w:pPr>
    </w:p>
    <w:p>
      <w:pPr>
        <w:jc w:val="both"/>
        <w:ind w:right="60" w:firstLine="466"/>
        <w:spacing w:after="0" w:line="278" w:lineRule="auto"/>
        <w:tabs>
          <w:tab w:leader="none" w:pos="805" w:val="left"/>
        </w:tabs>
        <w:numPr>
          <w:ilvl w:val="0"/>
          <w:numId w:val="236"/>
        </w:numPr>
        <w:rPr>
          <w:rFonts w:ascii="Arial" w:cs="Arial" w:eastAsia="Arial" w:hAnsi="Arial"/>
          <w:sz w:val="14"/>
          <w:szCs w:val="14"/>
          <w:color w:val="auto"/>
        </w:rPr>
      </w:pPr>
      <w:r>
        <w:rPr>
          <w:rFonts w:ascii="Arial" w:cs="Arial" w:eastAsia="Arial" w:hAnsi="Arial"/>
          <w:sz w:val="14"/>
          <w:szCs w:val="14"/>
          <w:color w:val="auto"/>
        </w:rPr>
        <w:t>On the date of the Prospectus at a time prior to the execution of this Agreement, at 9:30 a.m., Eastern time, on the effective date of any post-effective amendment to the Registration Statement filed subsequent to the date of this Agreement and also at each Time of Delivery, the Company shall have furnished to the Representatives a certificate of the Chief Financial Officer of the Company in form and substance reasonably satisfactory to the Representatives;</w:t>
      </w:r>
    </w:p>
    <w:p>
      <w:pPr>
        <w:spacing w:after="0" w:line="33" w:lineRule="exact"/>
        <w:rPr>
          <w:rFonts w:ascii="Arial" w:cs="Arial" w:eastAsia="Arial" w:hAnsi="Arial"/>
          <w:sz w:val="14"/>
          <w:szCs w:val="14"/>
          <w:color w:val="auto"/>
        </w:rPr>
      </w:pPr>
    </w:p>
    <w:p>
      <w:pPr>
        <w:ind w:firstLine="466"/>
        <w:spacing w:after="0" w:line="262" w:lineRule="auto"/>
        <w:tabs>
          <w:tab w:leader="none" w:pos="839" w:val="left"/>
        </w:tabs>
        <w:numPr>
          <w:ilvl w:val="0"/>
          <w:numId w:val="236"/>
        </w:numPr>
        <w:rPr>
          <w:rFonts w:ascii="Arial" w:cs="Arial" w:eastAsia="Arial" w:hAnsi="Arial"/>
          <w:sz w:val="14"/>
          <w:szCs w:val="14"/>
          <w:color w:val="auto"/>
        </w:rPr>
      </w:pPr>
      <w:r>
        <w:rPr>
          <w:rFonts w:ascii="Arial" w:cs="Arial" w:eastAsia="Arial" w:hAnsi="Arial"/>
          <w:sz w:val="14"/>
          <w:szCs w:val="14"/>
          <w:color w:val="auto"/>
        </w:rPr>
        <w:t>(i) Neither the Company nor any of its subsidiaries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(A) the exercise or settlement, if any, of stock options or restricted stock units (including any “net” or “cashless” exercises or settlements) or the award, if any, of stock options or restricted stock units, in each case in the ordinary course of business pursuant to the Company’s equity plans that are described in the Pricing Prospectus and the Prospectus, (B) the repurchase of shares of capital stock upon termination of the holder’s employment or service with the Company pursuant to agreements providing for an option to repurchase or a right of first refusal on behalf of the Company, (C) the</w:t>
      </w:r>
    </w:p>
    <w:p>
      <w:pPr>
        <w:sectPr>
          <w:pgSz w:w="11900" w:h="16840" w:orient="portrait"/>
          <w:cols w:equalWidth="0" w:num="1">
            <w:col w:w="10660"/>
          </w:cols>
          <w:pgMar w:left="640" w:top="1440" w:right="600" w:bottom="1440" w:gutter="0" w:footer="0" w:header="0"/>
        </w:sectPr>
      </w:pPr>
    </w:p>
    <w:bookmarkStart w:id="244" w:name="page245"/>
    <w:bookmarkEnd w:id="244"/>
    <w:p>
      <w:pPr>
        <w:spacing w:after="0" w:line="39" w:lineRule="exact"/>
        <w:rPr>
          <w:sz w:val="20"/>
          <w:szCs w:val="20"/>
          <w:color w:val="auto"/>
        </w:rPr>
      </w:pPr>
    </w:p>
    <w:p>
      <w:pPr>
        <w:jc w:val="both"/>
        <w:ind w:right="20"/>
        <w:spacing w:after="0" w:line="263" w:lineRule="auto"/>
        <w:rPr>
          <w:sz w:val="20"/>
          <w:szCs w:val="20"/>
          <w:color w:val="auto"/>
        </w:rPr>
      </w:pPr>
      <w:r>
        <w:rPr>
          <w:rFonts w:ascii="Arial" w:cs="Arial" w:eastAsia="Arial" w:hAnsi="Arial"/>
          <w:sz w:val="14"/>
          <w:szCs w:val="14"/>
          <w:color w:val="auto"/>
        </w:rPr>
        <w:t>issuance, if any, of stock upon exercise or conversion of Company securities as described in the Pricing Prospectus and the Prospectus) or long-term debt of the Company or any of its subsidiaries or any change or effect, or any development involving a prospective change or effect, in or affecting (x) the business, properties, general affairs, management, financial position, stockholders’ equity or results of operations of the Company and its subsidiaries, taken as a whole, except as set forth or contemplated in the Pricing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the Representatives’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47" w:lineRule="exact"/>
        <w:rPr>
          <w:sz w:val="20"/>
          <w:szCs w:val="20"/>
          <w:color w:val="auto"/>
        </w:rPr>
      </w:pPr>
    </w:p>
    <w:p>
      <w:pPr>
        <w:jc w:val="both"/>
        <w:ind w:firstLine="466"/>
        <w:spacing w:after="0" w:line="263" w:lineRule="auto"/>
        <w:tabs>
          <w:tab w:leader="none" w:pos="795" w:val="left"/>
        </w:tabs>
        <w:numPr>
          <w:ilvl w:val="1"/>
          <w:numId w:val="237"/>
        </w:numPr>
        <w:rPr>
          <w:rFonts w:ascii="Arial" w:cs="Arial" w:eastAsia="Arial" w:hAnsi="Arial"/>
          <w:sz w:val="14"/>
          <w:szCs w:val="14"/>
          <w:color w:val="auto"/>
        </w:rPr>
      </w:pPr>
      <w:r>
        <w:rPr>
          <w:rFonts w:ascii="Arial" w:cs="Arial" w:eastAsia="Arial" w:hAnsi="Arial"/>
          <w:sz w:val="14"/>
          <w:szCs w:val="14"/>
          <w:color w:val="auto"/>
        </w:rPr>
        <w:t>On or after the Applicable Time there shall not have occurred any of the following: (i) a suspension or material limitation in trading in securities generally on the New York Stock Exchange or the Nasdaq Global Select Market;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Representatives’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219" w:lineRule="exact"/>
        <w:rPr>
          <w:rFonts w:ascii="Arial" w:cs="Arial" w:eastAsia="Arial" w:hAnsi="Arial"/>
          <w:sz w:val="14"/>
          <w:szCs w:val="14"/>
          <w:color w:val="auto"/>
        </w:rPr>
      </w:pPr>
    </w:p>
    <w:p>
      <w:pPr>
        <w:jc w:val="both"/>
        <w:ind w:right="20" w:firstLine="466"/>
        <w:spacing w:after="0" w:line="267" w:lineRule="auto"/>
        <w:tabs>
          <w:tab w:leader="none" w:pos="847" w:val="left"/>
        </w:tabs>
        <w:numPr>
          <w:ilvl w:val="1"/>
          <w:numId w:val="237"/>
        </w:numPr>
        <w:rPr>
          <w:rFonts w:ascii="Arial" w:cs="Arial" w:eastAsia="Arial" w:hAnsi="Arial"/>
          <w:sz w:val="14"/>
          <w:szCs w:val="14"/>
          <w:color w:val="auto"/>
        </w:rPr>
      </w:pPr>
      <w:r>
        <w:rPr>
          <w:rFonts w:ascii="Arial" w:cs="Arial" w:eastAsia="Arial" w:hAnsi="Arial"/>
          <w:sz w:val="14"/>
          <w:szCs w:val="14"/>
          <w:color w:val="auto"/>
        </w:rPr>
        <w:t>On or after the Applicable Time and at each Time of Delivery, there shall be no debt securities, convertible securities or preferred stock issued or guaranteed by the Company or any of its subsidiaries that are rated by a “nationally recognized statistical rating organization”, as such term is defined in Section 3(a)</w:t>
      </w:r>
    </w:p>
    <w:p>
      <w:pPr>
        <w:ind w:left="300" w:hanging="293"/>
        <w:spacing w:after="0"/>
        <w:tabs>
          <w:tab w:leader="none" w:pos="300" w:val="left"/>
        </w:tabs>
        <w:numPr>
          <w:ilvl w:val="0"/>
          <w:numId w:val="238"/>
        </w:numPr>
        <w:rPr>
          <w:rFonts w:ascii="Arial" w:cs="Arial" w:eastAsia="Arial" w:hAnsi="Arial"/>
          <w:sz w:val="14"/>
          <w:szCs w:val="14"/>
          <w:color w:val="auto"/>
        </w:rPr>
      </w:pPr>
      <w:r>
        <w:rPr>
          <w:rFonts w:ascii="Arial" w:cs="Arial" w:eastAsia="Arial" w:hAnsi="Arial"/>
          <w:sz w:val="14"/>
          <w:szCs w:val="14"/>
          <w:color w:val="auto"/>
        </w:rPr>
        <w:t>under the Exchange Act;</w:t>
      </w:r>
    </w:p>
    <w:p>
      <w:pPr>
        <w:spacing w:after="0" w:line="73" w:lineRule="exact"/>
        <w:rPr>
          <w:rFonts w:ascii="Arial" w:cs="Arial" w:eastAsia="Arial" w:hAnsi="Arial"/>
          <w:sz w:val="14"/>
          <w:szCs w:val="14"/>
          <w:color w:val="auto"/>
        </w:rPr>
      </w:pPr>
    </w:p>
    <w:p>
      <w:pPr>
        <w:ind w:left="760" w:hanging="294"/>
        <w:spacing w:after="0"/>
        <w:tabs>
          <w:tab w:leader="none" w:pos="760" w:val="left"/>
        </w:tabs>
        <w:numPr>
          <w:ilvl w:val="1"/>
          <w:numId w:val="238"/>
        </w:numPr>
        <w:rPr>
          <w:rFonts w:ascii="Arial" w:cs="Arial" w:eastAsia="Arial" w:hAnsi="Arial"/>
          <w:sz w:val="14"/>
          <w:szCs w:val="14"/>
          <w:color w:val="auto"/>
        </w:rPr>
      </w:pPr>
      <w:r>
        <w:rPr>
          <w:rFonts w:ascii="Arial" w:cs="Arial" w:eastAsia="Arial" w:hAnsi="Arial"/>
          <w:sz w:val="14"/>
          <w:szCs w:val="14"/>
          <w:color w:val="auto"/>
        </w:rPr>
        <w:t>The Shares to be sold at such Time of Delivery shall have been duly listed, subject to notice of issuance, on the Exchange;</w:t>
      </w:r>
    </w:p>
    <w:p>
      <w:pPr>
        <w:spacing w:after="0" w:line="87" w:lineRule="exact"/>
        <w:rPr>
          <w:rFonts w:ascii="Arial" w:cs="Arial" w:eastAsia="Arial" w:hAnsi="Arial"/>
          <w:sz w:val="14"/>
          <w:szCs w:val="14"/>
          <w:color w:val="auto"/>
        </w:rPr>
      </w:pPr>
    </w:p>
    <w:p>
      <w:pPr>
        <w:ind w:right="40" w:firstLine="466"/>
        <w:spacing w:after="0" w:line="299" w:lineRule="auto"/>
        <w:tabs>
          <w:tab w:leader="none" w:pos="838" w:val="left"/>
        </w:tabs>
        <w:numPr>
          <w:ilvl w:val="1"/>
          <w:numId w:val="238"/>
        </w:numPr>
        <w:rPr>
          <w:rFonts w:ascii="Arial" w:cs="Arial" w:eastAsia="Arial" w:hAnsi="Arial"/>
          <w:sz w:val="14"/>
          <w:szCs w:val="14"/>
          <w:color w:val="auto"/>
        </w:rPr>
      </w:pPr>
      <w:r>
        <w:rPr>
          <w:rFonts w:ascii="Arial" w:cs="Arial" w:eastAsia="Arial" w:hAnsi="Arial"/>
          <w:sz w:val="14"/>
          <w:szCs w:val="14"/>
          <w:color w:val="auto"/>
        </w:rPr>
        <w:t>The Company shall have obtained and delivered to the Underwriters executed copies of a Lock-Up Agreement from each officer, director and stockholder of the Company, substantially in the form set forth in Annex II hereto;</w:t>
      </w:r>
    </w:p>
    <w:p>
      <w:pPr>
        <w:spacing w:after="0" w:line="19" w:lineRule="exact"/>
        <w:rPr>
          <w:rFonts w:ascii="Arial" w:cs="Arial" w:eastAsia="Arial" w:hAnsi="Arial"/>
          <w:sz w:val="14"/>
          <w:szCs w:val="14"/>
          <w:color w:val="auto"/>
        </w:rPr>
      </w:pPr>
    </w:p>
    <w:p>
      <w:pPr>
        <w:ind w:right="20" w:firstLine="466"/>
        <w:spacing w:after="0" w:line="299" w:lineRule="auto"/>
        <w:tabs>
          <w:tab w:leader="none" w:pos="795" w:val="left"/>
        </w:tabs>
        <w:numPr>
          <w:ilvl w:val="1"/>
          <w:numId w:val="238"/>
        </w:numPr>
        <w:rPr>
          <w:rFonts w:ascii="Arial" w:cs="Arial" w:eastAsia="Arial" w:hAnsi="Arial"/>
          <w:sz w:val="14"/>
          <w:szCs w:val="14"/>
          <w:color w:val="auto"/>
        </w:rPr>
      </w:pPr>
      <w:r>
        <w:rPr>
          <w:rFonts w:ascii="Arial" w:cs="Arial" w:eastAsia="Arial" w:hAnsi="Arial"/>
          <w:sz w:val="14"/>
          <w:szCs w:val="14"/>
          <w:color w:val="auto"/>
        </w:rPr>
        <w:t>The Company shall have complied with the provisions of Section 5(c) hereof with respect to the furnishing of prospectuses on the New York Business Day next succeeding the date of this Agreement; and</w:t>
      </w:r>
    </w:p>
    <w:p>
      <w:pPr>
        <w:spacing w:after="0" w:line="19" w:lineRule="exact"/>
        <w:rPr>
          <w:rFonts w:ascii="Arial" w:cs="Arial" w:eastAsia="Arial" w:hAnsi="Arial"/>
          <w:sz w:val="14"/>
          <w:szCs w:val="14"/>
          <w:color w:val="auto"/>
        </w:rPr>
      </w:pPr>
    </w:p>
    <w:p>
      <w:pPr>
        <w:jc w:val="both"/>
        <w:ind w:right="20" w:firstLine="466"/>
        <w:spacing w:after="0" w:line="267" w:lineRule="auto"/>
        <w:tabs>
          <w:tab w:leader="none" w:pos="849" w:val="left"/>
        </w:tabs>
        <w:numPr>
          <w:ilvl w:val="1"/>
          <w:numId w:val="238"/>
        </w:numPr>
        <w:rPr>
          <w:rFonts w:ascii="Arial" w:cs="Arial" w:eastAsia="Arial" w:hAnsi="Arial"/>
          <w:sz w:val="14"/>
          <w:szCs w:val="14"/>
          <w:color w:val="auto"/>
        </w:rPr>
      </w:pPr>
      <w:r>
        <w:rPr>
          <w:rFonts w:ascii="Arial" w:cs="Arial" w:eastAsia="Arial" w:hAnsi="Arial"/>
          <w:sz w:val="14"/>
          <w:szCs w:val="14"/>
          <w:color w:val="auto"/>
        </w:rPr>
        <w:t>The Company and the Selling Stockholders shall have furnished or caused to be furnished to the Representatives at such Time of Delivery certificates of officers of the Company and an Attorney-in-Fact on behalf of the Selling Stockholders, respectively, satisfactory to the Representatives as to the accuracy of the representations and warranties of the Company and the Selling Stockholders, respectively, herein at and as of such Time of Delivery, as to the performance by the Company and the Selling Stockholders of all of their respective obligations hereunder to be performed at or prior to such Time of Delivery, as to such other matters as you may reasonably request, and the Company shall have furnished or caused to be furnished</w:t>
      </w:r>
    </w:p>
    <w:p>
      <w:pPr>
        <w:sectPr>
          <w:pgSz w:w="11900" w:h="16840" w:orient="portrait"/>
          <w:cols w:equalWidth="0" w:num="1">
            <w:col w:w="10620"/>
          </w:cols>
          <w:pgMar w:left="640" w:top="1440" w:right="640" w:bottom="1440" w:gutter="0" w:footer="0" w:header="0"/>
        </w:sectPr>
      </w:pPr>
    </w:p>
    <w:bookmarkStart w:id="245" w:name="page246"/>
    <w:bookmarkEnd w:id="245"/>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certificates as to the matters set forth in subsections (a), (g) and (h) of this Section 9 and as to such other matters as the Representatives may reasonably request.</w:t>
      </w:r>
    </w:p>
    <w:p>
      <w:pPr>
        <w:spacing w:after="0" w:line="88" w:lineRule="exact"/>
        <w:rPr>
          <w:sz w:val="20"/>
          <w:szCs w:val="20"/>
          <w:color w:val="auto"/>
        </w:rPr>
      </w:pPr>
    </w:p>
    <w:p>
      <w:pPr>
        <w:jc w:val="both"/>
        <w:ind w:right="20" w:firstLine="466"/>
        <w:spacing w:after="0" w:line="260" w:lineRule="auto"/>
        <w:tabs>
          <w:tab w:leader="none" w:pos="827" w:val="left"/>
        </w:tabs>
        <w:numPr>
          <w:ilvl w:val="0"/>
          <w:numId w:val="239"/>
        </w:numPr>
        <w:rPr>
          <w:rFonts w:ascii="Arial" w:cs="Arial" w:eastAsia="Arial" w:hAnsi="Arial"/>
          <w:sz w:val="14"/>
          <w:szCs w:val="14"/>
          <w:color w:val="auto"/>
        </w:rPr>
      </w:pPr>
      <w:r>
        <w:rPr>
          <w:rFonts w:ascii="Arial" w:cs="Arial" w:eastAsia="Arial" w:hAnsi="Arial"/>
          <w:sz w:val="14"/>
          <w:szCs w:val="14"/>
          <w:color w:val="auto"/>
        </w:rPr>
        <w:t>(a) The Company will indemnify and hold harmless each Underwriter and each Selling Stockholder against any losses, claims, damages or liabilities, joint or several, to which such Underwriter or Selling Stockholder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and Selling Stockholder for any legal or other expenses reasonably incurred by such Underwriter or Selling Stockholder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Testing-the-Waters Communication, in reliance upon and in conformity with the Underwriter Information.</w:t>
      </w:r>
    </w:p>
    <w:p>
      <w:pPr>
        <w:spacing w:after="0" w:line="225" w:lineRule="exact"/>
        <w:rPr>
          <w:sz w:val="20"/>
          <w:szCs w:val="20"/>
          <w:color w:val="auto"/>
        </w:rPr>
      </w:pPr>
    </w:p>
    <w:p>
      <w:pPr>
        <w:jc w:val="both"/>
        <w:ind w:firstLine="466"/>
        <w:spacing w:after="0" w:line="259" w:lineRule="auto"/>
        <w:tabs>
          <w:tab w:leader="none" w:pos="868" w:val="left"/>
        </w:tabs>
        <w:numPr>
          <w:ilvl w:val="0"/>
          <w:numId w:val="240"/>
        </w:numPr>
        <w:rPr>
          <w:rFonts w:ascii="Arial" w:cs="Arial" w:eastAsia="Arial" w:hAnsi="Arial"/>
          <w:sz w:val="14"/>
          <w:szCs w:val="14"/>
          <w:color w:val="auto"/>
        </w:rPr>
      </w:pPr>
      <w:r>
        <w:rPr>
          <w:rFonts w:ascii="Arial" w:cs="Arial" w:eastAsia="Arial" w:hAnsi="Arial"/>
          <w:sz w:val="14"/>
          <w:szCs w:val="14"/>
          <w:color w:val="auto"/>
        </w:rPr>
        <w:t>Each of the Selling Stockholders, severally and not jointly, will indemnify and hold harmless each Underwriter and the Company against any losses, claims, damages or liabilities, joint or several, to which such Underwriter or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Selling Stockholder Information of such Selling Stockholder; and will reimburse each Underwriter and the Company for any legal or other expenses reasonably incurred by such Underwriter or the Company in connection with investigating or defending any such action or claim as such expenses are incurred; provided, however, that such Selling Stockholder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in reliance upon and in conformity with the Underwriter Information. The liability of each Selling Stockholder under the indemnity agreement contained in this paragraph shall be limited to an amount equal to the aggregate net proceeds (after deducting underwriting discounts and commissions but before deducting</w:t>
      </w:r>
    </w:p>
    <w:p>
      <w:pPr>
        <w:sectPr>
          <w:pgSz w:w="11900" w:h="16840" w:orient="portrait"/>
          <w:cols w:equalWidth="0" w:num="1">
            <w:col w:w="10640"/>
          </w:cols>
          <w:pgMar w:left="640" w:top="1440" w:right="620" w:bottom="1440" w:gutter="0" w:footer="0" w:header="0"/>
        </w:sectPr>
      </w:pPr>
    </w:p>
    <w:bookmarkStart w:id="246" w:name="page247"/>
    <w:bookmarkEnd w:id="246"/>
    <w:p>
      <w:pPr>
        <w:spacing w:after="0" w:line="39" w:lineRule="exact"/>
        <w:rPr>
          <w:sz w:val="20"/>
          <w:szCs w:val="20"/>
          <w:color w:val="auto"/>
        </w:rPr>
      </w:pPr>
    </w:p>
    <w:p>
      <w:pPr>
        <w:ind w:right="20"/>
        <w:spacing w:after="0" w:line="299" w:lineRule="auto"/>
        <w:rPr>
          <w:sz w:val="20"/>
          <w:szCs w:val="20"/>
          <w:color w:val="auto"/>
        </w:rPr>
      </w:pPr>
      <w:r>
        <w:rPr>
          <w:rFonts w:ascii="Arial" w:cs="Arial" w:eastAsia="Arial" w:hAnsi="Arial"/>
          <w:sz w:val="14"/>
          <w:szCs w:val="14"/>
          <w:color w:val="auto"/>
        </w:rPr>
        <w:t>expenses) of the Shares sold by such Selling Stockholder under this Agreement (with respect to each Selling Stockholder, the “Selling Stockholder Proceeds”) less any amounts such Selling Stockholder is obligated to contribute pursuant to contribution provisions of Section 10(e) below.</w:t>
      </w:r>
    </w:p>
    <w:p>
      <w:pPr>
        <w:spacing w:after="0" w:line="20" w:lineRule="exact"/>
        <w:rPr>
          <w:sz w:val="20"/>
          <w:szCs w:val="20"/>
          <w:color w:val="auto"/>
        </w:rPr>
      </w:pPr>
    </w:p>
    <w:p>
      <w:pPr>
        <w:jc w:val="both"/>
        <w:ind w:firstLine="466"/>
        <w:spacing w:after="0" w:line="260" w:lineRule="auto"/>
        <w:tabs>
          <w:tab w:leader="none" w:pos="694" w:val="left"/>
        </w:tabs>
        <w:numPr>
          <w:ilvl w:val="0"/>
          <w:numId w:val="241"/>
        </w:numPr>
        <w:rPr>
          <w:rFonts w:ascii="Arial" w:cs="Arial" w:eastAsia="Arial" w:hAnsi="Arial"/>
          <w:sz w:val="14"/>
          <w:szCs w:val="14"/>
          <w:color w:val="auto"/>
        </w:rPr>
      </w:pPr>
      <w:r>
        <w:rPr>
          <w:rFonts w:ascii="Arial" w:cs="Arial" w:eastAsia="Arial" w:hAnsi="Arial"/>
          <w:sz w:val="14"/>
          <w:szCs w:val="14"/>
          <w:color w:val="auto"/>
        </w:rPr>
        <w:t>Each Underwriter, severally and not jointly, will indemnify and hold harmless the Company and each Selling Stockholder against any losses, claims, damages or liabilities to which the Company or such Selling Stockholder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and each Selling Stockholder for any legal or other expenses reasonably incurred by the Company or such Selling Stockholder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 • ] paragraph under the caption “Underwriting,” and the information contained in the [ • ] paragraph under the caption “Underwriting.”</w:t>
      </w:r>
    </w:p>
    <w:p>
      <w:pPr>
        <w:spacing w:after="0" w:line="46" w:lineRule="exact"/>
        <w:rPr>
          <w:rFonts w:ascii="Arial" w:cs="Arial" w:eastAsia="Arial" w:hAnsi="Arial"/>
          <w:sz w:val="14"/>
          <w:szCs w:val="14"/>
          <w:color w:val="auto"/>
        </w:rPr>
      </w:pPr>
    </w:p>
    <w:p>
      <w:pPr>
        <w:jc w:val="both"/>
        <w:ind w:firstLine="466"/>
        <w:spacing w:after="0" w:line="260" w:lineRule="auto"/>
        <w:tabs>
          <w:tab w:leader="none" w:pos="865" w:val="left"/>
        </w:tabs>
        <w:numPr>
          <w:ilvl w:val="0"/>
          <w:numId w:val="241"/>
        </w:numPr>
        <w:rPr>
          <w:rFonts w:ascii="Arial" w:cs="Arial" w:eastAsia="Arial" w:hAnsi="Arial"/>
          <w:sz w:val="14"/>
          <w:szCs w:val="14"/>
          <w:color w:val="auto"/>
        </w:rPr>
      </w:pPr>
      <w:r>
        <w:rPr>
          <w:rFonts w:ascii="Arial" w:cs="Arial" w:eastAsia="Arial" w:hAnsi="Arial"/>
          <w:sz w:val="14"/>
          <w:szCs w:val="14"/>
          <w:color w:val="auto"/>
        </w:rPr>
        <w:t>Promptly after receipt by an indemnified party under subsection (a), (b), or (c) of this Section 10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10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10.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w:t>
      </w:r>
    </w:p>
    <w:p>
      <w:pPr>
        <w:sectPr>
          <w:pgSz w:w="11900" w:h="16840" w:orient="portrait"/>
          <w:cols w:equalWidth="0" w:num="1">
            <w:col w:w="10620"/>
          </w:cols>
          <w:pgMar w:left="640" w:top="1440" w:right="640" w:bottom="1440" w:gutter="0" w:footer="0" w:header="0"/>
        </w:sectPr>
      </w:pPr>
    </w:p>
    <w:bookmarkStart w:id="247" w:name="page248"/>
    <w:bookmarkEnd w:id="247"/>
    <w:p>
      <w:pPr>
        <w:spacing w:after="0" w:line="3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38" w:lineRule="exact"/>
        <w:rPr>
          <w:sz w:val="20"/>
          <w:szCs w:val="20"/>
          <w:color w:val="auto"/>
        </w:rPr>
      </w:pPr>
    </w:p>
    <w:p>
      <w:pPr>
        <w:jc w:val="both"/>
        <w:ind w:firstLine="466"/>
        <w:spacing w:after="0" w:line="258" w:lineRule="auto"/>
        <w:tabs>
          <w:tab w:leader="none" w:pos="679" w:val="left"/>
        </w:tabs>
        <w:numPr>
          <w:ilvl w:val="0"/>
          <w:numId w:val="242"/>
        </w:numPr>
        <w:rPr>
          <w:rFonts w:ascii="Arial" w:cs="Arial" w:eastAsia="Arial" w:hAnsi="Arial"/>
          <w:sz w:val="14"/>
          <w:szCs w:val="14"/>
          <w:color w:val="auto"/>
        </w:rPr>
      </w:pPr>
      <w:r>
        <w:rPr>
          <w:rFonts w:ascii="Arial" w:cs="Arial" w:eastAsia="Arial" w:hAnsi="Arial"/>
          <w:sz w:val="14"/>
          <w:szCs w:val="14"/>
          <w:color w:val="auto"/>
        </w:rPr>
        <w:t>If the indemnification provided for in this Section 10 is unavailable to or insufficient to hold harmless an indemnified party under subsection (a), (b) or (c)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Selling Stockholders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and the Selling Stockholders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and the Selling Stockholders on the one hand and the Underwriters on the other shall be deemed to be in the same proportion as the total net proceeds from the offering (before deducting expenses) received by the Company and the Selling Stockholders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Selling Stockholders on the one hand or the Underwriters on the other and the parties’ relative intent, knowledge, access to information and opportunity to correct or prevent such statement or omission. The Company, each of the Selling Stockholders and the Underwriters agree that it would not be just and equitable if contribution pursuant to this subsection (e) were determined by pro rata allocation (even if the Underwriters were treated as one entity for such purpose) or by any other method of allocation which does not take account of the equitable considerations referred to above in this subsection (e). The amount paid or payable by an indemnified party as a result of the losses, claims, damages or liabilities (or actions in respect thereof) referred to above in this subsection (e) shall be deemed to include any legal or other expenses reasonably incurred by such indemnified party in connection with investigating or defending any such action or claim. Notwithstanding the provisions of this subsection (e),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(e) to contribute are several in proportion to their respective underwriting obligations and not joint. The liability of each Selling Stockholder under this Section 10(e) is several and not joint</w:t>
      </w:r>
    </w:p>
    <w:p>
      <w:pPr>
        <w:sectPr>
          <w:pgSz w:w="11900" w:h="16840" w:orient="portrait"/>
          <w:cols w:equalWidth="0" w:num="1">
            <w:col w:w="10620"/>
          </w:cols>
          <w:pgMar w:left="640" w:top="1440" w:right="640" w:bottom="1440" w:gutter="0" w:footer="0" w:header="0"/>
        </w:sectPr>
      </w:pPr>
    </w:p>
    <w:bookmarkStart w:id="248" w:name="page249"/>
    <w:bookmarkEnd w:id="248"/>
    <w:p>
      <w:pPr>
        <w:spacing w:after="0" w:line="39"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and shall be limited to an amount equal to its Selling Stockholder Proceeds less any amounts such Selling Stockholder is obligated to pay pursuant to Section (b) above.</w:t>
      </w:r>
    </w:p>
    <w:p>
      <w:pPr>
        <w:spacing w:after="0" w:line="241" w:lineRule="exact"/>
        <w:rPr>
          <w:sz w:val="20"/>
          <w:szCs w:val="20"/>
          <w:color w:val="auto"/>
        </w:rPr>
      </w:pPr>
    </w:p>
    <w:p>
      <w:pPr>
        <w:jc w:val="both"/>
        <w:ind w:firstLine="466"/>
        <w:spacing w:after="0" w:line="265" w:lineRule="auto"/>
        <w:tabs>
          <w:tab w:leader="none" w:pos="775" w:val="left"/>
        </w:tabs>
        <w:numPr>
          <w:ilvl w:val="0"/>
          <w:numId w:val="243"/>
        </w:numPr>
        <w:rPr>
          <w:rFonts w:ascii="Arial" w:cs="Arial" w:eastAsia="Arial" w:hAnsi="Arial"/>
          <w:sz w:val="14"/>
          <w:szCs w:val="14"/>
          <w:color w:val="auto"/>
        </w:rPr>
      </w:pPr>
      <w:r>
        <w:rPr>
          <w:rFonts w:ascii="Arial" w:cs="Arial" w:eastAsia="Arial" w:hAnsi="Arial"/>
          <w:sz w:val="14"/>
          <w:szCs w:val="14"/>
          <w:color w:val="auto"/>
        </w:rPr>
        <w:t>The obligations of the Company and the Selling Stockholders under this Section 10 shall be in addition to any liability which the Company and the Selling Stockholders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10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or any Selling Stockholder within the meaning of the Act.</w:t>
      </w:r>
    </w:p>
    <w:p>
      <w:pPr>
        <w:spacing w:after="0" w:line="43" w:lineRule="exact"/>
        <w:rPr>
          <w:sz w:val="20"/>
          <w:szCs w:val="20"/>
          <w:color w:val="auto"/>
        </w:rPr>
      </w:pPr>
    </w:p>
    <w:p>
      <w:pPr>
        <w:jc w:val="both"/>
        <w:ind w:firstLine="466"/>
        <w:spacing w:after="0" w:line="261" w:lineRule="auto"/>
        <w:tabs>
          <w:tab w:leader="none" w:pos="721" w:val="left"/>
        </w:tabs>
        <w:numPr>
          <w:ilvl w:val="0"/>
          <w:numId w:val="244"/>
        </w:numPr>
        <w:rPr>
          <w:rFonts w:ascii="Arial" w:cs="Arial" w:eastAsia="Arial" w:hAnsi="Arial"/>
          <w:sz w:val="14"/>
          <w:szCs w:val="14"/>
          <w:color w:val="auto"/>
        </w:rPr>
      </w:pPr>
      <w:r>
        <w:rPr>
          <w:rFonts w:ascii="Arial" w:cs="Arial" w:eastAsia="Arial" w:hAnsi="Arial"/>
          <w:sz w:val="14"/>
          <w:szCs w:val="14"/>
          <w:color w:val="auto"/>
        </w:rPr>
        <w:t>(a) If any Underwriter shall default in its obligation to purchase the Shares which it has agreed to purchase hereunder at a Time of Delivery, the Representatives may in their discretion arrange for the Representatives or another party or other parties to purchase such Shares on the terms contained herein. If within thirty-six hours after such default by any Underwriter the Representatives do not arrange for the purchase of such Shares, then the Company and the Selling Stockholders shall be entitled to a further period of thirty-six hours within which to procure another party or other parties reasonably satisfactory to the Representatives to purchase such Shares on such terms. In the event that, within the respective prescribed periods, the Representatives notify the Company and the Selling Stockholders that the Representatives have so arranged for the purchase of such Shares, or the Company or a Selling Stockholder notifies the Representatives that it has so arranged for the purchase of such Shares, the Representatives or the Company or the Selling Stockholders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the Representatives’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45" w:lineRule="exact"/>
        <w:rPr>
          <w:sz w:val="20"/>
          <w:szCs w:val="20"/>
          <w:color w:val="auto"/>
        </w:rPr>
      </w:pPr>
    </w:p>
    <w:p>
      <w:pPr>
        <w:jc w:val="both"/>
        <w:ind w:firstLine="466"/>
        <w:spacing w:after="0" w:line="263" w:lineRule="auto"/>
        <w:tabs>
          <w:tab w:leader="none" w:pos="682" w:val="left"/>
        </w:tabs>
        <w:numPr>
          <w:ilvl w:val="0"/>
          <w:numId w:val="245"/>
        </w:numPr>
        <w:rPr>
          <w:rFonts w:ascii="Arial" w:cs="Arial" w:eastAsia="Arial" w:hAnsi="Arial"/>
          <w:sz w:val="14"/>
          <w:szCs w:val="14"/>
          <w:color w:val="auto"/>
        </w:rPr>
      </w:pPr>
      <w:r>
        <w:rPr>
          <w:rFonts w:ascii="Arial" w:cs="Arial" w:eastAsia="Arial" w:hAnsi="Arial"/>
          <w:sz w:val="14"/>
          <w:szCs w:val="14"/>
          <w:color w:val="auto"/>
        </w:rPr>
        <w:t>If, after giving effect to any arrangements for the purchase of the Shares of a defaulting Underwriter or Underwriters by the Representatives, the Company and the Selling Stockholders as provided in subsection (a) above, the aggregate number of such Shares which remains unpurchased does not exceed one-eleventh of the aggregate number of all the Shares to be purchased at such Time of Delivery, then the Company and the Selling Stockholders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47" w:lineRule="exact"/>
        <w:rPr>
          <w:rFonts w:ascii="Arial" w:cs="Arial" w:eastAsia="Arial" w:hAnsi="Arial"/>
          <w:sz w:val="14"/>
          <w:szCs w:val="14"/>
          <w:color w:val="auto"/>
        </w:rPr>
      </w:pPr>
    </w:p>
    <w:p>
      <w:pPr>
        <w:jc w:val="both"/>
        <w:ind w:firstLine="466"/>
        <w:spacing w:after="0" w:line="278" w:lineRule="auto"/>
        <w:tabs>
          <w:tab w:leader="none" w:pos="674" w:val="left"/>
        </w:tabs>
        <w:numPr>
          <w:ilvl w:val="0"/>
          <w:numId w:val="245"/>
        </w:numPr>
        <w:rPr>
          <w:rFonts w:ascii="Arial" w:cs="Arial" w:eastAsia="Arial" w:hAnsi="Arial"/>
          <w:sz w:val="14"/>
          <w:szCs w:val="14"/>
          <w:color w:val="auto"/>
        </w:rPr>
      </w:pPr>
      <w:r>
        <w:rPr>
          <w:rFonts w:ascii="Arial" w:cs="Arial" w:eastAsia="Arial" w:hAnsi="Arial"/>
          <w:sz w:val="14"/>
          <w:szCs w:val="14"/>
          <w:color w:val="auto"/>
        </w:rPr>
        <w:t>If, after giving effect to any arrangements for the purchase of the Shares of a defaulting Underwriter or Underwriters by the Representatives, the Company and the Selling Stockholders as provided in subsection (a) above, the aggregate number of such Shares which remains unpurchased exceeds one-eleventh of the aggregate number of all the Shares to be</w:t>
      </w:r>
    </w:p>
    <w:p>
      <w:pPr>
        <w:sectPr>
          <w:pgSz w:w="11900" w:h="16840" w:orient="portrait"/>
          <w:cols w:equalWidth="0" w:num="1">
            <w:col w:w="10620"/>
          </w:cols>
          <w:pgMar w:left="640" w:top="1440" w:right="640" w:bottom="1440" w:gutter="0" w:footer="0" w:header="0"/>
        </w:sectPr>
      </w:pPr>
    </w:p>
    <w:bookmarkStart w:id="249" w:name="page250"/>
    <w:bookmarkEnd w:id="249"/>
    <w:p>
      <w:pPr>
        <w:spacing w:after="0" w:line="3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purchased at such Time of Delivery, or if the Company and the Selling Stockholders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the Company or the Selling Stockholders, except for the expenses to be borne by the Company, the Selling Stockholders and the Underwriters as provided in Section 7 hereof and the indemnity and contribution agreements in Section 10 hereof; but nothing herein shall relieve a defaulting Underwriter from liability for its default.</w:t>
      </w:r>
    </w:p>
    <w:p>
      <w:pPr>
        <w:spacing w:after="0" w:line="218" w:lineRule="exact"/>
        <w:rPr>
          <w:sz w:val="20"/>
          <w:szCs w:val="20"/>
          <w:color w:val="auto"/>
        </w:rPr>
      </w:pPr>
    </w:p>
    <w:p>
      <w:pPr>
        <w:jc w:val="both"/>
        <w:ind w:right="20" w:firstLine="466"/>
        <w:spacing w:after="0" w:line="267" w:lineRule="auto"/>
        <w:tabs>
          <w:tab w:leader="none" w:pos="705" w:val="left"/>
        </w:tabs>
        <w:numPr>
          <w:ilvl w:val="0"/>
          <w:numId w:val="246"/>
        </w:numPr>
        <w:rPr>
          <w:rFonts w:ascii="Arial" w:cs="Arial" w:eastAsia="Arial" w:hAnsi="Arial"/>
          <w:sz w:val="14"/>
          <w:szCs w:val="14"/>
          <w:color w:val="auto"/>
        </w:rPr>
      </w:pPr>
      <w:r>
        <w:rPr>
          <w:rFonts w:ascii="Arial" w:cs="Arial" w:eastAsia="Arial" w:hAnsi="Arial"/>
          <w:sz w:val="14"/>
          <w:szCs w:val="14"/>
          <w:color w:val="auto"/>
        </w:rPr>
        <w:t>The respective indemnities, rights of contribution, agreements, representations, warranties and other statements of the Company, the Selling Stockholders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controlling person of any Underwriter, or the Company, or any of the Selling Stockholders, or any officer or director or controlling person of the Company, or any controlling person of any Selling Stockholder, and shall survive delivery of and payment for the Shares.</w:t>
      </w:r>
    </w:p>
    <w:p>
      <w:pPr>
        <w:spacing w:after="0" w:line="42" w:lineRule="exact"/>
        <w:rPr>
          <w:rFonts w:ascii="Arial" w:cs="Arial" w:eastAsia="Arial" w:hAnsi="Arial"/>
          <w:sz w:val="14"/>
          <w:szCs w:val="14"/>
          <w:color w:val="auto"/>
        </w:rPr>
      </w:pPr>
    </w:p>
    <w:p>
      <w:pPr>
        <w:jc w:val="both"/>
        <w:ind w:firstLine="466"/>
        <w:spacing w:after="0" w:line="265" w:lineRule="auto"/>
        <w:tabs>
          <w:tab w:leader="none" w:pos="837" w:val="left"/>
        </w:tabs>
        <w:numPr>
          <w:ilvl w:val="0"/>
          <w:numId w:val="246"/>
        </w:numPr>
        <w:rPr>
          <w:rFonts w:ascii="Arial" w:cs="Arial" w:eastAsia="Arial" w:hAnsi="Arial"/>
          <w:sz w:val="14"/>
          <w:szCs w:val="14"/>
          <w:color w:val="auto"/>
        </w:rPr>
      </w:pPr>
      <w:r>
        <w:rPr>
          <w:rFonts w:ascii="Arial" w:cs="Arial" w:eastAsia="Arial" w:hAnsi="Arial"/>
          <w:sz w:val="14"/>
          <w:szCs w:val="14"/>
          <w:color w:val="auto"/>
        </w:rPr>
        <w:t>If this Agreement shall be terminated pursuant to Section 11 hereof, neither the Company nor the Selling Stockholders shall then be under any liability to any Underwriter except as provided in Sections 7 and 10 hereof; but, if for any other reason, any Shares are not delivered by or on behalf of the Company and the Selling Stockholders as provided herein or the Underwriters decline to purchase the Shares for any reason permitted under this Agreement, the Company will reimburse the Underwriters through the Representatives for all documented out of pocket expenses approved in writing by the Representatives, including fees and disbursements of counsel, reasonably incurred by the Underwriters in making preparations for the purchase, sale and delivery of the Shares not so delivered, but the Company and the Selling Stockholders shall then be under no further liability to any Underwriter except as provided in Sections 7 and 10 hereof.</w:t>
      </w:r>
    </w:p>
    <w:p>
      <w:pPr>
        <w:spacing w:after="0" w:line="43" w:lineRule="exact"/>
        <w:rPr>
          <w:rFonts w:ascii="Arial" w:cs="Arial" w:eastAsia="Arial" w:hAnsi="Arial"/>
          <w:sz w:val="14"/>
          <w:szCs w:val="14"/>
          <w:color w:val="auto"/>
        </w:rPr>
      </w:pPr>
    </w:p>
    <w:p>
      <w:pPr>
        <w:jc w:val="both"/>
        <w:ind w:firstLine="466"/>
        <w:spacing w:after="0" w:line="271" w:lineRule="auto"/>
        <w:tabs>
          <w:tab w:leader="none" w:pos="830" w:val="left"/>
        </w:tabs>
        <w:numPr>
          <w:ilvl w:val="0"/>
          <w:numId w:val="246"/>
        </w:numPr>
        <w:rPr>
          <w:rFonts w:ascii="Arial" w:cs="Arial" w:eastAsia="Arial" w:hAnsi="Arial"/>
          <w:sz w:val="14"/>
          <w:szCs w:val="14"/>
          <w:color w:val="auto"/>
        </w:rPr>
      </w:pPr>
      <w:r>
        <w:rPr>
          <w:rFonts w:ascii="Arial" w:cs="Arial" w:eastAsia="Arial" w:hAnsi="Arial"/>
          <w:sz w:val="14"/>
          <w:szCs w:val="14"/>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 and in all dealings with any Selling Stockholder hereunder, the Representatives and the Company shall be entitled to act and rely upon any statement, request, notice or agreement on behalf of such Selling Stockholder made or given by any or all of the Attorneys-in-Fact for such Selling Stockholder.</w:t>
      </w:r>
    </w:p>
    <w:p>
      <w:pPr>
        <w:spacing w:after="0" w:line="38" w:lineRule="exact"/>
        <w:rPr>
          <w:sz w:val="20"/>
          <w:szCs w:val="20"/>
          <w:color w:val="auto"/>
        </w:rPr>
      </w:pPr>
    </w:p>
    <w:p>
      <w:pPr>
        <w:jc w:val="both"/>
        <w:ind w:firstLine="804"/>
        <w:spacing w:after="0" w:line="263" w:lineRule="auto"/>
        <w:rPr>
          <w:sz w:val="20"/>
          <w:szCs w:val="20"/>
          <w:color w:val="auto"/>
        </w:rPr>
      </w:pPr>
      <w:r>
        <w:rPr>
          <w:rFonts w:ascii="Arial" w:cs="Arial" w:eastAsia="Arial" w:hAnsi="Arial"/>
          <w:sz w:val="14"/>
          <w:szCs w:val="14"/>
          <w:color w:val="auto"/>
        </w:rPr>
        <w:t>All statements, requests, notices and agreements hereunder shall be in writing, and if to the Underwriters shall be delivered or sent by mail, telex or facsimile transmission to each of the Representatives in care of (a) Goldman Sachs &amp; Co. LLC, 200 West Street, New York, New York 10282-2198, Attention: Registration Department and (b) Citigroup Global Markets Inc., 388 Greenwich Street, New York, New York 10013, Attention: General Counsel, Facsimile: (646) 291-1469; if to any Selling Stockholder shall be delivered or sent by mail, telex or facsimile transmission each of the Attorneys- in-Fact named in the Power of Attorney, c/o the Company at the address set forth on the cover of the Registration Statement, Attention: General Counsel, with a copy, which shall not constitute notice, to Whalen LLP, 4701 Von Karman Avenue, Suite 325, Newport Beach, California 92660 ; and if to the Company shall be delivered or sent by mail, telex or facsimile transmission to the address of the Company set forth in the</w:t>
      </w:r>
    </w:p>
    <w:p>
      <w:pPr>
        <w:sectPr>
          <w:pgSz w:w="11900" w:h="16840" w:orient="portrait"/>
          <w:cols w:equalWidth="0" w:num="1">
            <w:col w:w="10620"/>
          </w:cols>
          <w:pgMar w:left="640" w:top="1440" w:right="640" w:bottom="1440" w:gutter="0" w:footer="0" w:header="0"/>
        </w:sectPr>
      </w:pPr>
    </w:p>
    <w:bookmarkStart w:id="250" w:name="page251"/>
    <w:bookmarkEnd w:id="250"/>
    <w:p>
      <w:pPr>
        <w:spacing w:after="0" w:line="39" w:lineRule="exact"/>
        <w:rPr>
          <w:sz w:val="20"/>
          <w:szCs w:val="20"/>
          <w:color w:val="auto"/>
        </w:rPr>
      </w:pPr>
    </w:p>
    <w:p>
      <w:pPr>
        <w:jc w:val="both"/>
        <w:ind w:right="20"/>
        <w:spacing w:after="0" w:line="260" w:lineRule="auto"/>
        <w:rPr>
          <w:sz w:val="20"/>
          <w:szCs w:val="20"/>
          <w:color w:val="auto"/>
        </w:rPr>
      </w:pPr>
      <w:r>
        <w:rPr>
          <w:rFonts w:ascii="Arial" w:cs="Arial" w:eastAsia="Arial" w:hAnsi="Arial"/>
          <w:sz w:val="14"/>
          <w:szCs w:val="14"/>
          <w:color w:val="auto"/>
        </w:rPr>
        <w:t>Registration Statement, Attention: General Counsel, with a copy, which shall not constitute notice, to Cooley LLP, 3175 Hanover Street, Palo Alto, California 94304, Attention: John McKenna and Milson Yu; provided, however, that any notice to an Underwriter pursuant to Section 10(c) hereof shall be delivered or sent by mail, telex or facsimile transmission to such Underwriter at its address set forth in its Underwriters’ Questionnaire, or telex constituting such Questionnaire, which address will be supplied to the Company by the Representatives upon request; provided, however, that notices under subsection 5(e) shall be in writing, and if to the Underwriters shall be delivered or sent by mail, telex or facsimile transmission to the Representatives at (a) Goldman Sachs &amp; Co. LLC, 200 West Street, New York, New York 10282-2198, Attention: Control Room and (b) Citigroup Global Markets Inc., 388 Greenwich Street, New York, New York 10013, Attention: General Counsel, Facsimile: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(646) 291-1469. Any such statements, requests, notices or agreements shall take effect upon receipt thereof.</w:t>
      </w:r>
    </w:p>
    <w:p>
      <w:pPr>
        <w:spacing w:after="0" w:line="74" w:lineRule="exact"/>
        <w:rPr>
          <w:sz w:val="20"/>
          <w:szCs w:val="20"/>
          <w:color w:val="auto"/>
        </w:rPr>
      </w:pPr>
    </w:p>
    <w:p>
      <w:pPr>
        <w:jc w:val="both"/>
        <w:ind w:firstLine="804"/>
        <w:spacing w:after="0" w:line="278" w:lineRule="auto"/>
        <w:rPr>
          <w:sz w:val="20"/>
          <w:szCs w:val="20"/>
          <w:color w:val="auto"/>
        </w:rPr>
      </w:pPr>
      <w:r>
        <w:rPr>
          <w:rFonts w:ascii="Arial" w:cs="Arial" w:eastAsia="Arial" w:hAnsi="Arial"/>
          <w:sz w:val="14"/>
          <w:szCs w:val="14"/>
          <w:color w:val="auto"/>
        </w:rPr>
        <w:t>In accordance with the requirements of the USA Patriot Act (Title III of Pub. L. 107-56 (signed into law October 26, 2001)), the Underwriters are required to obtain, verify and record information that identifies their respective clients, including the Company and the Selling Stockholders, which information may include the name and address of their respective clients, as well as other information that will allow the Underwriters to properly identify their respective clients.</w:t>
      </w:r>
    </w:p>
    <w:p>
      <w:pPr>
        <w:spacing w:after="0" w:line="34" w:lineRule="exact"/>
        <w:rPr>
          <w:sz w:val="20"/>
          <w:szCs w:val="20"/>
          <w:color w:val="auto"/>
        </w:rPr>
      </w:pPr>
    </w:p>
    <w:p>
      <w:pPr>
        <w:jc w:val="both"/>
        <w:ind w:firstLine="466"/>
        <w:spacing w:after="0" w:line="267" w:lineRule="auto"/>
        <w:tabs>
          <w:tab w:leader="none" w:pos="846" w:val="left"/>
        </w:tabs>
        <w:numPr>
          <w:ilvl w:val="0"/>
          <w:numId w:val="247"/>
        </w:numPr>
        <w:rPr>
          <w:rFonts w:ascii="Arial" w:cs="Arial" w:eastAsia="Arial" w:hAnsi="Arial"/>
          <w:sz w:val="14"/>
          <w:szCs w:val="14"/>
          <w:color w:val="auto"/>
        </w:rPr>
      </w:pPr>
      <w:r>
        <w:rPr>
          <w:rFonts w:ascii="Arial" w:cs="Arial" w:eastAsia="Arial" w:hAnsi="Arial"/>
          <w:sz w:val="14"/>
          <w:szCs w:val="14"/>
          <w:color w:val="auto"/>
        </w:rPr>
        <w:t>This Agreement shall be binding upon, and inure solely to the benefit of, the Underwriters, the Company and the Selling Stockholders and, to the extent provided in Sections 10 and 12 hereof, the officers and directors of the Company and each person who controls the Company, any Selling Stockholder or any Underwriter, or any director, officer, employee, or affiliate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42" w:lineRule="exact"/>
        <w:rPr>
          <w:rFonts w:ascii="Arial" w:cs="Arial" w:eastAsia="Arial" w:hAnsi="Arial"/>
          <w:sz w:val="14"/>
          <w:szCs w:val="14"/>
          <w:color w:val="auto"/>
        </w:rPr>
      </w:pPr>
    </w:p>
    <w:p>
      <w:pPr>
        <w:ind w:right="40" w:firstLine="466"/>
        <w:spacing w:after="0" w:line="299" w:lineRule="auto"/>
        <w:tabs>
          <w:tab w:leader="none" w:pos="935" w:val="left"/>
        </w:tabs>
        <w:numPr>
          <w:ilvl w:val="0"/>
          <w:numId w:val="247"/>
        </w:numPr>
        <w:rPr>
          <w:rFonts w:ascii="Arial" w:cs="Arial" w:eastAsia="Arial" w:hAnsi="Arial"/>
          <w:sz w:val="14"/>
          <w:szCs w:val="14"/>
          <w:color w:val="auto"/>
        </w:rPr>
      </w:pPr>
      <w:r>
        <w:rPr>
          <w:rFonts w:ascii="Arial" w:cs="Arial" w:eastAsia="Arial" w:hAnsi="Arial"/>
          <w:sz w:val="14"/>
          <w:szCs w:val="14"/>
          <w:color w:val="auto"/>
        </w:rPr>
        <w:t>Time shall be of the essence of this Agreement. As used herein, the term “business day” shall mean any day when the Commission’s office in Washington, D.C. is open for business.</w:t>
      </w:r>
    </w:p>
    <w:p>
      <w:pPr>
        <w:spacing w:after="0" w:line="19" w:lineRule="exact"/>
        <w:rPr>
          <w:rFonts w:ascii="Arial" w:cs="Arial" w:eastAsia="Arial" w:hAnsi="Arial"/>
          <w:sz w:val="14"/>
          <w:szCs w:val="14"/>
          <w:color w:val="auto"/>
        </w:rPr>
      </w:pPr>
    </w:p>
    <w:p>
      <w:pPr>
        <w:jc w:val="both"/>
        <w:ind w:right="20" w:firstLine="466"/>
        <w:spacing w:after="0" w:line="261" w:lineRule="auto"/>
        <w:tabs>
          <w:tab w:leader="none" w:pos="819" w:val="left"/>
        </w:tabs>
        <w:numPr>
          <w:ilvl w:val="0"/>
          <w:numId w:val="247"/>
        </w:numPr>
        <w:rPr>
          <w:rFonts w:ascii="Arial" w:cs="Arial" w:eastAsia="Arial" w:hAnsi="Arial"/>
          <w:sz w:val="14"/>
          <w:szCs w:val="14"/>
          <w:color w:val="auto"/>
        </w:rPr>
      </w:pPr>
      <w:r>
        <w:rPr>
          <w:rFonts w:ascii="Arial" w:cs="Arial" w:eastAsia="Arial" w:hAnsi="Arial"/>
          <w:sz w:val="14"/>
          <w:szCs w:val="14"/>
          <w:color w:val="auto"/>
        </w:rPr>
        <w:t>The Company and each Selling Stockholder, severally and not jointly, acknowledge and agree that (i) the purchase and sale of the Shares pursuant to this Agreement is an arm’s-length commercial transaction between the Company and the Selling Stockholders, on the one hand, and the several Underwriters, on the other, (ii) in connection therewith and with the process leading to such transaction each Underwriter is acting solely as a principal and not the agent or fiduciary of the Company or any Selling Stockholder, (iii) no Underwriter has assumed an advisory or fiduciary responsibility in favor of the Company or any Selling Stockholder with respect to the offering contemplated hereby or the process leading thereto (irrespective of whether such Underwriter has advised or is currently advising the Company or any Selling Stockholder on other matters) or any other obligation to the Company or any Selling Stockholder except the obligations expressly set forth in this Agreement, (iv) the Company and each Selling Stockholder has consulted its own legal and financial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The Company and each Selling Stockholder, severally and not jointly, agrees that it will not claim that the Underwriters, or any of them, has rendered advisory services of any nature or respect, or owes a fiduciary or</w:t>
      </w:r>
    </w:p>
    <w:p>
      <w:pPr>
        <w:sectPr>
          <w:pgSz w:w="11900" w:h="16840" w:orient="portrait"/>
          <w:cols w:equalWidth="0" w:num="1">
            <w:col w:w="10620"/>
          </w:cols>
          <w:pgMar w:left="640" w:top="1440" w:right="640" w:bottom="1440" w:gutter="0" w:footer="0" w:header="0"/>
        </w:sectPr>
      </w:pPr>
    </w:p>
    <w:bookmarkStart w:id="251" w:name="page252"/>
    <w:bookmarkEnd w:id="251"/>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similar duty to the Company or any Selling Stockholder, in connection with such transaction or the process leading thereto.</w:t>
      </w:r>
    </w:p>
    <w:p>
      <w:pPr>
        <w:spacing w:after="0" w:line="88" w:lineRule="exact"/>
        <w:rPr>
          <w:sz w:val="20"/>
          <w:szCs w:val="20"/>
          <w:color w:val="auto"/>
        </w:rPr>
      </w:pPr>
    </w:p>
    <w:p>
      <w:pPr>
        <w:ind w:right="40" w:firstLine="466"/>
        <w:spacing w:after="0" w:line="299" w:lineRule="auto"/>
        <w:tabs>
          <w:tab w:leader="none" w:pos="721" w:val="left"/>
        </w:tabs>
        <w:numPr>
          <w:ilvl w:val="0"/>
          <w:numId w:val="248"/>
        </w:numPr>
        <w:rPr>
          <w:rFonts w:ascii="Arial" w:cs="Arial" w:eastAsia="Arial" w:hAnsi="Arial"/>
          <w:sz w:val="14"/>
          <w:szCs w:val="14"/>
          <w:color w:val="auto"/>
        </w:rPr>
      </w:pPr>
      <w:r>
        <w:rPr>
          <w:rFonts w:ascii="Arial" w:cs="Arial" w:eastAsia="Arial" w:hAnsi="Arial"/>
          <w:sz w:val="14"/>
          <w:szCs w:val="14"/>
          <w:color w:val="auto"/>
        </w:rPr>
        <w:t>This Agreement supersedes all prior agreements and understandings (whether written or oral) among the Company, the Selling Stockholders and the Underwriters, or any of them, with respect to the subject matter hereof.</w:t>
      </w:r>
    </w:p>
    <w:p>
      <w:pPr>
        <w:spacing w:after="0" w:line="19" w:lineRule="exact"/>
        <w:rPr>
          <w:rFonts w:ascii="Arial" w:cs="Arial" w:eastAsia="Arial" w:hAnsi="Arial"/>
          <w:sz w:val="14"/>
          <w:szCs w:val="14"/>
          <w:color w:val="auto"/>
        </w:rPr>
      </w:pPr>
    </w:p>
    <w:p>
      <w:pPr>
        <w:ind w:firstLine="466"/>
        <w:spacing w:after="0" w:line="261" w:lineRule="auto"/>
        <w:tabs>
          <w:tab w:leader="none" w:pos="724" w:val="left"/>
        </w:tabs>
        <w:numPr>
          <w:ilvl w:val="0"/>
          <w:numId w:val="248"/>
        </w:numPr>
        <w:rPr>
          <w:rFonts w:ascii="Arial" w:cs="Arial" w:eastAsia="Arial" w:hAnsi="Arial"/>
          <w:sz w:val="14"/>
          <w:szCs w:val="14"/>
          <w:color w:val="auto"/>
        </w:rPr>
      </w:pPr>
      <w:r>
        <w:rPr>
          <w:rFonts w:ascii="Arial" w:cs="Arial" w:eastAsia="Arial" w:hAnsi="Arial"/>
          <w:sz w:val="14"/>
          <w:szCs w:val="14"/>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 The Company and each Selling Stockholder agree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and each Selling Stockholder agree to submit to the jurisdiction of, and to venue in, such courts. Each Selling Stockholder organized or domiciled in a jurisdiction outside of the United States irrevocably appoints Navan, Inc. as its authorized agent in the Borough of Manhattan in The City of New York upon which process may be served in any such suit or proceeding, and agrees that service of process upon such authorized agent, and written notice of such service to the Selling Stockholder by the person serving the same to the address provided in this Section, shall be deemed in every respect eﬀective service of process upon each such Selling Stockholder in any such suit or proceeding. The Company agrees to act as such authorized agent for service of process. Each Selling Stockholder organized or domiciled in a jurisdiction outside of the United States and the Company further agrees to take any and all action as may be necessary to maintain such designation and appointment of such authorized agent in full force and effect.</w:t>
      </w:r>
    </w:p>
    <w:p>
      <w:pPr>
        <w:spacing w:after="0" w:line="45" w:lineRule="exact"/>
        <w:rPr>
          <w:rFonts w:ascii="Arial" w:cs="Arial" w:eastAsia="Arial" w:hAnsi="Arial"/>
          <w:sz w:val="14"/>
          <w:szCs w:val="14"/>
          <w:color w:val="auto"/>
        </w:rPr>
      </w:pPr>
    </w:p>
    <w:p>
      <w:pPr>
        <w:jc w:val="both"/>
        <w:ind w:right="20" w:firstLine="466"/>
        <w:spacing w:after="0" w:line="269" w:lineRule="auto"/>
        <w:tabs>
          <w:tab w:leader="none" w:pos="864" w:val="left"/>
        </w:tabs>
        <w:numPr>
          <w:ilvl w:val="0"/>
          <w:numId w:val="248"/>
        </w:numPr>
        <w:rPr>
          <w:rFonts w:ascii="Arial" w:cs="Arial" w:eastAsia="Arial" w:hAnsi="Arial"/>
          <w:sz w:val="14"/>
          <w:szCs w:val="14"/>
          <w:color w:val="auto"/>
        </w:rPr>
      </w:pPr>
      <w:r>
        <w:rPr>
          <w:rFonts w:ascii="Arial" w:cs="Arial" w:eastAsia="Arial" w:hAnsi="Arial"/>
          <w:sz w:val="14"/>
          <w:szCs w:val="14"/>
          <w:color w:val="auto"/>
        </w:rPr>
        <w:t>To the extent that each Selling Stockholder has or hereafter may acquire any immunity (sovereign or otherwise) from jurisdiction of any court of (i) the United States or the State of New York or (ii) any jurisdiction in which it owns or leases property or assets or from any legal process (whether through service of notice, attachment prior to judgment, attachment in aid of execution, execution, set-oﬀ or otherwise) with respect to themselves or their respective property and assets or this Agreement, each Selling Stockholder hereby irrevocably waives such immunity in respect of its obligations under this Agreement to the fullest extent permitted by applicable law.</w:t>
      </w:r>
    </w:p>
    <w:p>
      <w:pPr>
        <w:spacing w:after="0" w:line="215" w:lineRule="exact"/>
        <w:rPr>
          <w:rFonts w:ascii="Arial" w:cs="Arial" w:eastAsia="Arial" w:hAnsi="Arial"/>
          <w:sz w:val="14"/>
          <w:szCs w:val="14"/>
          <w:color w:val="auto"/>
        </w:rPr>
      </w:pPr>
    </w:p>
    <w:p>
      <w:pPr>
        <w:ind w:right="60" w:firstLine="466"/>
        <w:spacing w:after="0" w:line="299" w:lineRule="auto"/>
        <w:tabs>
          <w:tab w:leader="none" w:pos="704" w:val="left"/>
        </w:tabs>
        <w:numPr>
          <w:ilvl w:val="0"/>
          <w:numId w:val="248"/>
        </w:numPr>
        <w:rPr>
          <w:rFonts w:ascii="Arial" w:cs="Arial" w:eastAsia="Arial" w:hAnsi="Arial"/>
          <w:sz w:val="14"/>
          <w:szCs w:val="14"/>
          <w:color w:val="auto"/>
        </w:rPr>
      </w:pPr>
      <w:r>
        <w:rPr>
          <w:rFonts w:ascii="Arial" w:cs="Arial" w:eastAsia="Arial" w:hAnsi="Arial"/>
          <w:sz w:val="14"/>
          <w:szCs w:val="14"/>
          <w:color w:val="auto"/>
        </w:rPr>
        <w:t>The Company, each Selling Stockholder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9" w:lineRule="exact"/>
        <w:rPr>
          <w:rFonts w:ascii="Arial" w:cs="Arial" w:eastAsia="Arial" w:hAnsi="Arial"/>
          <w:sz w:val="14"/>
          <w:szCs w:val="14"/>
          <w:color w:val="auto"/>
        </w:rPr>
      </w:pPr>
    </w:p>
    <w:p>
      <w:pPr>
        <w:jc w:val="both"/>
        <w:ind w:right="20" w:firstLine="466"/>
        <w:spacing w:after="0" w:line="267" w:lineRule="auto"/>
        <w:tabs>
          <w:tab w:leader="none" w:pos="701" w:val="left"/>
        </w:tabs>
        <w:numPr>
          <w:ilvl w:val="0"/>
          <w:numId w:val="248"/>
        </w:numPr>
        <w:rPr>
          <w:rFonts w:ascii="Arial" w:cs="Arial" w:eastAsia="Arial" w:hAnsi="Arial"/>
          <w:sz w:val="14"/>
          <w:szCs w:val="14"/>
          <w:color w:val="auto"/>
        </w:rPr>
      </w:pPr>
      <w:r>
        <w:rPr>
          <w:rFonts w:ascii="Arial" w:cs="Arial" w:eastAsia="Arial" w:hAnsi="Arial"/>
          <w:sz w:val="14"/>
          <w:szCs w:val="14"/>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ectPr>
          <w:pgSz w:w="11900" w:h="16840" w:orient="portrait"/>
          <w:cols w:equalWidth="0" w:num="1">
            <w:col w:w="10640"/>
          </w:cols>
          <w:pgMar w:left="640" w:top="1440" w:right="620" w:bottom="1440" w:gutter="0" w:footer="0" w:header="0"/>
        </w:sectPr>
      </w:pPr>
    </w:p>
    <w:bookmarkStart w:id="252" w:name="page253"/>
    <w:bookmarkEnd w:id="252"/>
    <w:p>
      <w:pPr>
        <w:spacing w:after="0" w:line="39" w:lineRule="exact"/>
        <w:rPr>
          <w:sz w:val="20"/>
          <w:szCs w:val="20"/>
          <w:color w:val="auto"/>
        </w:rPr>
      </w:pPr>
    </w:p>
    <w:p>
      <w:pPr>
        <w:jc w:val="both"/>
        <w:ind w:right="20" w:firstLine="466"/>
        <w:spacing w:after="0" w:line="267" w:lineRule="auto"/>
        <w:tabs>
          <w:tab w:leader="none" w:pos="705" w:val="left"/>
        </w:tabs>
        <w:numPr>
          <w:ilvl w:val="0"/>
          <w:numId w:val="249"/>
        </w:numPr>
        <w:rPr>
          <w:rFonts w:ascii="Arial" w:cs="Arial" w:eastAsia="Arial" w:hAnsi="Arial"/>
          <w:sz w:val="14"/>
          <w:szCs w:val="14"/>
          <w:color w:val="auto"/>
        </w:rPr>
      </w:pPr>
      <w:r>
        <w:rPr>
          <w:rFonts w:ascii="Arial" w:cs="Arial" w:eastAsia="Arial" w:hAnsi="Arial"/>
          <w:sz w:val="14"/>
          <w:szCs w:val="14"/>
          <w:color w:val="auto"/>
        </w:rPr>
        <w:t>Notwithstanding anything herein to the contrary, the Company and the Selling Stockholders are authorized to disclose to any persons the U.S. federal and state income tax treatment and tax structure of the potential transaction and all materials of any kind (including tax opinions and other tax analyses) provided to the Company and the Selling Stockholders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42" w:lineRule="exact"/>
        <w:rPr>
          <w:rFonts w:ascii="Arial" w:cs="Arial" w:eastAsia="Arial" w:hAnsi="Arial"/>
          <w:sz w:val="14"/>
          <w:szCs w:val="14"/>
          <w:color w:val="auto"/>
        </w:rPr>
      </w:pPr>
    </w:p>
    <w:p>
      <w:pPr>
        <w:ind w:left="700" w:hanging="234"/>
        <w:spacing w:after="0"/>
        <w:tabs>
          <w:tab w:leader="none" w:pos="700" w:val="left"/>
        </w:tabs>
        <w:numPr>
          <w:ilvl w:val="0"/>
          <w:numId w:val="249"/>
        </w:numPr>
        <w:rPr>
          <w:rFonts w:ascii="Arial" w:cs="Arial" w:eastAsia="Arial" w:hAnsi="Arial"/>
          <w:sz w:val="14"/>
          <w:szCs w:val="14"/>
          <w:color w:val="auto"/>
        </w:rPr>
      </w:pPr>
      <w:r>
        <w:rPr>
          <w:rFonts w:ascii="Arial" w:cs="Arial" w:eastAsia="Arial" w:hAnsi="Arial"/>
          <w:sz w:val="14"/>
          <w:szCs w:val="14"/>
          <w:color w:val="auto"/>
        </w:rPr>
        <w:t>Recognition of the U.S. Special Resolution Regimes.</w:t>
      </w:r>
    </w:p>
    <w:p>
      <w:pPr>
        <w:spacing w:after="0" w:line="241" w:lineRule="exact"/>
        <w:rPr>
          <w:sz w:val="20"/>
          <w:szCs w:val="20"/>
          <w:color w:val="auto"/>
        </w:rPr>
      </w:pPr>
    </w:p>
    <w:p>
      <w:pPr>
        <w:jc w:val="both"/>
        <w:ind w:firstLine="466"/>
        <w:spacing w:after="0" w:line="275" w:lineRule="auto"/>
        <w:tabs>
          <w:tab w:leader="none" w:pos="793" w:val="left"/>
        </w:tabs>
        <w:numPr>
          <w:ilvl w:val="0"/>
          <w:numId w:val="250"/>
        </w:numPr>
        <w:rPr>
          <w:rFonts w:ascii="Arial" w:cs="Arial" w:eastAsia="Arial" w:hAnsi="Arial"/>
          <w:sz w:val="14"/>
          <w:szCs w:val="14"/>
          <w:color w:val="auto"/>
        </w:rPr>
      </w:pPr>
      <w:r>
        <w:rPr>
          <w:rFonts w:ascii="Arial" w:cs="Arial" w:eastAsia="Arial" w:hAnsi="Arial"/>
          <w:sz w:val="14"/>
          <w:szCs w:val="14"/>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288" w:lineRule="exact"/>
        <w:rPr>
          <w:rFonts w:ascii="Arial" w:cs="Arial" w:eastAsia="Arial" w:hAnsi="Arial"/>
          <w:sz w:val="14"/>
          <w:szCs w:val="14"/>
          <w:color w:val="auto"/>
        </w:rPr>
      </w:pPr>
    </w:p>
    <w:p>
      <w:pPr>
        <w:jc w:val="both"/>
        <w:ind w:right="20" w:firstLine="466"/>
        <w:spacing w:after="0" w:line="271" w:lineRule="auto"/>
        <w:tabs>
          <w:tab w:leader="none" w:pos="680" w:val="left"/>
        </w:tabs>
        <w:numPr>
          <w:ilvl w:val="0"/>
          <w:numId w:val="250"/>
        </w:numPr>
        <w:rPr>
          <w:rFonts w:ascii="Arial" w:cs="Arial" w:eastAsia="Arial" w:hAnsi="Arial"/>
          <w:sz w:val="14"/>
          <w:szCs w:val="14"/>
          <w:color w:val="auto"/>
        </w:rPr>
      </w:pPr>
      <w:r>
        <w:rPr>
          <w:rFonts w:ascii="Arial" w:cs="Arial" w:eastAsia="Arial" w:hAnsi="Arial"/>
          <w:sz w:val="14"/>
          <w:szCs w:val="14"/>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14" w:lineRule="exact"/>
        <w:rPr>
          <w:rFonts w:ascii="Arial" w:cs="Arial" w:eastAsia="Arial" w:hAnsi="Arial"/>
          <w:sz w:val="14"/>
          <w:szCs w:val="14"/>
          <w:color w:val="auto"/>
        </w:rPr>
      </w:pPr>
    </w:p>
    <w:p>
      <w:pPr>
        <w:ind w:left="680" w:hanging="214"/>
        <w:spacing w:after="0"/>
        <w:tabs>
          <w:tab w:leader="none" w:pos="680" w:val="left"/>
        </w:tabs>
        <w:numPr>
          <w:ilvl w:val="0"/>
          <w:numId w:val="250"/>
        </w:numPr>
        <w:rPr>
          <w:rFonts w:ascii="Arial" w:cs="Arial" w:eastAsia="Arial" w:hAnsi="Arial"/>
          <w:sz w:val="14"/>
          <w:szCs w:val="14"/>
          <w:color w:val="auto"/>
        </w:rPr>
      </w:pPr>
      <w:r>
        <w:rPr>
          <w:rFonts w:ascii="Arial" w:cs="Arial" w:eastAsia="Arial" w:hAnsi="Arial"/>
          <w:sz w:val="14"/>
          <w:szCs w:val="14"/>
          <w:color w:val="auto"/>
        </w:rPr>
        <w:t>As used in this section: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“BHC Act Affiliate” has the meaning assigned to the term “affiliate” in, and shall be interpreted in accordance with, 12 U.S.C. § 1841(k).</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“Covered Entity” means any of the following:</w:t>
      </w:r>
    </w:p>
    <w:p>
      <w:pPr>
        <w:spacing w:after="0" w:line="164" w:lineRule="exact"/>
        <w:rPr>
          <w:sz w:val="20"/>
          <w:szCs w:val="20"/>
          <w:color w:val="auto"/>
        </w:rPr>
      </w:pPr>
    </w:p>
    <w:p>
      <w:pPr>
        <w:ind w:left="640" w:hanging="174"/>
        <w:spacing w:after="0"/>
        <w:tabs>
          <w:tab w:leader="none" w:pos="64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a “covered entity” as that term is defined in, and interpreted in accordance with, 12 C.F.R. § 252.82(b);</w:t>
      </w:r>
    </w:p>
    <w:p>
      <w:pPr>
        <w:spacing w:after="0" w:line="164" w:lineRule="exact"/>
        <w:rPr>
          <w:rFonts w:ascii="Arial" w:cs="Arial" w:eastAsia="Arial" w:hAnsi="Arial"/>
          <w:sz w:val="14"/>
          <w:szCs w:val="14"/>
          <w:color w:val="auto"/>
        </w:rPr>
      </w:pPr>
    </w:p>
    <w:p>
      <w:pPr>
        <w:ind w:left="660" w:hanging="194"/>
        <w:spacing w:after="0"/>
        <w:tabs>
          <w:tab w:leader="none" w:pos="66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a “covered bank” as that term is defined in, and interpreted in accordance with, 12 C.F.R. § 47.3(b); or</w:t>
      </w:r>
    </w:p>
    <w:p>
      <w:pPr>
        <w:spacing w:after="0" w:line="164" w:lineRule="exact"/>
        <w:rPr>
          <w:rFonts w:ascii="Arial" w:cs="Arial" w:eastAsia="Arial" w:hAnsi="Arial"/>
          <w:sz w:val="14"/>
          <w:szCs w:val="14"/>
          <w:color w:val="auto"/>
        </w:rPr>
      </w:pPr>
    </w:p>
    <w:p>
      <w:pPr>
        <w:ind w:left="700" w:hanging="234"/>
        <w:spacing w:after="0"/>
        <w:tabs>
          <w:tab w:leader="none" w:pos="70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a “covered FSI” as that term is defined in, and interpreted in accordance with, 12 C.F.R. § 382.2(b).</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“Default Right” has the meaning assigned to that term in, and shall be interpreted in accordance with, 12 C.F.R. §§ 252.81, 47.2 or 382.1, as applicable.</w:t>
      </w:r>
    </w:p>
    <w:p>
      <w:pPr>
        <w:spacing w:after="0" w:line="164" w:lineRule="exact"/>
        <w:rPr>
          <w:sz w:val="20"/>
          <w:szCs w:val="20"/>
          <w:color w:val="auto"/>
        </w:rPr>
      </w:pPr>
    </w:p>
    <w:p>
      <w:pPr>
        <w:ind w:right="40" w:firstLine="459"/>
        <w:spacing w:after="0" w:line="299" w:lineRule="auto"/>
        <w:rPr>
          <w:sz w:val="20"/>
          <w:szCs w:val="20"/>
          <w:color w:val="auto"/>
        </w:rPr>
      </w:pPr>
      <w:r>
        <w:rPr>
          <w:rFonts w:ascii="Arial" w:cs="Arial" w:eastAsia="Arial" w:hAnsi="Arial"/>
          <w:sz w:val="14"/>
          <w:szCs w:val="14"/>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Follows</w:t>
      </w:r>
      <w:r>
        <w:rPr>
          <w:rFonts w:ascii="Arial" w:cs="Arial" w:eastAsia="Arial" w:hAnsi="Arial"/>
          <w:sz w:val="14"/>
          <w:szCs w:val="14"/>
          <w:color w:val="auto"/>
        </w:rPr>
        <w:t>]</w:t>
      </w:r>
    </w:p>
    <w:p>
      <w:pPr>
        <w:sectPr>
          <w:pgSz w:w="11900" w:h="16840" w:orient="portrait"/>
          <w:cols w:equalWidth="0" w:num="1">
            <w:col w:w="10620"/>
          </w:cols>
          <w:pgMar w:left="640" w:top="1440" w:right="640" w:bottom="1440" w:gutter="0" w:footer="0" w:header="0"/>
        </w:sectPr>
      </w:pPr>
    </w:p>
    <w:bookmarkStart w:id="253" w:name="page254"/>
    <w:bookmarkEnd w:id="253"/>
    <w:p>
      <w:pPr>
        <w:spacing w:after="0" w:line="39" w:lineRule="exact"/>
        <w:rPr>
          <w:sz w:val="20"/>
          <w:szCs w:val="20"/>
          <w:color w:val="auto"/>
        </w:rPr>
      </w:pPr>
    </w:p>
    <w:p>
      <w:pPr>
        <w:jc w:val="both"/>
        <w:ind w:firstLine="459"/>
        <w:spacing w:after="0" w:line="267" w:lineRule="auto"/>
        <w:rPr>
          <w:sz w:val="20"/>
          <w:szCs w:val="20"/>
          <w:color w:val="auto"/>
        </w:rPr>
      </w:pPr>
      <w:r>
        <w:rPr>
          <w:rFonts w:ascii="Arial" w:cs="Arial" w:eastAsia="Arial" w:hAnsi="Arial"/>
          <w:sz w:val="14"/>
          <w:szCs w:val="14"/>
          <w:color w:val="auto"/>
        </w:rPr>
        <w:t>If the foregoing is in accordance with your understanding, please sign and return to us counterparts hereof, and upon the acceptance hereof by the Representatives, on behalf of each of the Underwriters, this letter and such acceptance hereof shall constitute a binding agreement among each of the Underwriters, the Company and each of the Selling Stockholders. It is understood that the Representatives’ acceptance of this letter on behalf of each of the Underwriters is pursuant to the authority set forth in a form of Agreement among Underwriters, the form of which shall be submitted to the Company and the Selling Stockholders for examination upon request, but without warranty on the Representatives’ part as to the authority of the signers thereof.</w:t>
      </w:r>
    </w:p>
    <w:p>
      <w:pPr>
        <w:spacing w:after="0" w:line="200" w:lineRule="exact"/>
        <w:rPr>
          <w:sz w:val="20"/>
          <w:szCs w:val="20"/>
          <w:color w:val="auto"/>
        </w:rPr>
      </w:pPr>
    </w:p>
    <w:p>
      <w:pPr>
        <w:spacing w:after="0" w:line="25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Very truly yours,</w:t>
      </w:r>
    </w:p>
    <w:p>
      <w:pPr>
        <w:spacing w:after="0" w:line="155"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Navan, Inc.</w:t>
      </w:r>
    </w:p>
    <w:p>
      <w:pPr>
        <w:spacing w:after="0" w:line="21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3959860</wp:posOffset>
            </wp:positionH>
            <wp:positionV relativeFrom="paragraph">
              <wp:posOffset>13335</wp:posOffset>
            </wp:positionV>
            <wp:extent cx="255778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2557780" cy="6350"/>
                    </a:xfrm>
                    <a:prstGeom prst="rect">
                      <a:avLst/>
                    </a:prstGeom>
                    <a:noFill/>
                  </pic:spPr>
                </pic:pic>
              </a:graphicData>
            </a:graphic>
          </wp:anchor>
        </w:drawing>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Name:</w:t>
      </w:r>
    </w:p>
    <w:p>
      <w:pPr>
        <w:spacing w:after="0" w:line="2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Title:</w:t>
      </w:r>
    </w:p>
    <w:p>
      <w:pPr>
        <w:sectPr>
          <w:pgSz w:w="11900" w:h="16840" w:orient="portrait"/>
          <w:cols w:equalWidth="0" w:num="1">
            <w:col w:w="10600"/>
          </w:cols>
          <w:pgMar w:left="640" w:top="1440" w:right="660" w:bottom="1440" w:gutter="0" w:footer="0" w:header="0"/>
        </w:sectPr>
      </w:pPr>
    </w:p>
    <w:bookmarkStart w:id="254" w:name="page255"/>
    <w:bookmarkEnd w:id="254"/>
    <w:p>
      <w:pPr>
        <w:spacing w:after="0" w:line="39" w:lineRule="exact"/>
        <w:rPr>
          <w:sz w:val="20"/>
          <w:szCs w:val="20"/>
          <w:color w:val="auto"/>
        </w:rPr>
      </w:pPr>
    </w:p>
    <w:p>
      <w:pPr>
        <w:ind w:firstLine="459"/>
        <w:spacing w:after="0" w:line="299" w:lineRule="auto"/>
        <w:rPr>
          <w:sz w:val="20"/>
          <w:szCs w:val="20"/>
          <w:color w:val="auto"/>
        </w:rPr>
      </w:pPr>
      <w:r>
        <w:rPr>
          <w:rFonts w:ascii="Arial" w:cs="Arial" w:eastAsia="Arial" w:hAnsi="Arial"/>
          <w:sz w:val="14"/>
          <w:szCs w:val="14"/>
          <w:color w:val="auto"/>
        </w:rPr>
        <w:t>Any person executing and delivering this Agreement as Attorney-in-Fact for a Selling Stockholder represents by so doing that he has been duly appointed as Attorney-in-Fact by such Selling Stockholder pursuant to a validly existing and binding Power-of-Attorney that authorizes such Attorney-in-Fact to take such action.</w:t>
      </w: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Selling Stockholders, acting severally</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1116330</wp:posOffset>
            </wp:positionH>
            <wp:positionV relativeFrom="paragraph">
              <wp:posOffset>13335</wp:posOffset>
            </wp:positionV>
            <wp:extent cx="273431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2734310" cy="6350"/>
                    </a:xfrm>
                    <a:prstGeom prst="rect">
                      <a:avLst/>
                    </a:prstGeom>
                    <a:noFill/>
                  </pic:spPr>
                </pic:pic>
              </a:graphicData>
            </a:graphic>
          </wp:anchor>
        </w:drawing>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Name:</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Title: Attorney-in-Fact</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As Attorney-in-Fact, acting severally, on behalf of each of the Selling Stockholders named in Schedule II to this Agreement.</w:t>
      </w:r>
    </w:p>
    <w:p>
      <w:pPr>
        <w:sectPr>
          <w:pgSz w:w="11900" w:h="16840" w:orient="portrait"/>
          <w:cols w:equalWidth="0" w:num="1">
            <w:col w:w="10580"/>
          </w:cols>
          <w:pgMar w:left="640" w:top="1440" w:right="680" w:bottom="1440" w:gutter="0" w:footer="0" w:header="0"/>
        </w:sectPr>
      </w:pPr>
    </w:p>
    <w:bookmarkStart w:id="255" w:name="page256"/>
    <w:bookmarkEnd w:id="255"/>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Accepted as of the date hereof</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Goldman Sachs &amp; Co. LLC</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963930</wp:posOffset>
            </wp:positionH>
            <wp:positionV relativeFrom="paragraph">
              <wp:posOffset>13335</wp:posOffset>
            </wp:positionV>
            <wp:extent cx="275844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2758440" cy="6350"/>
                    </a:xfrm>
                    <a:prstGeom prst="rect">
                      <a:avLst/>
                    </a:prstGeom>
                    <a:noFill/>
                  </pic:spPr>
                </pic:pic>
              </a:graphicData>
            </a:graphic>
          </wp:anchor>
        </w:drawing>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Name:</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Title: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Citigroup Global Markets Inc.</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963930</wp:posOffset>
            </wp:positionH>
            <wp:positionV relativeFrom="paragraph">
              <wp:posOffset>13335</wp:posOffset>
            </wp:positionV>
            <wp:extent cx="275844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2758440" cy="6350"/>
                    </a:xfrm>
                    <a:prstGeom prst="rect">
                      <a:avLst/>
                    </a:prstGeom>
                    <a:noFill/>
                  </pic:spPr>
                </pic:pic>
              </a:graphicData>
            </a:graphic>
          </wp:anchor>
        </w:drawing>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Name:</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On behalf of each of the Underwriters</w:t>
      </w:r>
    </w:p>
    <w:p>
      <w:pPr>
        <w:sectPr>
          <w:pgSz w:w="11900" w:h="16840" w:orient="portrait"/>
          <w:cols w:equalWidth="0" w:num="1">
            <w:col w:w="9800"/>
          </w:cols>
          <w:pgMar w:left="660" w:top="1440" w:right="1440" w:bottom="1440" w:gutter="0" w:footer="0" w:header="0"/>
        </w:sectPr>
      </w:pPr>
    </w:p>
    <w:bookmarkStart w:id="256" w:name="page257"/>
    <w:bookmarkEnd w:id="2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Underwriter</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Goldman Sachs &amp; Co. LLC</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Citigroup Global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Jefferies LLC</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Morgan Stanley &amp; Co. LLC</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Mizuho Securities USA LLC</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BNP Paribas Securities Corp.</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Citizens JMP Securities, LLC</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Oppenheimer &amp; Co. Inc.</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MUFG Securities Americas Inc.</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Needham &amp; Company, LLC</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BTIG, LLC</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Loop Capital Markets LLC</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Academy Securities, Inc.</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Rosenblatt Securities Inc.</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Total</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SCHEDULE I</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560" w:type="dxa"/>
            <w:vAlign w:val="bottom"/>
            <w:gridSpan w:val="3"/>
          </w:tcPr>
          <w:p>
            <w:pPr>
              <w:jc w:val="center"/>
              <w:ind w:right="1140"/>
              <w:spacing w:after="0"/>
              <w:rPr>
                <w:sz w:val="20"/>
                <w:szCs w:val="20"/>
                <w:color w:val="auto"/>
              </w:rPr>
            </w:pPr>
            <w:r>
              <w:rPr>
                <w:rFonts w:ascii="Arial" w:cs="Arial" w:eastAsia="Arial" w:hAnsi="Arial"/>
                <w:sz w:val="12"/>
                <w:szCs w:val="12"/>
                <w:b w:val="1"/>
                <w:bCs w:val="1"/>
                <w:color w:val="auto"/>
              </w:rPr>
              <w:t>Number of</w:t>
            </w:r>
          </w:p>
        </w:tc>
        <w:tc>
          <w:tcPr>
            <w:tcW w:w="120" w:type="dxa"/>
            <w:vAlign w:val="bottom"/>
          </w:tcPr>
          <w:p>
            <w:pPr>
              <w:spacing w:after="0"/>
              <w:rPr>
                <w:sz w:val="12"/>
                <w:szCs w:val="12"/>
                <w:color w:val="auto"/>
              </w:rPr>
            </w:pPr>
          </w:p>
        </w:tc>
      </w:tr>
      <w:tr>
        <w:trPr>
          <w:trHeight w:val="144"/>
        </w:trPr>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560" w:type="dxa"/>
            <w:vAlign w:val="bottom"/>
            <w:gridSpan w:val="3"/>
          </w:tcPr>
          <w:p>
            <w:pPr>
              <w:jc w:val="center"/>
              <w:ind w:right="1140"/>
              <w:spacing w:after="0"/>
              <w:rPr>
                <w:sz w:val="20"/>
                <w:szCs w:val="20"/>
                <w:color w:val="auto"/>
              </w:rPr>
            </w:pPr>
            <w:r>
              <w:rPr>
                <w:rFonts w:ascii="Arial" w:cs="Arial" w:eastAsia="Arial" w:hAnsi="Arial"/>
                <w:sz w:val="12"/>
                <w:szCs w:val="12"/>
                <w:b w:val="1"/>
                <w:bCs w:val="1"/>
                <w:color w:val="auto"/>
              </w:rPr>
              <w:t>Optional</w:t>
            </w:r>
          </w:p>
        </w:tc>
        <w:tc>
          <w:tcPr>
            <w:tcW w:w="120" w:type="dxa"/>
            <w:vAlign w:val="bottom"/>
          </w:tcPr>
          <w:p>
            <w:pPr>
              <w:spacing w:after="0"/>
              <w:rPr>
                <w:sz w:val="12"/>
                <w:szCs w:val="12"/>
                <w:color w:val="auto"/>
              </w:rPr>
            </w:pPr>
          </w:p>
        </w:tc>
      </w:tr>
      <w:tr>
        <w:trPr>
          <w:trHeight w:val="144"/>
        </w:trPr>
        <w:tc>
          <w:tcPr>
            <w:tcW w:w="2920" w:type="dxa"/>
            <w:vAlign w:val="bottom"/>
          </w:tcPr>
          <w:p>
            <w:pPr>
              <w:jc w:val="center"/>
              <w:spacing w:after="0"/>
              <w:rPr>
                <w:sz w:val="20"/>
                <w:szCs w:val="20"/>
                <w:color w:val="auto"/>
              </w:rPr>
            </w:pPr>
            <w:r>
              <w:rPr>
                <w:rFonts w:ascii="Arial" w:cs="Arial" w:eastAsia="Arial" w:hAnsi="Arial"/>
                <w:sz w:val="12"/>
                <w:szCs w:val="12"/>
                <w:b w:val="1"/>
                <w:bCs w:val="1"/>
                <w:color w:val="auto"/>
                <w:w w:val="97"/>
              </w:rPr>
              <w:t>Total</w:t>
            </w: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560" w:type="dxa"/>
            <w:vAlign w:val="bottom"/>
            <w:gridSpan w:val="3"/>
          </w:tcPr>
          <w:p>
            <w:pPr>
              <w:jc w:val="center"/>
              <w:ind w:right="1140"/>
              <w:spacing w:after="0"/>
              <w:rPr>
                <w:sz w:val="20"/>
                <w:szCs w:val="20"/>
                <w:color w:val="auto"/>
              </w:rPr>
            </w:pPr>
            <w:r>
              <w:rPr>
                <w:rFonts w:ascii="Arial" w:cs="Arial" w:eastAsia="Arial" w:hAnsi="Arial"/>
                <w:sz w:val="12"/>
                <w:szCs w:val="12"/>
                <w:b w:val="1"/>
                <w:bCs w:val="1"/>
                <w:color w:val="auto"/>
              </w:rPr>
              <w:t>Shares to be</w:t>
            </w:r>
          </w:p>
        </w:tc>
        <w:tc>
          <w:tcPr>
            <w:tcW w:w="120" w:type="dxa"/>
            <w:vAlign w:val="bottom"/>
          </w:tcPr>
          <w:p>
            <w:pPr>
              <w:spacing w:after="0"/>
              <w:rPr>
                <w:sz w:val="12"/>
                <w:szCs w:val="12"/>
                <w:color w:val="auto"/>
              </w:rPr>
            </w:pPr>
          </w:p>
        </w:tc>
      </w:tr>
      <w:tr>
        <w:trPr>
          <w:trHeight w:val="144"/>
        </w:trPr>
        <w:tc>
          <w:tcPr>
            <w:tcW w:w="2920" w:type="dxa"/>
            <w:vAlign w:val="bottom"/>
          </w:tcPr>
          <w:p>
            <w:pPr>
              <w:jc w:val="center"/>
              <w:spacing w:after="0"/>
              <w:rPr>
                <w:sz w:val="20"/>
                <w:szCs w:val="20"/>
                <w:color w:val="auto"/>
              </w:rPr>
            </w:pPr>
            <w:r>
              <w:rPr>
                <w:rFonts w:ascii="Arial" w:cs="Arial" w:eastAsia="Arial" w:hAnsi="Arial"/>
                <w:sz w:val="12"/>
                <w:szCs w:val="12"/>
                <w:b w:val="1"/>
                <w:bCs w:val="1"/>
                <w:color w:val="auto"/>
              </w:rPr>
              <w:t>Number of</w:t>
            </w: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560" w:type="dxa"/>
            <w:vAlign w:val="bottom"/>
            <w:gridSpan w:val="3"/>
          </w:tcPr>
          <w:p>
            <w:pPr>
              <w:jc w:val="center"/>
              <w:ind w:right="1140"/>
              <w:spacing w:after="0"/>
              <w:rPr>
                <w:sz w:val="20"/>
                <w:szCs w:val="20"/>
                <w:color w:val="auto"/>
              </w:rPr>
            </w:pPr>
            <w:r>
              <w:rPr>
                <w:rFonts w:ascii="Arial" w:cs="Arial" w:eastAsia="Arial" w:hAnsi="Arial"/>
                <w:sz w:val="12"/>
                <w:szCs w:val="12"/>
                <w:b w:val="1"/>
                <w:bCs w:val="1"/>
                <w:color w:val="auto"/>
              </w:rPr>
              <w:t>Purchased if</w:t>
            </w:r>
          </w:p>
        </w:tc>
        <w:tc>
          <w:tcPr>
            <w:tcW w:w="120" w:type="dxa"/>
            <w:vAlign w:val="bottom"/>
          </w:tcPr>
          <w:p>
            <w:pPr>
              <w:spacing w:after="0"/>
              <w:rPr>
                <w:sz w:val="12"/>
                <w:szCs w:val="12"/>
                <w:color w:val="auto"/>
              </w:rPr>
            </w:pPr>
          </w:p>
        </w:tc>
      </w:tr>
      <w:tr>
        <w:trPr>
          <w:trHeight w:val="144"/>
        </w:trPr>
        <w:tc>
          <w:tcPr>
            <w:tcW w:w="2920" w:type="dxa"/>
            <w:vAlign w:val="bottom"/>
          </w:tcPr>
          <w:p>
            <w:pPr>
              <w:jc w:val="center"/>
              <w:spacing w:after="0"/>
              <w:rPr>
                <w:sz w:val="20"/>
                <w:szCs w:val="20"/>
                <w:color w:val="auto"/>
              </w:rPr>
            </w:pPr>
            <w:r>
              <w:rPr>
                <w:rFonts w:ascii="Arial" w:cs="Arial" w:eastAsia="Arial" w:hAnsi="Arial"/>
                <w:sz w:val="12"/>
                <w:szCs w:val="12"/>
                <w:b w:val="1"/>
                <w:bCs w:val="1"/>
                <w:color w:val="auto"/>
              </w:rPr>
              <w:t>Firm Shares</w:t>
            </w: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560" w:type="dxa"/>
            <w:vAlign w:val="bottom"/>
            <w:gridSpan w:val="3"/>
          </w:tcPr>
          <w:p>
            <w:pPr>
              <w:jc w:val="center"/>
              <w:ind w:right="1120"/>
              <w:spacing w:after="0"/>
              <w:rPr>
                <w:sz w:val="20"/>
                <w:szCs w:val="20"/>
                <w:color w:val="auto"/>
              </w:rPr>
            </w:pPr>
            <w:r>
              <w:rPr>
                <w:rFonts w:ascii="Arial" w:cs="Arial" w:eastAsia="Arial" w:hAnsi="Arial"/>
                <w:sz w:val="12"/>
                <w:szCs w:val="12"/>
                <w:b w:val="1"/>
                <w:bCs w:val="1"/>
                <w:color w:val="auto"/>
              </w:rPr>
              <w:t>Maximum</w:t>
            </w:r>
          </w:p>
        </w:tc>
        <w:tc>
          <w:tcPr>
            <w:tcW w:w="120" w:type="dxa"/>
            <w:vAlign w:val="bottom"/>
          </w:tcPr>
          <w:p>
            <w:pPr>
              <w:spacing w:after="0"/>
              <w:rPr>
                <w:sz w:val="12"/>
                <w:szCs w:val="12"/>
                <w:color w:val="auto"/>
              </w:rPr>
            </w:pPr>
          </w:p>
        </w:tc>
      </w:tr>
      <w:tr>
        <w:trPr>
          <w:trHeight w:val="144"/>
        </w:trPr>
        <w:tc>
          <w:tcPr>
            <w:tcW w:w="2920" w:type="dxa"/>
            <w:vAlign w:val="bottom"/>
          </w:tcPr>
          <w:p>
            <w:pPr>
              <w:jc w:val="center"/>
              <w:spacing w:after="0"/>
              <w:rPr>
                <w:sz w:val="20"/>
                <w:szCs w:val="20"/>
                <w:color w:val="auto"/>
              </w:rPr>
            </w:pPr>
            <w:r>
              <w:rPr>
                <w:rFonts w:ascii="Arial" w:cs="Arial" w:eastAsia="Arial" w:hAnsi="Arial"/>
                <w:sz w:val="12"/>
                <w:szCs w:val="12"/>
                <w:b w:val="1"/>
                <w:bCs w:val="1"/>
                <w:color w:val="auto"/>
                <w:w w:val="97"/>
              </w:rPr>
              <w:t>to be</w:t>
            </w: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560" w:type="dxa"/>
            <w:vAlign w:val="bottom"/>
            <w:gridSpan w:val="3"/>
          </w:tcPr>
          <w:p>
            <w:pPr>
              <w:jc w:val="center"/>
              <w:ind w:right="1120"/>
              <w:spacing w:after="0"/>
              <w:rPr>
                <w:sz w:val="20"/>
                <w:szCs w:val="20"/>
                <w:color w:val="auto"/>
              </w:rPr>
            </w:pPr>
            <w:r>
              <w:rPr>
                <w:rFonts w:ascii="Arial" w:cs="Arial" w:eastAsia="Arial" w:hAnsi="Arial"/>
                <w:sz w:val="12"/>
                <w:szCs w:val="12"/>
                <w:b w:val="1"/>
                <w:bCs w:val="1"/>
                <w:color w:val="auto"/>
              </w:rPr>
              <w:t>Option</w:t>
            </w:r>
          </w:p>
        </w:tc>
        <w:tc>
          <w:tcPr>
            <w:tcW w:w="120" w:type="dxa"/>
            <w:vAlign w:val="bottom"/>
          </w:tcPr>
          <w:p>
            <w:pPr>
              <w:spacing w:after="0"/>
              <w:rPr>
                <w:sz w:val="12"/>
                <w:szCs w:val="12"/>
                <w:color w:val="auto"/>
              </w:rPr>
            </w:pPr>
          </w:p>
        </w:tc>
      </w:tr>
      <w:tr>
        <w:trPr>
          <w:trHeight w:val="171"/>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Purchased</w:t>
            </w:r>
          </w:p>
        </w:tc>
        <w:tc>
          <w:tcPr>
            <w:tcW w:w="3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jc w:val="center"/>
              <w:ind w:right="1120"/>
              <w:spacing w:after="0"/>
              <w:rPr>
                <w:sz w:val="20"/>
                <w:szCs w:val="20"/>
                <w:color w:val="auto"/>
              </w:rPr>
            </w:pPr>
            <w:r>
              <w:rPr>
                <w:rFonts w:ascii="Arial" w:cs="Arial" w:eastAsia="Arial" w:hAnsi="Arial"/>
                <w:sz w:val="12"/>
                <w:szCs w:val="12"/>
                <w:b w:val="1"/>
                <w:bCs w:val="1"/>
                <w:color w:val="auto"/>
              </w:rPr>
              <w:t>Exercised</w:t>
            </w:r>
          </w:p>
        </w:tc>
        <w:tc>
          <w:tcPr>
            <w:tcW w:w="120" w:type="dxa"/>
            <w:vAlign w:val="bottom"/>
          </w:tcPr>
          <w:p>
            <w:pPr>
              <w:spacing w:after="0"/>
              <w:rPr>
                <w:sz w:val="14"/>
                <w:szCs w:val="14"/>
                <w:color w:val="auto"/>
              </w:rPr>
            </w:pPr>
          </w:p>
        </w:tc>
      </w:tr>
      <w:tr>
        <w:trPr>
          <w:trHeight w:val="2421"/>
        </w:trPr>
        <w:tc>
          <w:tcPr>
            <w:tcW w:w="2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-2255520</wp:posOffset>
            </wp:positionH>
            <wp:positionV relativeFrom="paragraph">
              <wp:posOffset>-1555115</wp:posOffset>
            </wp:positionV>
            <wp:extent cx="6732270" cy="1035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1">
                      <a:extLst>
                        <a:ext uri="{28A0092B-C50C-407E-A947-70E740481C1C}"/>
                      </a:extLst>
                    </a:blip>
                    <a:srcRect/>
                    <a:stretch>
                      <a:fillRect/>
                    </a:stretch>
                  </pic:blipFill>
                  <pic:spPr bwMode="auto">
                    <a:xfrm>
                      <a:off x="0" y="0"/>
                      <a:ext cx="6732270" cy="103505"/>
                    </a:xfrm>
                    <a:prstGeom prst="rect">
                      <a:avLst/>
                    </a:prstGeom>
                    <a:noFill/>
                  </pic:spPr>
                </pic:pic>
              </a:graphicData>
            </a:graphic>
          </wp:anchor>
        </w:drawing>
        <w:drawing>
          <wp:anchor simplePos="0" relativeHeight="251657728" behindDoc="1" locked="0" layoutInCell="0" allowOverlap="1">
            <wp:simplePos x="0" y="0"/>
            <wp:positionH relativeFrom="column">
              <wp:posOffset>-2255520</wp:posOffset>
            </wp:positionH>
            <wp:positionV relativeFrom="paragraph">
              <wp:posOffset>-1348105</wp:posOffset>
            </wp:positionV>
            <wp:extent cx="6732270" cy="1035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2">
                      <a:extLst>
                        <a:ext uri="{28A0092B-C50C-407E-A947-70E740481C1C}"/>
                      </a:extLst>
                    </a:blip>
                    <a:srcRect/>
                    <a:stretch>
                      <a:fillRect/>
                    </a:stretch>
                  </pic:blipFill>
                  <pic:spPr bwMode="auto">
                    <a:xfrm>
                      <a:off x="0" y="0"/>
                      <a:ext cx="6732270" cy="103505"/>
                    </a:xfrm>
                    <a:prstGeom prst="rect">
                      <a:avLst/>
                    </a:prstGeom>
                    <a:noFill/>
                  </pic:spPr>
                </pic:pic>
              </a:graphicData>
            </a:graphic>
          </wp:anchor>
        </w:drawing>
        <w:drawing>
          <wp:anchor simplePos="0" relativeHeight="251657728" behindDoc="1" locked="0" layoutInCell="0" allowOverlap="1">
            <wp:simplePos x="0" y="0"/>
            <wp:positionH relativeFrom="column">
              <wp:posOffset>-2255520</wp:posOffset>
            </wp:positionH>
            <wp:positionV relativeFrom="paragraph">
              <wp:posOffset>-1141730</wp:posOffset>
            </wp:positionV>
            <wp:extent cx="6732270" cy="1035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6732270" cy="103505"/>
                    </a:xfrm>
                    <a:prstGeom prst="rect">
                      <a:avLst/>
                    </a:prstGeom>
                    <a:noFill/>
                  </pic:spPr>
                </pic:pic>
              </a:graphicData>
            </a:graphic>
          </wp:anchor>
        </w:drawing>
        <w:drawing>
          <wp:anchor simplePos="0" relativeHeight="251657728" behindDoc="1" locked="0" layoutInCell="0" allowOverlap="1">
            <wp:simplePos x="0" y="0"/>
            <wp:positionH relativeFrom="column">
              <wp:posOffset>-2255520</wp:posOffset>
            </wp:positionH>
            <wp:positionV relativeFrom="paragraph">
              <wp:posOffset>-935355</wp:posOffset>
            </wp:positionV>
            <wp:extent cx="6732270" cy="1035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4">
                      <a:extLst>
                        <a:ext uri="{28A0092B-C50C-407E-A947-70E740481C1C}"/>
                      </a:extLst>
                    </a:blip>
                    <a:srcRect/>
                    <a:stretch>
                      <a:fillRect/>
                    </a:stretch>
                  </pic:blipFill>
                  <pic:spPr bwMode="auto">
                    <a:xfrm>
                      <a:off x="0" y="0"/>
                      <a:ext cx="6732270" cy="103505"/>
                    </a:xfrm>
                    <a:prstGeom prst="rect">
                      <a:avLst/>
                    </a:prstGeom>
                    <a:noFill/>
                  </pic:spPr>
                </pic:pic>
              </a:graphicData>
            </a:graphic>
          </wp:anchor>
        </w:drawing>
        <w:drawing>
          <wp:anchor simplePos="0" relativeHeight="251657728" behindDoc="1" locked="0" layoutInCell="0" allowOverlap="1">
            <wp:simplePos x="0" y="0"/>
            <wp:positionH relativeFrom="column">
              <wp:posOffset>-2255520</wp:posOffset>
            </wp:positionH>
            <wp:positionV relativeFrom="paragraph">
              <wp:posOffset>-728345</wp:posOffset>
            </wp:positionV>
            <wp:extent cx="6732270" cy="1035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5">
                      <a:extLst>
                        <a:ext uri="{28A0092B-C50C-407E-A947-70E740481C1C}"/>
                      </a:extLst>
                    </a:blip>
                    <a:srcRect/>
                    <a:stretch>
                      <a:fillRect/>
                    </a:stretch>
                  </pic:blipFill>
                  <pic:spPr bwMode="auto">
                    <a:xfrm>
                      <a:off x="0" y="0"/>
                      <a:ext cx="6732270" cy="103505"/>
                    </a:xfrm>
                    <a:prstGeom prst="rect">
                      <a:avLst/>
                    </a:prstGeom>
                    <a:noFill/>
                  </pic:spPr>
                </pic:pic>
              </a:graphicData>
            </a:graphic>
          </wp:anchor>
        </w:drawing>
        <w:drawing>
          <wp:anchor simplePos="0" relativeHeight="251657728" behindDoc="1" locked="0" layoutInCell="0" allowOverlap="1">
            <wp:simplePos x="0" y="0"/>
            <wp:positionH relativeFrom="column">
              <wp:posOffset>-2255520</wp:posOffset>
            </wp:positionH>
            <wp:positionV relativeFrom="paragraph">
              <wp:posOffset>-521970</wp:posOffset>
            </wp:positionV>
            <wp:extent cx="6732270" cy="1035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6">
                      <a:extLst>
                        <a:ext uri="{28A0092B-C50C-407E-A947-70E740481C1C}"/>
                      </a:extLst>
                    </a:blip>
                    <a:srcRect/>
                    <a:stretch>
                      <a:fillRect/>
                    </a:stretch>
                  </pic:blipFill>
                  <pic:spPr bwMode="auto">
                    <a:xfrm>
                      <a:off x="0" y="0"/>
                      <a:ext cx="6732270" cy="103505"/>
                    </a:xfrm>
                    <a:prstGeom prst="rect">
                      <a:avLst/>
                    </a:prstGeom>
                    <a:noFill/>
                  </pic:spPr>
                </pic:pic>
              </a:graphicData>
            </a:graphic>
          </wp:anchor>
        </w:drawing>
        <w:drawing>
          <wp:anchor simplePos="0" relativeHeight="251657728" behindDoc="1" locked="0" layoutInCell="0" allowOverlap="1">
            <wp:simplePos x="0" y="0"/>
            <wp:positionH relativeFrom="column">
              <wp:posOffset>-2255520</wp:posOffset>
            </wp:positionH>
            <wp:positionV relativeFrom="paragraph">
              <wp:posOffset>-315595</wp:posOffset>
            </wp:positionV>
            <wp:extent cx="6732270" cy="1035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7">
                      <a:extLst>
                        <a:ext uri="{28A0092B-C50C-407E-A947-70E740481C1C}"/>
                      </a:extLst>
                    </a:blip>
                    <a:srcRect/>
                    <a:stretch>
                      <a:fillRect/>
                    </a:stretch>
                  </pic:blipFill>
                  <pic:spPr bwMode="auto">
                    <a:xfrm>
                      <a:off x="0" y="0"/>
                      <a:ext cx="6732270" cy="103505"/>
                    </a:xfrm>
                    <a:prstGeom prst="rect">
                      <a:avLst/>
                    </a:prstGeom>
                    <a:noFill/>
                  </pic:spPr>
                </pic:pic>
              </a:graphicData>
            </a:graphic>
          </wp:anchor>
        </w:drawing>
        <w:drawing>
          <wp:anchor simplePos="0" relativeHeight="251657728" behindDoc="1" locked="0" layoutInCell="0" allowOverlap="1">
            <wp:simplePos x="0" y="0"/>
            <wp:positionH relativeFrom="column">
              <wp:posOffset>-2255520</wp:posOffset>
            </wp:positionH>
            <wp:positionV relativeFrom="paragraph">
              <wp:posOffset>-108585</wp:posOffset>
            </wp:positionV>
            <wp:extent cx="6732270" cy="1035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8">
                      <a:extLst>
                        <a:ext uri="{28A0092B-C50C-407E-A947-70E740481C1C}"/>
                      </a:extLst>
                    </a:blip>
                    <a:srcRect/>
                    <a:stretch>
                      <a:fillRect/>
                    </a:stretch>
                  </pic:blipFill>
                  <pic:spPr bwMode="auto">
                    <a:xfrm>
                      <a:off x="0" y="0"/>
                      <a:ext cx="6732270" cy="103505"/>
                    </a:xfrm>
                    <a:prstGeom prst="rect">
                      <a:avLst/>
                    </a:prstGeom>
                    <a:noFill/>
                  </pic:spPr>
                </pic:pic>
              </a:graphicData>
            </a:graphic>
          </wp:anchor>
        </w:drawing>
      </w:r>
    </w:p>
    <w:p>
      <w:pPr>
        <w:sectPr>
          <w:pgSz w:w="11900" w:h="16840" w:orient="portrait"/>
          <w:cols w:equalWidth="0" w:num="2">
            <w:col w:w="2820" w:space="720"/>
            <w:col w:w="7040"/>
          </w:cols>
          <w:pgMar w:left="660" w:top="1440" w:right="660" w:bottom="1440" w:gutter="0" w:footer="0" w:header="0"/>
        </w:sectPr>
      </w:pPr>
    </w:p>
    <w:bookmarkStart w:id="257" w:name="page258"/>
    <w:bookmarkEnd w:id="257"/>
    <w:p>
      <w:pPr>
        <w:spacing w:after="0" w:line="39" w:lineRule="exact"/>
        <w:rPr>
          <w:sz w:val="20"/>
          <w:szCs w:val="20"/>
          <w:color w:val="auto"/>
        </w:rPr>
      </w:pPr>
    </w:p>
    <w:p>
      <w:pPr>
        <w:jc w:val="right"/>
        <w:ind w:right="4060"/>
        <w:spacing w:after="0"/>
        <w:rPr>
          <w:sz w:val="20"/>
          <w:szCs w:val="20"/>
          <w:color w:val="auto"/>
        </w:rPr>
      </w:pPr>
      <w:r>
        <w:rPr>
          <w:rFonts w:ascii="Arial" w:cs="Arial" w:eastAsia="Arial" w:hAnsi="Arial"/>
          <w:sz w:val="14"/>
          <w:szCs w:val="14"/>
          <w:b w:val="1"/>
          <w:bCs w:val="1"/>
          <w:color w:val="auto"/>
        </w:rPr>
        <w:t>SCHEDULE II</w:t>
      </w:r>
    </w:p>
    <w:p>
      <w:pPr>
        <w:spacing w:after="0" w:line="203" w:lineRule="exact"/>
        <w:rPr>
          <w:sz w:val="20"/>
          <w:szCs w:val="20"/>
          <w:color w:val="auto"/>
        </w:rPr>
      </w:pPr>
    </w:p>
    <w:tbl>
      <w:tblPr>
        <w:tblLayout w:type="fixed"/>
        <w:tblInd w:w="5300" w:type="dxa"/>
        <w:tblCellMar>
          <w:top w:w="0" w:type="dxa"/>
          <w:left w:w="0" w:type="dxa"/>
          <w:bottom w:w="0" w:type="dxa"/>
          <w:right w:w="0" w:type="dxa"/>
        </w:tblCellMar>
      </w:tblPr>
      <w:tr>
        <w:trPr>
          <w:trHeight w:val="144"/>
        </w:trPr>
        <w:tc>
          <w:tcPr>
            <w:tcW w:w="2000" w:type="dxa"/>
            <w:vAlign w:val="bottom"/>
          </w:tcPr>
          <w:p>
            <w:pPr>
              <w:spacing w:after="0"/>
              <w:rPr>
                <w:sz w:val="12"/>
                <w:szCs w:val="12"/>
                <w:color w:val="auto"/>
              </w:rPr>
            </w:pPr>
          </w:p>
        </w:tc>
        <w:tc>
          <w:tcPr>
            <w:tcW w:w="2020" w:type="dxa"/>
            <w:vAlign w:val="bottom"/>
          </w:tcPr>
          <w:p>
            <w:pPr>
              <w:jc w:val="center"/>
              <w:ind w:left="1218"/>
              <w:spacing w:after="0"/>
              <w:rPr>
                <w:sz w:val="20"/>
                <w:szCs w:val="20"/>
                <w:color w:val="auto"/>
              </w:rPr>
            </w:pPr>
            <w:r>
              <w:rPr>
                <w:rFonts w:ascii="Arial" w:cs="Arial" w:eastAsia="Arial" w:hAnsi="Arial"/>
                <w:sz w:val="12"/>
                <w:szCs w:val="12"/>
                <w:b w:val="1"/>
                <w:bCs w:val="1"/>
                <w:color w:val="auto"/>
              </w:rPr>
              <w:t>Number of</w:t>
            </w:r>
          </w:p>
        </w:tc>
      </w:tr>
      <w:tr>
        <w:trPr>
          <w:trHeight w:val="144"/>
        </w:trPr>
        <w:tc>
          <w:tcPr>
            <w:tcW w:w="2000" w:type="dxa"/>
            <w:vAlign w:val="bottom"/>
          </w:tcPr>
          <w:p>
            <w:pPr>
              <w:spacing w:after="0"/>
              <w:rPr>
                <w:sz w:val="12"/>
                <w:szCs w:val="12"/>
                <w:color w:val="auto"/>
              </w:rPr>
            </w:pPr>
          </w:p>
        </w:tc>
        <w:tc>
          <w:tcPr>
            <w:tcW w:w="2020" w:type="dxa"/>
            <w:vAlign w:val="bottom"/>
          </w:tcPr>
          <w:p>
            <w:pPr>
              <w:jc w:val="center"/>
              <w:ind w:left="1218"/>
              <w:spacing w:after="0"/>
              <w:rPr>
                <w:sz w:val="20"/>
                <w:szCs w:val="20"/>
                <w:color w:val="auto"/>
              </w:rPr>
            </w:pPr>
            <w:r>
              <w:rPr>
                <w:rFonts w:ascii="Arial" w:cs="Arial" w:eastAsia="Arial" w:hAnsi="Arial"/>
                <w:sz w:val="12"/>
                <w:szCs w:val="12"/>
                <w:b w:val="1"/>
                <w:bCs w:val="1"/>
                <w:color w:val="auto"/>
              </w:rPr>
              <w:t>Optional</w:t>
            </w:r>
          </w:p>
        </w:tc>
      </w:tr>
      <w:tr>
        <w:trPr>
          <w:trHeight w:val="144"/>
        </w:trPr>
        <w:tc>
          <w:tcPr>
            <w:tcW w:w="2000" w:type="dxa"/>
            <w:vAlign w:val="bottom"/>
          </w:tcPr>
          <w:p>
            <w:pPr>
              <w:jc w:val="center"/>
              <w:ind w:right="1198"/>
              <w:spacing w:after="0"/>
              <w:rPr>
                <w:sz w:val="20"/>
                <w:szCs w:val="20"/>
                <w:color w:val="auto"/>
              </w:rPr>
            </w:pPr>
            <w:r>
              <w:rPr>
                <w:rFonts w:ascii="Arial" w:cs="Arial" w:eastAsia="Arial" w:hAnsi="Arial"/>
                <w:sz w:val="12"/>
                <w:szCs w:val="12"/>
                <w:b w:val="1"/>
                <w:bCs w:val="1"/>
                <w:color w:val="auto"/>
              </w:rPr>
              <w:t>Total</w:t>
            </w:r>
          </w:p>
        </w:tc>
        <w:tc>
          <w:tcPr>
            <w:tcW w:w="2020" w:type="dxa"/>
            <w:vAlign w:val="bottom"/>
          </w:tcPr>
          <w:p>
            <w:pPr>
              <w:jc w:val="center"/>
              <w:ind w:left="1218"/>
              <w:spacing w:after="0"/>
              <w:rPr>
                <w:sz w:val="20"/>
                <w:szCs w:val="20"/>
                <w:color w:val="auto"/>
              </w:rPr>
            </w:pPr>
            <w:r>
              <w:rPr>
                <w:rFonts w:ascii="Arial" w:cs="Arial" w:eastAsia="Arial" w:hAnsi="Arial"/>
                <w:sz w:val="12"/>
                <w:szCs w:val="12"/>
                <w:b w:val="1"/>
                <w:bCs w:val="1"/>
                <w:color w:val="auto"/>
              </w:rPr>
              <w:t>Shares to be</w:t>
            </w:r>
          </w:p>
        </w:tc>
      </w:tr>
      <w:tr>
        <w:trPr>
          <w:trHeight w:val="144"/>
        </w:trPr>
        <w:tc>
          <w:tcPr>
            <w:tcW w:w="2000" w:type="dxa"/>
            <w:vAlign w:val="bottom"/>
          </w:tcPr>
          <w:p>
            <w:pPr>
              <w:jc w:val="center"/>
              <w:ind w:right="1198"/>
              <w:spacing w:after="0"/>
              <w:rPr>
                <w:sz w:val="20"/>
                <w:szCs w:val="20"/>
                <w:color w:val="auto"/>
              </w:rPr>
            </w:pPr>
            <w:r>
              <w:rPr>
                <w:rFonts w:ascii="Arial" w:cs="Arial" w:eastAsia="Arial" w:hAnsi="Arial"/>
                <w:sz w:val="12"/>
                <w:szCs w:val="12"/>
                <w:b w:val="1"/>
                <w:bCs w:val="1"/>
                <w:color w:val="auto"/>
              </w:rPr>
              <w:t>Number of</w:t>
            </w:r>
          </w:p>
        </w:tc>
        <w:tc>
          <w:tcPr>
            <w:tcW w:w="2020" w:type="dxa"/>
            <w:vAlign w:val="bottom"/>
          </w:tcPr>
          <w:p>
            <w:pPr>
              <w:jc w:val="center"/>
              <w:ind w:left="1218"/>
              <w:spacing w:after="0"/>
              <w:rPr>
                <w:sz w:val="20"/>
                <w:szCs w:val="20"/>
                <w:color w:val="auto"/>
              </w:rPr>
            </w:pPr>
            <w:r>
              <w:rPr>
                <w:rFonts w:ascii="Arial" w:cs="Arial" w:eastAsia="Arial" w:hAnsi="Arial"/>
                <w:sz w:val="12"/>
                <w:szCs w:val="12"/>
                <w:b w:val="1"/>
                <w:bCs w:val="1"/>
                <w:color w:val="auto"/>
              </w:rPr>
              <w:t>Sold if</w:t>
            </w:r>
          </w:p>
        </w:tc>
      </w:tr>
      <w:tr>
        <w:trPr>
          <w:trHeight w:val="144"/>
        </w:trPr>
        <w:tc>
          <w:tcPr>
            <w:tcW w:w="2000" w:type="dxa"/>
            <w:vAlign w:val="bottom"/>
          </w:tcPr>
          <w:p>
            <w:pPr>
              <w:jc w:val="center"/>
              <w:ind w:right="1218"/>
              <w:spacing w:after="0"/>
              <w:rPr>
                <w:sz w:val="20"/>
                <w:szCs w:val="20"/>
                <w:color w:val="auto"/>
              </w:rPr>
            </w:pPr>
            <w:r>
              <w:rPr>
                <w:rFonts w:ascii="Arial" w:cs="Arial" w:eastAsia="Arial" w:hAnsi="Arial"/>
                <w:sz w:val="12"/>
                <w:szCs w:val="12"/>
                <w:b w:val="1"/>
                <w:bCs w:val="1"/>
                <w:color w:val="auto"/>
              </w:rPr>
              <w:t>Firm Shares</w:t>
            </w:r>
          </w:p>
        </w:tc>
        <w:tc>
          <w:tcPr>
            <w:tcW w:w="2020" w:type="dxa"/>
            <w:vAlign w:val="bottom"/>
          </w:tcPr>
          <w:p>
            <w:pPr>
              <w:jc w:val="center"/>
              <w:ind w:left="1198"/>
              <w:spacing w:after="0"/>
              <w:rPr>
                <w:sz w:val="20"/>
                <w:szCs w:val="20"/>
                <w:color w:val="auto"/>
              </w:rPr>
            </w:pPr>
            <w:r>
              <w:rPr>
                <w:rFonts w:ascii="Arial" w:cs="Arial" w:eastAsia="Arial" w:hAnsi="Arial"/>
                <w:sz w:val="12"/>
                <w:szCs w:val="12"/>
                <w:b w:val="1"/>
                <w:bCs w:val="1"/>
                <w:color w:val="auto"/>
              </w:rPr>
              <w:t>Maximum</w:t>
            </w:r>
          </w:p>
        </w:tc>
      </w:tr>
      <w:tr>
        <w:trPr>
          <w:trHeight w:val="144"/>
        </w:trPr>
        <w:tc>
          <w:tcPr>
            <w:tcW w:w="2000" w:type="dxa"/>
            <w:vAlign w:val="bottom"/>
          </w:tcPr>
          <w:p>
            <w:pPr>
              <w:jc w:val="center"/>
              <w:ind w:right="1198"/>
              <w:spacing w:after="0"/>
              <w:rPr>
                <w:sz w:val="20"/>
                <w:szCs w:val="20"/>
                <w:color w:val="auto"/>
              </w:rPr>
            </w:pPr>
            <w:r>
              <w:rPr>
                <w:rFonts w:ascii="Arial" w:cs="Arial" w:eastAsia="Arial" w:hAnsi="Arial"/>
                <w:sz w:val="12"/>
                <w:szCs w:val="12"/>
                <w:b w:val="1"/>
                <w:bCs w:val="1"/>
                <w:color w:val="auto"/>
              </w:rPr>
              <w:t>to be</w:t>
            </w:r>
          </w:p>
        </w:tc>
        <w:tc>
          <w:tcPr>
            <w:tcW w:w="2020" w:type="dxa"/>
            <w:vAlign w:val="bottom"/>
          </w:tcPr>
          <w:p>
            <w:pPr>
              <w:jc w:val="center"/>
              <w:ind w:left="1198"/>
              <w:spacing w:after="0"/>
              <w:rPr>
                <w:sz w:val="20"/>
                <w:szCs w:val="20"/>
                <w:color w:val="auto"/>
              </w:rPr>
            </w:pPr>
            <w:r>
              <w:rPr>
                <w:rFonts w:ascii="Arial" w:cs="Arial" w:eastAsia="Arial" w:hAnsi="Arial"/>
                <w:sz w:val="12"/>
                <w:szCs w:val="12"/>
                <w:b w:val="1"/>
                <w:bCs w:val="1"/>
                <w:color w:val="auto"/>
              </w:rPr>
              <w:t>Option</w:t>
            </w:r>
          </w:p>
        </w:tc>
      </w:tr>
      <w:tr>
        <w:trPr>
          <w:trHeight w:val="171"/>
        </w:trPr>
        <w:tc>
          <w:tcPr>
            <w:tcW w:w="2000" w:type="dxa"/>
            <w:vAlign w:val="bottom"/>
          </w:tcPr>
          <w:p>
            <w:pPr>
              <w:jc w:val="center"/>
              <w:ind w:right="1198"/>
              <w:spacing w:after="0"/>
              <w:rPr>
                <w:sz w:val="20"/>
                <w:szCs w:val="20"/>
                <w:color w:val="auto"/>
              </w:rPr>
            </w:pPr>
            <w:r>
              <w:rPr>
                <w:rFonts w:ascii="Arial" w:cs="Arial" w:eastAsia="Arial" w:hAnsi="Arial"/>
                <w:sz w:val="12"/>
                <w:szCs w:val="12"/>
                <w:b w:val="1"/>
                <w:bCs w:val="1"/>
                <w:color w:val="auto"/>
                <w:w w:val="99"/>
              </w:rPr>
              <w:t>Sold</w:t>
            </w:r>
          </w:p>
        </w:tc>
        <w:tc>
          <w:tcPr>
            <w:tcW w:w="2020" w:type="dxa"/>
            <w:vAlign w:val="bottom"/>
          </w:tcPr>
          <w:p>
            <w:pPr>
              <w:jc w:val="center"/>
              <w:ind w:left="1218"/>
              <w:spacing w:after="0"/>
              <w:rPr>
                <w:sz w:val="20"/>
                <w:szCs w:val="20"/>
                <w:color w:val="auto"/>
              </w:rPr>
            </w:pPr>
            <w:r>
              <w:rPr>
                <w:rFonts w:ascii="Arial" w:cs="Arial" w:eastAsia="Arial" w:hAnsi="Arial"/>
                <w:sz w:val="12"/>
                <w:szCs w:val="12"/>
                <w:b w:val="1"/>
                <w:bCs w:val="1"/>
                <w:color w:val="auto"/>
              </w:rPr>
              <w:t>Exercised</w:t>
            </w:r>
          </w:p>
        </w:tc>
      </w:tr>
    </w:tbl>
    <w:p>
      <w:pPr>
        <w:spacing w:after="0" w:line="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6732270" cy="1035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9">
                      <a:extLst>
                        <a:ext uri="{28A0092B-C50C-407E-A947-70E740481C1C}"/>
                      </a:extLst>
                    </a:blip>
                    <a:srcRect/>
                    <a:stretch>
                      <a:fillRect/>
                    </a:stretch>
                  </pic:blipFill>
                  <pic:spPr bwMode="auto">
                    <a:xfrm>
                      <a:off x="0" y="0"/>
                      <a:ext cx="6732270" cy="1035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732270" cy="1035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6732270" cy="103505"/>
                    </a:xfrm>
                    <a:prstGeom prst="rect">
                      <a:avLst/>
                    </a:prstGeom>
                    <a:noFill/>
                  </pic:spPr>
                </pic:pic>
              </a:graphicData>
            </a:graphic>
          </wp:anchor>
        </w:drawing>
      </w:r>
    </w:p>
    <w:p>
      <w:pPr>
        <w:spacing w:after="0" w:line="5" w:lineRule="exact"/>
        <w:rPr>
          <w:sz w:val="20"/>
          <w:szCs w:val="20"/>
          <w:color w:val="auto"/>
        </w:rPr>
      </w:pPr>
    </w:p>
    <w:p>
      <w:pPr>
        <w:ind w:left="540" w:hanging="65"/>
        <w:spacing w:after="0"/>
        <w:tabs>
          <w:tab w:leader="none" w:pos="540" w:val="left"/>
        </w:tabs>
        <w:numPr>
          <w:ilvl w:val="0"/>
          <w:numId w:val="252"/>
        </w:numPr>
        <w:rPr>
          <w:rFonts w:ascii="Arial" w:cs="Arial" w:eastAsia="Arial" w:hAnsi="Arial"/>
          <w:sz w:val="12"/>
          <w:szCs w:val="12"/>
          <w:color w:val="auto"/>
        </w:rPr>
      </w:pPr>
      <w:r>
        <w:rPr>
          <w:rFonts w:ascii="Arial" w:cs="Arial" w:eastAsia="Arial" w:hAnsi="Arial"/>
          <w:sz w:val="12"/>
          <w:szCs w:val="12"/>
          <w:color w:val="auto"/>
        </w:rPr>
        <w:t xml:space="preserve">• ] </w:t>
      </w:r>
      <w:r>
        <w:rPr>
          <w:rFonts w:ascii="Arial" w:cs="Arial" w:eastAsia="Arial" w:hAnsi="Arial"/>
          <w:sz w:val="17"/>
          <w:szCs w:val="17"/>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6732270" cy="971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1">
                      <a:extLst>
                        <a:ext uri="{28A0092B-C50C-407E-A947-70E740481C1C}"/>
                      </a:extLst>
                    </a:blip>
                    <a:srcRect/>
                    <a:stretch>
                      <a:fillRect/>
                    </a:stretch>
                  </pic:blipFill>
                  <pic:spPr bwMode="auto">
                    <a:xfrm>
                      <a:off x="0" y="0"/>
                      <a:ext cx="6732270" cy="971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269875</wp:posOffset>
            </wp:positionV>
            <wp:extent cx="6732270" cy="971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2">
                      <a:extLst>
                        <a:ext uri="{28A0092B-C50C-407E-A947-70E740481C1C}"/>
                      </a:extLst>
                    </a:blip>
                    <a:srcRect/>
                    <a:stretch>
                      <a:fillRect/>
                    </a:stretch>
                  </pic:blipFill>
                  <pic:spPr bwMode="auto">
                    <a:xfrm>
                      <a:off x="0" y="0"/>
                      <a:ext cx="6732270" cy="971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464185</wp:posOffset>
            </wp:positionV>
            <wp:extent cx="6732270" cy="971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3">
                      <a:extLst>
                        <a:ext uri="{28A0092B-C50C-407E-A947-70E740481C1C}"/>
                      </a:extLst>
                    </a:blip>
                    <a:srcRect/>
                    <a:stretch>
                      <a:fillRect/>
                    </a:stretch>
                  </pic:blipFill>
                  <pic:spPr bwMode="auto">
                    <a:xfrm>
                      <a:off x="0" y="0"/>
                      <a:ext cx="6732270" cy="971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676910</wp:posOffset>
            </wp:positionV>
            <wp:extent cx="6732270" cy="1155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6732270" cy="115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5527040</wp:posOffset>
            </wp:positionH>
            <wp:positionV relativeFrom="paragraph">
              <wp:posOffset>15875</wp:posOffset>
            </wp:positionV>
            <wp:extent cx="121285"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5">
                      <a:extLst>
                        <a:ext uri="{28A0092B-C50C-407E-A947-70E740481C1C}"/>
                      </a:extLst>
                    </a:blip>
                    <a:srcRect/>
                    <a:stretch>
                      <a:fillRect/>
                    </a:stretch>
                  </pic:blipFill>
                  <pic:spPr bwMode="auto">
                    <a:xfrm>
                      <a:off x="0" y="0"/>
                      <a:ext cx="121285" cy="6350"/>
                    </a:xfrm>
                    <a:prstGeom prst="rect">
                      <a:avLst/>
                    </a:prstGeom>
                    <a:noFill/>
                  </pic:spPr>
                </pic:pic>
              </a:graphicData>
            </a:graphic>
          </wp:anchor>
        </w:drawing>
        <w:drawing>
          <wp:anchor simplePos="0" relativeHeight="251657728" behindDoc="1" locked="0" layoutInCell="0" allowOverlap="1">
            <wp:simplePos x="0" y="0"/>
            <wp:positionH relativeFrom="column">
              <wp:posOffset>6146800</wp:posOffset>
            </wp:positionH>
            <wp:positionV relativeFrom="paragraph">
              <wp:posOffset>15875</wp:posOffset>
            </wp:positionV>
            <wp:extent cx="504190"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504190" cy="635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_______</w:t>
      </w:r>
    </w:p>
    <w:p>
      <w:pPr>
        <w:sectPr>
          <w:pgSz w:w="11900" w:h="16840" w:orient="portrait"/>
          <w:cols w:equalWidth="0" w:num="1">
            <w:col w:w="9820"/>
          </w:cols>
          <w:pgMar w:left="640" w:top="1440" w:right="1440" w:bottom="1440" w:gutter="0" w:footer="0" w:header="0"/>
        </w:sectPr>
      </w:pPr>
    </w:p>
    <w:bookmarkStart w:id="258" w:name="page259"/>
    <w:bookmarkEnd w:id="258"/>
    <w:p>
      <w:pPr>
        <w:spacing w:after="0" w:line="39" w:lineRule="exact"/>
        <w:rPr>
          <w:sz w:val="20"/>
          <w:szCs w:val="20"/>
          <w:color w:val="auto"/>
        </w:rPr>
      </w:pPr>
    </w:p>
    <w:p>
      <w:pPr>
        <w:ind w:left="4833"/>
        <w:spacing w:after="0"/>
        <w:rPr>
          <w:sz w:val="20"/>
          <w:szCs w:val="20"/>
          <w:color w:val="auto"/>
        </w:rPr>
      </w:pPr>
      <w:r>
        <w:rPr>
          <w:rFonts w:ascii="Arial" w:cs="Arial" w:eastAsia="Arial" w:hAnsi="Arial"/>
          <w:sz w:val="14"/>
          <w:szCs w:val="14"/>
          <w:b w:val="1"/>
          <w:bCs w:val="1"/>
          <w:color w:val="auto"/>
        </w:rPr>
        <w:t>SCHEDULE III</w:t>
      </w:r>
    </w:p>
    <w:p>
      <w:pPr>
        <w:spacing w:after="0" w:line="88" w:lineRule="exact"/>
        <w:rPr>
          <w:sz w:val="20"/>
          <w:szCs w:val="20"/>
          <w:color w:val="auto"/>
        </w:rPr>
      </w:pPr>
    </w:p>
    <w:p>
      <w:pPr>
        <w:ind w:left="813" w:right="4380" w:hanging="813"/>
        <w:spacing w:after="0" w:line="370" w:lineRule="auto"/>
        <w:tabs>
          <w:tab w:leader="none" w:pos="344" w:val="left"/>
        </w:tabs>
        <w:numPr>
          <w:ilvl w:val="0"/>
          <w:numId w:val="253"/>
        </w:numPr>
        <w:rPr>
          <w:rFonts w:ascii="Arial" w:cs="Arial" w:eastAsia="Arial" w:hAnsi="Arial"/>
          <w:sz w:val="14"/>
          <w:szCs w:val="14"/>
          <w:color w:val="auto"/>
        </w:rPr>
      </w:pPr>
      <w:r>
        <w:rPr>
          <w:rFonts w:ascii="Arial" w:cs="Arial" w:eastAsia="Arial" w:hAnsi="Arial"/>
          <w:sz w:val="14"/>
          <w:szCs w:val="14"/>
          <w:color w:val="auto"/>
        </w:rPr>
        <w:t>Issuer Free Writing Prospectuses not included in the Pricing Disclosure Package Electronic Roadshow dated [•].</w:t>
      </w:r>
    </w:p>
    <w:p>
      <w:pPr>
        <w:spacing w:after="0" w:line="1" w:lineRule="exact"/>
        <w:rPr>
          <w:rFonts w:ascii="Arial" w:cs="Arial" w:eastAsia="Arial" w:hAnsi="Arial"/>
          <w:sz w:val="14"/>
          <w:szCs w:val="14"/>
          <w:color w:val="auto"/>
        </w:rPr>
      </w:pPr>
    </w:p>
    <w:p>
      <w:pPr>
        <w:ind w:left="333" w:hanging="333"/>
        <w:spacing w:after="0"/>
        <w:tabs>
          <w:tab w:leader="none" w:pos="333" w:val="left"/>
        </w:tabs>
        <w:numPr>
          <w:ilvl w:val="0"/>
          <w:numId w:val="253"/>
        </w:numPr>
        <w:rPr>
          <w:rFonts w:ascii="Arial" w:cs="Arial" w:eastAsia="Arial" w:hAnsi="Arial"/>
          <w:sz w:val="14"/>
          <w:szCs w:val="14"/>
          <w:color w:val="auto"/>
        </w:rPr>
      </w:pPr>
      <w:r>
        <w:rPr>
          <w:rFonts w:ascii="Arial" w:cs="Arial" w:eastAsia="Arial" w:hAnsi="Arial"/>
          <w:sz w:val="14"/>
          <w:szCs w:val="14"/>
          <w:color w:val="auto"/>
        </w:rPr>
        <w:t>Additional Documents Incorporated by Reference</w:t>
      </w:r>
    </w:p>
    <w:p>
      <w:pPr>
        <w:spacing w:after="0" w:line="88" w:lineRule="exact"/>
        <w:rPr>
          <w:sz w:val="20"/>
          <w:szCs w:val="20"/>
          <w:color w:val="auto"/>
        </w:rPr>
      </w:pPr>
    </w:p>
    <w:p>
      <w:pPr>
        <w:ind w:left="813"/>
        <w:spacing w:after="0"/>
        <w:rPr>
          <w:sz w:val="20"/>
          <w:szCs w:val="20"/>
          <w:color w:val="auto"/>
        </w:rPr>
      </w:pPr>
      <w:r>
        <w:rPr>
          <w:rFonts w:ascii="Arial" w:cs="Arial" w:eastAsia="Arial" w:hAnsi="Arial"/>
          <w:sz w:val="14"/>
          <w:szCs w:val="14"/>
          <w:color w:val="auto"/>
        </w:rPr>
        <w:t>[None.]</w:t>
      </w:r>
    </w:p>
    <w:p>
      <w:pPr>
        <w:spacing w:after="0" w:line="88" w:lineRule="exact"/>
        <w:rPr>
          <w:sz w:val="20"/>
          <w:szCs w:val="20"/>
          <w:color w:val="auto"/>
        </w:rPr>
      </w:pPr>
    </w:p>
    <w:p>
      <w:pPr>
        <w:ind w:left="453" w:right="3680" w:hanging="453"/>
        <w:spacing w:after="0" w:line="370" w:lineRule="auto"/>
        <w:tabs>
          <w:tab w:leader="none" w:pos="319" w:val="left"/>
        </w:tabs>
        <w:numPr>
          <w:ilvl w:val="0"/>
          <w:numId w:val="254"/>
        </w:numPr>
        <w:rPr>
          <w:rFonts w:ascii="Arial" w:cs="Arial" w:eastAsia="Arial" w:hAnsi="Arial"/>
          <w:sz w:val="14"/>
          <w:szCs w:val="14"/>
          <w:color w:val="auto"/>
        </w:rPr>
      </w:pPr>
      <w:r>
        <w:rPr>
          <w:rFonts w:ascii="Arial" w:cs="Arial" w:eastAsia="Arial" w:hAnsi="Arial"/>
          <w:sz w:val="14"/>
          <w:szCs w:val="14"/>
          <w:color w:val="auto"/>
        </w:rPr>
        <w:t>Information other than the Pricing Prospectus that comprise the Pricing Disclosure Package The initial public offering price per share for the Shares is $[ • ].</w:t>
      </w:r>
    </w:p>
    <w:p>
      <w:pPr>
        <w:spacing w:after="0" w:line="1" w:lineRule="exact"/>
        <w:rPr>
          <w:rFonts w:ascii="Arial" w:cs="Arial" w:eastAsia="Arial" w:hAnsi="Arial"/>
          <w:sz w:val="14"/>
          <w:szCs w:val="14"/>
          <w:color w:val="auto"/>
        </w:rPr>
      </w:pPr>
    </w:p>
    <w:p>
      <w:pPr>
        <w:ind w:left="453"/>
        <w:spacing w:after="0"/>
        <w:rPr>
          <w:rFonts w:ascii="Arial" w:cs="Arial" w:eastAsia="Arial" w:hAnsi="Arial"/>
          <w:sz w:val="14"/>
          <w:szCs w:val="14"/>
          <w:color w:val="auto"/>
        </w:rPr>
      </w:pPr>
      <w:r>
        <w:rPr>
          <w:rFonts w:ascii="Arial" w:cs="Arial" w:eastAsia="Arial" w:hAnsi="Arial"/>
          <w:sz w:val="14"/>
          <w:szCs w:val="14"/>
          <w:color w:val="auto"/>
        </w:rPr>
        <w:t>The number of Firm Shares purchased by the Underwriters is [ • ].</w:t>
      </w:r>
    </w:p>
    <w:p>
      <w:pPr>
        <w:spacing w:after="0" w:line="87" w:lineRule="exact"/>
        <w:rPr>
          <w:rFonts w:ascii="Arial" w:cs="Arial" w:eastAsia="Arial" w:hAnsi="Arial"/>
          <w:sz w:val="14"/>
          <w:szCs w:val="14"/>
          <w:color w:val="auto"/>
        </w:rPr>
      </w:pPr>
    </w:p>
    <w:p>
      <w:pPr>
        <w:ind w:left="333" w:hanging="333"/>
        <w:spacing w:after="0"/>
        <w:tabs>
          <w:tab w:leader="none" w:pos="333" w:val="left"/>
        </w:tabs>
        <w:numPr>
          <w:ilvl w:val="0"/>
          <w:numId w:val="254"/>
        </w:numPr>
        <w:rPr>
          <w:rFonts w:ascii="Arial" w:cs="Arial" w:eastAsia="Arial" w:hAnsi="Arial"/>
          <w:sz w:val="14"/>
          <w:szCs w:val="14"/>
          <w:color w:val="auto"/>
        </w:rPr>
      </w:pPr>
      <w:r>
        <w:rPr>
          <w:rFonts w:ascii="Arial" w:cs="Arial" w:eastAsia="Arial" w:hAnsi="Arial"/>
          <w:sz w:val="14"/>
          <w:szCs w:val="14"/>
          <w:color w:val="auto"/>
        </w:rPr>
        <w:t>Written Testing-the-Waters Communications</w:t>
      </w:r>
    </w:p>
    <w:p>
      <w:pPr>
        <w:spacing w:after="0" w:line="88" w:lineRule="exact"/>
        <w:rPr>
          <w:sz w:val="20"/>
          <w:szCs w:val="20"/>
          <w:color w:val="auto"/>
        </w:rPr>
      </w:pPr>
    </w:p>
    <w:p>
      <w:pPr>
        <w:ind w:left="453"/>
        <w:spacing w:after="0"/>
        <w:rPr>
          <w:sz w:val="20"/>
          <w:szCs w:val="20"/>
          <w:color w:val="auto"/>
        </w:rPr>
      </w:pPr>
      <w:r>
        <w:rPr>
          <w:rFonts w:ascii="Arial" w:cs="Arial" w:eastAsia="Arial" w:hAnsi="Arial"/>
          <w:sz w:val="14"/>
          <w:szCs w:val="14"/>
          <w:color w:val="auto"/>
        </w:rPr>
        <w:t>[ • ].</w:t>
      </w:r>
    </w:p>
    <w:p>
      <w:pPr>
        <w:sectPr>
          <w:pgSz w:w="11900" w:h="16840" w:orient="portrait"/>
          <w:cols w:equalWidth="0" w:num="1">
            <w:col w:w="9813"/>
          </w:cols>
          <w:pgMar w:left="647" w:top="1440" w:right="1440" w:bottom="1440" w:gutter="0" w:footer="0" w:header="0"/>
        </w:sectPr>
      </w:pPr>
    </w:p>
    <w:bookmarkStart w:id="259" w:name="page260"/>
    <w:bookmarkEnd w:id="259"/>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ANNEX I</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FORM OF PRESS RELEASE</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Navan,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[Date]</w:t>
      </w:r>
    </w:p>
    <w:p>
      <w:pPr>
        <w:spacing w:after="0" w:line="15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Navan, Inc. (the “Company”) announced today that Goldman Sachs &amp; Co. LLC and Citigroup Global Markets Inc., the lead book-running managers in the Company’s recent public sale of [ • ] shares of the Company’s Class A common stock, is [waiving] [releasing] a lock-up restriction with respect to [ • ] shares of the Company’s Class A common stock held by [certain officers or directors] [an officer or director] of the Company. The [waiver] [release] will take effect on [ • ], and the shares may be sold on or after such date.</w:t>
      </w:r>
    </w:p>
    <w:p>
      <w:pPr>
        <w:spacing w:after="0" w:line="115" w:lineRule="exact"/>
        <w:rPr>
          <w:sz w:val="20"/>
          <w:szCs w:val="20"/>
          <w:color w:val="auto"/>
        </w:rPr>
      </w:pPr>
    </w:p>
    <w:p>
      <w:pPr>
        <w:jc w:val="both"/>
        <w:spacing w:after="0" w:line="282" w:lineRule="auto"/>
        <w:rPr>
          <w:sz w:val="20"/>
          <w:szCs w:val="20"/>
          <w:color w:val="auto"/>
        </w:rPr>
      </w:pPr>
      <w:r>
        <w:rPr>
          <w:rFonts w:ascii="Arial" w:cs="Arial" w:eastAsia="Arial" w:hAnsi="Arial"/>
          <w:sz w:val="14"/>
          <w:szCs w:val="14"/>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40" w:orient="portrait"/>
          <w:cols w:equalWidth="0" w:num="1">
            <w:col w:w="10620"/>
          </w:cols>
          <w:pgMar w:left="640" w:top="1440" w:right="640" w:bottom="1440" w:gutter="0" w:footer="0" w:header="0"/>
        </w:sectPr>
      </w:pPr>
    </w:p>
    <w:bookmarkStart w:id="260" w:name="page261"/>
    <w:bookmarkEnd w:id="260"/>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ANNEX II</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LOCK-UP AGREEMENT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2025</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Goldman Sachs &amp; Co. LLC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Citigroup Global Markets Inc.</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As Representatives of the several Underwriters</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named in Schedule I to the Underwriting Agreement</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Goldman Sachs &amp; Co. LLC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200 West Street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New York, NY 10282-2198</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Citigroup Global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388 Greenwich Street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 10013</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Re: </w:t>
      </w:r>
      <w:r>
        <w:rPr>
          <w:rFonts w:ascii="Arial" w:cs="Arial" w:eastAsia="Arial" w:hAnsi="Arial"/>
          <w:sz w:val="14"/>
          <w:szCs w:val="14"/>
          <w:u w:val="single" w:color="auto"/>
          <w:color w:val="auto"/>
        </w:rPr>
        <w:t>Navan, Inc. – Lock-Up Agreement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164" w:lineRule="exact"/>
        <w:rPr>
          <w:sz w:val="20"/>
          <w:szCs w:val="20"/>
          <w:color w:val="auto"/>
        </w:rPr>
      </w:pPr>
    </w:p>
    <w:p>
      <w:pPr>
        <w:jc w:val="both"/>
        <w:ind w:right="20" w:firstLine="459"/>
        <w:spacing w:after="0" w:line="267" w:lineRule="auto"/>
        <w:rPr>
          <w:sz w:val="20"/>
          <w:szCs w:val="20"/>
          <w:color w:val="auto"/>
        </w:rPr>
      </w:pPr>
      <w:r>
        <w:rPr>
          <w:rFonts w:ascii="Arial" w:cs="Arial" w:eastAsia="Arial" w:hAnsi="Arial"/>
          <w:sz w:val="14"/>
          <w:szCs w:val="14"/>
          <w:color w:val="auto"/>
        </w:rPr>
        <w:t>The undersigned understands that Goldman Sachs &amp; Co. LLC and Citigroup Global Markets Inc., as representatives (the “Representatives”), propose to enter into an underwriting agreement (the “Underwriting Agreement”) on behalf of the several Underwriters named in Schedule I to such agreement (collectively, the “Underwriters”), with Navan, Inc., a Delaware corporation (the “Company”), and the selling stockholders named listed on Schedule II to such agreement, providing for a public offering (the “Public Offering”) of shares of Class A common stock, par value $ 0.00000625 per share (“Class A Common Stock”), of the Company (the “Shares”) pursuant to a Registration Statement on Form S-1 (the “Registration Statement”) to be filed with the Securities and Exchange Commission (the “SEC”).</w:t>
      </w:r>
    </w:p>
    <w:p>
      <w:pPr>
        <w:spacing w:after="0" w:line="119" w:lineRule="exact"/>
        <w:rPr>
          <w:sz w:val="20"/>
          <w:szCs w:val="20"/>
          <w:color w:val="auto"/>
        </w:rPr>
      </w:pPr>
    </w:p>
    <w:p>
      <w:pPr>
        <w:jc w:val="both"/>
        <w:ind w:firstLine="459"/>
        <w:spacing w:after="0" w:line="262" w:lineRule="auto"/>
        <w:rPr>
          <w:sz w:val="20"/>
          <w:szCs w:val="20"/>
          <w:color w:val="auto"/>
        </w:rPr>
      </w:pPr>
      <w:r>
        <w:rPr>
          <w:rFonts w:ascii="Arial" w:cs="Arial" w:eastAsia="Arial" w:hAnsi="Arial"/>
          <w:sz w:val="14"/>
          <w:szCs w:val="14"/>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of this letter agreement (this “Lock-Up Agreement”) and continuing to and including the date 180 days after the date of the final prospectus relating to the Public Offering (the “Prospectus”) (such period, the “Lock-Up Period”), the undersigned shall not, and shall not cause or direct any of his, her, its or their affiliates to, (i) offer, sell, contract to sell, pledge, grant any option, right or warrant to purchase, purchase any option or contract to sell, lend or otherwise transfer or dispose of any shares of Class A Common Stock or Class B Common Stock, par value $0.00000625 per share (“Class B Common Stock,” and, together with the Class A Common Stock, “Common Stock”), of the Company or any options or warrants to purchase any shares of Common Stock, or any securities convertible into, exchangeable for or that represent the right to receive shares of Common Stock (such shares of Common Stock, options, rights, warrants or other securities, collectively, the “Lock-Up Securities”), including without limitation any such</w:t>
      </w:r>
    </w:p>
    <w:p>
      <w:pPr>
        <w:sectPr>
          <w:pgSz w:w="11900" w:h="16840" w:orient="portrait"/>
          <w:cols w:equalWidth="0" w:num="1">
            <w:col w:w="10620"/>
          </w:cols>
          <w:pgMar w:left="640" w:top="1440" w:right="640" w:bottom="1440" w:gutter="0" w:footer="0" w:header="0"/>
        </w:sectPr>
      </w:pPr>
    </w:p>
    <w:bookmarkStart w:id="261" w:name="page262"/>
    <w:bookmarkEnd w:id="261"/>
    <w:p>
      <w:pPr>
        <w:spacing w:after="0" w:line="3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Lock-Up Securities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“Transfer”), (iii) make any demand for or exercise any right with respect to the registration of any Lock-Up Securities or (iv) otherwise publicly announce any intention to engage in or cause any action, activity, transaction or arrangement described in clause (i), (ii) or (iii) above. The undersigned represents and warrants that the undersigned is not, and has not caused or directed any of his, her, its or their affiliates to be or become, currently a party to any agreement or arrangement that provides for, is designed to or reasonably could be expected to lead to or result in any Transfer during the Lock-Up Period.</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Notwithstanding the foregoing, the undersigned may:</w:t>
      </w:r>
    </w:p>
    <w:p>
      <w:pPr>
        <w:spacing w:after="0" w:line="164" w:lineRule="exact"/>
        <w:rPr>
          <w:sz w:val="20"/>
          <w:szCs w:val="20"/>
          <w:color w:val="auto"/>
        </w:rPr>
      </w:pPr>
    </w:p>
    <w:p>
      <w:pPr>
        <w:ind w:left="1380" w:hanging="455"/>
        <w:spacing w:after="0"/>
        <w:tabs>
          <w:tab w:leader="none" w:pos="1380" w:val="left"/>
        </w:tabs>
        <w:numPr>
          <w:ilvl w:val="0"/>
          <w:numId w:val="255"/>
        </w:numPr>
        <w:rPr>
          <w:rFonts w:ascii="Arial" w:cs="Arial" w:eastAsia="Arial" w:hAnsi="Arial"/>
          <w:sz w:val="14"/>
          <w:szCs w:val="14"/>
          <w:color w:val="auto"/>
        </w:rPr>
      </w:pPr>
      <w:r>
        <w:rPr>
          <w:rFonts w:ascii="Arial" w:cs="Arial" w:eastAsia="Arial" w:hAnsi="Arial"/>
          <w:sz w:val="14"/>
          <w:szCs w:val="14"/>
          <w:color w:val="auto"/>
        </w:rPr>
        <w:t>transfer the undersigned’s Lock-Up Securities:</w:t>
      </w:r>
    </w:p>
    <w:p>
      <w:pPr>
        <w:spacing w:after="0" w:line="164" w:lineRule="exact"/>
        <w:rPr>
          <w:rFonts w:ascii="Arial" w:cs="Arial" w:eastAsia="Arial" w:hAnsi="Arial"/>
          <w:sz w:val="14"/>
          <w:szCs w:val="14"/>
          <w:color w:val="auto"/>
        </w:rPr>
      </w:pPr>
    </w:p>
    <w:p>
      <w:pPr>
        <w:ind w:left="1840" w:hanging="456"/>
        <w:spacing w:after="0"/>
        <w:tabs>
          <w:tab w:leader="none" w:pos="1840" w:val="left"/>
        </w:tabs>
        <w:numPr>
          <w:ilvl w:val="1"/>
          <w:numId w:val="255"/>
        </w:numPr>
        <w:rPr>
          <w:rFonts w:ascii="Arial" w:cs="Arial" w:eastAsia="Arial" w:hAnsi="Arial"/>
          <w:sz w:val="14"/>
          <w:szCs w:val="14"/>
          <w:color w:val="auto"/>
        </w:rPr>
      </w:pPr>
      <w:r>
        <w:rPr>
          <w:rFonts w:ascii="Arial" w:cs="Arial" w:eastAsia="Arial" w:hAnsi="Arial"/>
          <w:sz w:val="14"/>
          <w:szCs w:val="14"/>
          <w:color w:val="auto"/>
        </w:rPr>
        <w:t xml:space="preserve">as one or more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gifts or charitable contributions, or for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estate planning purposes;</w:t>
      </w:r>
    </w:p>
    <w:p>
      <w:pPr>
        <w:spacing w:after="0" w:line="164" w:lineRule="exact"/>
        <w:rPr>
          <w:rFonts w:ascii="Arial" w:cs="Arial" w:eastAsia="Arial" w:hAnsi="Arial"/>
          <w:sz w:val="14"/>
          <w:szCs w:val="14"/>
          <w:color w:val="auto"/>
        </w:rPr>
      </w:pPr>
    </w:p>
    <w:p>
      <w:pPr>
        <w:ind w:left="1840" w:hanging="456"/>
        <w:spacing w:after="0"/>
        <w:tabs>
          <w:tab w:leader="none" w:pos="1840" w:val="left"/>
        </w:tabs>
        <w:numPr>
          <w:ilvl w:val="1"/>
          <w:numId w:val="255"/>
        </w:numPr>
        <w:rPr>
          <w:rFonts w:ascii="Arial" w:cs="Arial" w:eastAsia="Arial" w:hAnsi="Arial"/>
          <w:sz w:val="14"/>
          <w:szCs w:val="14"/>
          <w:color w:val="auto"/>
        </w:rPr>
      </w:pPr>
      <w:r>
        <w:rPr>
          <w:rFonts w:ascii="Arial" w:cs="Arial" w:eastAsia="Arial" w:hAnsi="Arial"/>
          <w:sz w:val="14"/>
          <w:szCs w:val="14"/>
          <w:color w:val="auto"/>
        </w:rPr>
        <w:t>upon death by will, testamentary document or the laws of intestate succession;</w:t>
      </w:r>
    </w:p>
    <w:p>
      <w:pPr>
        <w:spacing w:after="0" w:line="164" w:lineRule="exact"/>
        <w:rPr>
          <w:rFonts w:ascii="Arial" w:cs="Arial" w:eastAsia="Arial" w:hAnsi="Arial"/>
          <w:sz w:val="14"/>
          <w:szCs w:val="14"/>
          <w:color w:val="auto"/>
        </w:rPr>
      </w:pPr>
    </w:p>
    <w:p>
      <w:pPr>
        <w:jc w:val="both"/>
        <w:ind w:left="1840" w:hanging="456"/>
        <w:spacing w:after="0" w:line="271" w:lineRule="auto"/>
        <w:tabs>
          <w:tab w:leader="none" w:pos="1840" w:val="left"/>
        </w:tabs>
        <w:numPr>
          <w:ilvl w:val="1"/>
          <w:numId w:val="255"/>
        </w:numPr>
        <w:rPr>
          <w:rFonts w:ascii="Arial" w:cs="Arial" w:eastAsia="Arial" w:hAnsi="Arial"/>
          <w:sz w:val="14"/>
          <w:szCs w:val="14"/>
          <w:color w:val="auto"/>
        </w:rPr>
      </w:pPr>
      <w:r>
        <w:rPr>
          <w:rFonts w:ascii="Arial" w:cs="Arial" w:eastAsia="Arial" w:hAnsi="Arial"/>
          <w:sz w:val="14"/>
          <w:szCs w:val="14"/>
          <w:color w:val="auto"/>
        </w:rPr>
        <w:t>if the undersigned is a natural person, to any member of the undersigned’s immediate family (for purposes of this Lock-Up Agreement, “immediate family” shall mean any relationship by blood, current or former marriage, domestic partnership or adoption, not more remote than first cousin) or to any trust for the direct or indirect benefit of the undersigned or the immediate family of the undersigned or, if the undersigned is a trust, to a trustor or beneficiary of the trust or the estate of a beneficiary of such trust;</w:t>
      </w:r>
    </w:p>
    <w:p>
      <w:pPr>
        <w:spacing w:after="0" w:line="114" w:lineRule="exact"/>
        <w:rPr>
          <w:rFonts w:ascii="Arial" w:cs="Arial" w:eastAsia="Arial" w:hAnsi="Arial"/>
          <w:sz w:val="14"/>
          <w:szCs w:val="14"/>
          <w:color w:val="auto"/>
        </w:rPr>
      </w:pPr>
    </w:p>
    <w:p>
      <w:pPr>
        <w:ind w:left="1840" w:right="20" w:hanging="456"/>
        <w:spacing w:after="0" w:line="299" w:lineRule="auto"/>
        <w:tabs>
          <w:tab w:leader="none" w:pos="1840" w:val="left"/>
        </w:tabs>
        <w:numPr>
          <w:ilvl w:val="1"/>
          <w:numId w:val="255"/>
        </w:numPr>
        <w:rPr>
          <w:rFonts w:ascii="Arial" w:cs="Arial" w:eastAsia="Arial" w:hAnsi="Arial"/>
          <w:sz w:val="14"/>
          <w:szCs w:val="14"/>
          <w:color w:val="auto"/>
        </w:rPr>
      </w:pPr>
      <w:r>
        <w:rPr>
          <w:rFonts w:ascii="Arial" w:cs="Arial" w:eastAsia="Arial" w:hAnsi="Arial"/>
          <w:sz w:val="14"/>
          <w:szCs w:val="14"/>
          <w:color w:val="auto"/>
        </w:rPr>
        <w:t>to a partnership, limited liability company or other entity of which the undersigned and the immediate family of the undersigned are the legal and beneficial owner of all of the outstanding equity securities or similar interests;</w:t>
      </w:r>
    </w:p>
    <w:p>
      <w:pPr>
        <w:spacing w:after="0" w:line="96" w:lineRule="exact"/>
        <w:rPr>
          <w:rFonts w:ascii="Arial" w:cs="Arial" w:eastAsia="Arial" w:hAnsi="Arial"/>
          <w:sz w:val="14"/>
          <w:szCs w:val="14"/>
          <w:color w:val="auto"/>
        </w:rPr>
      </w:pPr>
    </w:p>
    <w:p>
      <w:pPr>
        <w:ind w:left="1840" w:right="20" w:hanging="456"/>
        <w:spacing w:after="0" w:line="269" w:lineRule="auto"/>
        <w:tabs>
          <w:tab w:leader="none" w:pos="1830" w:val="left"/>
        </w:tabs>
        <w:numPr>
          <w:ilvl w:val="1"/>
          <w:numId w:val="255"/>
        </w:numPr>
        <w:rPr>
          <w:rFonts w:ascii="Arial" w:cs="Arial" w:eastAsia="Arial" w:hAnsi="Arial"/>
          <w:sz w:val="14"/>
          <w:szCs w:val="14"/>
          <w:color w:val="auto"/>
        </w:rPr>
      </w:pPr>
      <w:r>
        <w:rPr>
          <w:rFonts w:ascii="Arial" w:cs="Arial" w:eastAsia="Arial" w:hAnsi="Arial"/>
          <w:sz w:val="14"/>
          <w:szCs w:val="14"/>
          <w:color w:val="auto"/>
        </w:rPr>
        <w:t>to a nominee or custodian of a person or entity to whom a disposition or transfer would be permissible under clauses (a)(i) through (iv) above;</w:t>
      </w:r>
    </w:p>
    <w:p>
      <w:pPr>
        <w:spacing w:after="0" w:line="317" w:lineRule="exact"/>
        <w:rPr>
          <w:rFonts w:ascii="Arial" w:cs="Arial" w:eastAsia="Arial" w:hAnsi="Arial"/>
          <w:sz w:val="14"/>
          <w:szCs w:val="14"/>
          <w:color w:val="auto"/>
        </w:rPr>
      </w:pPr>
    </w:p>
    <w:p>
      <w:pPr>
        <w:ind w:left="1840" w:right="20" w:hanging="456"/>
        <w:spacing w:after="0" w:line="299" w:lineRule="auto"/>
        <w:tabs>
          <w:tab w:leader="none" w:pos="1840" w:val="left"/>
        </w:tabs>
        <w:numPr>
          <w:ilvl w:val="1"/>
          <w:numId w:val="255"/>
        </w:numPr>
        <w:rPr>
          <w:rFonts w:ascii="Arial" w:cs="Arial" w:eastAsia="Arial" w:hAnsi="Arial"/>
          <w:sz w:val="14"/>
          <w:szCs w:val="14"/>
          <w:color w:val="auto"/>
        </w:rPr>
      </w:pPr>
      <w:r>
        <w:rPr>
          <w:rFonts w:ascii="Arial" w:cs="Arial" w:eastAsia="Arial" w:hAnsi="Arial"/>
          <w:sz w:val="14"/>
          <w:szCs w:val="14"/>
          <w:color w:val="auto"/>
        </w:rPr>
        <w:t>if the undersigned is a corporation, partnership, limited liability company or other business entity, (A) to another corporation, partnership, limited liability company or other business entity that</w:t>
      </w:r>
    </w:p>
    <w:p>
      <w:pPr>
        <w:sectPr>
          <w:pgSz w:w="11900" w:h="16840" w:orient="portrait"/>
          <w:cols w:equalWidth="0" w:num="1">
            <w:col w:w="10620"/>
          </w:cols>
          <w:pgMar w:left="640" w:top="1440" w:right="640" w:bottom="1440" w:gutter="0" w:footer="0" w:header="0"/>
        </w:sectPr>
      </w:pPr>
    </w:p>
    <w:bookmarkStart w:id="262" w:name="page263"/>
    <w:bookmarkEnd w:id="262"/>
    <w:p>
      <w:pPr>
        <w:spacing w:after="0" w:line="39" w:lineRule="exact"/>
        <w:rPr>
          <w:sz w:val="20"/>
          <w:szCs w:val="20"/>
          <w:color w:val="auto"/>
        </w:rPr>
      </w:pPr>
    </w:p>
    <w:p>
      <w:pPr>
        <w:jc w:val="both"/>
        <w:ind w:left="1040" w:right="20"/>
        <w:spacing w:after="0" w:line="271" w:lineRule="auto"/>
        <w:rPr>
          <w:sz w:val="20"/>
          <w:szCs w:val="20"/>
          <w:color w:val="auto"/>
        </w:rPr>
      </w:pPr>
      <w:r>
        <w:rPr>
          <w:rFonts w:ascii="Arial" w:cs="Arial" w:eastAsia="Arial" w:hAnsi="Arial"/>
          <w:sz w:val="14"/>
          <w:szCs w:val="14"/>
          <w:color w:val="auto"/>
        </w:rPr>
        <w:t>is an affiliate (as defined in Rule 405 under the Securities Act of 1933, as amended (the “Securities Act”)) of the undersigned, or to any investment fund or other entity which fund or entity is controlled or managed by the undersigned or affiliates of the undersigned, or (B) as part of a distribution by the undersigned to its stockholders, partners, members or other equityholders or to the estate of any such stockholders, partners, members or other equityholders;</w:t>
      </w:r>
    </w:p>
    <w:p>
      <w:pPr>
        <w:spacing w:after="0" w:line="115" w:lineRule="exact"/>
        <w:rPr>
          <w:sz w:val="20"/>
          <w:szCs w:val="20"/>
          <w:color w:val="auto"/>
        </w:rPr>
      </w:pPr>
    </w:p>
    <w:p>
      <w:pPr>
        <w:ind w:left="1040" w:hanging="456"/>
        <w:spacing w:after="0"/>
        <w:tabs>
          <w:tab w:leader="none" w:pos="1040" w:val="left"/>
        </w:tabs>
        <w:numPr>
          <w:ilvl w:val="0"/>
          <w:numId w:val="256"/>
        </w:numPr>
        <w:rPr>
          <w:rFonts w:ascii="Arial" w:cs="Arial" w:eastAsia="Arial" w:hAnsi="Arial"/>
          <w:sz w:val="14"/>
          <w:szCs w:val="14"/>
          <w:color w:val="auto"/>
        </w:rPr>
      </w:pPr>
      <w:r>
        <w:rPr>
          <w:rFonts w:ascii="Arial" w:cs="Arial" w:eastAsia="Arial" w:hAnsi="Arial"/>
          <w:sz w:val="14"/>
          <w:szCs w:val="14"/>
          <w:color w:val="auto"/>
        </w:rPr>
        <w:t>by operation of law, such as pursuant to a qualified domestic order, divorce settlement, divorce decree or separation agreement;</w:t>
      </w:r>
    </w:p>
    <w:p>
      <w:pPr>
        <w:spacing w:after="0" w:line="164" w:lineRule="exact"/>
        <w:rPr>
          <w:rFonts w:ascii="Arial" w:cs="Arial" w:eastAsia="Arial" w:hAnsi="Arial"/>
          <w:sz w:val="14"/>
          <w:szCs w:val="14"/>
          <w:color w:val="auto"/>
        </w:rPr>
      </w:pPr>
    </w:p>
    <w:p>
      <w:pPr>
        <w:ind w:left="1040" w:hanging="456"/>
        <w:spacing w:after="0"/>
        <w:tabs>
          <w:tab w:leader="none" w:pos="1040" w:val="left"/>
        </w:tabs>
        <w:numPr>
          <w:ilvl w:val="0"/>
          <w:numId w:val="256"/>
        </w:numPr>
        <w:rPr>
          <w:rFonts w:ascii="Arial" w:cs="Arial" w:eastAsia="Arial" w:hAnsi="Arial"/>
          <w:sz w:val="14"/>
          <w:szCs w:val="14"/>
          <w:color w:val="auto"/>
        </w:rPr>
      </w:pPr>
      <w:r>
        <w:rPr>
          <w:rFonts w:ascii="Arial" w:cs="Arial" w:eastAsia="Arial" w:hAnsi="Arial"/>
          <w:sz w:val="14"/>
          <w:szCs w:val="14"/>
          <w:color w:val="auto"/>
        </w:rPr>
        <w:t>to the Company from an employee of the Company upon death, disability or termination of employment, in each case, of such employee;</w:t>
      </w:r>
    </w:p>
    <w:p>
      <w:pPr>
        <w:spacing w:after="0" w:line="164" w:lineRule="exact"/>
        <w:rPr>
          <w:rFonts w:ascii="Arial" w:cs="Arial" w:eastAsia="Arial" w:hAnsi="Arial"/>
          <w:sz w:val="14"/>
          <w:szCs w:val="14"/>
          <w:color w:val="auto"/>
        </w:rPr>
      </w:pPr>
    </w:p>
    <w:p>
      <w:pPr>
        <w:ind w:left="1040" w:right="20" w:hanging="456"/>
        <w:spacing w:after="0" w:line="299" w:lineRule="auto"/>
        <w:tabs>
          <w:tab w:leader="none" w:pos="1040" w:val="left"/>
        </w:tabs>
        <w:numPr>
          <w:ilvl w:val="0"/>
          <w:numId w:val="256"/>
        </w:numPr>
        <w:rPr>
          <w:rFonts w:ascii="Arial" w:cs="Arial" w:eastAsia="Arial" w:hAnsi="Arial"/>
          <w:sz w:val="14"/>
          <w:szCs w:val="14"/>
          <w:color w:val="auto"/>
        </w:rPr>
      </w:pPr>
      <w:r>
        <w:rPr>
          <w:rFonts w:ascii="Arial" w:cs="Arial" w:eastAsia="Arial" w:hAnsi="Arial"/>
          <w:sz w:val="14"/>
          <w:szCs w:val="14"/>
          <w:color w:val="auto"/>
        </w:rPr>
        <w:t>if the undersigned is not an officer or director of the Company, in connection with a sale of the undersigned’s shares of Common Stock acquired (A) from the Underwriters in the Public Offering or (B) in open market transactions after the closing date of the Public Offering;</w:t>
      </w:r>
    </w:p>
    <w:p>
      <w:pPr>
        <w:spacing w:after="0" w:line="96" w:lineRule="exact"/>
        <w:rPr>
          <w:rFonts w:ascii="Arial" w:cs="Arial" w:eastAsia="Arial" w:hAnsi="Arial"/>
          <w:sz w:val="14"/>
          <w:szCs w:val="14"/>
          <w:color w:val="auto"/>
        </w:rPr>
      </w:pPr>
    </w:p>
    <w:p>
      <w:pPr>
        <w:jc w:val="both"/>
        <w:ind w:left="1040" w:hanging="456"/>
        <w:spacing w:after="0" w:line="262" w:lineRule="auto"/>
        <w:tabs>
          <w:tab w:leader="none" w:pos="1030" w:val="left"/>
        </w:tabs>
        <w:numPr>
          <w:ilvl w:val="0"/>
          <w:numId w:val="256"/>
        </w:numPr>
        <w:rPr>
          <w:rFonts w:ascii="Arial" w:cs="Arial" w:eastAsia="Arial" w:hAnsi="Arial"/>
          <w:sz w:val="14"/>
          <w:szCs w:val="14"/>
          <w:color w:val="auto"/>
        </w:rPr>
      </w:pPr>
      <w:r>
        <w:rPr>
          <w:rFonts w:ascii="Arial" w:cs="Arial" w:eastAsia="Arial" w:hAnsi="Arial"/>
          <w:sz w:val="14"/>
          <w:szCs w:val="14"/>
          <w:color w:val="auto"/>
        </w:rPr>
        <w:t>to the Company in connection with the vesting, settlement or exercise of restricted stock units, options, warrants or other rights to purchase shares of Common Stock (including, in each case, by way of “net” or “cashless” exercise), including any transfer to the Company for the payment of tax obligations, including estimates, due as a result of the vesting, settlement or exercise of such restricted stock units, options, warrants or other rights, or in connection with the conversion or exchange of convertible or exchangeable securities of the Company or any of its subsidiaries, in all such cases pursuant to equity awards granted under a stock incentive plan or other equity award plan or arrangement, or pursuant to the terms of convertible or exchangeable securities, as applicable, each as described in the Prospectus, provided that any securities received upon such vesting, settlement, exercise or conversion that are not transferred to cover any such tax obligations shall be subject to the terms of this Lock-Up Agreement;</w:t>
      </w:r>
    </w:p>
    <w:p>
      <w:pPr>
        <w:spacing w:after="0" w:line="124" w:lineRule="exact"/>
        <w:rPr>
          <w:rFonts w:ascii="Arial" w:cs="Arial" w:eastAsia="Arial" w:hAnsi="Arial"/>
          <w:sz w:val="14"/>
          <w:szCs w:val="14"/>
          <w:color w:val="auto"/>
        </w:rPr>
      </w:pPr>
    </w:p>
    <w:p>
      <w:pPr>
        <w:jc w:val="both"/>
        <w:ind w:left="1040" w:hanging="456"/>
        <w:spacing w:after="0" w:line="271" w:lineRule="auto"/>
        <w:tabs>
          <w:tab w:leader="none" w:pos="1040" w:val="left"/>
        </w:tabs>
        <w:numPr>
          <w:ilvl w:val="0"/>
          <w:numId w:val="256"/>
        </w:numPr>
        <w:rPr>
          <w:rFonts w:ascii="Arial" w:cs="Arial" w:eastAsia="Arial" w:hAnsi="Arial"/>
          <w:sz w:val="14"/>
          <w:szCs w:val="14"/>
          <w:color w:val="auto"/>
        </w:rPr>
      </w:pPr>
      <w:r>
        <w:rPr>
          <w:rFonts w:ascii="Arial" w:cs="Arial" w:eastAsia="Arial" w:hAnsi="Arial"/>
          <w:sz w:val="14"/>
          <w:szCs w:val="14"/>
          <w:color w:val="auto"/>
        </w:rPr>
        <w:t>in “sell to cover” or similar open market transactions during the Lock-Up Period solely to satisfy tax obligations due as a result of (A) the exercise of stock options, if such options expire or the post-termination exercise period applicable to such options expire during the Lock-Up Period or (B) the settlement of restricted stock units during the Lock-Up Period pursuant to awards granted under a stock incentive plan or other equity award plan or arrangement described in the Prospectus, provided that, in each case, any</w:t>
      </w:r>
    </w:p>
    <w:p>
      <w:pPr>
        <w:sectPr>
          <w:pgSz w:w="11900" w:h="16840" w:orient="portrait"/>
          <w:cols w:equalWidth="0" w:num="1">
            <w:col w:w="9820"/>
          </w:cols>
          <w:pgMar w:left="1440" w:top="1440" w:right="640" w:bottom="1440" w:gutter="0" w:footer="0" w:header="0"/>
        </w:sectPr>
      </w:pPr>
    </w:p>
    <w:bookmarkStart w:id="263" w:name="page264"/>
    <w:bookmarkEnd w:id="263"/>
    <w:p>
      <w:pPr>
        <w:spacing w:after="0" w:line="39" w:lineRule="exact"/>
        <w:rPr>
          <w:sz w:val="20"/>
          <w:szCs w:val="20"/>
          <w:color w:val="auto"/>
        </w:rPr>
      </w:pPr>
    </w:p>
    <w:p>
      <w:pPr>
        <w:ind w:left="1040" w:right="20"/>
        <w:spacing w:after="0" w:line="299" w:lineRule="auto"/>
        <w:rPr>
          <w:sz w:val="20"/>
          <w:szCs w:val="20"/>
          <w:color w:val="auto"/>
        </w:rPr>
      </w:pPr>
      <w:r>
        <w:rPr>
          <w:rFonts w:ascii="Arial" w:cs="Arial" w:eastAsia="Arial" w:hAnsi="Arial"/>
          <w:sz w:val="14"/>
          <w:szCs w:val="14"/>
          <w:color w:val="auto"/>
        </w:rPr>
        <w:t>securities received upon such exercise or settlement that are not transferred to cover any such tax obligations shall be subject to the terms of this Lock-Up Agreement;</w:t>
      </w:r>
    </w:p>
    <w:p>
      <w:pPr>
        <w:spacing w:after="0" w:line="96" w:lineRule="exact"/>
        <w:rPr>
          <w:sz w:val="20"/>
          <w:szCs w:val="20"/>
          <w:color w:val="auto"/>
        </w:rPr>
      </w:pPr>
    </w:p>
    <w:p>
      <w:pPr>
        <w:jc w:val="both"/>
        <w:ind w:left="1040" w:right="20" w:hanging="456"/>
        <w:spacing w:after="0" w:line="271" w:lineRule="auto"/>
        <w:tabs>
          <w:tab w:leader="none" w:pos="1040" w:val="left"/>
        </w:tabs>
        <w:numPr>
          <w:ilvl w:val="0"/>
          <w:numId w:val="257"/>
        </w:numPr>
        <w:rPr>
          <w:rFonts w:ascii="Arial" w:cs="Arial" w:eastAsia="Arial" w:hAnsi="Arial"/>
          <w:sz w:val="14"/>
          <w:szCs w:val="14"/>
          <w:color w:val="auto"/>
        </w:rPr>
      </w:pPr>
      <w:r>
        <w:rPr>
          <w:rFonts w:ascii="Arial" w:cs="Arial" w:eastAsia="Arial" w:hAnsi="Arial"/>
          <w:sz w:val="14"/>
          <w:szCs w:val="14"/>
          <w:color w:val="auto"/>
        </w:rPr>
        <w:t>to the Company in connection with the conversion, exchange or reclassification of any outstanding equity securities of the Company into shares of Common Stock, or any reclassification, exchange or conversion of shares of Common Stock, in each case as described and as contemplated in the Prospectus, provided that any such shares of Common Stock received upon such conversion, exchange or reclassification shall be subject to the terms of this Lock-Up Agreement; and</w:t>
      </w:r>
    </w:p>
    <w:p>
      <w:pPr>
        <w:spacing w:after="0" w:line="114" w:lineRule="exact"/>
        <w:rPr>
          <w:rFonts w:ascii="Arial" w:cs="Arial" w:eastAsia="Arial" w:hAnsi="Arial"/>
          <w:sz w:val="14"/>
          <w:szCs w:val="14"/>
          <w:color w:val="auto"/>
        </w:rPr>
      </w:pPr>
    </w:p>
    <w:p>
      <w:pPr>
        <w:ind w:left="1040" w:hanging="456"/>
        <w:spacing w:after="0"/>
        <w:tabs>
          <w:tab w:leader="none" w:pos="1040" w:val="left"/>
        </w:tabs>
        <w:numPr>
          <w:ilvl w:val="0"/>
          <w:numId w:val="257"/>
        </w:numPr>
        <w:rPr>
          <w:rFonts w:ascii="Arial" w:cs="Arial" w:eastAsia="Arial" w:hAnsi="Arial"/>
          <w:sz w:val="14"/>
          <w:szCs w:val="14"/>
          <w:color w:val="auto"/>
        </w:rPr>
      </w:pPr>
      <w:r>
        <w:rPr>
          <w:rFonts w:ascii="Arial" w:cs="Arial" w:eastAsia="Arial" w:hAnsi="Arial"/>
          <w:sz w:val="14"/>
          <w:szCs w:val="14"/>
          <w:color w:val="auto"/>
        </w:rPr>
        <w:t>with the prior written consent of the Representatives on behalf of the Underwriters;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provided that:</w:t>
      </w:r>
    </w:p>
    <w:p>
      <w:pPr>
        <w:spacing w:after="0" w:line="164" w:lineRule="exact"/>
        <w:rPr>
          <w:sz w:val="20"/>
          <w:szCs w:val="20"/>
          <w:color w:val="auto"/>
        </w:rPr>
      </w:pPr>
    </w:p>
    <w:p>
      <w:pPr>
        <w:ind w:left="1500" w:hanging="456"/>
        <w:spacing w:after="0"/>
        <w:tabs>
          <w:tab w:leader="none" w:pos="1500" w:val="left"/>
        </w:tabs>
        <w:numPr>
          <w:ilvl w:val="0"/>
          <w:numId w:val="258"/>
        </w:numPr>
        <w:rPr>
          <w:rFonts w:ascii="Arial" w:cs="Arial" w:eastAsia="Arial" w:hAnsi="Arial"/>
          <w:sz w:val="14"/>
          <w:szCs w:val="14"/>
          <w:color w:val="auto"/>
        </w:rPr>
      </w:pPr>
      <w:r>
        <w:rPr>
          <w:rFonts w:ascii="Arial" w:cs="Arial" w:eastAsia="Arial" w:hAnsi="Arial"/>
          <w:sz w:val="14"/>
          <w:szCs w:val="14"/>
          <w:color w:val="auto"/>
        </w:rPr>
        <w:t>in the case of clauses (a)(i), (ii), (iii), (iv), (v) and (vi) above, such transfer or distribution shall not involve a disposition for value;</w:t>
      </w:r>
    </w:p>
    <w:p>
      <w:pPr>
        <w:spacing w:after="0" w:line="164" w:lineRule="exact"/>
        <w:rPr>
          <w:rFonts w:ascii="Arial" w:cs="Arial" w:eastAsia="Arial" w:hAnsi="Arial"/>
          <w:sz w:val="14"/>
          <w:szCs w:val="14"/>
          <w:color w:val="auto"/>
        </w:rPr>
      </w:pPr>
    </w:p>
    <w:p>
      <w:pPr>
        <w:jc w:val="both"/>
        <w:ind w:left="1500" w:hanging="456"/>
        <w:spacing w:after="0" w:line="278" w:lineRule="auto"/>
        <w:tabs>
          <w:tab w:leader="none" w:pos="1500" w:val="left"/>
        </w:tabs>
        <w:numPr>
          <w:ilvl w:val="0"/>
          <w:numId w:val="258"/>
        </w:numPr>
        <w:rPr>
          <w:rFonts w:ascii="Arial" w:cs="Arial" w:eastAsia="Arial" w:hAnsi="Arial"/>
          <w:sz w:val="14"/>
          <w:szCs w:val="14"/>
          <w:color w:val="auto"/>
        </w:rPr>
      </w:pPr>
      <w:r>
        <w:rPr>
          <w:rFonts w:ascii="Arial" w:cs="Arial" w:eastAsia="Arial" w:hAnsi="Arial"/>
          <w:sz w:val="14"/>
          <w:szCs w:val="14"/>
          <w:color w:val="auto"/>
        </w:rPr>
        <w:t>in the case of clauses (a)(i), (ii), (iii), (iv), (v), (vi) and (vii) above, it shall be a condition to the transfer or distribution that the donee, devisee, transferee or distributee, as the case may be, shall sign and deliver a lock-up agreement in the form of this Lock-Up Agreement;</w:t>
      </w:r>
    </w:p>
    <w:p>
      <w:pPr>
        <w:spacing w:after="0" w:line="110" w:lineRule="exact"/>
        <w:rPr>
          <w:rFonts w:ascii="Arial" w:cs="Arial" w:eastAsia="Arial" w:hAnsi="Arial"/>
          <w:sz w:val="14"/>
          <w:szCs w:val="14"/>
          <w:color w:val="auto"/>
        </w:rPr>
      </w:pPr>
    </w:p>
    <w:p>
      <w:pPr>
        <w:jc w:val="both"/>
        <w:ind w:left="1500" w:hanging="456"/>
        <w:spacing w:after="0" w:line="271" w:lineRule="auto"/>
        <w:tabs>
          <w:tab w:leader="none" w:pos="1500" w:val="left"/>
        </w:tabs>
        <w:numPr>
          <w:ilvl w:val="0"/>
          <w:numId w:val="258"/>
        </w:numPr>
        <w:rPr>
          <w:rFonts w:ascii="Arial" w:cs="Arial" w:eastAsia="Arial" w:hAnsi="Arial"/>
          <w:sz w:val="14"/>
          <w:szCs w:val="14"/>
          <w:color w:val="auto"/>
        </w:rPr>
      </w:pPr>
      <w:r>
        <w:rPr>
          <w:rFonts w:ascii="Arial" w:cs="Arial" w:eastAsia="Arial" w:hAnsi="Arial"/>
          <w:sz w:val="14"/>
          <w:szCs w:val="14"/>
          <w:color w:val="auto"/>
        </w:rPr>
        <w:t>in the case of clauses (a)(ii), (iii), (iv), (v), (vi) and (ix) above, no filing by any party (including, without limitation, any donor, donee, devisee, transferor, transferee, distributor or distributee) under the Securities Exchange Act of 1934, as amended (the “Exchange Act”), or other public filing, report or announcement reporting a reduction in beneficial ownership of Lock-Up Securities shall be required or shall be voluntarily made in connection with such transfer or distribution; and</w:t>
      </w:r>
    </w:p>
    <w:p>
      <w:pPr>
        <w:spacing w:after="0" w:line="114" w:lineRule="exact"/>
        <w:rPr>
          <w:rFonts w:ascii="Arial" w:cs="Arial" w:eastAsia="Arial" w:hAnsi="Arial"/>
          <w:sz w:val="14"/>
          <w:szCs w:val="14"/>
          <w:color w:val="auto"/>
        </w:rPr>
      </w:pPr>
    </w:p>
    <w:p>
      <w:pPr>
        <w:jc w:val="both"/>
        <w:ind w:left="1500" w:right="20" w:hanging="456"/>
        <w:spacing w:after="0" w:line="267" w:lineRule="auto"/>
        <w:tabs>
          <w:tab w:leader="none" w:pos="1500" w:val="left"/>
        </w:tabs>
        <w:numPr>
          <w:ilvl w:val="0"/>
          <w:numId w:val="258"/>
        </w:numPr>
        <w:rPr>
          <w:rFonts w:ascii="Arial" w:cs="Arial" w:eastAsia="Arial" w:hAnsi="Arial"/>
          <w:sz w:val="14"/>
          <w:szCs w:val="14"/>
          <w:color w:val="auto"/>
        </w:rPr>
      </w:pPr>
      <w:r>
        <w:rPr>
          <w:rFonts w:ascii="Arial" w:cs="Arial" w:eastAsia="Arial" w:hAnsi="Arial"/>
          <w:sz w:val="14"/>
          <w:szCs w:val="14"/>
          <w:color w:val="auto"/>
        </w:rPr>
        <w:t>in the case of clauses (a)(i), (vii), (viii), (x), (xi) and (xii) above, no filing under the Exchange Act or other public filing, report or announcement reporting a reduction in beneficial ownership of shares of Common Stock in connection with such transfer or distribution shall be voluntarily made, and if any such filing, report or announcement shall be legally required during the Lock-Up Period, such filing, report or announcement shall clearly indicate in the footnotes thereto (1) the circumstances of such transfer or distribution and (2) in the case of a transfer or distribution pursuant to clauses (a)(i) or (vii)</w:t>
      </w:r>
    </w:p>
    <w:p>
      <w:pPr>
        <w:sectPr>
          <w:pgSz w:w="11900" w:h="16840" w:orient="portrait"/>
          <w:cols w:equalWidth="0" w:num="1">
            <w:col w:w="9820"/>
          </w:cols>
          <w:pgMar w:left="1440" w:top="1440" w:right="640" w:bottom="1440" w:gutter="0" w:footer="0" w:header="0"/>
        </w:sectPr>
      </w:pPr>
    </w:p>
    <w:bookmarkStart w:id="264" w:name="page265"/>
    <w:bookmarkEnd w:id="264"/>
    <w:p>
      <w:pPr>
        <w:spacing w:after="0" w:line="39" w:lineRule="exact"/>
        <w:rPr>
          <w:sz w:val="20"/>
          <w:szCs w:val="20"/>
          <w:color w:val="auto"/>
        </w:rPr>
      </w:pPr>
    </w:p>
    <w:p>
      <w:pPr>
        <w:ind w:left="2300"/>
        <w:spacing w:after="0" w:line="299" w:lineRule="auto"/>
        <w:rPr>
          <w:sz w:val="20"/>
          <w:szCs w:val="20"/>
          <w:color w:val="auto"/>
        </w:rPr>
      </w:pPr>
      <w:r>
        <w:rPr>
          <w:rFonts w:ascii="Arial" w:cs="Arial" w:eastAsia="Arial" w:hAnsi="Arial"/>
          <w:sz w:val="14"/>
          <w:szCs w:val="14"/>
          <w:color w:val="auto"/>
        </w:rPr>
        <w:t>above, that the donee, devisee, transferee or distributee, as the case may be, has agreed to be bound by a lock-up agreement in the form of this Lock-Up Agreement;</w:t>
      </w:r>
    </w:p>
    <w:p>
      <w:pPr>
        <w:spacing w:after="0" w:line="96" w:lineRule="exact"/>
        <w:rPr>
          <w:sz w:val="20"/>
          <w:szCs w:val="20"/>
          <w:color w:val="auto"/>
        </w:rPr>
      </w:pPr>
    </w:p>
    <w:p>
      <w:pPr>
        <w:jc w:val="both"/>
        <w:ind w:left="1380" w:hanging="455"/>
        <w:spacing w:after="0" w:line="262" w:lineRule="auto"/>
        <w:tabs>
          <w:tab w:leader="none" w:pos="1380" w:val="left"/>
        </w:tabs>
        <w:numPr>
          <w:ilvl w:val="0"/>
          <w:numId w:val="259"/>
        </w:numPr>
        <w:rPr>
          <w:rFonts w:ascii="Arial" w:cs="Arial" w:eastAsia="Arial" w:hAnsi="Arial"/>
          <w:sz w:val="14"/>
          <w:szCs w:val="14"/>
          <w:color w:val="auto"/>
        </w:rPr>
      </w:pPr>
      <w:r>
        <w:rPr>
          <w:rFonts w:ascii="Arial" w:cs="Arial" w:eastAsia="Arial" w:hAnsi="Arial"/>
          <w:sz w:val="14"/>
          <w:szCs w:val="14"/>
          <w:color w:val="auto"/>
        </w:rPr>
        <w:t xml:space="preserve">enter into a written plan meeting the requirements of Rule 10b5-1 under the Exchange Act relating to the transfer, sale or other disposition of the undersigned’s Lock-Up Securities, if then permitted by the Company,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(1) none of the securities subject to such plan may be transferred, sold or otherwise disposed of until after the expiration of the Lock-Up Period and (2) no public announcement, report or filing under the Exchange Act, or any other public filing, report or announcement, shall be voluntarily made (whether by or on behalf of the undersigned, the Company or any other party) regarding, or that otherwise discloses, the establishment of such plan during the Lock-Up Period, and if any such filing, report or announcement shall be legally required during the Lock-Up Period, such filing, report or announcement shall clearly indicate therein that that none of the securities subject to such plan may be transferred, sold, or otherwise disposed of pursuant to such plan until after the expiration of the Lock-Up Period;</w:t>
      </w:r>
    </w:p>
    <w:p>
      <w:pPr>
        <w:spacing w:after="0" w:line="124" w:lineRule="exact"/>
        <w:rPr>
          <w:rFonts w:ascii="Arial" w:cs="Arial" w:eastAsia="Arial" w:hAnsi="Arial"/>
          <w:sz w:val="14"/>
          <w:szCs w:val="14"/>
          <w:color w:val="auto"/>
        </w:rPr>
      </w:pPr>
    </w:p>
    <w:p>
      <w:pPr>
        <w:jc w:val="both"/>
        <w:ind w:left="1380" w:right="20" w:hanging="455"/>
        <w:spacing w:after="0" w:line="262" w:lineRule="auto"/>
        <w:tabs>
          <w:tab w:leader="none" w:pos="1370" w:val="left"/>
        </w:tabs>
        <w:numPr>
          <w:ilvl w:val="0"/>
          <w:numId w:val="259"/>
        </w:numPr>
        <w:rPr>
          <w:rFonts w:ascii="Arial" w:cs="Arial" w:eastAsia="Arial" w:hAnsi="Arial"/>
          <w:sz w:val="14"/>
          <w:szCs w:val="14"/>
          <w:color w:val="auto"/>
        </w:rPr>
      </w:pPr>
      <w:r>
        <w:rPr>
          <w:rFonts w:ascii="Arial" w:cs="Arial" w:eastAsia="Arial" w:hAnsi="Arial"/>
          <w:sz w:val="14"/>
          <w:szCs w:val="14"/>
          <w:color w:val="auto"/>
        </w:rPr>
        <w:t xml:space="preserve">transfer the undersigned’s Lock-Up Securities pursuant to a bona fide third-party tender offer, merger, consolidation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all of the undersigned’s Lock-Up Securities that are not so transferred, tendered or otherwise disposed of shall remain subject to this Lock-Up Agreement; and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in the event that such tender offer, merger, consolidation or other similar transaction is not completed, the undersigned’s Lock-Up Securities shall remain subject to the provisions of this Lock-Up Agreement; and</w:t>
      </w:r>
    </w:p>
    <w:p>
      <w:pPr>
        <w:spacing w:after="0" w:line="124" w:lineRule="exact"/>
        <w:rPr>
          <w:rFonts w:ascii="Arial" w:cs="Arial" w:eastAsia="Arial" w:hAnsi="Arial"/>
          <w:sz w:val="14"/>
          <w:szCs w:val="14"/>
          <w:color w:val="auto"/>
        </w:rPr>
      </w:pPr>
    </w:p>
    <w:p>
      <w:pPr>
        <w:ind w:left="1380" w:hanging="455"/>
        <w:spacing w:after="0"/>
        <w:tabs>
          <w:tab w:leader="none" w:pos="1380" w:val="left"/>
        </w:tabs>
        <w:numPr>
          <w:ilvl w:val="0"/>
          <w:numId w:val="259"/>
        </w:numPr>
        <w:rPr>
          <w:rFonts w:ascii="Arial" w:cs="Arial" w:eastAsia="Arial" w:hAnsi="Arial"/>
          <w:sz w:val="14"/>
          <w:szCs w:val="14"/>
          <w:color w:val="auto"/>
        </w:rPr>
      </w:pPr>
      <w:r>
        <w:rPr>
          <w:rFonts w:ascii="Arial" w:cs="Arial" w:eastAsia="Arial" w:hAnsi="Arial"/>
          <w:sz w:val="14"/>
          <w:szCs w:val="14"/>
          <w:color w:val="auto"/>
        </w:rPr>
        <w:t>sell the Shares to be sold by the undersigned, if any, pursuant to the terms of the Underwriting Agreement.</w:t>
      </w:r>
    </w:p>
    <w:p>
      <w:pPr>
        <w:spacing w:after="0" w:line="164" w:lineRule="exact"/>
        <w:rPr>
          <w:sz w:val="20"/>
          <w:szCs w:val="20"/>
          <w:color w:val="auto"/>
        </w:rPr>
      </w:pPr>
    </w:p>
    <w:p>
      <w:pPr>
        <w:jc w:val="both"/>
        <w:ind w:right="20" w:firstLine="459"/>
        <w:spacing w:after="0" w:line="299" w:lineRule="auto"/>
        <w:rPr>
          <w:sz w:val="20"/>
          <w:szCs w:val="20"/>
          <w:color w:val="auto"/>
        </w:rPr>
      </w:pPr>
      <w:r>
        <w:rPr>
          <w:rFonts w:ascii="Arial" w:cs="Arial" w:eastAsia="Arial" w:hAnsi="Arial"/>
          <w:sz w:val="14"/>
          <w:szCs w:val="14"/>
          <w:color w:val="auto"/>
        </w:rPr>
        <w:t>If the undersigned is an officer or director of the Company, the undersigned further agrees that the foregoing provisions shall be equally applicable to any issuer-directed or other Shares the undersigned may purchase in the Public Offering.</w:t>
      </w:r>
    </w:p>
    <w:p>
      <w:pPr>
        <w:spacing w:after="0" w:line="96" w:lineRule="exact"/>
        <w:rPr>
          <w:sz w:val="20"/>
          <w:szCs w:val="20"/>
          <w:color w:val="auto"/>
        </w:rPr>
      </w:pPr>
    </w:p>
    <w:p>
      <w:pPr>
        <w:jc w:val="both"/>
        <w:ind w:firstLine="459"/>
        <w:spacing w:after="0" w:line="278" w:lineRule="auto"/>
        <w:rPr>
          <w:sz w:val="20"/>
          <w:szCs w:val="20"/>
          <w:color w:val="auto"/>
        </w:rPr>
      </w:pPr>
      <w:r>
        <w:rPr>
          <w:rFonts w:ascii="Arial" w:cs="Arial" w:eastAsia="Arial" w:hAnsi="Arial"/>
          <w:sz w:val="14"/>
          <w:szCs w:val="14"/>
          <w:color w:val="auto"/>
        </w:rPr>
        <w:t>If the undersigned is not a natural person, the undersigned represents and warrants that no single natural person, entity or “group” (within the meaning of Section 13(d)(3) of the Exchange Act), other than a natural person, entity or “group” (as described above) that has executed a Lock-Up Agreement in substantially the same form as this Lock-Up Agreement,</w:t>
      </w:r>
    </w:p>
    <w:p>
      <w:pPr>
        <w:sectPr>
          <w:pgSz w:w="11900" w:h="16840" w:orient="portrait"/>
          <w:cols w:equalWidth="0" w:num="1">
            <w:col w:w="10620"/>
          </w:cols>
          <w:pgMar w:left="640" w:top="1440" w:right="640" w:bottom="1440" w:gutter="0" w:footer="0" w:header="0"/>
        </w:sectPr>
      </w:pPr>
    </w:p>
    <w:bookmarkStart w:id="265" w:name="page266"/>
    <w:bookmarkEnd w:id="265"/>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beneficially owns, directly or indirectly, 50% or more of the common equity interests, or 50% or more of the voting power, in the undersigned.</w:t>
      </w:r>
    </w:p>
    <w:p>
      <w:pPr>
        <w:spacing w:after="0" w:line="164" w:lineRule="exact"/>
        <w:rPr>
          <w:sz w:val="20"/>
          <w:szCs w:val="20"/>
          <w:color w:val="auto"/>
        </w:rPr>
      </w:pPr>
    </w:p>
    <w:p>
      <w:pPr>
        <w:jc w:val="both"/>
        <w:ind w:right="20" w:firstLine="459"/>
        <w:spacing w:after="0" w:line="262" w:lineRule="auto"/>
        <w:rPr>
          <w:sz w:val="20"/>
          <w:szCs w:val="20"/>
          <w:color w:val="auto"/>
        </w:rPr>
      </w:pPr>
      <w:r>
        <w:rPr>
          <w:rFonts w:ascii="Arial" w:cs="Arial" w:eastAsia="Arial" w:hAnsi="Arial"/>
          <w:sz w:val="14"/>
          <w:szCs w:val="14"/>
          <w:color w:val="auto"/>
        </w:rPr>
        <w:t>If the undersigned is an officer or director of the Company, (i) the Representatives agree that, at least three business days before the effective date of any release or waiver of the foregoing restrictions in connection with a transfer of shares of Common Stock, the Representatives will notify the Company of the impending release or waiver, and (ii) the Company has agreed in the Underwriting Agreement to announce the impending release or waiver by press release through a major news service (or such other method approved by the Representatives that satisfies the requirements of FINRA Rule 5131(d)(2))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(i) the release or waiver is effected solely to permit a transfer not for consideration or that is to an immediate family member as defined in FINRA Rule 5130(i)(5) and (ii) the transferee has agreed in writing to be bound by the same terms described in this Lock-Up Agreement to the extent and for the duration that such terms remain in effect at the time of the transfer.</w:t>
      </w:r>
    </w:p>
    <w:p>
      <w:pPr>
        <w:spacing w:after="0" w:line="125" w:lineRule="exact"/>
        <w:rPr>
          <w:sz w:val="20"/>
          <w:szCs w:val="20"/>
          <w:color w:val="auto"/>
        </w:rPr>
      </w:pPr>
    </w:p>
    <w:p>
      <w:pPr>
        <w:jc w:val="both"/>
        <w:ind w:right="20" w:firstLine="459"/>
        <w:spacing w:after="0" w:line="271" w:lineRule="auto"/>
        <w:rPr>
          <w:sz w:val="20"/>
          <w:szCs w:val="20"/>
          <w:color w:val="auto"/>
        </w:rPr>
      </w:pPr>
      <w:r>
        <w:rPr>
          <w:rFonts w:ascii="Arial" w:cs="Arial" w:eastAsia="Arial" w:hAnsi="Arial"/>
          <w:sz w:val="14"/>
          <w:szCs w:val="14"/>
          <w:color w:val="auto"/>
        </w:rPr>
        <w:t>The undersigned now has, and, except as contemplated by clauses (a) and (c) of the third paragraph of this Lock -Up Agreement, for the duration of this Lock-Up Agreement will have, good and marketable title to the undersigned’s Lock-Up Securities, free and clear of all liens, encumbrances and claims whatsoever. The undersigned also agrees and consents to the entry of stop transfer instructions with the Company’s transfer agent and registrar against the transfer of the undersigned’s Lock-Up Securities except in compliance with the foregoing restrictions.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and notwithstanding the provisions of the second paragraph of this Lock-up Agreement:</w:t>
      </w:r>
    </w:p>
    <w:p>
      <w:pPr>
        <w:spacing w:after="0" w:line="164" w:lineRule="exact"/>
        <w:rPr>
          <w:sz w:val="20"/>
          <w:szCs w:val="20"/>
          <w:color w:val="auto"/>
        </w:rPr>
      </w:pPr>
    </w:p>
    <w:p>
      <w:pPr>
        <w:jc w:val="both"/>
        <w:ind w:left="240" w:hanging="233"/>
        <w:spacing w:after="0" w:line="260" w:lineRule="auto"/>
        <w:tabs>
          <w:tab w:leader="none" w:pos="275" w:val="left"/>
        </w:tabs>
        <w:numPr>
          <w:ilvl w:val="0"/>
          <w:numId w:val="260"/>
        </w:numPr>
        <w:rPr>
          <w:rFonts w:ascii="Arial" w:cs="Arial" w:eastAsia="Arial" w:hAnsi="Arial"/>
          <w:sz w:val="14"/>
          <w:szCs w:val="14"/>
          <w:color w:val="auto"/>
        </w:rPr>
      </w:pPr>
      <w:r>
        <w:rPr>
          <w:rFonts w:ascii="Arial" w:cs="Arial" w:eastAsia="Arial" w:hAnsi="Arial"/>
          <w:sz w:val="14"/>
          <w:szCs w:val="14"/>
          <w:color w:val="auto"/>
        </w:rPr>
        <w:t>if the undersigned is (i) an employee of the Company or any of its subsidiaries and is not an Excluded Holder (as defined below) as of and including the fifth (5th) calendar day prior to the date of the Initial Earnings Release (as defined below) or (ii) a former employee of the Company (each such person in clauses (i) or (ii), an “Eligible Stockholder”) and the closing price of Class A Common Stock on the Nasdaq Global Select Market (“Nasdaq”) (rounded up to the nearest cent) has exceeded 130% of the initial public offering price per Share set forth on the cover page of the Prospectus on at least five (5) Trading Days (one of which must be a Trading Day occurring after the date of the Initial Earnings Release) out of any ten (10) consecutive Trading Day period (a “Measurement Period”), subject to compliance with the Company’s insider trading policy, as it may be amended from time to time (the “Insider Trading Policy”), applicable securities laws, including, without limitation, Rule 144 promulgated under the Securities Act and the securities laws of applicable non-U.S. jurisdictions, and applicable contractual restrictions and limitations, the undersigned may sell in the public market, beginning at the opening of trading on the first Trading Day (the “Release Date”) after the applicable Measurement Period, a number of shares of Common Stock not in excess of 25% of the sum of (1) the aggregate number of shares of Common Stock held by the undersigned as of September 20, 2025 and (2) the aggregate number of shares of Common Stock subject to options, restricted stock units and/or securities convertible into or exchangeable for shares of Common Stock, in each case directly held by the undersigned Eligible Stockholder, fully vested and not otherwise subject to applicable</w:t>
      </w:r>
    </w:p>
    <w:p>
      <w:pPr>
        <w:sectPr>
          <w:pgSz w:w="11900" w:h="16840" w:orient="portrait"/>
          <w:cols w:equalWidth="0" w:num="1">
            <w:col w:w="10620"/>
          </w:cols>
          <w:pgMar w:left="640" w:top="1440" w:right="640" w:bottom="1440" w:gutter="0" w:footer="0" w:header="0"/>
        </w:sectPr>
      </w:pPr>
    </w:p>
    <w:bookmarkStart w:id="266" w:name="page267"/>
    <w:bookmarkEnd w:id="266"/>
    <w:p>
      <w:pPr>
        <w:spacing w:after="0" w:line="39" w:lineRule="exact"/>
        <w:rPr>
          <w:sz w:val="20"/>
          <w:szCs w:val="20"/>
          <w:color w:val="auto"/>
        </w:rPr>
      </w:pPr>
    </w:p>
    <w:p>
      <w:pPr>
        <w:jc w:val="both"/>
        <w:ind w:left="240" w:right="20"/>
        <w:spacing w:after="0" w:line="278" w:lineRule="auto"/>
        <w:rPr>
          <w:sz w:val="20"/>
          <w:szCs w:val="20"/>
          <w:color w:val="auto"/>
        </w:rPr>
      </w:pPr>
      <w:r>
        <w:rPr>
          <w:rFonts w:ascii="Arial" w:cs="Arial" w:eastAsia="Arial" w:hAnsi="Arial"/>
          <w:sz w:val="14"/>
          <w:szCs w:val="14"/>
          <w:color w:val="auto"/>
        </w:rPr>
        <w:t>securities law, contractual or other restrictions (including any right of repurchase in favor of the Company or escrow restrictions) as of September 20, 2025, provided that the Release Date can only occur in a broadly applicable “open trading window” period during which trading in the Company’s securities is permitted under the Insider Trading Policy; and</w:t>
      </w:r>
    </w:p>
    <w:p>
      <w:pPr>
        <w:spacing w:after="0" w:line="110" w:lineRule="exact"/>
        <w:rPr>
          <w:sz w:val="20"/>
          <w:szCs w:val="20"/>
          <w:color w:val="auto"/>
        </w:rPr>
      </w:pPr>
    </w:p>
    <w:p>
      <w:pPr>
        <w:ind w:left="240" w:right="20" w:hanging="233"/>
        <w:spacing w:after="0" w:line="299" w:lineRule="auto"/>
        <w:tabs>
          <w:tab w:leader="none" w:pos="230" w:val="left"/>
        </w:tabs>
        <w:numPr>
          <w:ilvl w:val="0"/>
          <w:numId w:val="261"/>
        </w:numPr>
        <w:rPr>
          <w:rFonts w:ascii="Arial" w:cs="Arial" w:eastAsia="Arial" w:hAnsi="Arial"/>
          <w:sz w:val="14"/>
          <w:szCs w:val="14"/>
          <w:color w:val="auto"/>
        </w:rPr>
      </w:pPr>
      <w:r>
        <w:rPr>
          <w:rFonts w:ascii="Arial" w:cs="Arial" w:eastAsia="Arial" w:hAnsi="Arial"/>
          <w:sz w:val="14"/>
          <w:szCs w:val="14"/>
          <w:color w:val="auto"/>
        </w:rPr>
        <w:t>in any case, the Lock-Up Period shall terminate commencing on the earlier of (i) the opening of trading on the second Trading Day following the date of the Second Earnings Release and (ii) the end of the 180th day after the date set forth on the Prospectus.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For purposes of this Lock-Up Agreement:</w:t>
      </w:r>
    </w:p>
    <w:p>
      <w:pPr>
        <w:spacing w:after="0" w:line="164" w:lineRule="exact"/>
        <w:rPr>
          <w:sz w:val="20"/>
          <w:szCs w:val="20"/>
          <w:color w:val="auto"/>
        </w:rPr>
      </w:pPr>
    </w:p>
    <w:p>
      <w:pPr>
        <w:jc w:val="both"/>
        <w:ind w:left="920" w:right="20" w:hanging="454"/>
        <w:spacing w:after="0" w:line="263" w:lineRule="auto"/>
        <w:tabs>
          <w:tab w:leader="none" w:pos="910" w:val="left"/>
        </w:tabs>
        <w:numPr>
          <w:ilvl w:val="0"/>
          <w:numId w:val="262"/>
        </w:numPr>
        <w:rPr>
          <w:rFonts w:ascii="Times New Roman" w:cs="Times New Roman" w:eastAsia="Times New Roman" w:hAnsi="Times New Roman"/>
          <w:sz w:val="14"/>
          <w:szCs w:val="14"/>
          <w:color w:val="auto"/>
        </w:rPr>
      </w:pPr>
      <w:r>
        <w:rPr>
          <w:rFonts w:ascii="Arial" w:cs="Arial" w:eastAsia="Arial" w:hAnsi="Arial"/>
          <w:sz w:val="14"/>
          <w:szCs w:val="14"/>
          <w:color w:val="auto"/>
        </w:rPr>
        <w:t>“Excluded Holder” shall mean (i) any member of the Board of Directors of the Company, (ii) any “officer” within the meaning of Section 16 of the Exchange Act, (iii) for the avoidance of doubt, any contractor or consultant of the Company or its subsidiaries, and (iv) any entities affiliated with an Eligible Stockholder; provided that, with respect to clause (iv), for the purposes of calculating the number of shares of Common Stock to be released under paragraph (a) above, shares of Common Stock or other securities of the Company held by any affiliated limited liability company, partnership, corporation, trust, or other entity (each an “Affiliated Entity”) of the undersigned shall be deemed to be held by the undersigned if all of the equity or beneficial interests and other economic interests in an Affiliated Entity are owned exclusively by the undersigned and/or immediate family members of the undersigned (including through a trustee or trust beneficiary relationship).</w:t>
      </w:r>
    </w:p>
    <w:p>
      <w:pPr>
        <w:spacing w:after="0" w:line="123" w:lineRule="exact"/>
        <w:rPr>
          <w:rFonts w:ascii="Times New Roman" w:cs="Times New Roman" w:eastAsia="Times New Roman" w:hAnsi="Times New Roman"/>
          <w:sz w:val="14"/>
          <w:szCs w:val="14"/>
          <w:color w:val="auto"/>
        </w:rPr>
      </w:pPr>
    </w:p>
    <w:p>
      <w:pPr>
        <w:jc w:val="both"/>
        <w:ind w:left="920" w:right="20" w:hanging="454"/>
        <w:spacing w:after="0" w:line="277" w:lineRule="auto"/>
        <w:tabs>
          <w:tab w:leader="none" w:pos="910" w:val="left"/>
        </w:tabs>
        <w:numPr>
          <w:ilvl w:val="0"/>
          <w:numId w:val="262"/>
        </w:numPr>
        <w:rPr>
          <w:rFonts w:ascii="Times New Roman" w:cs="Times New Roman" w:eastAsia="Times New Roman" w:hAnsi="Times New Roman"/>
          <w:sz w:val="14"/>
          <w:szCs w:val="14"/>
          <w:color w:val="auto"/>
        </w:rPr>
      </w:pPr>
      <w:r>
        <w:rPr>
          <w:rFonts w:ascii="Arial" w:cs="Arial" w:eastAsia="Arial" w:hAnsi="Arial"/>
          <w:sz w:val="14"/>
          <w:szCs w:val="14"/>
          <w:color w:val="auto"/>
        </w:rPr>
        <w:t>“Initial Earnings Release” shall mean the Company’s public announcement of its earnings (which for this purpose shall not include “flash” numbers or preliminary, partial earnings) for the first completed fiscal quarterly period following the most recent fiscal period for which financial statements are included in the Prospectus;</w:t>
      </w:r>
    </w:p>
    <w:p>
      <w:pPr>
        <w:spacing w:after="0" w:line="111" w:lineRule="exact"/>
        <w:rPr>
          <w:rFonts w:ascii="Times New Roman" w:cs="Times New Roman" w:eastAsia="Times New Roman" w:hAnsi="Times New Roman"/>
          <w:sz w:val="14"/>
          <w:szCs w:val="14"/>
          <w:color w:val="auto"/>
        </w:rPr>
      </w:pPr>
    </w:p>
    <w:p>
      <w:pPr>
        <w:ind w:left="920" w:right="60" w:hanging="454"/>
        <w:spacing w:after="0" w:line="277" w:lineRule="auto"/>
        <w:tabs>
          <w:tab w:leader="none" w:pos="910" w:val="left"/>
        </w:tabs>
        <w:numPr>
          <w:ilvl w:val="0"/>
          <w:numId w:val="262"/>
        </w:numPr>
        <w:rPr>
          <w:rFonts w:ascii="Times New Roman" w:cs="Times New Roman" w:eastAsia="Times New Roman" w:hAnsi="Times New Roman"/>
          <w:sz w:val="14"/>
          <w:szCs w:val="14"/>
          <w:color w:val="auto"/>
        </w:rPr>
      </w:pPr>
      <w:r>
        <w:rPr>
          <w:rFonts w:ascii="Arial" w:cs="Arial" w:eastAsia="Arial" w:hAnsi="Arial"/>
          <w:sz w:val="14"/>
          <w:szCs w:val="14"/>
          <w:color w:val="auto"/>
        </w:rPr>
        <w:t>“Second Earnings Release” shall mean the Company’s release of earnings (which for this purpose shall not include “flash” numbers or preliminary, partial earnings) for the second completed fiscal quarterly period following the most recent fiscal period for which financial statements are included in the Prospectus; and</w:t>
      </w:r>
    </w:p>
    <w:p>
      <w:pPr>
        <w:spacing w:after="0" w:line="111" w:lineRule="exact"/>
        <w:rPr>
          <w:rFonts w:ascii="Times New Roman" w:cs="Times New Roman" w:eastAsia="Times New Roman" w:hAnsi="Times New Roman"/>
          <w:sz w:val="14"/>
          <w:szCs w:val="14"/>
          <w:color w:val="auto"/>
        </w:rPr>
      </w:pPr>
    </w:p>
    <w:p>
      <w:pPr>
        <w:ind w:left="920" w:hanging="454"/>
        <w:spacing w:after="0"/>
        <w:tabs>
          <w:tab w:leader="none" w:pos="920" w:val="left"/>
        </w:tabs>
        <w:numPr>
          <w:ilvl w:val="0"/>
          <w:numId w:val="262"/>
        </w:numPr>
        <w:rPr>
          <w:rFonts w:ascii="Times New Roman" w:cs="Times New Roman" w:eastAsia="Times New Roman" w:hAnsi="Times New Roman"/>
          <w:sz w:val="14"/>
          <w:szCs w:val="14"/>
          <w:color w:val="auto"/>
        </w:rPr>
      </w:pPr>
      <w:r>
        <w:rPr>
          <w:rFonts w:ascii="Arial" w:cs="Arial" w:eastAsia="Arial" w:hAnsi="Arial"/>
          <w:sz w:val="14"/>
          <w:szCs w:val="14"/>
          <w:color w:val="auto"/>
        </w:rPr>
        <w:t>“Trading Day” shall mean a day on which Nasdaq is open for the buying and selling of securities.</w:t>
      </w:r>
    </w:p>
    <w:p>
      <w:pPr>
        <w:spacing w:after="0" w:line="164" w:lineRule="exact"/>
        <w:rPr>
          <w:sz w:val="20"/>
          <w:szCs w:val="20"/>
          <w:color w:val="auto"/>
        </w:rPr>
      </w:pPr>
    </w:p>
    <w:p>
      <w:pPr>
        <w:jc w:val="both"/>
        <w:ind w:firstLine="459"/>
        <w:spacing w:after="0" w:line="265" w:lineRule="auto"/>
        <w:rPr>
          <w:sz w:val="20"/>
          <w:szCs w:val="20"/>
          <w:color w:val="auto"/>
        </w:rPr>
      </w:pPr>
      <w:r>
        <w:rPr>
          <w:rFonts w:ascii="Arial" w:cs="Arial" w:eastAsia="Arial" w:hAnsi="Arial"/>
          <w:sz w:val="14"/>
          <w:szCs w:val="14"/>
          <w:color w:val="auto"/>
        </w:rPr>
        <w:t>The undersigned acknowledges and agrees that none of the Underwriters has made any recommendation or provided any investment or other advice to the undersigned with respect to this Lock -Up Agreement or the subject matter hereof, and the undersigned has consulted its own legal, accounting, financial, regulatory, tax and other advisors with respect to this Lock-Up Agreement and the subject matter hereof to the extent the undersigned has deemed appropriate. The undersigned further acknowledges and agrees that, although the Underwriters may have provided or hereafter provide to the undersigned in connection with the Public Offering a Form CRS and/or certain other disclosures as contemplated by Regulation Best Interest, the Underwriters have not made and are not making a recommendation to the undersigned to enter into this Lock-Up Agreement or to transfer, sell or dispose of, or to refrain</w:t>
      </w:r>
    </w:p>
    <w:p>
      <w:pPr>
        <w:sectPr>
          <w:pgSz w:w="11900" w:h="16840" w:orient="portrait"/>
          <w:cols w:equalWidth="0" w:num="1">
            <w:col w:w="10620"/>
          </w:cols>
          <w:pgMar w:left="640" w:top="1440" w:right="640" w:bottom="1440" w:gutter="0" w:footer="0" w:header="0"/>
        </w:sectPr>
      </w:pPr>
    </w:p>
    <w:bookmarkStart w:id="267" w:name="page268"/>
    <w:bookmarkEnd w:id="267"/>
    <w:p>
      <w:pPr>
        <w:spacing w:after="0" w:line="39" w:lineRule="exact"/>
        <w:rPr>
          <w:sz w:val="20"/>
          <w:szCs w:val="20"/>
          <w:color w:val="auto"/>
        </w:rPr>
      </w:pPr>
    </w:p>
    <w:p>
      <w:pPr>
        <w:spacing w:after="0" w:line="299" w:lineRule="auto"/>
        <w:rPr>
          <w:sz w:val="20"/>
          <w:szCs w:val="20"/>
          <w:color w:val="auto"/>
        </w:rPr>
      </w:pPr>
      <w:r>
        <w:rPr>
          <w:rFonts w:ascii="Arial" w:cs="Arial" w:eastAsia="Arial" w:hAnsi="Arial"/>
          <w:sz w:val="14"/>
          <w:szCs w:val="14"/>
          <w:color w:val="auto"/>
        </w:rPr>
        <w:t>from transferring, selling or disposing of, any shares of Common Stock, and nothing set forth in such disclosures or herein is intended to suggest that any Underwriter is making such a recommendation.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This Lock-Up Agreement shall automatically terminate and the undersigned shall be released from all of his, her or its obligations hereunder upon the earlier of</w:t>
      </w:r>
    </w:p>
    <w:p>
      <w:pPr>
        <w:spacing w:after="0" w:line="25" w:lineRule="exact"/>
        <w:rPr>
          <w:sz w:val="20"/>
          <w:szCs w:val="20"/>
          <w:color w:val="auto"/>
        </w:rPr>
      </w:pPr>
    </w:p>
    <w:p>
      <w:pPr>
        <w:jc w:val="both"/>
        <w:ind w:firstLine="7"/>
        <w:spacing w:after="0" w:line="261" w:lineRule="auto"/>
        <w:tabs>
          <w:tab w:leader="none" w:pos="195" w:val="left"/>
        </w:tabs>
        <w:numPr>
          <w:ilvl w:val="0"/>
          <w:numId w:val="263"/>
        </w:numPr>
        <w:rPr>
          <w:rFonts w:ascii="Arial" w:cs="Arial" w:eastAsia="Arial" w:hAnsi="Arial"/>
          <w:sz w:val="14"/>
          <w:szCs w:val="14"/>
          <w:color w:val="auto"/>
        </w:rPr>
      </w:pPr>
      <w:r>
        <w:rPr>
          <w:rFonts w:ascii="Arial" w:cs="Arial" w:eastAsia="Arial" w:hAnsi="Arial"/>
          <w:sz w:val="14"/>
          <w:szCs w:val="14"/>
          <w:color w:val="auto"/>
        </w:rPr>
        <w:t>the date on which the Registration Statement filed with the SEC with respect to the Public Offering is withdrawn, (ii) the date on which for any reason the Underwriting Agreement is terminated (other than the provisions thereof that survive termination) prior to payment for and delivery of the Shares to be sold thereunder (other than pursuant to the Underwriters’ option thereunder to purchase additional Shares), (iii) the date on which the Company notifies the Representatives, in writing and prior to the execution of the Underwriting Agreement, that it does not intend to proceed with the Public Offering and (iv) December 31, 2025, in the event that the Underwriting Agreement has not been executed by such date (provided, however, that the Company may, by written notice to the undersigned prior to such date, extend such date by a period of up to an additional 90 days).</w:t>
      </w:r>
    </w:p>
    <w:p>
      <w:pPr>
        <w:spacing w:after="0" w:line="122" w:lineRule="exact"/>
        <w:rPr>
          <w:sz w:val="20"/>
          <w:szCs w:val="20"/>
          <w:color w:val="auto"/>
        </w:rPr>
      </w:pPr>
    </w:p>
    <w:p>
      <w:pPr>
        <w:jc w:val="both"/>
        <w:ind w:firstLine="459"/>
        <w:spacing w:after="0" w:line="263" w:lineRule="auto"/>
        <w:rPr>
          <w:sz w:val="20"/>
          <w:szCs w:val="20"/>
          <w:color w:val="auto"/>
        </w:rPr>
      </w:pPr>
      <w:r>
        <w:rPr>
          <w:rFonts w:ascii="Arial" w:cs="Arial" w:eastAsia="Arial" w:hAnsi="Arial"/>
          <w:sz w:val="14"/>
          <w:szCs w:val="14"/>
          <w:color w:val="auto"/>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 The undersigned hereby represents and warrants that the undersigned has full power and authority to enter into this Lock-Up Agreement. This Lock-Up Agreement shall be governed by, and construed in accordance with, the laws of the State of New York, without regard to principles of conflict of laws that would result in the application of any law other than the laws of the State of New York.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Remainder of page intentionally left blank</w:t>
      </w:r>
      <w:r>
        <w:rPr>
          <w:rFonts w:ascii="Arial" w:cs="Arial" w:eastAsia="Arial" w:hAnsi="Arial"/>
          <w:sz w:val="14"/>
          <w:szCs w:val="14"/>
          <w:color w:val="auto"/>
        </w:rPr>
        <w:t>]</w:t>
      </w:r>
    </w:p>
    <w:p>
      <w:pPr>
        <w:sectPr>
          <w:pgSz w:w="11900" w:h="16840" w:orient="portrait"/>
          <w:cols w:equalWidth="0" w:num="1">
            <w:col w:w="10600"/>
          </w:cols>
          <w:pgMar w:left="640" w:top="1440" w:right="660" w:bottom="1440" w:gutter="0" w:footer="0" w:header="0"/>
        </w:sectPr>
      </w:pPr>
    </w:p>
    <w:bookmarkStart w:id="268" w:name="page269"/>
    <w:bookmarkEnd w:id="268"/>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gridSpan w:val="2"/>
          </w:tcPr>
          <w:p>
            <w:pPr>
              <w:spacing w:after="0"/>
              <w:rPr>
                <w:sz w:val="20"/>
                <w:szCs w:val="20"/>
                <w:color w:val="auto"/>
              </w:rPr>
            </w:pPr>
            <w:r>
              <w:rPr>
                <w:rFonts w:ascii="Arial" w:cs="Arial" w:eastAsia="Arial" w:hAnsi="Arial"/>
                <w:sz w:val="14"/>
                <w:szCs w:val="14"/>
                <w:color w:val="auto"/>
              </w:rPr>
              <w:t>Very truly yours,</w:t>
            </w: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920" w:type="dxa"/>
            <w:vAlign w:val="bottom"/>
          </w:tcPr>
          <w:p>
            <w:pPr>
              <w:spacing w:after="0"/>
              <w:rPr>
                <w:sz w:val="16"/>
                <w:szCs w:val="16"/>
                <w:color w:val="auto"/>
              </w:rPr>
            </w:pPr>
          </w:p>
        </w:tc>
      </w:tr>
      <w:tr>
        <w:trPr>
          <w:trHeight w:val="341"/>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IF AN INDIVIDUAL:</w:t>
            </w:r>
          </w:p>
        </w:tc>
        <w:tc>
          <w:tcPr>
            <w:tcW w:w="40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IF AN ENTITY:</w:t>
            </w:r>
          </w:p>
        </w:tc>
      </w:tr>
      <w:tr>
        <w:trPr>
          <w:trHeight w:val="436"/>
        </w:trPr>
        <w:tc>
          <w:tcPr>
            <w:tcW w:w="5140" w:type="dxa"/>
            <w:vAlign w:val="bottom"/>
            <w:gridSpan w:val="2"/>
          </w:tcPr>
          <w:p>
            <w:pPr>
              <w:spacing w:after="0"/>
              <w:rPr>
                <w:sz w:val="20"/>
                <w:szCs w:val="20"/>
                <w:color w:val="auto"/>
              </w:rPr>
            </w:pPr>
            <w:r>
              <w:rPr>
                <w:rFonts w:ascii="Arial" w:cs="Arial" w:eastAsia="Arial" w:hAnsi="Arial"/>
                <w:sz w:val="14"/>
                <w:szCs w:val="14"/>
                <w:color w:val="auto"/>
              </w:rPr>
              <w:t>By:</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79"/>
        </w:trPr>
        <w:tc>
          <w:tcPr>
            <w:tcW w:w="1220" w:type="dxa"/>
            <w:vAlign w:val="bottom"/>
          </w:tcPr>
          <w:p>
            <w:pPr>
              <w:spacing w:after="0"/>
              <w:rPr>
                <w:sz w:val="15"/>
                <w:szCs w:val="15"/>
                <w:color w:val="auto"/>
              </w:rPr>
            </w:pPr>
          </w:p>
        </w:tc>
        <w:tc>
          <w:tcPr>
            <w:tcW w:w="3920" w:type="dxa"/>
            <w:vAlign w:val="bottom"/>
            <w:tcBorders>
              <w:top w:val="single" w:sz="8" w:color="auto"/>
            </w:tcBorders>
          </w:tcPr>
          <w:p>
            <w:pPr>
              <w:jc w:val="center"/>
              <w:ind w:right="1148"/>
              <w:spacing w:after="0"/>
              <w:rPr>
                <w:sz w:val="20"/>
                <w:szCs w:val="20"/>
                <w:color w:val="auto"/>
              </w:rPr>
            </w:pPr>
            <w:r>
              <w:rPr>
                <w:rFonts w:ascii="Arial" w:cs="Arial" w:eastAsia="Arial" w:hAnsi="Arial"/>
                <w:sz w:val="14"/>
                <w:szCs w:val="14"/>
                <w:i w:val="1"/>
                <w:iCs w:val="1"/>
                <w:color w:val="auto"/>
              </w:rPr>
              <w:t>(duly authorized signature)</w:t>
            </w:r>
          </w:p>
        </w:tc>
        <w:tc>
          <w:tcPr>
            <w:tcW w:w="400" w:type="dxa"/>
            <w:vAlign w:val="bottom"/>
          </w:tcPr>
          <w:p>
            <w:pPr>
              <w:spacing w:after="0"/>
              <w:rPr>
                <w:sz w:val="15"/>
                <w:szCs w:val="15"/>
                <w:color w:val="auto"/>
              </w:rPr>
            </w:pPr>
          </w:p>
        </w:tc>
        <w:tc>
          <w:tcPr>
            <w:tcW w:w="5040" w:type="dxa"/>
            <w:vAlign w:val="bottom"/>
            <w:tcBorders>
              <w:top w:val="single" w:sz="8" w:color="auto"/>
            </w:tcBorders>
            <w:gridSpan w:val="2"/>
          </w:tcPr>
          <w:p>
            <w:pPr>
              <w:spacing w:after="0"/>
              <w:rPr>
                <w:sz w:val="20"/>
                <w:szCs w:val="20"/>
                <w:color w:val="auto"/>
              </w:rPr>
            </w:pPr>
            <w:r>
              <w:rPr>
                <w:rFonts w:ascii="Arial" w:cs="Arial" w:eastAsia="Arial" w:hAnsi="Arial"/>
                <w:sz w:val="14"/>
                <w:szCs w:val="14"/>
                <w:i w:val="1"/>
                <w:iCs w:val="1"/>
                <w:color w:val="auto"/>
              </w:rPr>
              <w:t>(please print complete name of entity)</w:t>
            </w:r>
          </w:p>
        </w:tc>
      </w:tr>
      <w:tr>
        <w:trPr>
          <w:trHeight w:val="308"/>
        </w:trPr>
        <w:tc>
          <w:tcPr>
            <w:tcW w:w="5140" w:type="dxa"/>
            <w:vAlign w:val="bottom"/>
            <w:gridSpan w:val="2"/>
          </w:tcPr>
          <w:p>
            <w:pPr>
              <w:spacing w:after="0"/>
              <w:rPr>
                <w:sz w:val="20"/>
                <w:szCs w:val="20"/>
                <w:color w:val="auto"/>
              </w:rPr>
            </w:pPr>
            <w:r>
              <w:rPr>
                <w:rFonts w:ascii="Arial" w:cs="Arial" w:eastAsia="Arial" w:hAnsi="Arial"/>
                <w:sz w:val="14"/>
                <w:szCs w:val="14"/>
                <w:color w:val="auto"/>
              </w:rPr>
              <w:t>Name:</w:t>
            </w:r>
          </w:p>
        </w:tc>
        <w:tc>
          <w:tcPr>
            <w:tcW w:w="40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4"/>
                <w:szCs w:val="14"/>
                <w:color w:val="auto"/>
              </w:rPr>
              <w:t>By:</w:t>
            </w:r>
          </w:p>
        </w:tc>
      </w:tr>
      <w:tr>
        <w:trPr>
          <w:trHeight w:val="177"/>
        </w:trPr>
        <w:tc>
          <w:tcPr>
            <w:tcW w:w="1220" w:type="dxa"/>
            <w:vAlign w:val="bottom"/>
          </w:tcPr>
          <w:p>
            <w:pPr>
              <w:spacing w:after="0"/>
              <w:rPr>
                <w:sz w:val="15"/>
                <w:szCs w:val="15"/>
                <w:color w:val="auto"/>
              </w:rPr>
            </w:pPr>
          </w:p>
        </w:tc>
        <w:tc>
          <w:tcPr>
            <w:tcW w:w="3920" w:type="dxa"/>
            <w:vAlign w:val="bottom"/>
            <w:tcBorders>
              <w:top w:val="single" w:sz="8" w:color="auto"/>
            </w:tcBorders>
          </w:tcPr>
          <w:p>
            <w:pPr>
              <w:jc w:val="center"/>
              <w:ind w:right="1148"/>
              <w:spacing w:after="0"/>
              <w:rPr>
                <w:sz w:val="20"/>
                <w:szCs w:val="20"/>
                <w:color w:val="auto"/>
              </w:rPr>
            </w:pPr>
            <w:r>
              <w:rPr>
                <w:rFonts w:ascii="Arial" w:cs="Arial" w:eastAsia="Arial" w:hAnsi="Arial"/>
                <w:sz w:val="14"/>
                <w:szCs w:val="14"/>
                <w:i w:val="1"/>
                <w:iCs w:val="1"/>
                <w:color w:val="auto"/>
              </w:rPr>
              <w:t>(please print full name)</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920" w:type="dxa"/>
            <w:vAlign w:val="bottom"/>
            <w:tcBorders>
              <w:top w:val="single" w:sz="8" w:color="auto"/>
            </w:tcBorders>
          </w:tcPr>
          <w:p>
            <w:pPr>
              <w:jc w:val="center"/>
              <w:ind w:right="1028"/>
              <w:spacing w:after="0"/>
              <w:rPr>
                <w:sz w:val="20"/>
                <w:szCs w:val="20"/>
                <w:color w:val="auto"/>
              </w:rPr>
            </w:pPr>
            <w:r>
              <w:rPr>
                <w:rFonts w:ascii="Arial" w:cs="Arial" w:eastAsia="Arial" w:hAnsi="Arial"/>
                <w:sz w:val="14"/>
                <w:szCs w:val="14"/>
                <w:i w:val="1"/>
                <w:iCs w:val="1"/>
                <w:color w:val="auto"/>
              </w:rPr>
              <w:t>(duly authorized signature)</w:t>
            </w:r>
          </w:p>
        </w:tc>
      </w:tr>
      <w:tr>
        <w:trPr>
          <w:trHeight w:val="300"/>
        </w:trPr>
        <w:tc>
          <w:tcPr>
            <w:tcW w:w="12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4"/>
                <w:szCs w:val="14"/>
                <w:color w:val="auto"/>
              </w:rPr>
              <w:t>Name:</w:t>
            </w:r>
          </w:p>
        </w:tc>
      </w:tr>
      <w:tr>
        <w:trPr>
          <w:trHeight w:val="177"/>
        </w:trPr>
        <w:tc>
          <w:tcPr>
            <w:tcW w:w="12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920" w:type="dxa"/>
            <w:vAlign w:val="bottom"/>
            <w:tcBorders>
              <w:top w:val="single" w:sz="8" w:color="auto"/>
            </w:tcBorders>
          </w:tcPr>
          <w:p>
            <w:pPr>
              <w:jc w:val="center"/>
              <w:ind w:right="1028"/>
              <w:spacing w:after="0"/>
              <w:rPr>
                <w:sz w:val="20"/>
                <w:szCs w:val="20"/>
                <w:color w:val="auto"/>
              </w:rPr>
            </w:pPr>
            <w:r>
              <w:rPr>
                <w:rFonts w:ascii="Arial" w:cs="Arial" w:eastAsia="Arial" w:hAnsi="Arial"/>
                <w:sz w:val="14"/>
                <w:szCs w:val="14"/>
                <w:i w:val="1"/>
                <w:iCs w:val="1"/>
                <w:color w:val="auto"/>
              </w:rPr>
              <w:t>(please print full name)</w:t>
            </w:r>
          </w:p>
        </w:tc>
      </w:tr>
      <w:tr>
        <w:trPr>
          <w:trHeight w:val="300"/>
        </w:trPr>
        <w:tc>
          <w:tcPr>
            <w:tcW w:w="12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4"/>
                <w:szCs w:val="14"/>
                <w:color w:val="auto"/>
              </w:rPr>
              <w:t>Title:</w:t>
            </w:r>
          </w:p>
        </w:tc>
      </w:tr>
      <w:tr>
        <w:trPr>
          <w:trHeight w:val="177"/>
        </w:trPr>
        <w:tc>
          <w:tcPr>
            <w:tcW w:w="12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920" w:type="dxa"/>
            <w:vAlign w:val="bottom"/>
            <w:tcBorders>
              <w:top w:val="single" w:sz="8" w:color="auto"/>
            </w:tcBorders>
          </w:tcPr>
          <w:p>
            <w:pPr>
              <w:jc w:val="center"/>
              <w:ind w:right="1028"/>
              <w:spacing w:after="0"/>
              <w:rPr>
                <w:sz w:val="20"/>
                <w:szCs w:val="20"/>
                <w:color w:val="auto"/>
              </w:rPr>
            </w:pPr>
            <w:r>
              <w:rPr>
                <w:rFonts w:ascii="Arial" w:cs="Arial" w:eastAsia="Arial" w:hAnsi="Arial"/>
                <w:sz w:val="14"/>
                <w:szCs w:val="14"/>
                <w:i w:val="1"/>
                <w:iCs w:val="1"/>
                <w:color w:val="auto"/>
              </w:rPr>
              <w:t>(please print full name)</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Lock-Up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Navan, Inc.]</w:t>
      </w:r>
    </w:p>
    <w:p>
      <w:pPr>
        <w:sectPr>
          <w:pgSz w:w="11900" w:h="16840" w:orient="portrait"/>
          <w:cols w:equalWidth="0" w:num="1">
            <w:col w:w="10580"/>
          </w:cols>
          <w:pgMar w:left="660" w:top="1440" w:right="660"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2"/>
          <w:szCs w:val="1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AMENDED AND RESTATED</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CERTIFICATE OF INCORPORATION</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NAVAN, INC.</w:t>
      </w:r>
    </w:p>
    <w:p>
      <w:pPr>
        <w:spacing w:after="0" w:line="16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w:t>
      </w:r>
    </w:p>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Navan, Inc., a corporation organized and existing under and by virtue of the General Corporation Law of the State of Delaware (the “ </w:t>
      </w:r>
      <w:r>
        <w:rPr>
          <w:rFonts w:ascii="Times New Roman" w:cs="Times New Roman" w:eastAsia="Times New Roman" w:hAnsi="Times New Roman"/>
          <w:sz w:val="14"/>
          <w:szCs w:val="14"/>
          <w:b w:val="1"/>
          <w:bCs w:val="1"/>
          <w:i w:val="1"/>
          <w:iCs w:val="1"/>
          <w:color w:val="auto"/>
        </w:rPr>
        <w:t>DGCL</w:t>
      </w:r>
      <w:r>
        <w:rPr>
          <w:rFonts w:ascii="Times New Roman" w:cs="Times New Roman" w:eastAsia="Times New Roman" w:hAnsi="Times New Roman"/>
          <w:sz w:val="14"/>
          <w:szCs w:val="14"/>
          <w:color w:val="auto"/>
        </w:rPr>
        <w:t>”), does hereby certify that:</w:t>
      </w:r>
    </w:p>
    <w:p>
      <w:pPr>
        <w:spacing w:after="0" w:line="168" w:lineRule="exact"/>
        <w:rPr>
          <w:sz w:val="20"/>
          <w:szCs w:val="20"/>
          <w:color w:val="auto"/>
        </w:rPr>
      </w:pPr>
    </w:p>
    <w:p>
      <w:pPr>
        <w:jc w:val="both"/>
        <w:ind w:right="20" w:firstLine="459"/>
        <w:spacing w:after="0" w:line="293" w:lineRule="auto"/>
        <w:rPr>
          <w:sz w:val="20"/>
          <w:szCs w:val="20"/>
          <w:color w:val="auto"/>
        </w:rPr>
      </w:pPr>
      <w:r>
        <w:rPr>
          <w:rFonts w:ascii="Times New Roman" w:cs="Times New Roman" w:eastAsia="Times New Roman" w:hAnsi="Times New Roman"/>
          <w:sz w:val="14"/>
          <w:szCs w:val="14"/>
          <w:u w:val="single" w:color="auto"/>
          <w:color w:val="auto"/>
        </w:rPr>
        <w:t>ONE:</w:t>
      </w:r>
      <w:r>
        <w:rPr>
          <w:rFonts w:ascii="Times New Roman" w:cs="Times New Roman" w:eastAsia="Times New Roman" w:hAnsi="Times New Roman"/>
          <w:sz w:val="14"/>
          <w:szCs w:val="14"/>
          <w:color w:val="auto"/>
        </w:rPr>
        <w:t xml:space="preserve"> The name of this corporation is Navan, Inc. The date of filing of the original certificate of incorporation of this corporation with the Secretary of State of the State of Delaware was February 12, 2015, and the name under which such filing was made was TripActions, Inc.</w:t>
      </w:r>
    </w:p>
    <w:p>
      <w:pPr>
        <w:spacing w:after="0" w:line="104" w:lineRule="exact"/>
        <w:rPr>
          <w:sz w:val="20"/>
          <w:szCs w:val="20"/>
          <w:color w:val="auto"/>
        </w:rPr>
      </w:pPr>
    </w:p>
    <w:p>
      <w:pPr>
        <w:jc w:val="both"/>
        <w:ind w:firstLine="459"/>
        <w:spacing w:after="0" w:line="293" w:lineRule="auto"/>
        <w:rPr>
          <w:sz w:val="20"/>
          <w:szCs w:val="20"/>
          <w:color w:val="auto"/>
        </w:rPr>
      </w:pPr>
      <w:r>
        <w:rPr>
          <w:rFonts w:ascii="Times New Roman" w:cs="Times New Roman" w:eastAsia="Times New Roman" w:hAnsi="Times New Roman"/>
          <w:sz w:val="14"/>
          <w:szCs w:val="14"/>
          <w:u w:val="single" w:color="auto"/>
          <w:color w:val="auto"/>
        </w:rPr>
        <w:t>TWO:</w:t>
      </w:r>
      <w:r>
        <w:rPr>
          <w:rFonts w:ascii="Times New Roman" w:cs="Times New Roman" w:eastAsia="Times New Roman" w:hAnsi="Times New Roman"/>
          <w:sz w:val="14"/>
          <w:szCs w:val="14"/>
          <w:color w:val="auto"/>
        </w:rPr>
        <w:t xml:space="preserve"> This certificate of incorporation was duly adopted in accordance with the provisions of Sections 242 and 245 of the DGCL, and has been duly approved by the written consent of the stockholders of this corporation in accordance with Section 228 of the DGCL.</w:t>
      </w:r>
    </w:p>
    <w:p>
      <w:pPr>
        <w:spacing w:after="0" w:line="104" w:lineRule="exact"/>
        <w:rPr>
          <w:sz w:val="20"/>
          <w:szCs w:val="20"/>
          <w:color w:val="auto"/>
        </w:rPr>
      </w:pPr>
    </w:p>
    <w:p>
      <w:pPr>
        <w:jc w:val="both"/>
        <w:ind w:right="20" w:firstLine="459"/>
        <w:spacing w:after="0" w:line="293" w:lineRule="auto"/>
        <w:rPr>
          <w:sz w:val="20"/>
          <w:szCs w:val="20"/>
          <w:color w:val="auto"/>
        </w:rPr>
      </w:pPr>
      <w:r>
        <w:rPr>
          <w:rFonts w:ascii="Times New Roman" w:cs="Times New Roman" w:eastAsia="Times New Roman" w:hAnsi="Times New Roman"/>
          <w:sz w:val="14"/>
          <w:szCs w:val="14"/>
          <w:u w:val="single" w:color="auto"/>
          <w:color w:val="auto"/>
        </w:rPr>
        <w:t>THREE:</w:t>
      </w:r>
      <w:r>
        <w:rPr>
          <w:rFonts w:ascii="Times New Roman" w:cs="Times New Roman" w:eastAsia="Times New Roman" w:hAnsi="Times New Roman"/>
          <w:sz w:val="14"/>
          <w:szCs w:val="14"/>
          <w:color w:val="auto"/>
        </w:rPr>
        <w:t xml:space="preserve"> Pursuant to Sections 242 and 245 of the DGCL, the certificate of incorporation of this corporation, as heretofore amended, is hereby amended, integrated and restated to read in its entirety as follows: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1.</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The name of this corporation is Navan, Inc. (the “ </w:t>
      </w:r>
      <w:r>
        <w:rPr>
          <w:rFonts w:ascii="Times New Roman" w:cs="Times New Roman" w:eastAsia="Times New Roman" w:hAnsi="Times New Roman"/>
          <w:sz w:val="14"/>
          <w:szCs w:val="14"/>
          <w:b w:val="1"/>
          <w:bCs w:val="1"/>
          <w:i w:val="1"/>
          <w:iCs w:val="1"/>
          <w:color w:val="auto"/>
        </w:rPr>
        <w:t>Corporation</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2.</w:t>
      </w:r>
    </w:p>
    <w:p>
      <w:pPr>
        <w:spacing w:after="0" w:line="166" w:lineRule="exact"/>
        <w:rPr>
          <w:sz w:val="20"/>
          <w:szCs w:val="20"/>
          <w:color w:val="auto"/>
        </w:rPr>
      </w:pPr>
    </w:p>
    <w:p>
      <w:pPr>
        <w:jc w:val="both"/>
        <w:ind w:right="20" w:firstLine="459"/>
        <w:spacing w:after="0" w:line="293" w:lineRule="auto"/>
        <w:rPr>
          <w:sz w:val="20"/>
          <w:szCs w:val="20"/>
          <w:color w:val="auto"/>
        </w:rPr>
      </w:pPr>
      <w:r>
        <w:rPr>
          <w:rFonts w:ascii="Times New Roman" w:cs="Times New Roman" w:eastAsia="Times New Roman" w:hAnsi="Times New Roman"/>
          <w:sz w:val="14"/>
          <w:szCs w:val="14"/>
          <w:color w:val="auto"/>
        </w:rPr>
        <w:t>The address of the registered office of the Corporation in the State of Delaware is 1209 Orange Street, City of Wilmington, County of New Castle, Zip Code 19801, and the name of the registered agent of the Corporation in the State of Delaware at such address is The Corporation Trust Company.</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purpose of the Corporation is to engage in any lawful act or activity for which a corporation may be organized under the DGCL.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4.</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Section 4.1 </w:t>
      </w:r>
      <w:r>
        <w:rPr>
          <w:rFonts w:ascii="Times New Roman" w:cs="Times New Roman" w:eastAsia="Times New Roman" w:hAnsi="Times New Roman"/>
          <w:sz w:val="14"/>
          <w:szCs w:val="14"/>
          <w:color w:val="auto"/>
        </w:rPr>
        <w:t>The Corporation is authorized to issue two classes of stock to be designated, respectively,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Preferred Stock</w:t>
      </w:r>
      <w:r>
        <w:rPr>
          <w:rFonts w:ascii="Times New Roman" w:cs="Times New Roman" w:eastAsia="Times New Roman" w:hAnsi="Times New Roman"/>
          <w:sz w:val="14"/>
          <w:szCs w:val="14"/>
          <w:color w:val="auto"/>
        </w:rPr>
        <w:t>.” The total number of shares that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Corporation is authorized to issue is 2,070,000,000 shares, of which (A) 2,050,000,000 shares shall be a class of Common Stock divided into two series with (i) 2,000,000,000 shares of the Common Stock being a series designated as Class A Common Stock, par value $0.00000625 per share (the “ </w:t>
      </w:r>
      <w:r>
        <w:rPr>
          <w:rFonts w:ascii="Times New Roman" w:cs="Times New Roman" w:eastAsia="Times New Roman" w:hAnsi="Times New Roman"/>
          <w:sz w:val="14"/>
          <w:szCs w:val="14"/>
          <w:b w:val="1"/>
          <w:bCs w:val="1"/>
          <w:i w:val="1"/>
          <w:iCs w:val="1"/>
          <w:color w:val="auto"/>
        </w:rPr>
        <w:t>Class A Common Stock</w:t>
      </w:r>
      <w:r>
        <w:rPr>
          <w:rFonts w:ascii="Times New Roman" w:cs="Times New Roman" w:eastAsia="Times New Roman" w:hAnsi="Times New Roman"/>
          <w:sz w:val="14"/>
          <w:szCs w:val="14"/>
          <w:color w:val="auto"/>
        </w:rPr>
        <w:t xml:space="preserve"> ”) and (ii) 50,000,000 shares of the Common Stock being a series designated as Class B Common Stock, par value</w:t>
      </w:r>
    </w:p>
    <w:p>
      <w:pPr>
        <w:sectPr>
          <w:pgSz w:w="11900" w:h="16840" w:orient="portrait"/>
          <w:cols w:equalWidth="0" w:num="1">
            <w:col w:w="10620"/>
          </w:cols>
          <w:pgMar w:left="640" w:top="557" w:right="640" w:bottom="1440" w:gutter="0" w:footer="0" w:header="0"/>
        </w:sectPr>
      </w:pPr>
    </w:p>
    <w:bookmarkStart w:id="270" w:name="page271"/>
    <w:bookmarkEnd w:id="270"/>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$0.00000625 per share (the “ </w:t>
      </w:r>
      <w:r>
        <w:rPr>
          <w:rFonts w:ascii="Times New Roman" w:cs="Times New Roman" w:eastAsia="Times New Roman" w:hAnsi="Times New Roman"/>
          <w:sz w:val="14"/>
          <w:szCs w:val="14"/>
          <w:b w:val="1"/>
          <w:bCs w:val="1"/>
          <w:i w:val="1"/>
          <w:iCs w:val="1"/>
          <w:color w:val="auto"/>
        </w:rPr>
        <w:t>Class B Common Stock</w:t>
      </w:r>
      <w:r>
        <w:rPr>
          <w:rFonts w:ascii="Times New Roman" w:cs="Times New Roman" w:eastAsia="Times New Roman" w:hAnsi="Times New Roman"/>
          <w:sz w:val="14"/>
          <w:szCs w:val="14"/>
          <w:color w:val="auto"/>
        </w:rPr>
        <w:t>”); and (B) 20,000,000 shares shall be a class of Preferred Stock, par value $0.00000625 per share.</w:t>
      </w:r>
    </w:p>
    <w:p>
      <w:pPr>
        <w:spacing w:after="0" w:line="16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Section 4.2 </w:t>
      </w:r>
      <w:r>
        <w:rPr>
          <w:rFonts w:ascii="Times New Roman" w:cs="Times New Roman" w:eastAsia="Times New Roman" w:hAnsi="Times New Roman"/>
          <w:sz w:val="14"/>
          <w:szCs w:val="14"/>
          <w:color w:val="auto"/>
        </w:rPr>
        <w:t>The Preferred Stock may be issued from time to time in one or more series. The Board of Directors of the Corporation (the “</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 is hereby expressly authorized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provide for the issue of all or any of the unissued and undesignated shares of the Preferred Stock, in one or more series, and to fix the number of shares of such series and to determine for each such series, such voting powers, full or limited, or no voting powers, and such designations, preferences, and relative, participating, optional, or other rights and such qualifications, limitations, or restrictions thereof, as shall be set forth in a certificate of designation adopted by the Board and filed in accordance with the DGCL.</w:t>
      </w:r>
    </w:p>
    <w:p>
      <w:pPr>
        <w:spacing w:after="0" w:line="11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Section 4.3 </w:t>
      </w:r>
      <w:r>
        <w:rPr>
          <w:rFonts w:ascii="Times New Roman" w:cs="Times New Roman" w:eastAsia="Times New Roman" w:hAnsi="Times New Roman"/>
          <w:sz w:val="14"/>
          <w:szCs w:val="14"/>
          <w:color w:val="auto"/>
        </w:rPr>
        <w:t>Irrespective of the provisions of Section 242(b)(2) of the DGCL, but subject to the terms of any certificate of designation filed with respect to any series of Preferred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Stock, the holders of Preferred Stock and Common Stock shall vote together, and not as separate classes, on any amendment to this Certificate of Incorporation (as amended from time to time, the “</w:t>
      </w:r>
      <w:r>
        <w:rPr>
          <w:rFonts w:ascii="Times New Roman" w:cs="Times New Roman" w:eastAsia="Times New Roman" w:hAnsi="Times New Roman"/>
          <w:sz w:val="14"/>
          <w:szCs w:val="14"/>
          <w:b w:val="1"/>
          <w:bCs w:val="1"/>
          <w:i w:val="1"/>
          <w:iCs w:val="1"/>
          <w:color w:val="auto"/>
        </w:rPr>
        <w:t>Certificate of Incorporation</w:t>
      </w:r>
      <w:r>
        <w:rPr>
          <w:rFonts w:ascii="Times New Roman" w:cs="Times New Roman" w:eastAsia="Times New Roman" w:hAnsi="Times New Roman"/>
          <w:sz w:val="14"/>
          <w:szCs w:val="14"/>
          <w:color w:val="auto"/>
        </w:rPr>
        <w:t>”) to increase or decrease the number of authorized shares of Preferred Stock or Common Stock.</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Section 4.4 </w:t>
      </w:r>
      <w:r>
        <w:rPr>
          <w:rFonts w:ascii="Times New Roman" w:cs="Times New Roman" w:eastAsia="Times New Roman" w:hAnsi="Times New Roman"/>
          <w:sz w:val="14"/>
          <w:szCs w:val="14"/>
          <w:color w:val="auto"/>
        </w:rPr>
        <w:t>Except as provided herein or required by applicable law, holders of Common Stock shall not be entitled to vote on any amendment to this Certificate of Incorporation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any certificate of designation filed with respect to any series of Preferred Stock that relates solely to the terms of one or more outstanding series of Preferred Stock if the holders of such affected series of Preferred Stock are entitled, either separately or together as a class with the holders of one or more other affected series of Preferred Stock, to vote thereon pursuant to applicable law or the Certificate of Incorporation (including any certificate of designation filed with respect to any series of Preferred Stock).</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5.</w:t>
      </w:r>
    </w:p>
    <w:p>
      <w:pPr>
        <w:spacing w:after="0" w:line="166" w:lineRule="exact"/>
        <w:rPr>
          <w:sz w:val="20"/>
          <w:szCs w:val="20"/>
          <w:color w:val="auto"/>
        </w:rPr>
      </w:pPr>
    </w:p>
    <w:p>
      <w:pPr>
        <w:jc w:val="both"/>
        <w:ind w:right="20" w:firstLine="459"/>
        <w:spacing w:after="0" w:line="293" w:lineRule="auto"/>
        <w:rPr>
          <w:sz w:val="20"/>
          <w:szCs w:val="20"/>
          <w:color w:val="auto"/>
        </w:rPr>
      </w:pPr>
      <w:r>
        <w:rPr>
          <w:rFonts w:ascii="Times New Roman" w:cs="Times New Roman" w:eastAsia="Times New Roman" w:hAnsi="Times New Roman"/>
          <w:sz w:val="14"/>
          <w:szCs w:val="14"/>
          <w:color w:val="auto"/>
        </w:rPr>
        <w:t>Except as provided above, the designations, powers, preferences, privileges and relative participating, optional, or other rights, and qualifications, limitations, or restrictions of the Class A Common Stock and Class B Common Stock are as follows:</w:t>
      </w:r>
    </w:p>
    <w:p>
      <w:pPr>
        <w:spacing w:after="0" w:line="10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Section 5.1</w:t>
        <w:tab/>
        <w:t>Definitions</w:t>
      </w:r>
      <w:r>
        <w:rPr>
          <w:rFonts w:ascii="Times New Roman" w:cs="Times New Roman" w:eastAsia="Times New Roman" w:hAnsi="Times New Roman"/>
          <w:sz w:val="14"/>
          <w:szCs w:val="14"/>
          <w:color w:val="auto"/>
        </w:rPr>
        <w:t>. For purposes of this Certificate of Incorporation, the following definitions apply;</w:t>
      </w:r>
    </w:p>
    <w:p>
      <w:pPr>
        <w:spacing w:after="0" w:line="162" w:lineRule="exact"/>
        <w:rPr>
          <w:sz w:val="20"/>
          <w:szCs w:val="20"/>
          <w:color w:val="auto"/>
        </w:rPr>
      </w:pPr>
    </w:p>
    <w:p>
      <w:pPr>
        <w:jc w:val="both"/>
        <w:ind w:firstLine="466"/>
        <w:spacing w:after="0" w:line="262" w:lineRule="auto"/>
        <w:tabs>
          <w:tab w:leader="none" w:pos="718" w:val="left"/>
        </w:tabs>
        <w:numPr>
          <w:ilvl w:val="0"/>
          <w:numId w:val="2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Acquisition</w:t>
      </w:r>
      <w:r>
        <w:rPr>
          <w:rFonts w:ascii="Times New Roman" w:cs="Times New Roman" w:eastAsia="Times New Roman" w:hAnsi="Times New Roman"/>
          <w:sz w:val="14"/>
          <w:szCs w:val="14"/>
          <w:color w:val="auto"/>
        </w:rPr>
        <w:t>” means (i) any consolidation or merger of the Corporation with or into any other corporation or other entity or person, or any other corporate reorganization, other than any such consolidation, merger or reorganization in which the shares of capital stock of the Corporation immediately prior to such consolidation, merger or reorganization continue to represent a majority of the voting power of the surviving entity (or, if the surviving entity is a wholly owned subsidiary, its Parent) immediately after such consolidation, merger or reorganization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for the purpose of this Section 5.1.a, all stock, options, warrants, purchase rights or other securities exercisable for or convertible into Common Stock outstanding immediately prior to such merger or consolidation shall be deemed to be outstanding immediately prior to such merger or consolidation and, if applicable, converted or exchanged in such merger or consolidation on the same terms as the actual outstanding shares of capital stock are converted or exchanged); or (ii) any transaction or series of related transactions to which the Corporation is a party in which shares of the Corporation are transferred such that in excess of fifty percent (50%) of the Corporation’s voting power is transferred;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 Acquisition shall not include any transaction or series of transactions principally for bona fide equity financing purposes in which cash is</w:t>
      </w:r>
    </w:p>
    <w:p>
      <w:pPr>
        <w:sectPr>
          <w:pgSz w:w="11900" w:h="16840" w:orient="portrait"/>
          <w:cols w:equalWidth="0" w:num="1">
            <w:col w:w="10620"/>
          </w:cols>
          <w:pgMar w:left="640" w:top="1440" w:right="640" w:bottom="1440" w:gutter="0" w:footer="0" w:header="0"/>
        </w:sectPr>
      </w:pPr>
    </w:p>
    <w:bookmarkStart w:id="271" w:name="page272"/>
    <w:bookmarkEnd w:id="271"/>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received by the Corporation or any successor or indebtedness of the Corporation is cancelled or converted or a combination thereof.</w:t>
      </w:r>
    </w:p>
    <w:p>
      <w:pPr>
        <w:spacing w:after="0" w:line="160" w:lineRule="exact"/>
        <w:rPr>
          <w:sz w:val="20"/>
          <w:szCs w:val="20"/>
          <w:color w:val="auto"/>
        </w:rPr>
      </w:pPr>
    </w:p>
    <w:p>
      <w:pPr>
        <w:ind w:left="720" w:hanging="254"/>
        <w:spacing w:after="0"/>
        <w:tabs>
          <w:tab w:leader="none" w:pos="720" w:val="left"/>
        </w:tabs>
        <w:numPr>
          <w:ilvl w:val="0"/>
          <w:numId w:val="2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Asset Transfer</w:t>
      </w:r>
      <w:r>
        <w:rPr>
          <w:rFonts w:ascii="Times New Roman" w:cs="Times New Roman" w:eastAsia="Times New Roman" w:hAnsi="Times New Roman"/>
          <w:sz w:val="14"/>
          <w:szCs w:val="14"/>
          <w:color w:val="auto"/>
        </w:rPr>
        <w:t>” means a sale, lease, exchange, transfer, exclusive license or other disposition of all or substantially all of the assets of the Corporation.</w:t>
      </w:r>
    </w:p>
    <w:p>
      <w:pPr>
        <w:spacing w:after="0" w:line="164" w:lineRule="exact"/>
        <w:rPr>
          <w:sz w:val="20"/>
          <w:szCs w:val="20"/>
          <w:color w:val="auto"/>
        </w:rPr>
      </w:pPr>
    </w:p>
    <w:p>
      <w:pPr>
        <w:jc w:val="both"/>
        <w:ind w:right="20" w:firstLine="459"/>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c .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Cause for Termination</w:t>
      </w:r>
      <w:r>
        <w:rPr>
          <w:rFonts w:ascii="Times New Roman" w:cs="Times New Roman" w:eastAsia="Times New Roman" w:hAnsi="Times New Roman"/>
          <w:sz w:val="14"/>
          <w:szCs w:val="14"/>
          <w:color w:val="auto"/>
        </w:rPr>
        <w:t>” means (i) fraud or embezzlement by Cohen in connection with his employment with the Corporation, (ii) a willful act of material dishonesty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Cohen in connection with his employment with the Corporation that results in or would reasonably be expected to result in material loss to the Corporation, or (iii) Cohen’s conviction of, or plea of guilty to, a felony that results in or would reasonably be expected to result in material loss to the Corporation.</w:t>
      </w:r>
    </w:p>
    <w:p>
      <w:pPr>
        <w:spacing w:after="0" w:line="110" w:lineRule="exact"/>
        <w:rPr>
          <w:sz w:val="20"/>
          <w:szCs w:val="20"/>
          <w:color w:val="auto"/>
        </w:rPr>
      </w:pPr>
    </w:p>
    <w:p>
      <w:pPr>
        <w:jc w:val="both"/>
        <w:ind w:firstLine="459"/>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d .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Disability</w:t>
      </w:r>
      <w:r>
        <w:rPr>
          <w:rFonts w:ascii="Times New Roman" w:cs="Times New Roman" w:eastAsia="Times New Roman" w:hAnsi="Times New Roman"/>
          <w:sz w:val="14"/>
          <w:szCs w:val="14"/>
          <w:color w:val="auto"/>
        </w:rPr>
        <w:t>” means, with respect to any Founder, the permanent and total disability of such Founder such that he is unable to engage in any substantial gainful activity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reason of any medically determinable physical or mental impairment which can be expected to result in death within 12 months or which has lasted or can be expected to last for a continuous period of not less than 12 months as determined by a licensed medical practitioner jointly selected by a majority of the Independent Directors and such Founder. If such Founder is incapable of selecting a licensed medical practitioner, then such Founder’s spouse shall make the selection on behalf of such Founder, or, in the absence or incapacity of such Founder’s spouse, such Founder’s adult children by majority vote shall make the selection on behalf of such Founder, or, in the absence of adult children of such Founder or their inability to act by majority vote, a natural person then acting as the successor trustee of a revocable living trust which was created by such Founder and which holds in the aggregate more shares of all classes of capital stock of the Corporation than any other revocable living trust created by such Founder shall make the selection on behalf of such Founder, or, in the absence of any such successor trustee, the legal guardian or conservator of the estate of such Founder shall make the selection on behalf of such Founder. In the event of a dispute as to whether a Founder has suffered a Disability, no Disability of such Founder shall be deemed to have occurred unless and until an affirmative ruling regarding such Disability has been made by a court of competent jurisdiction, and such ruling has become final and non-appealable.</w:t>
      </w:r>
    </w:p>
    <w:p>
      <w:pPr>
        <w:spacing w:after="0" w:line="125" w:lineRule="exact"/>
        <w:rPr>
          <w:sz w:val="20"/>
          <w:szCs w:val="20"/>
          <w:color w:val="auto"/>
        </w:rPr>
      </w:pPr>
    </w:p>
    <w:p>
      <w:pPr>
        <w:ind w:left="700" w:hanging="234"/>
        <w:spacing w:after="0"/>
        <w:tabs>
          <w:tab w:leader="none" w:pos="700" w:val="left"/>
        </w:tabs>
        <w:numPr>
          <w:ilvl w:val="0"/>
          <w:numId w:val="2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Effective Date</w:t>
      </w:r>
      <w:r>
        <w:rPr>
          <w:rFonts w:ascii="Times New Roman" w:cs="Times New Roman" w:eastAsia="Times New Roman" w:hAnsi="Times New Roman"/>
          <w:sz w:val="14"/>
          <w:szCs w:val="14"/>
          <w:color w:val="auto"/>
        </w:rPr>
        <w:t>” means the date that this Amended and Restated Certificate is accepted for filing by the Secretary of State of the State of Delaware.</w:t>
      </w:r>
    </w:p>
    <w:p>
      <w:pPr>
        <w:spacing w:after="0" w:line="164" w:lineRule="exact"/>
        <w:rPr>
          <w:rFonts w:ascii="Times New Roman" w:cs="Times New Roman" w:eastAsia="Times New Roman" w:hAnsi="Times New Roman"/>
          <w:sz w:val="14"/>
          <w:szCs w:val="14"/>
          <w:b w:val="1"/>
          <w:bCs w:val="1"/>
          <w:color w:val="auto"/>
        </w:rPr>
      </w:pPr>
    </w:p>
    <w:p>
      <w:pPr>
        <w:ind w:firstLine="466"/>
        <w:spacing w:after="0" w:line="299" w:lineRule="auto"/>
        <w:tabs>
          <w:tab w:leader="none" w:pos="689" w:val="left"/>
        </w:tabs>
        <w:numPr>
          <w:ilvl w:val="0"/>
          <w:numId w:val="2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Family Member</w:t>
      </w:r>
      <w:r>
        <w:rPr>
          <w:rFonts w:ascii="Times New Roman" w:cs="Times New Roman" w:eastAsia="Times New Roman" w:hAnsi="Times New Roman"/>
          <w:sz w:val="14"/>
          <w:szCs w:val="14"/>
          <w:color w:val="auto"/>
        </w:rPr>
        <w:t>” means, with respect to any Founder, the spouse, domestic partner, parents, grandparents, lineal descendants, siblings and lineal descendants of siblings of such Founder (including adopted persons, step children, step parents and step siblings of such Founder).</w:t>
      </w:r>
    </w:p>
    <w:p>
      <w:pPr>
        <w:spacing w:after="0" w:line="96" w:lineRule="exact"/>
        <w:rPr>
          <w:rFonts w:ascii="Times New Roman" w:cs="Times New Roman" w:eastAsia="Times New Roman" w:hAnsi="Times New Roman"/>
          <w:sz w:val="14"/>
          <w:szCs w:val="14"/>
          <w:b w:val="1"/>
          <w:bCs w:val="1"/>
          <w:color w:val="auto"/>
        </w:rPr>
      </w:pPr>
    </w:p>
    <w:p>
      <w:pPr>
        <w:ind w:left="720" w:hanging="254"/>
        <w:spacing w:after="0"/>
        <w:tabs>
          <w:tab w:leader="none" w:pos="720" w:val="left"/>
        </w:tabs>
        <w:numPr>
          <w:ilvl w:val="0"/>
          <w:numId w:val="2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Final Conversion Date</w:t>
      </w:r>
      <w:r>
        <w:rPr>
          <w:rFonts w:ascii="Times New Roman" w:cs="Times New Roman" w:eastAsia="Times New Roman" w:hAnsi="Times New Roman"/>
          <w:sz w:val="14"/>
          <w:szCs w:val="14"/>
          <w:color w:val="auto"/>
        </w:rPr>
        <w:t>” means the earliest to occur following the Effective Date of:</w:t>
      </w:r>
    </w:p>
    <w:p>
      <w:pPr>
        <w:spacing w:after="0" w:line="164" w:lineRule="exact"/>
        <w:rPr>
          <w:sz w:val="20"/>
          <w:szCs w:val="20"/>
          <w:color w:val="auto"/>
        </w:rPr>
      </w:pPr>
    </w:p>
    <w:p>
      <w:pPr>
        <w:jc w:val="both"/>
        <w:ind w:right="20" w:firstLine="925"/>
        <w:spacing w:after="0" w:line="271" w:lineRule="auto"/>
        <w:tabs>
          <w:tab w:leader="none" w:pos="985" w:val="left"/>
        </w:tabs>
        <w:numPr>
          <w:ilvl w:val="0"/>
          <w:numId w:val="2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 ) </w:t>
      </w:r>
      <w:r>
        <w:rPr>
          <w:rFonts w:ascii="Times New Roman" w:cs="Times New Roman" w:eastAsia="Times New Roman" w:hAnsi="Times New Roman"/>
          <w:sz w:val="14"/>
          <w:szCs w:val="14"/>
          <w:color w:val="auto"/>
        </w:rPr>
        <w:t>the date fixed by the Board that is no less than 61 days and no more than 180 days following the first time (the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Ownership Trigger Time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after 11:59 p.m.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Eastern Time on the Effective Date that the number of Threshold Shares held by Cohen and his Permitted Entities and Permitted Transferees is less than 20% of the number of shares of Class B Common Stock held by Cohen and his Permitted Entities at 11:59 p.m. Eastern Time on the Effective Date (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for the avoidance of doubt, that if no such date is fixed by the Board, the Final Conversion Date for purposes of this clause shall be the 180th date following the Ownership Trigger Time);</w:t>
      </w:r>
    </w:p>
    <w:p>
      <w:pPr>
        <w:spacing w:after="0" w:line="119" w:lineRule="exact"/>
        <w:rPr>
          <w:sz w:val="20"/>
          <w:szCs w:val="20"/>
          <w:color w:val="auto"/>
        </w:rPr>
      </w:pPr>
    </w:p>
    <w:p>
      <w:pPr>
        <w:ind w:left="1240" w:hanging="315"/>
        <w:spacing w:after="0"/>
        <w:tabs>
          <w:tab w:leader="none" w:pos="1240" w:val="left"/>
        </w:tabs>
        <w:numPr>
          <w:ilvl w:val="0"/>
          <w:numId w:val="26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last Trading Day of the fiscal year following the tenth (10th) anniversary of the Effective Date;</w:t>
      </w:r>
    </w:p>
    <w:p>
      <w:pPr>
        <w:sectPr>
          <w:pgSz w:w="11900" w:h="16840" w:orient="portrait"/>
          <w:cols w:equalWidth="0" w:num="1">
            <w:col w:w="10620"/>
          </w:cols>
          <w:pgMar w:left="640" w:top="1440" w:right="640" w:bottom="1440" w:gutter="0" w:footer="0" w:header="0"/>
        </w:sectPr>
      </w:pPr>
    </w:p>
    <w:bookmarkStart w:id="272" w:name="page273"/>
    <w:bookmarkEnd w:id="272"/>
    <w:p>
      <w:pPr>
        <w:spacing w:after="0" w:line="35" w:lineRule="exact"/>
        <w:rPr>
          <w:sz w:val="20"/>
          <w:szCs w:val="20"/>
          <w:color w:val="auto"/>
        </w:rPr>
      </w:pPr>
    </w:p>
    <w:p>
      <w:pPr>
        <w:jc w:val="both"/>
        <w:ind w:right="40" w:firstLine="925"/>
        <w:spacing w:after="0" w:line="267" w:lineRule="auto"/>
        <w:tabs>
          <w:tab w:leader="none" w:pos="1273" w:val="left"/>
        </w:tabs>
        <w:numPr>
          <w:ilvl w:val="0"/>
          <w:numId w:val="2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the date fixed by the Board that is no less than 61 days and no more than 180 days following the first time (the “ </w:t>
      </w:r>
      <w:r>
        <w:rPr>
          <w:rFonts w:ascii="Times New Roman" w:cs="Times New Roman" w:eastAsia="Times New Roman" w:hAnsi="Times New Roman"/>
          <w:sz w:val="14"/>
          <w:szCs w:val="14"/>
          <w:b w:val="1"/>
          <w:bCs w:val="1"/>
          <w:i w:val="1"/>
          <w:iCs w:val="1"/>
          <w:color w:val="auto"/>
        </w:rPr>
        <w:t>Service Trigger Time</w:t>
      </w:r>
      <w:r>
        <w:rPr>
          <w:rFonts w:ascii="Times New Roman" w:cs="Times New Roman" w:eastAsia="Times New Roman" w:hAnsi="Times New Roman"/>
          <w:sz w:val="14"/>
          <w:szCs w:val="14"/>
          <w:color w:val="auto"/>
        </w:rPr>
        <w:t>”) after 11:59 p.m. Eastern Time on the Effective Date that both (A) Cohen is no longer providing services to the Corporation as an officer or employee, and (B) Cohen is no longer a director of the Corporation as a result of a voluntary resignation by Cohen from the Board or as a result of a request or agreement by Cohen not to be renominated as a director of the Corporation at a meeting of stockholders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for the avoidance of doubt, that if no such date is fixed by the Board, the Final Conversion Date for purposes of this clause shall be the 180th date following the Service Trigger Time);</w:t>
      </w:r>
    </w:p>
    <w:p>
      <w:pPr>
        <w:spacing w:after="0" w:line="121" w:lineRule="exact"/>
        <w:rPr>
          <w:sz w:val="20"/>
          <w:szCs w:val="20"/>
          <w:color w:val="auto"/>
        </w:rPr>
      </w:pPr>
    </w:p>
    <w:p>
      <w:pPr>
        <w:jc w:val="both"/>
        <w:ind w:right="40" w:firstLine="925"/>
        <w:spacing w:after="0" w:line="276" w:lineRule="auto"/>
        <w:tabs>
          <w:tab w:leader="none" w:pos="992" w:val="left"/>
        </w:tabs>
        <w:numPr>
          <w:ilvl w:val="0"/>
          <w:numId w:val="27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 v ) </w:t>
      </w:r>
      <w:r>
        <w:rPr>
          <w:rFonts w:ascii="Times New Roman" w:cs="Times New Roman" w:eastAsia="Times New Roman" w:hAnsi="Times New Roman"/>
          <w:sz w:val="14"/>
          <w:szCs w:val="14"/>
          <w:color w:val="auto"/>
        </w:rPr>
        <w:t>the date fixed by the Board that is no less than 61 days and no more than 180 days following the date that Cohen’s employment with the Corporation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terminated for Cause for Termination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for the avoidance of doubt, that if no such date is fixed by the Board, the Final Conversion Date for purposes of this clause shall be the 180th date following such date of Cohen’s termination of employment with the Corporation pursuant to this Section 5.1.g(iv)); or</w:t>
      </w:r>
    </w:p>
    <w:p>
      <w:pPr>
        <w:spacing w:after="0" w:line="116" w:lineRule="exact"/>
        <w:rPr>
          <w:sz w:val="20"/>
          <w:szCs w:val="20"/>
          <w:color w:val="auto"/>
        </w:rPr>
      </w:pPr>
    </w:p>
    <w:p>
      <w:pPr>
        <w:ind w:left="1240" w:hanging="315"/>
        <w:spacing w:after="0"/>
        <w:tabs>
          <w:tab w:leader="none" w:pos="1240" w:val="left"/>
        </w:tabs>
        <w:numPr>
          <w:ilvl w:val="1"/>
          <w:numId w:val="2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date that is twelve (12) months after the death or Disability of Cohen.</w:t>
      </w:r>
    </w:p>
    <w:p>
      <w:pPr>
        <w:spacing w:after="0" w:line="160" w:lineRule="exact"/>
        <w:rPr>
          <w:rFonts w:ascii="Times New Roman" w:cs="Times New Roman" w:eastAsia="Times New Roman" w:hAnsi="Times New Roman"/>
          <w:sz w:val="14"/>
          <w:szCs w:val="14"/>
          <w:b w:val="1"/>
          <w:bCs w:val="1"/>
          <w:color w:val="auto"/>
        </w:rPr>
      </w:pPr>
    </w:p>
    <w:p>
      <w:pPr>
        <w:ind w:left="720" w:hanging="254"/>
        <w:spacing w:after="0"/>
        <w:tabs>
          <w:tab w:leader="none" w:pos="720" w:val="left"/>
        </w:tabs>
        <w:numPr>
          <w:ilvl w:val="0"/>
          <w:numId w:val="2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Founder</w:t>
      </w:r>
      <w:r>
        <w:rPr>
          <w:rFonts w:ascii="Times New Roman" w:cs="Times New Roman" w:eastAsia="Times New Roman" w:hAnsi="Times New Roman"/>
          <w:sz w:val="14"/>
          <w:szCs w:val="14"/>
          <w:color w:val="auto"/>
        </w:rPr>
        <w:t>” means each of Ariel Cohen (“</w:t>
      </w:r>
      <w:r>
        <w:rPr>
          <w:rFonts w:ascii="Times New Roman" w:cs="Times New Roman" w:eastAsia="Times New Roman" w:hAnsi="Times New Roman"/>
          <w:sz w:val="14"/>
          <w:szCs w:val="14"/>
          <w:b w:val="1"/>
          <w:bCs w:val="1"/>
          <w:i w:val="1"/>
          <w:iCs w:val="1"/>
          <w:color w:val="auto"/>
        </w:rPr>
        <w:t>Cohen</w:t>
      </w:r>
      <w:r>
        <w:rPr>
          <w:rFonts w:ascii="Times New Roman" w:cs="Times New Roman" w:eastAsia="Times New Roman" w:hAnsi="Times New Roman"/>
          <w:sz w:val="14"/>
          <w:szCs w:val="14"/>
          <w:color w:val="auto"/>
        </w:rPr>
        <w:t xml:space="preserve">”) and Ilan Twig (“ </w:t>
      </w:r>
      <w:r>
        <w:rPr>
          <w:rFonts w:ascii="Times New Roman" w:cs="Times New Roman" w:eastAsia="Times New Roman" w:hAnsi="Times New Roman"/>
          <w:sz w:val="14"/>
          <w:szCs w:val="14"/>
          <w:b w:val="1"/>
          <w:bCs w:val="1"/>
          <w:i w:val="1"/>
          <w:iCs w:val="1"/>
          <w:color w:val="auto"/>
        </w:rPr>
        <w:t>Twig</w:t>
      </w:r>
      <w:r>
        <w:rPr>
          <w:rFonts w:ascii="Times New Roman" w:cs="Times New Roman" w:eastAsia="Times New Roman" w:hAnsi="Times New Roman"/>
          <w:sz w:val="14"/>
          <w:szCs w:val="14"/>
          <w:color w:val="auto"/>
        </w:rPr>
        <w:t>”).</w:t>
      </w:r>
    </w:p>
    <w:p>
      <w:pPr>
        <w:spacing w:after="0" w:line="164" w:lineRule="exact"/>
        <w:rPr>
          <w:rFonts w:ascii="Times New Roman" w:cs="Times New Roman" w:eastAsia="Times New Roman" w:hAnsi="Times New Roman"/>
          <w:sz w:val="14"/>
          <w:szCs w:val="14"/>
          <w:b w:val="1"/>
          <w:bCs w:val="1"/>
          <w:color w:val="auto"/>
        </w:rPr>
      </w:pPr>
    </w:p>
    <w:p>
      <w:pPr>
        <w:ind w:right="60" w:firstLine="466"/>
        <w:spacing w:after="0" w:line="299" w:lineRule="auto"/>
        <w:tabs>
          <w:tab w:leader="none" w:pos="689" w:val="left"/>
        </w:tabs>
        <w:numPr>
          <w:ilvl w:val="0"/>
          <w:numId w:val="2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Founder Voting Proxies</w:t>
      </w:r>
      <w:r>
        <w:rPr>
          <w:rFonts w:ascii="Times New Roman" w:cs="Times New Roman" w:eastAsia="Times New Roman" w:hAnsi="Times New Roman"/>
          <w:sz w:val="14"/>
          <w:szCs w:val="14"/>
          <w:color w:val="auto"/>
        </w:rPr>
        <w:t>” means the voting proxies from, and executed by, Twig and his Permitted Entities and Permitted Transferees in favor of Cohen to be in effect as of the Effective Date, as such may be amended from time to time, and which shall become effective only upon the occurrence of a Triggering Event.</w:t>
      </w:r>
    </w:p>
    <w:p>
      <w:pPr>
        <w:spacing w:after="0" w:line="96" w:lineRule="exact"/>
        <w:rPr>
          <w:rFonts w:ascii="Times New Roman" w:cs="Times New Roman" w:eastAsia="Times New Roman" w:hAnsi="Times New Roman"/>
          <w:sz w:val="14"/>
          <w:szCs w:val="14"/>
          <w:b w:val="1"/>
          <w:bCs w:val="1"/>
          <w:color w:val="auto"/>
        </w:rPr>
      </w:pPr>
    </w:p>
    <w:p>
      <w:pPr>
        <w:ind w:left="700" w:hanging="234"/>
        <w:spacing w:after="0"/>
        <w:tabs>
          <w:tab w:leader="none" w:pos="700" w:val="left"/>
        </w:tabs>
        <w:numPr>
          <w:ilvl w:val="0"/>
          <w:numId w:val="2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Independent Directors</w:t>
      </w:r>
      <w:r>
        <w:rPr>
          <w:rFonts w:ascii="Times New Roman" w:cs="Times New Roman" w:eastAsia="Times New Roman" w:hAnsi="Times New Roman"/>
          <w:sz w:val="14"/>
          <w:szCs w:val="14"/>
          <w:color w:val="auto"/>
        </w:rPr>
        <w:t>” means the members of the Board designated as independent directors in accordance with the Listing Standards.</w:t>
      </w:r>
    </w:p>
    <w:p>
      <w:pPr>
        <w:spacing w:after="0" w:line="164" w:lineRule="exact"/>
        <w:rPr>
          <w:rFonts w:ascii="Times New Roman" w:cs="Times New Roman" w:eastAsia="Times New Roman" w:hAnsi="Times New Roman"/>
          <w:sz w:val="14"/>
          <w:szCs w:val="14"/>
          <w:b w:val="1"/>
          <w:bCs w:val="1"/>
          <w:color w:val="auto"/>
        </w:rPr>
      </w:pPr>
    </w:p>
    <w:p>
      <w:pPr>
        <w:ind w:left="720" w:hanging="254"/>
        <w:spacing w:after="0"/>
        <w:tabs>
          <w:tab w:leader="none" w:pos="720" w:val="left"/>
        </w:tabs>
        <w:numPr>
          <w:ilvl w:val="0"/>
          <w:numId w:val="2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Liquidation Event</w:t>
      </w:r>
      <w:r>
        <w:rPr>
          <w:rFonts w:ascii="Times New Roman" w:cs="Times New Roman" w:eastAsia="Times New Roman" w:hAnsi="Times New Roman"/>
          <w:sz w:val="14"/>
          <w:szCs w:val="14"/>
          <w:color w:val="auto"/>
        </w:rPr>
        <w:t>” means any liquidation, dissolution, or winding up of the Corporation, whether voluntary or involuntary, or any Acquisition or Asset Transfer.</w:t>
      </w:r>
    </w:p>
    <w:p>
      <w:pPr>
        <w:spacing w:after="0" w:line="164" w:lineRule="exact"/>
        <w:rPr>
          <w:sz w:val="20"/>
          <w:szCs w:val="20"/>
          <w:color w:val="auto"/>
        </w:rPr>
      </w:pPr>
    </w:p>
    <w:p>
      <w:pPr>
        <w:jc w:val="both"/>
        <w:ind w:right="40" w:firstLine="459"/>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l .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Listing Standards</w:t>
      </w:r>
      <w:r>
        <w:rPr>
          <w:rFonts w:ascii="Times New Roman" w:cs="Times New Roman" w:eastAsia="Times New Roman" w:hAnsi="Times New Roman"/>
          <w:sz w:val="14"/>
          <w:szCs w:val="14"/>
          <w:color w:val="auto"/>
        </w:rPr>
        <w:t>” means (i) the requirements of any national stock exchange under which the Corporation’s equity securities are listed for trading that are generally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applicable to companies with common equity securities listed thereon or (ii) if the Corporation’s equity securities are not listed for trading on a national stock exchange, the requirements of the Nasdaq Global Select Market generally applicable to companies with equity securities listed thereon.</w:t>
      </w:r>
    </w:p>
    <w:p>
      <w:pPr>
        <w:spacing w:after="0" w:line="110" w:lineRule="exact"/>
        <w:rPr>
          <w:sz w:val="20"/>
          <w:szCs w:val="20"/>
          <w:color w:val="auto"/>
        </w:rPr>
      </w:pPr>
    </w:p>
    <w:p>
      <w:pPr>
        <w:ind w:left="760" w:hanging="294"/>
        <w:spacing w:after="0"/>
        <w:tabs>
          <w:tab w:leader="none" w:pos="760" w:val="left"/>
        </w:tabs>
        <w:numPr>
          <w:ilvl w:val="0"/>
          <w:numId w:val="2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Parent</w:t>
      </w:r>
      <w:r>
        <w:rPr>
          <w:rFonts w:ascii="Times New Roman" w:cs="Times New Roman" w:eastAsia="Times New Roman" w:hAnsi="Times New Roman"/>
          <w:sz w:val="14"/>
          <w:szCs w:val="14"/>
          <w:color w:val="auto"/>
        </w:rPr>
        <w:t>” of an entity means any entity that directly or indirectly owns or controls a majority of the voting power of the voting securities of such entity.</w:t>
      </w:r>
    </w:p>
    <w:p>
      <w:pPr>
        <w:spacing w:after="0" w:line="164" w:lineRule="exact"/>
        <w:rPr>
          <w:rFonts w:ascii="Times New Roman" w:cs="Times New Roman" w:eastAsia="Times New Roman" w:hAnsi="Times New Roman"/>
          <w:sz w:val="14"/>
          <w:szCs w:val="14"/>
          <w:b w:val="1"/>
          <w:bCs w:val="1"/>
          <w:color w:val="auto"/>
        </w:rPr>
      </w:pPr>
    </w:p>
    <w:p>
      <w:pPr>
        <w:ind w:firstLine="466"/>
        <w:spacing w:after="0" w:line="265" w:lineRule="auto"/>
        <w:tabs>
          <w:tab w:leader="none" w:pos="718" w:val="left"/>
        </w:tabs>
        <w:numPr>
          <w:ilvl w:val="0"/>
          <w:numId w:val="2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Permitted Entity</w:t>
      </w:r>
      <w:r>
        <w:rPr>
          <w:rFonts w:ascii="Times New Roman" w:cs="Times New Roman" w:eastAsia="Times New Roman" w:hAnsi="Times New Roman"/>
          <w:sz w:val="14"/>
          <w:szCs w:val="14"/>
          <w:color w:val="auto"/>
        </w:rPr>
        <w:t>” means, with respect to any Founder, (i) any trust for the exclusive benefit of such Founder or one or more Family Members of such Founder or any other Permitted Entity of such Founder, (ii) any general partnership, limited liability company, corporation or other entity exclusively owned by such Founder, one or more Family Members of such Founder or any other Permitted Entity of such Founder, (iii) any charitable organization, foundation or similar entity established by a Founder, one or more Family Members of such Founder or any other Permitted Entity of such Founder, and (iv) any Individual Retirement Account, as defined in Section 408(a) of the Internal Revenue Code, or a pension, profit sharing, stock bonus or other type of plan or trust of which such Founder is a participant or beneficiary and which satisfies the requirements for qualification under Section 401 of the Internal Revenue Code.</w:t>
      </w:r>
    </w:p>
    <w:p>
      <w:pPr>
        <w:sectPr>
          <w:pgSz w:w="11900" w:h="16840" w:orient="portrait"/>
          <w:cols w:equalWidth="0" w:num="1">
            <w:col w:w="10640"/>
          </w:cols>
          <w:pgMar w:left="640" w:top="1440" w:right="620" w:bottom="1440" w:gutter="0" w:footer="0" w:header="0"/>
        </w:sectPr>
      </w:pPr>
    </w:p>
    <w:bookmarkStart w:id="273" w:name="page274"/>
    <w:bookmarkEnd w:id="273"/>
    <w:p>
      <w:pPr>
        <w:spacing w:after="0" w:line="35" w:lineRule="exact"/>
        <w:rPr>
          <w:sz w:val="20"/>
          <w:szCs w:val="20"/>
          <w:color w:val="auto"/>
        </w:rPr>
      </w:pPr>
    </w:p>
    <w:p>
      <w:pPr>
        <w:jc w:val="both"/>
        <w:ind w:firstLine="45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o .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Permitted Transfer</w:t>
      </w:r>
      <w:r>
        <w:rPr>
          <w:rFonts w:ascii="Times New Roman" w:cs="Times New Roman" w:eastAsia="Times New Roman" w:hAnsi="Times New Roman"/>
          <w:sz w:val="14"/>
          <w:szCs w:val="14"/>
          <w:color w:val="auto"/>
        </w:rPr>
        <w:t>” means (i) any Transfer of a share of Class B Common Stock from a Founder, from a Founder’s Permitted Entities, or from a Founder’s Permitted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Transferees, to any Founder, to any Family Member of any Founder, to the estate of any Founder or Family Member of a Founder, or to any Permitted Entity of any Founder;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transferee is Twig, a Permitted Entity or Family Member of Twig, or the estate of Twig or a Family Member of Twig, then such Transfer shall qualify as a Permitted Transfer only if (a) Cohen shall have exclusive Voting Control with respect to such share of Class B Common Stock, including through a voting proxy in favor of Cohen, following such Transfer, or (b) (1) Twig shall have exclusive Voting Control with respect to such share of Class B Common Stock, including through a voting proxy in favor of Twig, following such Transfer, and (2) such share of Class B Common Stock shall be subject to a Founder Voting Proxy or a substantially similar voting proxy in favor of Cohen following such Transfer (it being understood that, in the case of any Transfer under this clause (i), such voting proxy may be executed promptly following (and in no event later than 10 days after) such Transfer);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if the transferee is a Permitted Entity or Family Member of Cohen, or the estate of Cohen or a Family Member of Cohen, then such Transfer shall qualify as a Permitted Transfer only if Cohen shall have exclusive Voting Control with respect to such share of Class B Common Stock, including through a voting proxy in favor of Cohen, following such Transfer, and (ii) any Transfer of a share of Class B Common Stock from a holder to such holder’s affiliates with the prior written approval of the Board, which Transfer does not otherwise qualify as a Permitted Transfer pursuant to clause (i) above;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transferee of such share of Class B Common Stock is not Cohen, then such Transfer shall qualify as a Permitted Transfer only if Cohen shall have exclusive Voting Control with respect to such share of Class B Common Stock, including through a voting proxy in favor of Cohen, following such Transfer (it being understood that any such voting proxy may be executed promptly following (and in no event later than 10 days after) such Transfer). Notwithstanding anything to the contrary in this Section 5.1.o, in the event that Cohen does not have exclusive Voting Control with respect to a share of Class B Common Stock following any Transfer described in this Section 5.1.o, including through a voting proxy in favor of Cohen, or such share is not subject to a Founder Voting Proxy in favor of Cohen following such Transfer (within the time periods permitted in this Section 5.1.o), each such share of Class B Common Stock purported to be transferred shall automatically, and with no further action by the holder or the Corporation, convert into one fully paid and non-assessable share of Class A Common Stock.</w:t>
      </w:r>
    </w:p>
    <w:p>
      <w:pPr>
        <w:spacing w:after="0" w:line="128" w:lineRule="exact"/>
        <w:rPr>
          <w:sz w:val="20"/>
          <w:szCs w:val="20"/>
          <w:color w:val="auto"/>
        </w:rPr>
      </w:pPr>
    </w:p>
    <w:p>
      <w:pPr>
        <w:ind w:left="720" w:hanging="254"/>
        <w:spacing w:after="0"/>
        <w:tabs>
          <w:tab w:leader="none" w:pos="720" w:val="left"/>
        </w:tabs>
        <w:numPr>
          <w:ilvl w:val="0"/>
          <w:numId w:val="2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Permitted Transferee</w:t>
      </w:r>
      <w:r>
        <w:rPr>
          <w:rFonts w:ascii="Times New Roman" w:cs="Times New Roman" w:eastAsia="Times New Roman" w:hAnsi="Times New Roman"/>
          <w:sz w:val="14"/>
          <w:szCs w:val="14"/>
          <w:color w:val="auto"/>
        </w:rPr>
        <w:t>” means a transferee of shares of Class B Common Stock, or rights or interests therein, received in a Transfer that constitutes a Permitted Transfer.</w:t>
      </w:r>
    </w:p>
    <w:p>
      <w:pPr>
        <w:spacing w:after="0" w:line="164" w:lineRule="exact"/>
        <w:rPr>
          <w:rFonts w:ascii="Times New Roman" w:cs="Times New Roman" w:eastAsia="Times New Roman" w:hAnsi="Times New Roman"/>
          <w:sz w:val="14"/>
          <w:szCs w:val="14"/>
          <w:b w:val="1"/>
          <w:bCs w:val="1"/>
          <w:color w:val="auto"/>
        </w:rPr>
      </w:pPr>
    </w:p>
    <w:p>
      <w:pPr>
        <w:jc w:val="both"/>
        <w:ind w:firstLine="466"/>
        <w:spacing w:after="0" w:line="271" w:lineRule="auto"/>
        <w:tabs>
          <w:tab w:leader="none" w:pos="718" w:val="left"/>
        </w:tabs>
        <w:numPr>
          <w:ilvl w:val="0"/>
          <w:numId w:val="2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Threshold Shares</w:t>
      </w:r>
      <w:r>
        <w:rPr>
          <w:rFonts w:ascii="Times New Roman" w:cs="Times New Roman" w:eastAsia="Times New Roman" w:hAnsi="Times New Roman"/>
          <w:sz w:val="14"/>
          <w:szCs w:val="14"/>
          <w:color w:val="auto"/>
        </w:rPr>
        <w:t>” means, with respect to any person as of any time, the sum of (without duplication): (i) any shares of Class B Common Stock held by such person as of such time and (ii) any shares of Class B Common Stock underlying any securities (including restricted stock units, options, or other convertible instruments) held by such person as of such time, so long as such securities were also held by such person at the Effective Date, whether such securities are vested or unvested, earned or unearned, convertible into or exchangeable or exercisable as of such time or in the future.</w:t>
      </w:r>
    </w:p>
    <w:p>
      <w:pPr>
        <w:spacing w:after="0" w:line="114" w:lineRule="exact"/>
        <w:rPr>
          <w:rFonts w:ascii="Times New Roman" w:cs="Times New Roman" w:eastAsia="Times New Roman" w:hAnsi="Times New Roman"/>
          <w:sz w:val="14"/>
          <w:szCs w:val="14"/>
          <w:b w:val="1"/>
          <w:bCs w:val="1"/>
          <w:color w:val="auto"/>
        </w:rPr>
      </w:pPr>
    </w:p>
    <w:p>
      <w:pPr>
        <w:ind w:left="740" w:hanging="274"/>
        <w:spacing w:after="0"/>
        <w:tabs>
          <w:tab w:leader="none" w:pos="740" w:val="left"/>
        </w:tabs>
        <w:numPr>
          <w:ilvl w:val="0"/>
          <w:numId w:val="2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Trading Day</w:t>
      </w:r>
      <w:r>
        <w:rPr>
          <w:rFonts w:ascii="Times New Roman" w:cs="Times New Roman" w:eastAsia="Times New Roman" w:hAnsi="Times New Roman"/>
          <w:sz w:val="14"/>
          <w:szCs w:val="14"/>
          <w:color w:val="auto"/>
        </w:rPr>
        <w:t>” means any day on which The Nasdaq Stock Market and the New York Stock Exchange are open for trading.</w:t>
      </w:r>
    </w:p>
    <w:p>
      <w:pPr>
        <w:spacing w:after="0" w:line="164" w:lineRule="exact"/>
        <w:rPr>
          <w:sz w:val="20"/>
          <w:szCs w:val="20"/>
          <w:color w:val="auto"/>
        </w:rPr>
      </w:pPr>
    </w:p>
    <w:p>
      <w:pPr>
        <w:jc w:val="both"/>
        <w:ind w:right="20" w:firstLine="459"/>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s .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Transfer</w:t>
      </w:r>
      <w:r>
        <w:rPr>
          <w:rFonts w:ascii="Times New Roman" w:cs="Times New Roman" w:eastAsia="Times New Roman" w:hAnsi="Times New Roman"/>
          <w:sz w:val="14"/>
          <w:szCs w:val="14"/>
          <w:color w:val="auto"/>
        </w:rPr>
        <w:t>” of a share of Class B Common Stock means any sale, assignment, transfer, conveyance, hypothecation or other disposition of such share or any legal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beneficial interest in such share, whether or not for value and whether voluntary or involuntary or by operation of law (including by merger, consolidation or otherwise) after 11:59 p.m. Eastern Time on the Effective Date, or the transfer of, or entering into a binding agreement with respect to the transfer of, Voting Control (as defined below)</w:t>
      </w:r>
    </w:p>
    <w:p>
      <w:pPr>
        <w:sectPr>
          <w:pgSz w:w="11900" w:h="16840" w:orient="portrait"/>
          <w:cols w:equalWidth="0" w:num="1">
            <w:col w:w="10620"/>
          </w:cols>
          <w:pgMar w:left="640" w:top="1440" w:right="640" w:bottom="1440" w:gutter="0" w:footer="0" w:header="0"/>
        </w:sectPr>
      </w:pPr>
    </w:p>
    <w:bookmarkStart w:id="274" w:name="page275"/>
    <w:bookmarkEnd w:id="274"/>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over such share by proxy or otherwise. Notwithstanding the foregoing, the following will not be considered a “ </w:t>
      </w:r>
      <w:r>
        <w:rPr>
          <w:rFonts w:ascii="Times New Roman" w:cs="Times New Roman" w:eastAsia="Times New Roman" w:hAnsi="Times New Roman"/>
          <w:sz w:val="14"/>
          <w:szCs w:val="14"/>
          <w:b w:val="1"/>
          <w:bCs w:val="1"/>
          <w:i w:val="1"/>
          <w:iCs w:val="1"/>
          <w:color w:val="auto"/>
        </w:rPr>
        <w:t>Transfer</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jc w:val="both"/>
        <w:ind w:firstLine="925"/>
        <w:spacing w:after="0" w:line="270" w:lineRule="auto"/>
        <w:tabs>
          <w:tab w:leader="none" w:pos="985" w:val="left"/>
        </w:tabs>
        <w:numPr>
          <w:ilvl w:val="0"/>
          <w:numId w:val="2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 ) </w:t>
      </w:r>
      <w:r>
        <w:rPr>
          <w:rFonts w:ascii="Times New Roman" w:cs="Times New Roman" w:eastAsia="Times New Roman" w:hAnsi="Times New Roman"/>
          <w:sz w:val="14"/>
          <w:szCs w:val="14"/>
          <w:color w:val="auto"/>
        </w:rPr>
        <w:t>any grant by any holder of shares of Class B Common Stock of a revocable proxy to (A) officers or directors or agents of the Corporation at the request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Board in connection with (1) actions to be taken at an annual or special meeting of stockholders or by stockholder consent or (2) any other action of the stockholders permitted by this Amended and Restated Certificate, or (B) any other person with specific direction to vote such shares of Class B Common Stock as directed by the holders of such shares, without discretion, in connection with actions to be taken at an annual meeting or special meeting of stockholders or by stockholder consent;</w:t>
      </w:r>
    </w:p>
    <w:p>
      <w:pPr>
        <w:spacing w:after="0" w:line="120" w:lineRule="exact"/>
        <w:rPr>
          <w:sz w:val="20"/>
          <w:szCs w:val="20"/>
          <w:color w:val="auto"/>
        </w:rPr>
      </w:pPr>
    </w:p>
    <w:p>
      <w:pPr>
        <w:jc w:val="both"/>
        <w:ind w:right="20" w:firstLine="925"/>
        <w:spacing w:after="0" w:line="269" w:lineRule="auto"/>
        <w:tabs>
          <w:tab w:leader="none" w:pos="1253" w:val="left"/>
        </w:tabs>
        <w:numPr>
          <w:ilvl w:val="0"/>
          <w:numId w:val="2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any pledge of shares of Class B Common Stock by a stockholder that creates a mere security interest in such shares pursuant to a bona fide loan or indebtedness transaction for so long as such stockholder continues to exercise Voting Control over such pledged shares or has granted a proxy to Cohen to exercise Voting Control over such pledged shares;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a foreclosure on such shares or other similar action by the pledgee will constitute a “Transfer” unless such foreclosure or similar action qualifies as a “Permitted Transfer” at such time;</w:t>
      </w:r>
    </w:p>
    <w:p>
      <w:pPr>
        <w:spacing w:after="0" w:line="120" w:lineRule="exact"/>
        <w:rPr>
          <w:rFonts w:ascii="Times New Roman" w:cs="Times New Roman" w:eastAsia="Times New Roman" w:hAnsi="Times New Roman"/>
          <w:sz w:val="14"/>
          <w:szCs w:val="14"/>
          <w:b w:val="1"/>
          <w:bCs w:val="1"/>
          <w:color w:val="auto"/>
        </w:rPr>
      </w:pPr>
    </w:p>
    <w:p>
      <w:pPr>
        <w:ind w:left="1280" w:hanging="355"/>
        <w:spacing w:after="0"/>
        <w:tabs>
          <w:tab w:leader="none" w:pos="1280" w:val="left"/>
        </w:tabs>
        <w:numPr>
          <w:ilvl w:val="0"/>
          <w:numId w:val="2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grant of a proxy to, or the exercise of Voting Control by, the Secretary of the Corporation or such other person pursuant to Section 5.5;</w:t>
      </w:r>
    </w:p>
    <w:p>
      <w:pPr>
        <w:spacing w:after="0" w:line="164" w:lineRule="exact"/>
        <w:rPr>
          <w:rFonts w:ascii="Times New Roman" w:cs="Times New Roman" w:eastAsia="Times New Roman" w:hAnsi="Times New Roman"/>
          <w:sz w:val="14"/>
          <w:szCs w:val="14"/>
          <w:b w:val="1"/>
          <w:bCs w:val="1"/>
          <w:color w:val="auto"/>
        </w:rPr>
      </w:pPr>
    </w:p>
    <w:p>
      <w:pPr>
        <w:jc w:val="both"/>
        <w:ind w:firstLine="925"/>
        <w:spacing w:after="0" w:line="269" w:lineRule="auto"/>
        <w:tabs>
          <w:tab w:leader="none" w:pos="1311" w:val="left"/>
        </w:tabs>
        <w:numPr>
          <w:ilvl w:val="0"/>
          <w:numId w:val="2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entering into a voting trust, agreement or arrangement (with or without granting a proxy and, if a proxy is granted, whether a revocable or irrevocable proxy) solely with stockholders who are holders of Class B Common Stock that (A) is disclosed either in a Schedule 13D filed with the Securities and Exchange Commission or in writing to the Secretary of the Company, (B) either has a term not exceeding one (1) year or is terminable by the holder of the shares subject thereto at any time and (C) does not involve any payment of cash, securities, property or other consideration to the holder of the shares subject thereto other than the mutual promise to vote shares in a designated manner;</w:t>
      </w:r>
    </w:p>
    <w:p>
      <w:pPr>
        <w:spacing w:after="0" w:line="118" w:lineRule="exact"/>
        <w:rPr>
          <w:sz w:val="20"/>
          <w:szCs w:val="20"/>
          <w:color w:val="auto"/>
        </w:rPr>
      </w:pPr>
    </w:p>
    <w:p>
      <w:pPr>
        <w:ind w:right="20" w:firstLine="925"/>
        <w:spacing w:after="0" w:line="296" w:lineRule="auto"/>
        <w:tabs>
          <w:tab w:leader="none" w:pos="990" w:val="left"/>
        </w:tabs>
        <w:numPr>
          <w:ilvl w:val="0"/>
          <w:numId w:val="2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v ) </w:t>
      </w:r>
      <w:r>
        <w:rPr>
          <w:rFonts w:ascii="Times New Roman" w:cs="Times New Roman" w:eastAsia="Times New Roman" w:hAnsi="Times New Roman"/>
          <w:sz w:val="14"/>
          <w:szCs w:val="14"/>
          <w:color w:val="auto"/>
        </w:rPr>
        <w:t>entering into a voting trust, agreement or arrangement (with or without granting a proxy and, if a proxy is granted, whether a revocable or irrevocable proxy)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pursuant to a written agreement to which the Company is a party or that has been approved by the Board;</w:t>
      </w:r>
    </w:p>
    <w:p>
      <w:pPr>
        <w:spacing w:after="0" w:line="100" w:lineRule="exact"/>
        <w:rPr>
          <w:sz w:val="20"/>
          <w:szCs w:val="20"/>
          <w:color w:val="auto"/>
        </w:rPr>
      </w:pPr>
    </w:p>
    <w:p>
      <w:pPr>
        <w:ind w:right="20" w:firstLine="919"/>
        <w:spacing w:after="0" w:line="296" w:lineRule="auto"/>
        <w:rPr>
          <w:sz w:val="20"/>
          <w:szCs w:val="20"/>
          <w:color w:val="auto"/>
        </w:rPr>
      </w:pPr>
      <w:r>
        <w:rPr>
          <w:rFonts w:ascii="Times New Roman" w:cs="Times New Roman" w:eastAsia="Times New Roman" w:hAnsi="Times New Roman"/>
          <w:sz w:val="14"/>
          <w:szCs w:val="14"/>
          <w:b w:val="1"/>
          <w:bCs w:val="1"/>
          <w:color w:val="auto"/>
        </w:rPr>
        <w:t xml:space="preserve">( v i ) </w:t>
      </w:r>
      <w:r>
        <w:rPr>
          <w:rFonts w:ascii="Times New Roman" w:cs="Times New Roman" w:eastAsia="Times New Roman" w:hAnsi="Times New Roman"/>
          <w:sz w:val="14"/>
          <w:szCs w:val="14"/>
          <w:color w:val="auto"/>
        </w:rPr>
        <w:t>any entry into a trading plan pursuant to Rule 10b5-1 under the Securities Exchange Act of 1934, as amended, with a broker or other nominee;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however, that a sale of such shares of Class B Common Stock pursuant to such plan shall constitute a “Transfer” at the time of such sale;</w:t>
      </w:r>
    </w:p>
    <w:p>
      <w:pPr>
        <w:spacing w:after="0" w:line="102" w:lineRule="exact"/>
        <w:rPr>
          <w:sz w:val="20"/>
          <w:szCs w:val="20"/>
          <w:color w:val="auto"/>
        </w:rPr>
      </w:pPr>
    </w:p>
    <w:p>
      <w:pPr>
        <w:jc w:val="both"/>
        <w:ind w:right="20" w:firstLine="925"/>
        <w:spacing w:after="0" w:line="262" w:lineRule="auto"/>
        <w:tabs>
          <w:tab w:leader="none" w:pos="1349" w:val="left"/>
        </w:tabs>
        <w:numPr>
          <w:ilvl w:val="0"/>
          <w:numId w:val="2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any entry by Cohen (or, if requested by Cohen, entry by any holder of shares of Class B Common Stock) into a support, voting, tender or similar agreement, arrangement or understanding (with or without granting a proxy) in connection with a Liquidation Event or consummating the actions or transactions contemplated therein (including, without limitation, tendering shares of Class B Common Stock or voting such shares in connection with a Liquidation Event, the consummation of a Liquidation Event or the sale, assignment, transfer, conveyance, hypothecation or other disposition of shares of Class B Common Stock or any legal or beneficial interest in shares of Class B Common Stock in connection with a Liquidation Event);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any sale, tender, assignment, transfer, conveyance, hypothecation or other disposition of Class B Common Stock or any legal or economic interest therein by Cohen or such other holder pursuant to a Liquidation Event, or any grant of a proxy over Class B Common Stock by Cohen or such other holder with respect to a Liquidation Event</w:t>
      </w:r>
    </w:p>
    <w:p>
      <w:pPr>
        <w:sectPr>
          <w:pgSz w:w="11900" w:h="16840" w:orient="portrait"/>
          <w:cols w:equalWidth="0" w:num="1">
            <w:col w:w="10620"/>
          </w:cols>
          <w:pgMar w:left="640" w:top="1440" w:right="640" w:bottom="1440" w:gutter="0" w:footer="0" w:header="0"/>
        </w:sectPr>
      </w:pPr>
    </w:p>
    <w:bookmarkStart w:id="275" w:name="page276"/>
    <w:bookmarkEnd w:id="275"/>
    <w:p>
      <w:pPr>
        <w:spacing w:after="0" w:line="35"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 xml:space="preserve">without specific instructions as to how to vote such Class B Common Stock, in each case, will constitute a “ </w:t>
      </w:r>
      <w:r>
        <w:rPr>
          <w:rFonts w:ascii="Times New Roman" w:cs="Times New Roman" w:eastAsia="Times New Roman" w:hAnsi="Times New Roman"/>
          <w:sz w:val="14"/>
          <w:szCs w:val="14"/>
          <w:b w:val="1"/>
          <w:bCs w:val="1"/>
          <w:i w:val="1"/>
          <w:iCs w:val="1"/>
          <w:color w:val="auto"/>
        </w:rPr>
        <w:t>Transfer</w:t>
      </w:r>
      <w:r>
        <w:rPr>
          <w:rFonts w:ascii="Times New Roman" w:cs="Times New Roman" w:eastAsia="Times New Roman" w:hAnsi="Times New Roman"/>
          <w:sz w:val="14"/>
          <w:szCs w:val="14"/>
          <w:color w:val="auto"/>
        </w:rPr>
        <w:t>” of such Class B Common Stock unless such Liquidation Event was approved by the Board prior to the taking of such action;</w:t>
      </w:r>
    </w:p>
    <w:p>
      <w:pPr>
        <w:spacing w:after="0" w:line="100" w:lineRule="exact"/>
        <w:rPr>
          <w:sz w:val="20"/>
          <w:szCs w:val="20"/>
          <w:color w:val="auto"/>
        </w:rPr>
      </w:pPr>
    </w:p>
    <w:p>
      <w:pPr>
        <w:ind w:right="20" w:firstLine="925"/>
        <w:spacing w:after="0" w:line="293" w:lineRule="auto"/>
        <w:tabs>
          <w:tab w:leader="none" w:pos="1359" w:val="left"/>
        </w:tabs>
        <w:numPr>
          <w:ilvl w:val="0"/>
          <w:numId w:val="2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issuance or reissuance by the Corporation of a share of Class B Common Stock or any redemption, purchase or acquisition by the Corporation of a share of Class B Common Stock; and</w:t>
      </w:r>
    </w:p>
    <w:p>
      <w:pPr>
        <w:spacing w:after="0" w:line="104" w:lineRule="exact"/>
        <w:rPr>
          <w:rFonts w:ascii="Times New Roman" w:cs="Times New Roman" w:eastAsia="Times New Roman" w:hAnsi="Times New Roman"/>
          <w:sz w:val="14"/>
          <w:szCs w:val="14"/>
          <w:b w:val="1"/>
          <w:bCs w:val="1"/>
          <w:color w:val="auto"/>
        </w:rPr>
      </w:pPr>
    </w:p>
    <w:p>
      <w:pPr>
        <w:jc w:val="both"/>
        <w:ind w:firstLine="925"/>
        <w:spacing w:after="0" w:line="269" w:lineRule="auto"/>
        <w:tabs>
          <w:tab w:leader="none" w:pos="1282" w:val="left"/>
        </w:tabs>
        <w:numPr>
          <w:ilvl w:val="0"/>
          <w:numId w:val="2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the fact that, as of the Effective Time or at any time after the Effective Time, the spouse of any holder of Class B Common Stock possesses or obtains an interest in such holder’s shares of Class B Common Stock arising solely by reason of the application of the community property laws of any jurisdiction;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any transfer of shares by any holder of shares of Class B Common Stock to such holder’s spouse, including a transfer in connection with a divorce proceeding, domestic relations order or similar legal requirement, shall constitute a “Transfer” of such shares of Class B Common Stock unless otherwise exempt from the definition of Transfer.</w:t>
      </w:r>
    </w:p>
    <w:p>
      <w:pPr>
        <w:spacing w:after="0" w:line="116" w:lineRule="exact"/>
        <w:rPr>
          <w:sz w:val="20"/>
          <w:szCs w:val="20"/>
          <w:color w:val="auto"/>
        </w:rPr>
      </w:pPr>
    </w:p>
    <w:p>
      <w:pPr>
        <w:ind w:right="40" w:firstLine="459"/>
        <w:spacing w:after="0" w:line="299" w:lineRule="auto"/>
        <w:rPr>
          <w:sz w:val="20"/>
          <w:szCs w:val="20"/>
          <w:color w:val="auto"/>
        </w:rPr>
      </w:pPr>
      <w:r>
        <w:rPr>
          <w:rFonts w:ascii="Times New Roman" w:cs="Times New Roman" w:eastAsia="Times New Roman" w:hAnsi="Times New Roman"/>
          <w:sz w:val="14"/>
          <w:szCs w:val="14"/>
          <w:b w:val="1"/>
          <w:bCs w:val="1"/>
          <w:color w:val="auto"/>
        </w:rPr>
        <w:t xml:space="preserve">t .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Voting Control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means, with respect to a share of capital stock or other security, the power (whether exclusive or shared) to vote or direct the voting of such security,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by proxy, voting agreement or otherwise.</w:t>
      </w:r>
    </w:p>
    <w:p>
      <w:pPr>
        <w:spacing w:after="0" w:line="9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b w:val="1"/>
          <w:bCs w:val="1"/>
          <w:color w:val="auto"/>
        </w:rPr>
        <w:t>Section 5.2 Identical Rights</w:t>
      </w:r>
      <w:r>
        <w:rPr>
          <w:rFonts w:ascii="Times New Roman" w:cs="Times New Roman" w:eastAsia="Times New Roman" w:hAnsi="Times New Roman"/>
          <w:sz w:val="14"/>
          <w:szCs w:val="14"/>
          <w:color w:val="auto"/>
        </w:rPr>
        <w:t>. Except as otherwise provided in this Amended and Restated Certificate or required by applicable law, shares of Common Stock shall have the same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rights and powers, rank equally (including as to dividends and distributions, and any liquidation, dissolution or winding up of the Corporation but excluding voting and other matters as described in Section 5.3 below), share ratably and be identical in all respects as to all matters, including:</w:t>
      </w:r>
    </w:p>
    <w:p>
      <w:pPr>
        <w:spacing w:after="0" w:line="116" w:lineRule="exact"/>
        <w:rPr>
          <w:sz w:val="20"/>
          <w:szCs w:val="20"/>
          <w:color w:val="auto"/>
        </w:rPr>
      </w:pPr>
    </w:p>
    <w:p>
      <w:pPr>
        <w:jc w:val="both"/>
        <w:ind w:firstLine="466"/>
        <w:spacing w:after="0" w:line="266" w:lineRule="auto"/>
        <w:tabs>
          <w:tab w:leader="none" w:pos="718" w:val="left"/>
        </w:tabs>
        <w:numPr>
          <w:ilvl w:val="0"/>
          <w:numId w:val="2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Subject to the prior rights of holders of all classes and series of stock at the time outstanding having prior rights as to dividends, the holders of the Common Stock shall be entitled to receive, when, as and if declared by the Board, out of any assets of the Corporation legally available therefor, such dividends as may be declared from time to time by the Board. Any dividends paid to the holders of shares of Common Stock shall be paid pro rata, on an equal priority, pari passu basis, unless different treatment of the shares of any such series thereof is approved by the affirmative vote of the holders of a majority of the voting power of the outstanding shares of such applicable series of Common Stock treated adversely, voting separately as a series.</w:t>
      </w:r>
    </w:p>
    <w:p>
      <w:pPr>
        <w:spacing w:after="0" w:line="120" w:lineRule="exact"/>
        <w:rPr>
          <w:sz w:val="20"/>
          <w:szCs w:val="20"/>
          <w:color w:val="auto"/>
        </w:rPr>
      </w:pPr>
    </w:p>
    <w:p>
      <w:pPr>
        <w:jc w:val="both"/>
        <w:ind w:firstLine="459"/>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b . </w:t>
      </w:r>
      <w:r>
        <w:rPr>
          <w:rFonts w:ascii="Times New Roman" w:cs="Times New Roman" w:eastAsia="Times New Roman" w:hAnsi="Times New Roman"/>
          <w:sz w:val="14"/>
          <w:szCs w:val="14"/>
          <w:color w:val="auto"/>
        </w:rPr>
        <w:t>The Corporation shall not declare or pay any dividend or make any other distribution to the holders of Common Stock payable in securities of the Corporation unless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same dividend or distribution with the same record date and payment date shall be declared and paid on all shares of Common Stock;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payable in shares of Class B Common Stock, or rights to acquire shares of Class B Common Stock, are declared and paid to the holders of Class B Common Stock at the same rate and with the same record date and payment date; and (ii) dividends or other distributions payable in shares of Class B Common Stock or rights to acquire shares Class B Common Stock may be declared and paid to the holders of Class B Common Stock without the same dividend or distribution being declared and paid to the holders of the Class A Common Stock if, and only if, a dividend payable in shares of Class A Common Stock, or rights to acquire shares of Class A Common Stock, are declared and paid to the holders of Class A Common Stock at the same</w:t>
      </w:r>
    </w:p>
    <w:p>
      <w:pPr>
        <w:sectPr>
          <w:pgSz w:w="11900" w:h="16840" w:orient="portrait"/>
          <w:cols w:equalWidth="0" w:num="1">
            <w:col w:w="10620"/>
          </w:cols>
          <w:pgMar w:left="640" w:top="1440" w:right="640" w:bottom="1440" w:gutter="0" w:footer="0" w:header="0"/>
        </w:sectPr>
      </w:pPr>
    </w:p>
    <w:bookmarkStart w:id="276" w:name="page277"/>
    <w:bookmarkEnd w:id="276"/>
    <w:p>
      <w:pPr>
        <w:spacing w:after="0" w:line="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rate and with the same record date and payment date; and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nothing in the foregoing shall prevent the Corporation from declaring and paying dividends or other distributions payable in shares of one series of Common Stock or rights to acquire one series of Common Stock to holders of all series of Common Stock, or, with the approval of holders of a majority of the outstanding shares of each of the Class A Common Stock and Class B Common Stock, each voting separately as a series, from providing for different treatment of the shares of Class A Common Stock and Class B Common Stock.</w:t>
      </w:r>
    </w:p>
    <w:p>
      <w:pPr>
        <w:spacing w:after="0" w:line="118" w:lineRule="exact"/>
        <w:rPr>
          <w:sz w:val="20"/>
          <w:szCs w:val="20"/>
          <w:color w:val="auto"/>
        </w:rPr>
      </w:pPr>
    </w:p>
    <w:p>
      <w:pPr>
        <w:jc w:val="both"/>
        <w:ind w:right="40" w:firstLine="459"/>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c . </w:t>
      </w:r>
      <w:r>
        <w:rPr>
          <w:rFonts w:ascii="Times New Roman" w:cs="Times New Roman" w:eastAsia="Times New Roman" w:hAnsi="Times New Roman"/>
          <w:sz w:val="14"/>
          <w:szCs w:val="14"/>
          <w:color w:val="auto"/>
        </w:rPr>
        <w:t>If the Corporation in any manner subdivides or combines the outstanding shares of Class A Common Stock or Class B Common Stock, then the outstanding shares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shares held as treasury stock) of all Common Stock will be subdivided or combined in the same proportion and manner, unless different treatment of the shares of Class A Common Stock and Class B Common Stock is approved by the affirmative vote of the holders of a majority of the outstanding shares of each of the Class A Common Stock and Class B Common Stock, each voting separately as a series.</w:t>
      </w:r>
    </w:p>
    <w:p>
      <w:pPr>
        <w:spacing w:after="0" w:line="1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Section 5.3</w:t>
        <w:tab/>
        <w:t>Voting Rights</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720" w:hanging="254"/>
        <w:spacing w:after="0"/>
        <w:tabs>
          <w:tab w:leader="none" w:pos="720" w:val="left"/>
        </w:tabs>
        <w:numPr>
          <w:ilvl w:val="0"/>
          <w:numId w:val="2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u w:val="single" w:color="auto"/>
          <w:color w:val="auto"/>
        </w:rPr>
        <w:t>Common Stock</w:t>
      </w:r>
    </w:p>
    <w:p>
      <w:pPr>
        <w:spacing w:after="0" w:line="162" w:lineRule="exact"/>
        <w:rPr>
          <w:sz w:val="20"/>
          <w:szCs w:val="20"/>
          <w:color w:val="auto"/>
        </w:rPr>
      </w:pPr>
    </w:p>
    <w:p>
      <w:pPr>
        <w:ind w:right="40" w:firstLine="925"/>
        <w:spacing w:after="0" w:line="296" w:lineRule="auto"/>
        <w:tabs>
          <w:tab w:leader="none" w:pos="985" w:val="left"/>
        </w:tabs>
        <w:numPr>
          <w:ilvl w:val="0"/>
          <w:numId w:val="2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 ) </w:t>
      </w:r>
      <w:r>
        <w:rPr>
          <w:rFonts w:ascii="Times New Roman" w:cs="Times New Roman" w:eastAsia="Times New Roman" w:hAnsi="Times New Roman"/>
          <w:sz w:val="14"/>
          <w:szCs w:val="14"/>
          <w:u w:val="single" w:color="auto"/>
          <w:color w:val="auto"/>
        </w:rPr>
        <w:t>Class A Common Stock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Except as otherwise expressly provided herein or required by applicable law, each holder of shares of Class A Common Stock will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entitled to one (1) vote for each share thereof held at the record date for the determination of the stockholders entitled to vote on such matters.</w:t>
      </w:r>
    </w:p>
    <w:p>
      <w:pPr>
        <w:spacing w:after="0" w:line="102" w:lineRule="exact"/>
        <w:rPr>
          <w:sz w:val="20"/>
          <w:szCs w:val="20"/>
          <w:color w:val="auto"/>
        </w:rPr>
      </w:pPr>
    </w:p>
    <w:p>
      <w:pPr>
        <w:ind w:right="20" w:firstLine="925"/>
        <w:spacing w:after="0" w:line="293" w:lineRule="auto"/>
        <w:tabs>
          <w:tab w:leader="none" w:pos="1273" w:val="left"/>
        </w:tabs>
        <w:numPr>
          <w:ilvl w:val="1"/>
          <w:numId w:val="2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u w:val="single" w:color="auto"/>
          <w:color w:val="auto"/>
        </w:rPr>
        <w:t>Class B Common Stock</w:t>
      </w:r>
      <w:r>
        <w:rPr>
          <w:rFonts w:ascii="Times New Roman" w:cs="Times New Roman" w:eastAsia="Times New Roman" w:hAnsi="Times New Roman"/>
          <w:sz w:val="14"/>
          <w:szCs w:val="14"/>
          <w:color w:val="auto"/>
        </w:rPr>
        <w:t>. Except as otherwise expressly provided herein or required by appliable law, each holder of shares of Class B Common Stock will be entitled to thirty (30) votes for each share thereof held at the record date for the determination of the stockholders entitled to vote on such matters.</w:t>
      </w:r>
    </w:p>
    <w:p>
      <w:pPr>
        <w:spacing w:after="0" w:line="104" w:lineRule="exact"/>
        <w:rPr>
          <w:rFonts w:ascii="Times New Roman" w:cs="Times New Roman" w:eastAsia="Times New Roman" w:hAnsi="Times New Roman"/>
          <w:sz w:val="14"/>
          <w:szCs w:val="14"/>
          <w:b w:val="1"/>
          <w:bCs w:val="1"/>
          <w:color w:val="auto"/>
        </w:rPr>
      </w:pPr>
    </w:p>
    <w:p>
      <w:pPr>
        <w:jc w:val="both"/>
        <w:ind w:firstLine="466"/>
        <w:spacing w:after="0" w:line="266" w:lineRule="auto"/>
        <w:tabs>
          <w:tab w:leader="none" w:pos="718" w:val="left"/>
        </w:tabs>
        <w:numPr>
          <w:ilvl w:val="0"/>
          <w:numId w:val="2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Except as otherwise expressly provided herein or as required by law, the holders of Class A Common Stock and Class B Common Stock will vote together and not as separate series. Except as otherwise required by applicable law, holders of Common Stock shall not be entitled to vote on any amendment to the Certificate of Incorporation (including any certificate of designation filed with respect to any series of Preferred Stock) that relates solely to the terms of one or more outstanding series of Preferred Stock if the holders of such affected series of Preferred Stock are entitled, either separately or together as a class with the holders of one or more other affected series of Preferred Stock, to vote thereon pursuant to applicable law or the Certificate of Incorporation (including any certificate of designation filed with respect to any series of Preferred Stock)</w:t>
      </w:r>
    </w:p>
    <w:p>
      <w:pPr>
        <w:spacing w:after="0" w:line="120" w:lineRule="exact"/>
        <w:rPr>
          <w:sz w:val="20"/>
          <w:szCs w:val="20"/>
          <w:color w:val="auto"/>
        </w:rPr>
      </w:pPr>
    </w:p>
    <w:p>
      <w:pPr>
        <w:jc w:val="both"/>
        <w:ind w:right="20" w:firstLine="459"/>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c . </w:t>
      </w:r>
      <w:r>
        <w:rPr>
          <w:rFonts w:ascii="Times New Roman" w:cs="Times New Roman" w:eastAsia="Times New Roman" w:hAnsi="Times New Roman"/>
          <w:sz w:val="14"/>
          <w:szCs w:val="14"/>
          <w:u w:val="single" w:color="auto"/>
          <w:color w:val="auto"/>
        </w:rPr>
        <w:t>Election of Directors</w:t>
      </w:r>
      <w:r>
        <w:rPr>
          <w:rFonts w:ascii="Times New Roman" w:cs="Times New Roman" w:eastAsia="Times New Roman" w:hAnsi="Times New Roman"/>
          <w:sz w:val="14"/>
          <w:szCs w:val="14"/>
          <w:color w:val="auto"/>
        </w:rPr>
        <w:t>. Subject to any rights of the holders of any series of Preferred Stock to elect directors under specified circumstances, prior to the Final Conversion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Date, the holders of Class A Common Stock and Class B Common Stock, voting together as a single class, shall be entitled to elect and remove all directors of the Corporation. Upon and following the Final Conversion Date, subject to any rights of the holders of any series of Preferred Stock to elect directors under specified circumstances, the holders of Class A Common Stock shall be entitled to elect and remove all directors of the Corporation.</w:t>
      </w:r>
    </w:p>
    <w:p>
      <w:pPr>
        <w:spacing w:after="0" w:line="11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Section 5.4 Liquidation Rights </w:t>
      </w:r>
      <w:r>
        <w:rPr>
          <w:rFonts w:ascii="Times New Roman" w:cs="Times New Roman" w:eastAsia="Times New Roman" w:hAnsi="Times New Roman"/>
          <w:sz w:val="14"/>
          <w:szCs w:val="14"/>
          <w:color w:val="auto"/>
        </w:rPr>
        <w:t>. In the event of a Liquidation Event in connection with which the Board has determined to effect a distribution of assets of the Corporation to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holder or holders of Common Stock, then, subject to the rights of any Preferred Stock that may then be outstanding, the assets of the Corporation legally available for distribution to stockholders shall be distributed on an equal</w:t>
      </w:r>
    </w:p>
    <w:p>
      <w:pPr>
        <w:sectPr>
          <w:pgSz w:w="11900" w:h="16840" w:orient="portrait"/>
          <w:cols w:equalWidth="0" w:num="1">
            <w:col w:w="10620"/>
          </w:cols>
          <w:pgMar w:left="640" w:top="1440" w:right="640" w:bottom="1440" w:gutter="0" w:footer="0" w:header="0"/>
        </w:sectPr>
      </w:pPr>
    </w:p>
    <w:bookmarkStart w:id="277" w:name="page278"/>
    <w:bookmarkEnd w:id="277"/>
    <w:p>
      <w:pPr>
        <w:spacing w:after="0" w:line="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priority, pro rata basis to the holders of Common Stock, unless different treatment of the shares of each series thereof is approved by the affirmative vote of the holders of a majority of the outstanding shares of Class A Common Stock and Class B Common Stock, each voting separately as a series;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however, that for the avoidance of doubt, consideration to be paid or received by a holder of Common Stock in connection with any Liquidation Event pursuant to any employment, consulting, severance or similar services arrangement shall not be deemed to be a “distribution to stockholders” for the purpose of this Section 5.4;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holders of shares of a series of Common Stock may receive, or have the right to elect to receive, different or disproportionate consideration in connection with any such consolidation, merger or other transaction if the only difference in the per share consideration to the holders of the Class A Common Stock and Class B Common Stock is that any securities distributed to the holder of a share of Class B Common Stock have thirty (30) times the voting power of any securities distributed to the holder of a share of Class A Common Stock.</w:t>
      </w:r>
    </w:p>
    <w:p>
      <w:pPr>
        <w:spacing w:after="0" w:line="12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Section 5.5</w:t>
        <w:tab/>
        <w:t xml:space="preserve">Conversion of the Class B Common Stock </w:t>
      </w:r>
      <w:r>
        <w:rPr>
          <w:rFonts w:ascii="Times New Roman" w:cs="Times New Roman" w:eastAsia="Times New Roman" w:hAnsi="Times New Roman"/>
          <w:sz w:val="14"/>
          <w:szCs w:val="14"/>
          <w:color w:val="auto"/>
        </w:rPr>
        <w:t>. The Class B Common Stock will be convertible into Class A Common Stock as follows:</w:t>
      </w:r>
    </w:p>
    <w:p>
      <w:pPr>
        <w:spacing w:after="0" w:line="164" w:lineRule="exact"/>
        <w:rPr>
          <w:sz w:val="20"/>
          <w:szCs w:val="20"/>
          <w:color w:val="auto"/>
        </w:rPr>
      </w:pPr>
    </w:p>
    <w:p>
      <w:pPr>
        <w:jc w:val="both"/>
        <w:ind w:right="20" w:firstLine="459"/>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a . </w:t>
      </w:r>
      <w:r>
        <w:rPr>
          <w:rFonts w:ascii="Times New Roman" w:cs="Times New Roman" w:eastAsia="Times New Roman" w:hAnsi="Times New Roman"/>
          <w:sz w:val="14"/>
          <w:szCs w:val="14"/>
          <w:color w:val="auto"/>
        </w:rPr>
        <w:t>Each share of Class B Common Stock will automatically convert into one fully paid and nonassessable share of Class A Common Stock on the Final Conversion Date.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During the period commencing on the death or Disability of Cohen and ending on the 12-month anniversary of such death or Disability, a person designated by Cohen and approved by the Board (or, if there is no such person, then the Secretary of the Corporation in office from time to time) shall exercise Voting Control over all outstanding shares of Class B Common Stock.</w:t>
      </w:r>
    </w:p>
    <w:p>
      <w:pPr>
        <w:spacing w:after="0" w:line="293" w:lineRule="exact"/>
        <w:rPr>
          <w:sz w:val="20"/>
          <w:szCs w:val="20"/>
          <w:color w:val="auto"/>
        </w:rPr>
      </w:pPr>
    </w:p>
    <w:p>
      <w:pPr>
        <w:jc w:val="both"/>
        <w:ind w:right="20" w:firstLine="459"/>
        <w:spacing w:after="0" w:line="296" w:lineRule="auto"/>
        <w:rPr>
          <w:sz w:val="20"/>
          <w:szCs w:val="20"/>
          <w:color w:val="auto"/>
        </w:rPr>
      </w:pPr>
      <w:r>
        <w:rPr>
          <w:rFonts w:ascii="Times New Roman" w:cs="Times New Roman" w:eastAsia="Times New Roman" w:hAnsi="Times New Roman"/>
          <w:sz w:val="14"/>
          <w:szCs w:val="14"/>
          <w:b w:val="1"/>
          <w:bCs w:val="1"/>
          <w:color w:val="auto"/>
        </w:rPr>
        <w:t xml:space="preserve">b . </w:t>
      </w:r>
      <w:r>
        <w:rPr>
          <w:rFonts w:ascii="Times New Roman" w:cs="Times New Roman" w:eastAsia="Times New Roman" w:hAnsi="Times New Roman"/>
          <w:sz w:val="14"/>
          <w:szCs w:val="14"/>
          <w:color w:val="auto"/>
        </w:rPr>
        <w:t>With respect to any holder of Class B Common Stock, each share of Class B Common Stock held by such holder will automatically be converted into one fully paid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nonassessable share of Class A Common Stock, as follows:</w:t>
      </w:r>
    </w:p>
    <w:p>
      <w:pPr>
        <w:spacing w:after="0" w:line="100" w:lineRule="exact"/>
        <w:rPr>
          <w:sz w:val="20"/>
          <w:szCs w:val="20"/>
          <w:color w:val="auto"/>
        </w:rPr>
      </w:pPr>
    </w:p>
    <w:p>
      <w:pPr>
        <w:jc w:val="both"/>
        <w:ind w:firstLine="925"/>
        <w:spacing w:after="0" w:line="276" w:lineRule="auto"/>
        <w:tabs>
          <w:tab w:leader="none" w:pos="995" w:val="left"/>
        </w:tabs>
        <w:numPr>
          <w:ilvl w:val="0"/>
          <w:numId w:val="2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 ) </w:t>
      </w:r>
      <w:r>
        <w:rPr>
          <w:rFonts w:ascii="Times New Roman" w:cs="Times New Roman" w:eastAsia="Times New Roman" w:hAnsi="Times New Roman"/>
          <w:sz w:val="14"/>
          <w:szCs w:val="14"/>
          <w:color w:val="auto"/>
        </w:rPr>
        <w:t>on the affirmative written election of such holder to convert such share of Class B Common Stock or, if later, at the time or the happening of a future event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specified in such written election (which election may be revoked by such holder prior to the date on which the automatic conversion would otherwise occur unless otherwise specified by such holder); or</w:t>
      </w:r>
    </w:p>
    <w:p>
      <w:pPr>
        <w:spacing w:after="0" w:line="116" w:lineRule="exact"/>
        <w:rPr>
          <w:sz w:val="20"/>
          <w:szCs w:val="20"/>
          <w:color w:val="auto"/>
        </w:rPr>
      </w:pPr>
    </w:p>
    <w:p>
      <w:pPr>
        <w:ind w:left="1240" w:hanging="315"/>
        <w:spacing w:after="0"/>
        <w:tabs>
          <w:tab w:leader="none" w:pos="1240" w:val="left"/>
        </w:tabs>
        <w:numPr>
          <w:ilvl w:val="0"/>
          <w:numId w:val="2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the occurrence of a Transfer of such share of Class B Common Stock to any person or entity that is not a Permitted Transferee.</w:t>
      </w:r>
    </w:p>
    <w:p>
      <w:pPr>
        <w:spacing w:after="0" w:line="162" w:lineRule="exact"/>
        <w:rPr>
          <w:sz w:val="20"/>
          <w:szCs w:val="20"/>
          <w:color w:val="auto"/>
        </w:rPr>
      </w:pPr>
    </w:p>
    <w:p>
      <w:pPr>
        <w:jc w:val="both"/>
        <w:ind w:right="40" w:firstLine="459"/>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c . </w:t>
      </w:r>
      <w:r>
        <w:rPr>
          <w:rFonts w:ascii="Times New Roman" w:cs="Times New Roman" w:eastAsia="Times New Roman" w:hAnsi="Times New Roman"/>
          <w:sz w:val="14"/>
          <w:szCs w:val="14"/>
          <w:color w:val="auto"/>
        </w:rPr>
        <w:t>With respect to shares of Class B Common Stock held by Twig, his Permitted Entities, or his Permitted Transferees, each share of Class B Common Stock held by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holders will automatically be converted into one fully paid and nonassessable share of Class A Common Stock upon the occurrence of either of the following (each such event, a “</w:t>
      </w:r>
      <w:r>
        <w:rPr>
          <w:rFonts w:ascii="Times New Roman" w:cs="Times New Roman" w:eastAsia="Times New Roman" w:hAnsi="Times New Roman"/>
          <w:sz w:val="14"/>
          <w:szCs w:val="14"/>
          <w:b w:val="1"/>
          <w:bCs w:val="1"/>
          <w:i w:val="1"/>
          <w:iCs w:val="1"/>
          <w:color w:val="auto"/>
        </w:rPr>
        <w:t>Triggering Event</w:t>
      </w:r>
      <w:r>
        <w:rPr>
          <w:rFonts w:ascii="Times New Roman" w:cs="Times New Roman" w:eastAsia="Times New Roman" w:hAnsi="Times New Roman"/>
          <w:sz w:val="14"/>
          <w:szCs w:val="14"/>
          <w:color w:val="auto"/>
        </w:rPr>
        <w:t>”):</w:t>
      </w:r>
    </w:p>
    <w:p>
      <w:pPr>
        <w:spacing w:after="0" w:line="116" w:lineRule="exact"/>
        <w:rPr>
          <w:sz w:val="20"/>
          <w:szCs w:val="20"/>
          <w:color w:val="auto"/>
        </w:rPr>
      </w:pPr>
    </w:p>
    <w:p>
      <w:pPr>
        <w:ind w:left="1200" w:hanging="275"/>
        <w:spacing w:after="0"/>
        <w:tabs>
          <w:tab w:leader="none" w:pos="1200" w:val="left"/>
        </w:tabs>
        <w:numPr>
          <w:ilvl w:val="0"/>
          <w:numId w:val="2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upon Twig’s death or Disability; or</w:t>
      </w:r>
    </w:p>
    <w:p>
      <w:pPr>
        <w:spacing w:after="0" w:line="164" w:lineRule="exact"/>
        <w:rPr>
          <w:rFonts w:ascii="Times New Roman" w:cs="Times New Roman" w:eastAsia="Times New Roman" w:hAnsi="Times New Roman"/>
          <w:sz w:val="14"/>
          <w:szCs w:val="14"/>
          <w:b w:val="1"/>
          <w:bCs w:val="1"/>
          <w:color w:val="auto"/>
        </w:rPr>
      </w:pPr>
    </w:p>
    <w:p>
      <w:pPr>
        <w:ind w:left="1240" w:hanging="315"/>
        <w:spacing w:after="0"/>
        <w:tabs>
          <w:tab w:leader="none" w:pos="1240" w:val="left"/>
        </w:tabs>
        <w:numPr>
          <w:ilvl w:val="0"/>
          <w:numId w:val="2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upon the date that Twig is no longer providing services to the Corporation as an officer, employee, or director,</w:t>
      </w:r>
    </w:p>
    <w:p>
      <w:pPr>
        <w:spacing w:after="0" w:line="162" w:lineRule="exact"/>
        <w:rPr>
          <w:sz w:val="20"/>
          <w:szCs w:val="20"/>
          <w:color w:val="auto"/>
        </w:rPr>
      </w:pPr>
    </w:p>
    <w:p>
      <w:pPr>
        <w:ind w:left="460" w:right="40"/>
        <w:spacing w:after="0" w:line="296" w:lineRule="auto"/>
        <w:rPr>
          <w:sz w:val="20"/>
          <w:szCs w:val="20"/>
          <w:color w:val="auto"/>
        </w:rPr>
      </w:pPr>
      <w:r>
        <w:rPr>
          <w:rFonts w:ascii="Times New Roman" w:cs="Times New Roman" w:eastAsia="Times New Roman" w:hAnsi="Times New Roman"/>
          <w:sz w:val="14"/>
          <w:szCs w:val="14"/>
          <w:i w:val="1"/>
          <w:iCs w:val="1"/>
          <w:color w:val="auto"/>
        </w:rPr>
        <w:t xml:space="preserve">provided, however, </w:t>
      </w:r>
      <w:r>
        <w:rPr>
          <w:rFonts w:ascii="Times New Roman" w:cs="Times New Roman" w:eastAsia="Times New Roman" w:hAnsi="Times New Roman"/>
          <w:sz w:val="14"/>
          <w:szCs w:val="14"/>
          <w:color w:val="auto"/>
        </w:rPr>
        <w:t>that in either case, such conversion shall not occur so long as such shares are subject to the Founder Voting Proxy or a substantially similar voting proxy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whereby Cohen is granted exclusive Voting Control upon the occurrence of the Triggering Event.</w:t>
      </w:r>
    </w:p>
    <w:p>
      <w:pPr>
        <w:sectPr>
          <w:pgSz w:w="11900" w:h="16840" w:orient="portrait"/>
          <w:cols w:equalWidth="0" w:num="1">
            <w:col w:w="10620"/>
          </w:cols>
          <w:pgMar w:left="640" w:top="1440" w:right="640" w:bottom="1440" w:gutter="0" w:footer="0" w:header="0"/>
        </w:sectPr>
      </w:pPr>
    </w:p>
    <w:bookmarkStart w:id="278" w:name="page279"/>
    <w:bookmarkEnd w:id="278"/>
    <w:p>
      <w:pPr>
        <w:spacing w:after="0" w:line="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4"/>
          <w:szCs w:val="14"/>
          <w:b w:val="1"/>
          <w:bCs w:val="1"/>
          <w:color w:val="auto"/>
        </w:rPr>
        <w:t>Section 5.6 Procedures</w:t>
      </w:r>
      <w:r>
        <w:rPr>
          <w:rFonts w:ascii="Times New Roman" w:cs="Times New Roman" w:eastAsia="Times New Roman" w:hAnsi="Times New Roman"/>
          <w:sz w:val="14"/>
          <w:szCs w:val="14"/>
          <w:color w:val="auto"/>
        </w:rPr>
        <w:t>. The Corporation may, from time to time, establish such policies and procedures relating to the conversion of the Class B Common Stock to Class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Common Stock and the general administration of this multi-class stock structure, including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Corporation as to whether or not a Transfer has occurred and results in a conversion to Class A Common Stock shall be conclusive and binding.</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Section 5.7 Immediate Effect</w:t>
      </w:r>
      <w:r>
        <w:rPr>
          <w:rFonts w:ascii="Times New Roman" w:cs="Times New Roman" w:eastAsia="Times New Roman" w:hAnsi="Times New Roman"/>
          <w:sz w:val="14"/>
          <w:szCs w:val="14"/>
          <w:color w:val="auto"/>
        </w:rPr>
        <w:t>. In the event of and upon a conversion of shares of Class B Common Stock to shares of Class A Common Stock pursuant to Section 5.5,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conversion(s) shall be deemed to have been made (a) at the time that the Transfer of shares, death, Disability, or Triggering Event occurred, (b) on the date of the delivery of the written election of a holder of such shares of Class B Common Stock pursuant to Section 5.5b(i) (unless otherwise specified therein, in which case, such conversion(s) shall be deemed to have been made at the time or the happening of a future event specified therein, unless otherwise revoked prior thereto in accordance with Section 5.5b(i)) or (c) immediately upon the Final Conversion Date, as applicable, subject in all cases to any transition periods specifically provided for in this Amended and Restated Certificate. Upon any conversion of Class B Common Stock to Class A Common Stock in accordance with this Amended and Restated Certificate, all rights of the holder of shares of Class B Common Stock shall cease and the person or persons in whose names or names the certificate or certificates representing the shares of Class A Common Stock are to be issued shall be treated for all purposes as having become the record holder or holders of such shares of Class A Common Stock.</w:t>
      </w:r>
    </w:p>
    <w:p>
      <w:pPr>
        <w:spacing w:after="0" w:line="1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4"/>
          <w:szCs w:val="14"/>
          <w:b w:val="1"/>
          <w:bCs w:val="1"/>
          <w:color w:val="auto"/>
        </w:rPr>
        <w:t>Section 5.8 Reservation of Stock Issuable Upon Conversion</w:t>
      </w:r>
      <w:r>
        <w:rPr>
          <w:rFonts w:ascii="Times New Roman" w:cs="Times New Roman" w:eastAsia="Times New Roman" w:hAnsi="Times New Roman"/>
          <w:sz w:val="14"/>
          <w:szCs w:val="14"/>
          <w:color w:val="auto"/>
        </w:rPr>
        <w:t>. The Corporation will at all times reserve and keep available out of its authorized but unissued shares of Class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Common Stock, solely for the purpose of effecting the conversion of the shares of the Class B Common Stock, such number of its shares of Class A Common Stock as shall from time to time be sufficient to effect the conversion of all outstanding shares of Class B Common Stock; and if at any time the number of authorized but unissued shares of Class A Common Stock will not be sufficient to effect the conversion of all then-outstanding shares of Class B Common Stock, the Corporation will take such corporate action as may, in the opinion of its counsel, be necessary to increase its authorized but unissued shares of Class A Common Stock to such number of shares as will be sufficient for such purpose.</w:t>
      </w:r>
    </w:p>
    <w:p>
      <w:pPr>
        <w:spacing w:after="0" w:line="12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b w:val="1"/>
          <w:bCs w:val="1"/>
          <w:color w:val="auto"/>
        </w:rPr>
        <w:t>Section 5.9 Preemptive Rights</w:t>
      </w:r>
      <w:r>
        <w:rPr>
          <w:rFonts w:ascii="Times New Roman" w:cs="Times New Roman" w:eastAsia="Times New Roman" w:hAnsi="Times New Roman"/>
          <w:sz w:val="14"/>
          <w:szCs w:val="14"/>
          <w:color w:val="auto"/>
        </w:rPr>
        <w:t>. No stockholder of the Corporation shall have a right to purchase shares of capital stock of the Corporation sold or issued by the Corporation except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extent that such a right may from time to time be set forth in a written agreement between the Corporation and a stockholder.</w:t>
      </w:r>
    </w:p>
    <w:p>
      <w:pPr>
        <w:spacing w:after="0" w:line="10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4"/>
          <w:szCs w:val="14"/>
          <w:b w:val="1"/>
          <w:bCs w:val="1"/>
          <w:color w:val="auto"/>
        </w:rPr>
        <w:t>Section 5.10 Class B Protective Provisions</w:t>
      </w:r>
      <w:r>
        <w:rPr>
          <w:rFonts w:ascii="Times New Roman" w:cs="Times New Roman" w:eastAsia="Times New Roman" w:hAnsi="Times New Roman"/>
          <w:sz w:val="14"/>
          <w:szCs w:val="14"/>
          <w:color w:val="auto"/>
        </w:rPr>
        <w:t>. After 11:59 p.m. Eastern Time on the Effective Date, and prior to the Final Conversion Date, the Corporation shall not, without the prior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affirmative vote (either at a meeting or by written consent) of the holders of two-thirds of the outstanding shares of Class B Common Stock, voting as a separate series, in addition to any other vote required by applicable law or this Amended and Restated Certificate:</w:t>
      </w:r>
    </w:p>
    <w:p>
      <w:pPr>
        <w:spacing w:after="0" w:line="116" w:lineRule="exact"/>
        <w:rPr>
          <w:sz w:val="20"/>
          <w:szCs w:val="20"/>
          <w:color w:val="auto"/>
        </w:rPr>
      </w:pPr>
    </w:p>
    <w:p>
      <w:pPr>
        <w:ind w:right="40" w:firstLine="466"/>
        <w:spacing w:after="0" w:line="293" w:lineRule="auto"/>
        <w:tabs>
          <w:tab w:leader="none" w:pos="708" w:val="left"/>
        </w:tabs>
        <w:numPr>
          <w:ilvl w:val="0"/>
          <w:numId w:val="2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directly or indirectly, whether by amendment, or through merger, recapitalization, consolidation or otherwise, amend or repeal, or adopt any provision of this Amended and Restated Certificate inconsistent with, or otherwise alter, any provision of this Amended and Restated Certificate</w:t>
      </w:r>
    </w:p>
    <w:p>
      <w:pPr>
        <w:sectPr>
          <w:pgSz w:w="11900" w:h="16840" w:orient="portrait"/>
          <w:cols w:equalWidth="0" w:num="1">
            <w:col w:w="10620"/>
          </w:cols>
          <w:pgMar w:left="640" w:top="1440" w:right="640" w:bottom="1440" w:gutter="0" w:footer="0" w:header="0"/>
        </w:sectPr>
      </w:pPr>
    </w:p>
    <w:bookmarkStart w:id="279" w:name="page280"/>
    <w:bookmarkEnd w:id="279"/>
    <w:p>
      <w:pPr>
        <w:spacing w:after="0" w:line="39"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4"/>
          <w:szCs w:val="14"/>
          <w:color w:val="auto"/>
        </w:rPr>
        <w:t>relating to the voting, conversion or other rights, powers, preferences, privileges or restrictions of the Class B Common Stock or increase or decrease the number of authorized Shares of the Class B Common Stock;</w:t>
      </w:r>
    </w:p>
    <w:p>
      <w:pPr>
        <w:spacing w:after="0" w:line="104" w:lineRule="exact"/>
        <w:rPr>
          <w:sz w:val="20"/>
          <w:szCs w:val="20"/>
          <w:color w:val="auto"/>
        </w:rPr>
      </w:pPr>
    </w:p>
    <w:p>
      <w:pPr>
        <w:ind w:right="40" w:firstLine="466"/>
        <w:spacing w:after="0" w:line="293" w:lineRule="auto"/>
        <w:tabs>
          <w:tab w:leader="none" w:pos="727" w:val="left"/>
        </w:tabs>
        <w:numPr>
          <w:ilvl w:val="0"/>
          <w:numId w:val="2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reclassify any outstanding shares of Class A Common Stock into shares having rights as to dividends or liquidation that are senior to the Class B Common Stock or, in the case of Class A Common Stock, the right to have more than one (1) vote for each share thereof;</w:t>
      </w:r>
    </w:p>
    <w:p>
      <w:pPr>
        <w:spacing w:after="0" w:line="104" w:lineRule="exact"/>
        <w:rPr>
          <w:rFonts w:ascii="Times New Roman" w:cs="Times New Roman" w:eastAsia="Times New Roman" w:hAnsi="Times New Roman"/>
          <w:sz w:val="14"/>
          <w:szCs w:val="14"/>
          <w:b w:val="1"/>
          <w:bCs w:val="1"/>
          <w:color w:val="auto"/>
        </w:rPr>
      </w:pPr>
    </w:p>
    <w:p>
      <w:pPr>
        <w:jc w:val="both"/>
        <w:ind w:right="20" w:firstLine="466"/>
        <w:spacing w:after="0" w:line="275" w:lineRule="auto"/>
        <w:tabs>
          <w:tab w:leader="none" w:pos="698" w:val="left"/>
        </w:tabs>
        <w:numPr>
          <w:ilvl w:val="0"/>
          <w:numId w:val="2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issue any shares of Class B Common Stock (other than (i) shares of Class B Common Stock over which Cohen shall have exclusive Voting Control or (ii) shares of Class B Common Stock issued pursuant to options, warrants, purchase rights or other securities exercisable for or convertible into Class B Common Stock, which securities were issued and outstanding prior to 11:59 p.m. Eastern Time on the Effective Date); or</w:t>
      </w:r>
    </w:p>
    <w:p>
      <w:pPr>
        <w:spacing w:after="0" w:line="116" w:lineRule="exact"/>
        <w:rPr>
          <w:rFonts w:ascii="Times New Roman" w:cs="Times New Roman" w:eastAsia="Times New Roman" w:hAnsi="Times New Roman"/>
          <w:sz w:val="14"/>
          <w:szCs w:val="14"/>
          <w:b w:val="1"/>
          <w:bCs w:val="1"/>
          <w:color w:val="auto"/>
        </w:rPr>
      </w:pPr>
    </w:p>
    <w:p>
      <w:pPr>
        <w:ind w:right="20" w:firstLine="466"/>
        <w:spacing w:after="0" w:line="293" w:lineRule="auto"/>
        <w:tabs>
          <w:tab w:leader="none" w:pos="727" w:val="left"/>
        </w:tabs>
        <w:numPr>
          <w:ilvl w:val="0"/>
          <w:numId w:val="2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authorize, or issue any shares of, any class or series of capital stock of the Corporation (other than Class B Common Stock) having the right to more than (1) vote for each share thereof.</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6.</w:t>
      </w:r>
    </w:p>
    <w:p>
      <w:pPr>
        <w:spacing w:after="0" w:line="166" w:lineRule="exact"/>
        <w:rPr>
          <w:sz w:val="20"/>
          <w:szCs w:val="20"/>
          <w:color w:val="auto"/>
        </w:rPr>
      </w:pPr>
    </w:p>
    <w:p>
      <w:pPr>
        <w:jc w:val="both"/>
        <w:ind w:firstLine="459"/>
        <w:spacing w:after="0" w:line="293" w:lineRule="auto"/>
        <w:rPr>
          <w:sz w:val="20"/>
          <w:szCs w:val="20"/>
          <w:color w:val="auto"/>
        </w:rPr>
      </w:pPr>
      <w:r>
        <w:rPr>
          <w:rFonts w:ascii="Times New Roman" w:cs="Times New Roman" w:eastAsia="Times New Roman" w:hAnsi="Times New Roman"/>
          <w:sz w:val="14"/>
          <w:szCs w:val="14"/>
          <w:color w:val="auto"/>
        </w:rPr>
        <w:t>For the management of the business and for the conduct of the affairs of the Corporation, and in further definition, limitation and regulation of the powers of the Corporation, of its directors and stockholders, or any class thereof, as the case may be, it is further provided that:</w:t>
      </w:r>
    </w:p>
    <w:p>
      <w:pPr>
        <w:spacing w:after="0" w:line="10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Section 6.1</w:t>
        <w:tab/>
        <w:t>Management of the Business.</w:t>
      </w:r>
    </w:p>
    <w:p>
      <w:pPr>
        <w:spacing w:after="0" w:line="166" w:lineRule="exact"/>
        <w:rPr>
          <w:sz w:val="20"/>
          <w:szCs w:val="20"/>
          <w:color w:val="auto"/>
        </w:rPr>
      </w:pPr>
    </w:p>
    <w:p>
      <w:pPr>
        <w:jc w:val="both"/>
        <w:ind w:firstLine="459"/>
        <w:spacing w:after="0" w:line="275" w:lineRule="auto"/>
        <w:rPr>
          <w:sz w:val="20"/>
          <w:szCs w:val="20"/>
          <w:color w:val="auto"/>
        </w:rPr>
      </w:pPr>
      <w:r>
        <w:rPr>
          <w:rFonts w:ascii="Times New Roman" w:cs="Times New Roman" w:eastAsia="Times New Roman" w:hAnsi="Times New Roman"/>
          <w:sz w:val="14"/>
          <w:szCs w:val="14"/>
          <w:color w:val="auto"/>
        </w:rPr>
        <w:t>Except as otherwise provided by the DGCL or the Certificate of Incorporation, the business and affairs of the Corporation shall be managed by or under the direction of the Board. Subject to any rights of the holders of shares of any one or more series of Preferred Stock then outstanding to elect additional directors under specified circumstances, the number of directors that shall constitute the Board shall be fixed exclusively by the Board.</w:t>
      </w:r>
    </w:p>
    <w:p>
      <w:pPr>
        <w:spacing w:after="0" w:line="11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Section 6.2</w:t>
        <w:tab/>
        <w:t>Board of Directors</w:t>
      </w:r>
    </w:p>
    <w:p>
      <w:pPr>
        <w:spacing w:after="0" w:line="166" w:lineRule="exact"/>
        <w:rPr>
          <w:sz w:val="20"/>
          <w:szCs w:val="20"/>
          <w:color w:val="auto"/>
        </w:rPr>
      </w:pPr>
    </w:p>
    <w:p>
      <w:pPr>
        <w:jc w:val="both"/>
        <w:ind w:firstLine="459"/>
        <w:spacing w:after="0" w:line="262" w:lineRule="auto"/>
        <w:rPr>
          <w:sz w:val="20"/>
          <w:szCs w:val="20"/>
          <w:color w:val="auto"/>
        </w:rPr>
      </w:pPr>
      <w:r>
        <w:rPr>
          <w:rFonts w:ascii="Times New Roman" w:cs="Times New Roman" w:eastAsia="Times New Roman" w:hAnsi="Times New Roman"/>
          <w:sz w:val="14"/>
          <w:szCs w:val="14"/>
          <w:color w:val="auto"/>
        </w:rPr>
        <w:t>Subject to the rights of the holders of any one or more series of Preferred Stock to elect additional directors under specified circumstances, the directors shall be divided into three classes designated as Class I, Class II and Class III, respectively. The Board is authorized to assign members of the Board already in office to such classes at the time the classification becomes effective (the “</w:t>
      </w:r>
      <w:r>
        <w:rPr>
          <w:rFonts w:ascii="Times New Roman" w:cs="Times New Roman" w:eastAsia="Times New Roman" w:hAnsi="Times New Roman"/>
          <w:sz w:val="14"/>
          <w:szCs w:val="14"/>
          <w:b w:val="1"/>
          <w:bCs w:val="1"/>
          <w:i w:val="1"/>
          <w:iCs w:val="1"/>
          <w:color w:val="auto"/>
        </w:rPr>
        <w:t>Filing Date</w:t>
      </w:r>
      <w:r>
        <w:rPr>
          <w:rFonts w:ascii="Times New Roman" w:cs="Times New Roman" w:eastAsia="Times New Roman" w:hAnsi="Times New Roman"/>
          <w:sz w:val="14"/>
          <w:szCs w:val="14"/>
          <w:color w:val="auto"/>
        </w:rPr>
        <w:t>”). At the first annual meeting of stockholders following the Filing Date, the initial term of office of the Class I directors shall expire and Class I directors shall be elected for a full term of three years. At the second annual meeting of stockholders following the Filing Date, the initial term of office of the Class II directors shall expire and Class II directors shall be elected for a full term of three years. At the third annual meeting of stockholders following the Filing Date, the initial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29" w:lineRule="exact"/>
        <w:rPr>
          <w:sz w:val="20"/>
          <w:szCs w:val="20"/>
          <w:color w:val="auto"/>
        </w:rPr>
      </w:pPr>
    </w:p>
    <w:p>
      <w:pPr>
        <w:jc w:val="both"/>
        <w:ind w:right="20" w:firstLine="459"/>
        <w:spacing w:after="0" w:line="293" w:lineRule="auto"/>
        <w:rPr>
          <w:sz w:val="20"/>
          <w:szCs w:val="20"/>
          <w:color w:val="auto"/>
        </w:rPr>
      </w:pPr>
      <w:r>
        <w:rPr>
          <w:rFonts w:ascii="Times New Roman" w:cs="Times New Roman" w:eastAsia="Times New Roman" w:hAnsi="Times New Roman"/>
          <w:sz w:val="14"/>
          <w:szCs w:val="14"/>
          <w:color w:val="auto"/>
        </w:rPr>
        <w:t>Notwithstanding the foregoing provisions of this section, each director shall serve until such director’s successor is duly elected and qualified or until such director’s earlier death, resignation or removal. No decrease in the number of directors constituting the Board shall remove or shorten the term of any incumbent director.</w:t>
      </w:r>
    </w:p>
    <w:p>
      <w:pPr>
        <w:sectPr>
          <w:pgSz w:w="11900" w:h="16840" w:orient="portrait"/>
          <w:cols w:equalWidth="0" w:num="1">
            <w:col w:w="10620"/>
          </w:cols>
          <w:pgMar w:left="640" w:top="1440" w:right="640" w:bottom="1440" w:gutter="0" w:footer="0" w:header="0"/>
        </w:sectPr>
      </w:pPr>
    </w:p>
    <w:bookmarkStart w:id="280" w:name="page281"/>
    <w:bookmarkEnd w:id="280"/>
    <w:p>
      <w:pPr>
        <w:spacing w:after="0" w:line="3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Section 6.3</w:t>
        <w:tab/>
        <w:t>Removal of Directors</w:t>
      </w:r>
    </w:p>
    <w:p>
      <w:pPr>
        <w:spacing w:after="0" w:line="166" w:lineRule="exact"/>
        <w:rPr>
          <w:sz w:val="20"/>
          <w:szCs w:val="20"/>
          <w:color w:val="auto"/>
        </w:rPr>
      </w:pPr>
    </w:p>
    <w:p>
      <w:pPr>
        <w:jc w:val="both"/>
        <w:ind w:right="20" w:firstLine="459"/>
        <w:spacing w:after="0" w:line="235" w:lineRule="auto"/>
        <w:rPr>
          <w:sz w:val="20"/>
          <w:szCs w:val="20"/>
          <w:color w:val="auto"/>
        </w:rPr>
      </w:pPr>
      <w:r>
        <w:rPr>
          <w:rFonts w:ascii="Times New Roman" w:cs="Times New Roman" w:eastAsia="Times New Roman" w:hAnsi="Times New Roman"/>
          <w:sz w:val="14"/>
          <w:szCs w:val="14"/>
          <w:color w:val="auto"/>
        </w:rPr>
        <w:t>Subject to the rights of the holders of any one or more series of Preferred Stock to remove directors elected by such series of Preferred Stock, any individual director or the entire Board may be removed from office at any time, but only for cause, and only by the affirmative vote of the holders of at least 66</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vertAlign w:val="subscript"/>
        </w:rPr>
        <w:t>3</w:t>
      </w:r>
      <w:r>
        <w:rPr>
          <w:rFonts w:ascii="Times New Roman" w:cs="Times New Roman" w:eastAsia="Times New Roman" w:hAnsi="Times New Roman"/>
          <w:sz w:val="14"/>
          <w:szCs w:val="14"/>
          <w:color w:val="auto"/>
        </w:rPr>
        <w:t>% of the voting power of all the then-outstanding shares of the capital stock of the Corporation entitled to vote generally at an election of directors, voting together as a single class.</w:t>
      </w:r>
    </w:p>
    <w:p>
      <w:pPr>
        <w:spacing w:after="0" w:line="13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Section 6.4</w:t>
        <w:tab/>
        <w:t>Vacancies.</w:t>
      </w:r>
    </w:p>
    <w:p>
      <w:pPr>
        <w:spacing w:after="0" w:line="166" w:lineRule="exact"/>
        <w:rPr>
          <w:sz w:val="20"/>
          <w:szCs w:val="20"/>
          <w:color w:val="auto"/>
        </w:rPr>
      </w:pPr>
    </w:p>
    <w:p>
      <w:pPr>
        <w:jc w:val="both"/>
        <w:ind w:right="40" w:firstLine="459"/>
        <w:spacing w:after="0" w:line="264" w:lineRule="auto"/>
        <w:rPr>
          <w:sz w:val="20"/>
          <w:szCs w:val="20"/>
          <w:color w:val="auto"/>
        </w:rPr>
      </w:pPr>
      <w:r>
        <w:rPr>
          <w:rFonts w:ascii="Times New Roman" w:cs="Times New Roman" w:eastAsia="Times New Roman" w:hAnsi="Times New Roman"/>
          <w:sz w:val="14"/>
          <w:szCs w:val="14"/>
          <w:color w:val="auto"/>
        </w:rPr>
        <w:t>Subject to any limitations imposed by applicable law and subject to the rights of the holders of any one or more series of Preferred Stock to elect additional directors or fill vacancies in respect of such directors, any vacancies on the Board resulting from death, resignation, disqualification, removal or other causes and any newly created directorships resulting from any increase in the number of directors, shall be filled only by the affirmative vote of a majority of the directors then in office, even though less than a quorum of the Board, or by a sole remaining director, and not by the stockholders. Any director elected to fill a newly created directorship or vacancy in accordance with the preceding sentence shall hold office until the next annual meeting of stockholders held to elect the class of directors to which such director is elected and until such director’s successor shall have been elected and qualified or such director’s earlier death, resignation or removal.</w:t>
      </w:r>
    </w:p>
    <w:p>
      <w:pPr>
        <w:spacing w:after="0" w:line="12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Section 6.5</w:t>
        <w:tab/>
        <w:t>Preferred Stockholders Election Rights.</w:t>
      </w:r>
    </w:p>
    <w:p>
      <w:pPr>
        <w:spacing w:after="0" w:line="166" w:lineRule="exact"/>
        <w:rPr>
          <w:sz w:val="20"/>
          <w:szCs w:val="20"/>
          <w:color w:val="auto"/>
        </w:rPr>
      </w:pPr>
    </w:p>
    <w:p>
      <w:pPr>
        <w:jc w:val="both"/>
        <w:ind w:firstLine="459"/>
        <w:spacing w:after="0" w:line="261" w:lineRule="auto"/>
        <w:rPr>
          <w:sz w:val="20"/>
          <w:szCs w:val="20"/>
          <w:color w:val="auto"/>
        </w:rPr>
      </w:pPr>
      <w:r>
        <w:rPr>
          <w:rFonts w:ascii="Times New Roman" w:cs="Times New Roman" w:eastAsia="Times New Roman" w:hAnsi="Times New Roman"/>
          <w:sz w:val="14"/>
          <w:szCs w:val="14"/>
          <w:color w:val="auto"/>
        </w:rPr>
        <w:t>Whenever the holders of any one or more series of Preferred Stock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the Certificate of Incorporation (including any certificate of designation relating to any series of Preferred Stock) applicable thereto. The number of directors that may be elected by the holders of any such series of Preferred Stock shall be in addition to the number fixed pursuant to Section 6.1 hereof, and the total number of directors constituting the whole Board shall be automatically adjusted accordingly. Except as otherwise provided by the Board in the resolution or resolutions establishing, or any certificate of designation relating to,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2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Section 6.6</w:t>
        <w:tab/>
        <w:t>Bylaw Amendments.</w:t>
      </w:r>
    </w:p>
    <w:p>
      <w:pPr>
        <w:spacing w:after="0" w:line="162" w:lineRule="exact"/>
        <w:rPr>
          <w:sz w:val="20"/>
          <w:szCs w:val="20"/>
          <w:color w:val="auto"/>
        </w:rPr>
      </w:pPr>
    </w:p>
    <w:p>
      <w:pPr>
        <w:jc w:val="both"/>
        <w:ind w:right="40" w:firstLine="459"/>
        <w:spacing w:after="0" w:line="246" w:lineRule="auto"/>
        <w:rPr>
          <w:sz w:val="20"/>
          <w:szCs w:val="20"/>
          <w:color w:val="auto"/>
        </w:rPr>
      </w:pPr>
      <w:r>
        <w:rPr>
          <w:rFonts w:ascii="Times New Roman" w:cs="Times New Roman" w:eastAsia="Times New Roman" w:hAnsi="Times New Roman"/>
          <w:sz w:val="14"/>
          <w:szCs w:val="14"/>
          <w:color w:val="auto"/>
        </w:rPr>
        <w:t xml:space="preserve">The Board is expressly authorized and empowered to adopt, amend or repeal any provisions of the bylaws of the Corporation (as amended from time to time, the “ </w:t>
      </w:r>
      <w:r>
        <w:rPr>
          <w:rFonts w:ascii="Times New Roman" w:cs="Times New Roman" w:eastAsia="Times New Roman" w:hAnsi="Times New Roman"/>
          <w:sz w:val="14"/>
          <w:szCs w:val="14"/>
          <w:b w:val="1"/>
          <w:bCs w:val="1"/>
          <w:i w:val="1"/>
          <w:iCs w:val="1"/>
          <w:color w:val="auto"/>
        </w:rPr>
        <w:t>Bylaws</w:t>
      </w:r>
      <w:r>
        <w:rPr>
          <w:rFonts w:ascii="Times New Roman" w:cs="Times New Roman" w:eastAsia="Times New Roman" w:hAnsi="Times New Roman"/>
          <w:sz w:val="14"/>
          <w:szCs w:val="14"/>
          <w:color w:val="auto"/>
        </w:rPr>
        <w:t xml:space="preserve">”) without the assent or vote of the stockholders in any manner not inconsistent with the laws of the State of Delaware or the Certificate of Incorporation . The stockholders shall also have power to adopt, amend or repeal the Bylaws;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in addition to any vote of the holders of any class or series of stock of the Corporation required by applicable law or by the Certificate of Incorporation, such action by stockholders shall require the affirmative vote of the holders of at least 66</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vertAlign w:val="subscript"/>
        </w:rPr>
        <w:t>3</w:t>
      </w:r>
      <w:r>
        <w:rPr>
          <w:rFonts w:ascii="Times New Roman" w:cs="Times New Roman" w:eastAsia="Times New Roman" w:hAnsi="Times New Roman"/>
          <w:sz w:val="14"/>
          <w:szCs w:val="14"/>
          <w:color w:val="auto"/>
        </w:rPr>
        <w:t>% of the voting power of all of the then-outstanding shares of the capital stock of the Corporation entitled to vote thereon, voting together as a single class.</w:t>
      </w:r>
    </w:p>
    <w:p>
      <w:pPr>
        <w:sectPr>
          <w:pgSz w:w="11900" w:h="16840" w:orient="portrait"/>
          <w:cols w:equalWidth="0" w:num="1">
            <w:col w:w="10640"/>
          </w:cols>
          <w:pgMar w:left="640" w:top="1440" w:right="620" w:bottom="1440" w:gutter="0" w:footer="0" w:header="0"/>
        </w:sectPr>
      </w:pPr>
    </w:p>
    <w:bookmarkStart w:id="281" w:name="page282"/>
    <w:bookmarkEnd w:id="281"/>
    <w:p>
      <w:pPr>
        <w:spacing w:after="0" w:line="3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Section 6.7</w:t>
        <w:tab/>
        <w:t>Stockholder Actions.</w:t>
      </w:r>
    </w:p>
    <w:p>
      <w:pPr>
        <w:spacing w:after="0" w:line="166" w:lineRule="exact"/>
        <w:rPr>
          <w:sz w:val="20"/>
          <w:szCs w:val="20"/>
          <w:color w:val="auto"/>
        </w:rPr>
      </w:pPr>
    </w:p>
    <w:p>
      <w:pPr>
        <w:ind w:left="720" w:hanging="254"/>
        <w:spacing w:after="0"/>
        <w:tabs>
          <w:tab w:leader="none" w:pos="720" w:val="left"/>
        </w:tabs>
        <w:numPr>
          <w:ilvl w:val="0"/>
          <w:numId w:val="2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directors of the Corporation need not be elected by written ballot unless the Bylaws so provide.</w:t>
      </w:r>
    </w:p>
    <w:p>
      <w:pPr>
        <w:spacing w:after="0" w:line="162" w:lineRule="exact"/>
        <w:rPr>
          <w:sz w:val="20"/>
          <w:szCs w:val="20"/>
          <w:color w:val="auto"/>
        </w:rPr>
      </w:pPr>
    </w:p>
    <w:p>
      <w:pPr>
        <w:jc w:val="both"/>
        <w:ind w:right="20" w:firstLine="459"/>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b . </w:t>
      </w:r>
      <w:r>
        <w:rPr>
          <w:rFonts w:ascii="Times New Roman" w:cs="Times New Roman" w:eastAsia="Times New Roman" w:hAnsi="Times New Roman"/>
          <w:sz w:val="14"/>
          <w:szCs w:val="14"/>
          <w:color w:val="auto"/>
        </w:rPr>
        <w:t>Subject to any rights of the holders of shares of any one or more series of Preferred Stock then outstanding and the rights of the holders of Class B Common Stock under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Section 5.5b(i) or Section 5.10, any action required or permitted to be taken by the stockholders of the Corporation must be effected at an annual or special meeting of the stockholders and may not be effected by consent in lieu of a meeting.</w:t>
      </w:r>
    </w:p>
    <w:p>
      <w:pPr>
        <w:spacing w:after="0" w:line="116" w:lineRule="exact"/>
        <w:rPr>
          <w:sz w:val="20"/>
          <w:szCs w:val="20"/>
          <w:color w:val="auto"/>
        </w:rPr>
      </w:pPr>
    </w:p>
    <w:p>
      <w:pPr>
        <w:jc w:val="both"/>
        <w:ind w:right="20" w:firstLine="466"/>
        <w:spacing w:after="0" w:line="269" w:lineRule="auto"/>
        <w:tabs>
          <w:tab w:leader="none" w:pos="708" w:val="left"/>
        </w:tabs>
        <w:numPr>
          <w:ilvl w:val="0"/>
          <w:numId w:val="2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Subject to any rights of the holders of shares of any series of Preferred Stock then outstanding and the rights of the holders of Class B Common Stock under Section 5.10, special meetings of stockholders of the Corporation may be called only by the Board and shall be called by the Secretary of the corporation upon the request of a majority of the directors then in office,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SECTION 7.</w:t>
      </w:r>
    </w:p>
    <w:p>
      <w:pPr>
        <w:spacing w:after="0" w:line="166" w:lineRule="exact"/>
        <w:rPr>
          <w:sz w:val="20"/>
          <w:szCs w:val="20"/>
          <w:color w:val="auto"/>
        </w:rPr>
      </w:pPr>
    </w:p>
    <w:p>
      <w:pPr>
        <w:jc w:val="both"/>
        <w:ind w:firstLine="459"/>
        <w:spacing w:after="0" w:line="269" w:lineRule="auto"/>
        <w:rPr>
          <w:sz w:val="20"/>
          <w:szCs w:val="20"/>
          <w:color w:val="auto"/>
        </w:rPr>
      </w:pPr>
      <w:r>
        <w:rPr>
          <w:rFonts w:ascii="Times New Roman" w:cs="Times New Roman" w:eastAsia="Times New Roman" w:hAnsi="Times New Roman"/>
          <w:sz w:val="14"/>
          <w:szCs w:val="14"/>
          <w:color w:val="auto"/>
        </w:rPr>
        <w:t>No director or officer of the Corporation shall be liable to the Corporation or its stockholders for monetary damages for breach of fiduciary duty as a director or officer, except to the extent such exemption from liability or limitation thereof is not permitted under the DGCL, as the same exists or may hereafter be amended. Any amendment, modification or repeal of the foregoing sentence shall not adversely affect any right or protection of a director or officer of the Corporation hereunder in respect of any act or omission occurring prior to the time of such amendment, modification or repeal. Solely for purposes of this Section 6, “officer” shall have the meaning provided in Section 102(b)(7) of the DGCL.</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SECTION 8.</w:t>
      </w:r>
    </w:p>
    <w:p>
      <w:pPr>
        <w:spacing w:after="0" w:line="16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Section 8.1 </w:t>
      </w:r>
      <w:r>
        <w:rPr>
          <w:rFonts w:ascii="Times New Roman" w:cs="Times New Roman" w:eastAsia="Times New Roman" w:hAnsi="Times New Roman"/>
          <w:sz w:val="14"/>
          <w:szCs w:val="14"/>
          <w:color w:val="auto"/>
        </w:rPr>
        <w:t>Unless the Corporation consents in writing to the selection of an alternative forum, the Court of Chancery of the State of Delaware and any appellate court therefrom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 the sole and exclusive forum for: (i) any derivative claim or cause of action brought on behalf of the Corporation; (ii) any claim or cause of action that is based upon a violation of a duty owed by any current or former director, officer, other employee or stockholder of the Corporation, to the Corporation or the Corporation’s stockholders; (iii) any claim or cause of action against the Corporation or any current or former director, officer or other employee of the Corporation, arising out of or pursuant to any provision of the DGCL, the Certificate of Incorporation or the Bylaws; (iv) any claim or cause of action seeking to interpret, apply, enforce or determine the validity of the Certificate of Incorporation or the Bylaws (including any right, obligation, or remedy thereunder); (v) any claim or cause of action as to which the DGCL confers jurisdiction on the Court of Chancery of the State of Delaware; and (vi) any claim or cause of action against the Corporation or any current or former director, officer or other employee of the Corporation, governed by the internal-affairs doctrine or otherwise related to the Corporation’s internal affairs, in all cases to the fullest extent permitted by applicable law</w:t>
      </w:r>
      <w:r>
        <w:rPr>
          <w:rFonts w:ascii="Times New Roman" w:cs="Times New Roman" w:eastAsia="Times New Roman" w:hAnsi="Times New Roman"/>
          <w:sz w:val="14"/>
          <w:szCs w:val="14"/>
          <w:color w:val="212121"/>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212121"/>
        </w:rPr>
        <w:t>provided</w:t>
      </w:r>
      <w:r>
        <w:rPr>
          <w:rFonts w:ascii="Times New Roman" w:cs="Times New Roman" w:eastAsia="Times New Roman" w:hAnsi="Times New Roman"/>
          <w:sz w:val="14"/>
          <w:szCs w:val="14"/>
          <w:color w:val="212121"/>
        </w:rPr>
        <w:t>, that if such court does not have, or declines to accept, jurisdiction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121"/>
        </w:rPr>
        <w:t>over such a claim or cause of action, then the United States District Court for the District of Delaware shall be the sole and exclusive forum for such claim or cause of action</w:t>
      </w:r>
      <w:r>
        <w:rPr>
          <w:rFonts w:ascii="Times New Roman" w:cs="Times New Roman" w:eastAsia="Times New Roman" w:hAnsi="Times New Roman"/>
          <w:sz w:val="14"/>
          <w:szCs w:val="14"/>
          <w:color w:val="000000"/>
        </w:rPr>
        <w:t>.</w:t>
      </w:r>
    </w:p>
    <w:p>
      <w:pPr>
        <w:sectPr>
          <w:pgSz w:w="11900" w:h="16840" w:orient="portrait"/>
          <w:cols w:equalWidth="0" w:num="1">
            <w:col w:w="10640"/>
          </w:cols>
          <w:pgMar w:left="640" w:top="1440" w:right="620" w:bottom="1440" w:gutter="0" w:footer="0" w:header="0"/>
        </w:sectPr>
      </w:pPr>
    </w:p>
    <w:bookmarkStart w:id="282" w:name="page283"/>
    <w:bookmarkEnd w:id="282"/>
    <w:p>
      <w:pPr>
        <w:spacing w:after="0" w:line="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Section 8.2 </w:t>
      </w:r>
      <w:r>
        <w:rPr>
          <w:rFonts w:ascii="Times New Roman" w:cs="Times New Roman" w:eastAsia="Times New Roman" w:hAnsi="Times New Roman"/>
          <w:sz w:val="14"/>
          <w:szCs w:val="14"/>
          <w:color w:val="auto"/>
        </w:rPr>
        <w:t>Unless the Corporation consents in writing to the selection of an alternative forum, to the fullest extent permitted by applicable law, the federal district courts of the United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States of America shall be the exclusive forum for the resolution of any complaint asserting a cause of action arising under the Securities Act of 1933, as amended, including all causes of action asserted against any defendant named in such complaint. For the avoidance of doubt, this provision is intended to benefit and may be enforced by the Corporation, its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SECTION 9.</w:t>
      </w:r>
    </w:p>
    <w:p>
      <w:pPr>
        <w:spacing w:after="0" w:line="164" w:lineRule="exact"/>
        <w:rPr>
          <w:sz w:val="20"/>
          <w:szCs w:val="20"/>
          <w:color w:val="auto"/>
        </w:rPr>
      </w:pPr>
    </w:p>
    <w:p>
      <w:pPr>
        <w:jc w:val="both"/>
        <w:ind w:right="40"/>
        <w:spacing w:after="0" w:line="296" w:lineRule="auto"/>
        <w:rPr>
          <w:sz w:val="20"/>
          <w:szCs w:val="20"/>
          <w:color w:val="auto"/>
        </w:rPr>
      </w:pPr>
      <w:r>
        <w:rPr>
          <w:rFonts w:ascii="Times New Roman" w:cs="Times New Roman" w:eastAsia="Times New Roman" w:hAnsi="Times New Roman"/>
          <w:sz w:val="14"/>
          <w:szCs w:val="14"/>
          <w:b w:val="1"/>
          <w:bCs w:val="1"/>
          <w:color w:val="auto"/>
        </w:rPr>
        <w:t xml:space="preserve">Section 9.1 </w:t>
      </w:r>
      <w:r>
        <w:rPr>
          <w:rFonts w:ascii="Times New Roman" w:cs="Times New Roman" w:eastAsia="Times New Roman" w:hAnsi="Times New Roman"/>
          <w:sz w:val="14"/>
          <w:szCs w:val="14"/>
          <w:color w:val="auto"/>
        </w:rPr>
        <w:t>Any person or entity holding, owning, or otherwise acquiring any interest in any security of the Corporation shall be deemed to have notice of and consented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provisions of the Certificate of Incorporation.</w:t>
      </w:r>
    </w:p>
    <w:p>
      <w:pPr>
        <w:spacing w:after="0" w:line="10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Section 9.2 </w:t>
      </w:r>
      <w:r>
        <w:rPr>
          <w:rFonts w:ascii="Times New Roman" w:cs="Times New Roman" w:eastAsia="Times New Roman" w:hAnsi="Times New Roman"/>
          <w:sz w:val="14"/>
          <w:szCs w:val="14"/>
          <w:color w:val="auto"/>
        </w:rPr>
        <w:t>The Corporation reserves the right to amend, alter, change or repeal, at any time and from time to time, any provision contained in the Certificate of Incorporation and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rights, preferences and privileges of whatsoever nature conferred upon the stockholders, directors or any other persons whomsoever by and pursuant to the Certificate of Incorporation are granted subject to this reservation. For the avoidance of doubt, but subject to the rights of the holders of any outstanding series of Preferred Stock, Section 242(d) of the DGCL shall apply to amendments to the Certificate of Incorporation.</w:t>
      </w:r>
    </w:p>
    <w:p>
      <w:pPr>
        <w:spacing w:after="0" w:line="118"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Section 9.3 </w:t>
      </w:r>
      <w:r>
        <w:rPr>
          <w:rFonts w:ascii="Times New Roman" w:cs="Times New Roman" w:eastAsia="Times New Roman" w:hAnsi="Times New Roman"/>
          <w:sz w:val="14"/>
          <w:szCs w:val="14"/>
          <w:color w:val="auto"/>
        </w:rPr>
        <w:t>Notwithstanding any other provisions of the Certificate of Incorporation or any provision of applicable law that might otherwise permit a lesser vote or no vote, but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addition to any affirmative vote of the holders of any particular class or series of capital stock of the Corporation required by applicable law or by the Certificate of Incorporation or any certificate of designation filed with respect to a series of Preferred Stock, the affirmative vote of the holders of at least 66</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vertAlign w:val="subscript"/>
        </w:rPr>
        <w:t>3</w:t>
      </w:r>
      <w:r>
        <w:rPr>
          <w:rFonts w:ascii="Times New Roman" w:cs="Times New Roman" w:eastAsia="Times New Roman" w:hAnsi="Times New Roman"/>
          <w:sz w:val="14"/>
          <w:szCs w:val="14"/>
          <w:color w:val="auto"/>
        </w:rPr>
        <w:t>% of the voting power of all of the then-outstanding shares of capital stock of the Corporation entitled to vote thereon, voting together as a single class, shall be required to alter, amend or repeal (whether by merger, consolidation, conversion or otherwise), or adopt any provision inconsistent with, Sections 6, 7, 8 and this Section 9.</w:t>
      </w:r>
    </w:p>
    <w:p>
      <w:pPr>
        <w:spacing w:after="0" w:line="137"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Section 9.4 </w:t>
      </w:r>
      <w:r>
        <w:rPr>
          <w:rFonts w:ascii="Times New Roman" w:cs="Times New Roman" w:eastAsia="Times New Roman" w:hAnsi="Times New Roman"/>
          <w:sz w:val="14"/>
          <w:szCs w:val="14"/>
          <w:color w:val="auto"/>
        </w:rPr>
        <w:t>The Corporation renounces, to the fullest extent permitted by law, any interest or expectancy of the Corporation in, or in being offered an opportunity to participate in,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Excluded Opportunity. An “ </w:t>
      </w:r>
      <w:r>
        <w:rPr>
          <w:rFonts w:ascii="Times New Roman" w:cs="Times New Roman" w:eastAsia="Times New Roman" w:hAnsi="Times New Roman"/>
          <w:sz w:val="14"/>
          <w:szCs w:val="14"/>
          <w:b w:val="1"/>
          <w:bCs w:val="1"/>
          <w:i w:val="1"/>
          <w:iCs w:val="1"/>
          <w:color w:val="auto"/>
        </w:rPr>
        <w:t>Excluded Opportunity</w:t>
      </w:r>
      <w:r>
        <w:rPr>
          <w:rFonts w:ascii="Times New Roman" w:cs="Times New Roman" w:eastAsia="Times New Roman" w:hAnsi="Times New Roman"/>
          <w:sz w:val="14"/>
          <w:szCs w:val="14"/>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affiliate, partner, member, director, stockholder, employee, agent or other related person of any such holder, other than someone who is an employee of the Corporation or any of its subsidiaries (collectively, “</w:t>
      </w:r>
      <w:r>
        <w:rPr>
          <w:rFonts w:ascii="Times New Roman" w:cs="Times New Roman" w:eastAsia="Times New Roman" w:hAnsi="Times New Roman"/>
          <w:sz w:val="14"/>
          <w:szCs w:val="14"/>
          <w:b w:val="1"/>
          <w:bCs w:val="1"/>
          <w:i w:val="1"/>
          <w:iCs w:val="1"/>
          <w:color w:val="auto"/>
        </w:rPr>
        <w:t>Covered Persons</w:t>
      </w:r>
      <w:r>
        <w:rPr>
          <w:rFonts w:ascii="Times New Roman" w:cs="Times New Roman" w:eastAsia="Times New Roman" w:hAnsi="Times New Roman"/>
          <w:sz w:val="14"/>
          <w:szCs w:val="14"/>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SECTION 10.</w:t>
      </w:r>
    </w:p>
    <w:p>
      <w:pPr>
        <w:spacing w:after="0" w:line="16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Section 10.1 </w:t>
      </w:r>
      <w:r>
        <w:rPr>
          <w:rFonts w:ascii="Times New Roman" w:cs="Times New Roman" w:eastAsia="Times New Roman" w:hAnsi="Times New Roman"/>
          <w:sz w:val="14"/>
          <w:szCs w:val="14"/>
          <w:color w:val="auto"/>
        </w:rPr>
        <w:t>If any provision or provisions of the Certificate of Incorporation shall be held to be invalid, illegal or unenforceable as applied to any circumstance for any reason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whatsoever, the validity, legality and enforceability of such provisions in any other circumstance and of the remaining provisions of the Certificate of Incorporation (including, without limitation, each portion of any paragraph of the Certificate of Incorporation containing any such provision held to be invalid, illegal or unenforceable that</w:t>
      </w:r>
    </w:p>
    <w:p>
      <w:pPr>
        <w:sectPr>
          <w:pgSz w:w="11900" w:h="16840" w:orient="portrait"/>
          <w:cols w:equalWidth="0" w:num="1">
            <w:col w:w="10640"/>
          </w:cols>
          <w:pgMar w:left="640" w:top="1440" w:right="620" w:bottom="1440" w:gutter="0" w:footer="0" w:header="0"/>
        </w:sectPr>
      </w:pPr>
    </w:p>
    <w:bookmarkStart w:id="283" w:name="page284"/>
    <w:bookmarkEnd w:id="283"/>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is not itself held to be invalid, illegal or unenforceable) shall not, to the fullest extent permitted by applicable law, in any way be affected or impaired thereby </w:t>
      </w:r>
      <w:r>
        <w:rPr>
          <w:rFonts w:ascii="Times New Roman" w:cs="Times New Roman" w:eastAsia="Times New Roman" w:hAnsi="Times New Roman"/>
          <w:sz w:val="12"/>
          <w:szCs w:val="12"/>
          <w:color w:val="auto"/>
        </w:rPr>
        <w:t>.</w:t>
      </w:r>
    </w:p>
    <w:p>
      <w:pPr>
        <w:spacing w:after="0" w:line="164" w:lineRule="exact"/>
        <w:rPr>
          <w:sz w:val="20"/>
          <w:szCs w:val="20"/>
          <w:color w:val="auto"/>
        </w:rPr>
      </w:pPr>
    </w:p>
    <w:p>
      <w:pPr>
        <w:ind w:left="460"/>
        <w:spacing w:after="0"/>
        <w:tabs>
          <w:tab w:leader="none" w:pos="8360" w:val="left"/>
        </w:tabs>
        <w:rPr>
          <w:sz w:val="20"/>
          <w:szCs w:val="20"/>
          <w:color w:val="auto"/>
        </w:rPr>
      </w:pPr>
      <w:r>
        <w:rPr>
          <w:rFonts w:ascii="Times New Roman" w:cs="Times New Roman" w:eastAsia="Times New Roman" w:hAnsi="Times New Roman"/>
          <w:sz w:val="14"/>
          <w:szCs w:val="14"/>
          <w:color w:val="auto"/>
        </w:rPr>
        <w:t>The Corporation has caused this Certificate of Incorporation to be signed by a duly authorized officer of the Corporation on November</w:t>
        <w:tab/>
        <w:t>, 2025.</w:t>
      </w:r>
    </w:p>
    <w:p>
      <w:pPr>
        <w:spacing w:after="0" w:line="19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Navan, Inc.</w:t>
      </w:r>
    </w:p>
    <w:p>
      <w:pPr>
        <w:spacing w:after="0" w:line="3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13335</wp:posOffset>
            </wp:positionV>
            <wp:extent cx="2964815"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2964815" cy="6350"/>
                    </a:xfrm>
                    <a:prstGeom prst="rect">
                      <a:avLst/>
                    </a:prstGeom>
                    <a:noFill/>
                  </pic:spPr>
                </pic:pic>
              </a:graphicData>
            </a:graphic>
          </wp:anchor>
        </w:drawing>
      </w:r>
    </w:p>
    <w:p>
      <w:pPr>
        <w:spacing w:after="0" w:line="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b w:val="1"/>
          <w:bCs w:val="1"/>
          <w:color w:val="auto"/>
        </w:rPr>
        <w:t>Ariel Cohen</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ectPr>
          <w:pgSz w:w="11900" w:h="16840" w:orient="portrait"/>
          <w:cols w:equalWidth="0" w:num="1">
            <w:col w:w="9820"/>
          </w:cols>
          <w:pgMar w:left="640" w:top="1440" w:right="1440" w:bottom="1440" w:gutter="0" w:footer="0" w:header="0"/>
        </w:sectPr>
      </w:pPr>
    </w:p>
    <w:bookmarkStart w:id="284" w:name="page285"/>
    <w:bookmarkEnd w:id="284"/>
    <w:p>
      <w:pPr>
        <w:ind w:left="9940"/>
        <w:spacing w:after="0"/>
        <w:rPr>
          <w:sz w:val="20"/>
          <w:szCs w:val="20"/>
          <w:color w:val="auto"/>
        </w:rPr>
      </w:pPr>
      <w:r>
        <w:rPr>
          <w:rFonts w:ascii="Times New Roman" w:cs="Times New Roman" w:eastAsia="Times New Roman" w:hAnsi="Times New Roman"/>
          <w:sz w:val="14"/>
          <w:szCs w:val="14"/>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AMENDED AND RESTATED BYLAWS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NAVAN,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1413510</wp:posOffset>
            </wp:positionH>
            <wp:positionV relativeFrom="paragraph">
              <wp:posOffset>111760</wp:posOffset>
            </wp:positionV>
            <wp:extent cx="3912870"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3912870" cy="6350"/>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 DELAWARE CORPORATION)</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OFFICES</w:t>
      </w:r>
    </w:p>
    <w:p>
      <w:pPr>
        <w:spacing w:after="0" w:line="16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b w:val="1"/>
          <w:bCs w:val="1"/>
          <w:color w:val="auto"/>
        </w:rPr>
        <w:t xml:space="preserve">Section 1.1 Registered Office. </w:t>
      </w:r>
      <w:r>
        <w:rPr>
          <w:rFonts w:ascii="Times New Roman" w:cs="Times New Roman" w:eastAsia="Times New Roman" w:hAnsi="Times New Roman"/>
          <w:sz w:val="14"/>
          <w:szCs w:val="14"/>
          <w:color w:val="auto"/>
        </w:rPr>
        <w:t>The registered office of Navan, Inc. (the “</w:t>
      </w:r>
      <w:r>
        <w:rPr>
          <w:rFonts w:ascii="Times New Roman" w:cs="Times New Roman" w:eastAsia="Times New Roman" w:hAnsi="Times New Roman"/>
          <w:sz w:val="14"/>
          <w:szCs w:val="14"/>
          <w:b w:val="1"/>
          <w:bCs w:val="1"/>
          <w:i w:val="1"/>
          <w:iCs w:val="1"/>
          <w:color w:val="auto"/>
        </w:rPr>
        <w:t>Corporation</w:t>
      </w:r>
      <w:r>
        <w:rPr>
          <w:rFonts w:ascii="Times New Roman" w:cs="Times New Roman" w:eastAsia="Times New Roman" w:hAnsi="Times New Roman"/>
          <w:sz w:val="14"/>
          <w:szCs w:val="14"/>
          <w:color w:val="auto"/>
        </w:rPr>
        <w:t>”) in the State of Delaware and the name of the Corporation’s registered agent at such address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be as set forth in the certificate of incorporation of the Corporation (as the same may be amended and/or restated from time to time, the “</w:t>
      </w:r>
      <w:r>
        <w:rPr>
          <w:rFonts w:ascii="Times New Roman" w:cs="Times New Roman" w:eastAsia="Times New Roman" w:hAnsi="Times New Roman"/>
          <w:sz w:val="14"/>
          <w:szCs w:val="14"/>
          <w:b w:val="1"/>
          <w:bCs w:val="1"/>
          <w:i w:val="1"/>
          <w:iCs w:val="1"/>
          <w:color w:val="auto"/>
        </w:rPr>
        <w:t>Certificate of Incorporation</w:t>
      </w:r>
      <w:r>
        <w:rPr>
          <w:rFonts w:ascii="Times New Roman" w:cs="Times New Roman" w:eastAsia="Times New Roman" w:hAnsi="Times New Roman"/>
          <w:sz w:val="14"/>
          <w:szCs w:val="14"/>
          <w:color w:val="auto"/>
        </w:rPr>
        <w:t>”).</w:t>
      </w:r>
    </w:p>
    <w:p>
      <w:pPr>
        <w:spacing w:after="0" w:line="9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Section 1.2</w:t>
        <w:tab/>
        <w:t xml:space="preserve">Other Offices. </w:t>
      </w:r>
      <w:r>
        <w:rPr>
          <w:rFonts w:ascii="Times New Roman" w:cs="Times New Roman" w:eastAsia="Times New Roman" w:hAnsi="Times New Roman"/>
          <w:sz w:val="14"/>
          <w:szCs w:val="14"/>
          <w:color w:val="auto"/>
        </w:rPr>
        <w:t>The Corporation may at any time establish other offices both within and without the State of Delaware.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CORPORATE SEAL</w:t>
      </w:r>
    </w:p>
    <w:p>
      <w:pPr>
        <w:spacing w:after="0" w:line="16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b w:val="1"/>
          <w:bCs w:val="1"/>
          <w:color w:val="auto"/>
        </w:rPr>
        <w:t xml:space="preserve">Section 2.1 Corporate Seal. </w:t>
      </w:r>
      <w:r>
        <w:rPr>
          <w:rFonts w:ascii="Times New Roman" w:cs="Times New Roman" w:eastAsia="Times New Roman" w:hAnsi="Times New Roman"/>
          <w:sz w:val="14"/>
          <w:szCs w:val="14"/>
          <w:color w:val="auto"/>
        </w:rPr>
        <w:t>The Board of Directors of the Corporation (the “</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 may adopt a corporate seal. Said seal may be used by causing it or a facsimile thereof to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impressed or affixed or reproduced or otherwise.</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3.</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STOCKHOLDERS’ MEETINGS</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Section 3.1 Place of Meetings. </w:t>
      </w:r>
      <w:r>
        <w:rPr>
          <w:rFonts w:ascii="Times New Roman" w:cs="Times New Roman" w:eastAsia="Times New Roman" w:hAnsi="Times New Roman"/>
          <w:sz w:val="14"/>
          <w:szCs w:val="14"/>
          <w:color w:val="auto"/>
        </w:rPr>
        <w:t>Meetings of the stockholders of the Corporation may be held at such place, if any, either within or without the State of Delaware, as may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determined from time to time by the Board (or its designee). The Board may, in its sole discretion, determine that the meeting shall not be held at any place, but may instead be held solely by means of remote communication as provided under the General Corporation Law of the State of Delaware (“</w:t>
      </w:r>
      <w:r>
        <w:rPr>
          <w:rFonts w:ascii="Times New Roman" w:cs="Times New Roman" w:eastAsia="Times New Roman" w:hAnsi="Times New Roman"/>
          <w:sz w:val="14"/>
          <w:szCs w:val="14"/>
          <w:b w:val="1"/>
          <w:bCs w:val="1"/>
          <w:i w:val="1"/>
          <w:iCs w:val="1"/>
          <w:color w:val="auto"/>
        </w:rPr>
        <w:t>DGCL</w:t>
      </w:r>
      <w:r>
        <w:rPr>
          <w:rFonts w:ascii="Times New Roman" w:cs="Times New Roman" w:eastAsia="Times New Roman" w:hAnsi="Times New Roman"/>
          <w:sz w:val="14"/>
          <w:szCs w:val="14"/>
          <w:color w:val="auto"/>
        </w:rPr>
        <w:t>”) and Section 3.9 below.</w:t>
      </w:r>
    </w:p>
    <w:p>
      <w:pPr>
        <w:spacing w:after="0" w:line="11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Section 3.2</w:t>
        <w:tab/>
        <w:t>Annual Meetings.</w:t>
      </w:r>
    </w:p>
    <w:p>
      <w:pPr>
        <w:spacing w:after="0" w:line="166" w:lineRule="exact"/>
        <w:rPr>
          <w:sz w:val="20"/>
          <w:szCs w:val="20"/>
          <w:color w:val="auto"/>
        </w:rPr>
      </w:pPr>
    </w:p>
    <w:p>
      <w:pPr>
        <w:jc w:val="both"/>
        <w:ind w:firstLine="7"/>
        <w:spacing w:after="0" w:line="269" w:lineRule="auto"/>
        <w:tabs>
          <w:tab w:leader="none" w:pos="364" w:val="left"/>
        </w:tabs>
        <w:numPr>
          <w:ilvl w:val="0"/>
          <w:numId w:val="2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annual meeting of the stockholders of the Corporation, for the purpose of election of directors and for such other business as may properly come before it, shall be held on such date and time as may be determined from time to time by the Board (or its designee). Any annual meeting of stockholders may be postponed, rescheduled or cancelled by the Board, or any director or officer of the Corporation to whom the Board delegates such authority, at any time before or after notice of such meeting has been given to stockholders. Nominations of persons for election to the Board and proposals of other business to be considered by the stockholders may be made at an annual meeting of stockholders:</w:t>
      </w:r>
    </w:p>
    <w:p>
      <w:pPr>
        <w:spacing w:after="0" w:line="120" w:lineRule="exact"/>
        <w:rPr>
          <w:rFonts w:ascii="Times New Roman" w:cs="Times New Roman" w:eastAsia="Times New Roman" w:hAnsi="Times New Roman"/>
          <w:sz w:val="14"/>
          <w:szCs w:val="14"/>
          <w:b w:val="1"/>
          <w:bCs w:val="1"/>
          <w:color w:val="auto"/>
        </w:rPr>
      </w:pPr>
    </w:p>
    <w:p>
      <w:pPr>
        <w:ind w:left="640" w:hanging="174"/>
        <w:spacing w:after="0"/>
        <w:tabs>
          <w:tab w:leader="none" w:pos="640"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Corporation’s notice of meeting of stockholders (or any supplement thereto);</w:t>
      </w:r>
    </w:p>
    <w:p>
      <w:pPr>
        <w:sectPr>
          <w:pgSz w:w="11900" w:h="16840" w:orient="portrait"/>
          <w:cols w:equalWidth="0" w:num="1">
            <w:col w:w="10600"/>
          </w:cols>
          <w:pgMar w:left="640" w:top="558" w:right="660" w:bottom="1440" w:gutter="0" w:footer="0" w:header="0"/>
        </w:sectPr>
      </w:pPr>
    </w:p>
    <w:bookmarkStart w:id="285" w:name="page286"/>
    <w:bookmarkEnd w:id="285"/>
    <w:p>
      <w:pPr>
        <w:spacing w:after="0" w:line="163" w:lineRule="exact"/>
        <w:rPr>
          <w:sz w:val="20"/>
          <w:szCs w:val="20"/>
          <w:color w:val="auto"/>
        </w:rPr>
      </w:pPr>
    </w:p>
    <w:p>
      <w:pPr>
        <w:ind w:left="680" w:hanging="214"/>
        <w:spacing w:after="0"/>
        <w:tabs>
          <w:tab w:leader="none" w:pos="680"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or at the direction of the Board (or a duly authorized committee thereof); or</w:t>
      </w:r>
    </w:p>
    <w:p>
      <w:pPr>
        <w:spacing w:after="0" w:line="164" w:lineRule="exact"/>
        <w:rPr>
          <w:rFonts w:ascii="Times New Roman" w:cs="Times New Roman" w:eastAsia="Times New Roman" w:hAnsi="Times New Roman"/>
          <w:sz w:val="14"/>
          <w:szCs w:val="14"/>
          <w:color w:val="auto"/>
        </w:rPr>
      </w:pPr>
    </w:p>
    <w:p>
      <w:pPr>
        <w:jc w:val="both"/>
        <w:ind w:right="20" w:firstLine="466"/>
        <w:spacing w:after="0" w:line="275" w:lineRule="auto"/>
        <w:tabs>
          <w:tab w:leader="none" w:pos="711"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any stockholder of the Corporation who was a stockholder of record at the time of giving the stockholder’s notice provided for in Section 3.2(b) of these bylaws (as may be amended and/or restated from time to time, the “</w:t>
      </w:r>
      <w:r>
        <w:rPr>
          <w:rFonts w:ascii="Times New Roman" w:cs="Times New Roman" w:eastAsia="Times New Roman" w:hAnsi="Times New Roman"/>
          <w:sz w:val="14"/>
          <w:szCs w:val="14"/>
          <w:b w:val="1"/>
          <w:bCs w:val="1"/>
          <w:i w:val="1"/>
          <w:iCs w:val="1"/>
          <w:color w:val="auto"/>
        </w:rPr>
        <w:t>Bylaws</w:t>
      </w:r>
      <w:r>
        <w:rPr>
          <w:rFonts w:ascii="Times New Roman" w:cs="Times New Roman" w:eastAsia="Times New Roman" w:hAnsi="Times New Roman"/>
          <w:sz w:val="14"/>
          <w:szCs w:val="14"/>
          <w:color w:val="auto"/>
        </w:rPr>
        <w:t>”) and who is a stockholder of record at the time of the annual meeting of stockholders, who is entitled to vote at the meeting and who complied with the procedures and requirements set forth in this Section 3.2.</w:t>
      </w:r>
    </w:p>
    <w:p>
      <w:pPr>
        <w:spacing w:after="0" w:line="116" w:lineRule="exact"/>
        <w:rPr>
          <w:sz w:val="20"/>
          <w:szCs w:val="20"/>
          <w:color w:val="auto"/>
        </w:rPr>
      </w:pPr>
    </w:p>
    <w:p>
      <w:pPr>
        <w:ind w:firstLine="459"/>
        <w:spacing w:after="0" w:line="293" w:lineRule="auto"/>
        <w:rPr>
          <w:sz w:val="20"/>
          <w:szCs w:val="20"/>
          <w:color w:val="auto"/>
        </w:rPr>
      </w:pPr>
      <w:r>
        <w:rPr>
          <w:rFonts w:ascii="Times New Roman" w:cs="Times New Roman" w:eastAsia="Times New Roman" w:hAnsi="Times New Roman"/>
          <w:sz w:val="14"/>
          <w:szCs w:val="14"/>
          <w:color w:val="auto"/>
        </w:rPr>
        <w:t>For the avoidance of doubt, clause (iii) above shall be the exclusive means for a stockholder to make nominations and submit other business before an annual meeting of stockholders.</w:t>
      </w:r>
    </w:p>
    <w:p>
      <w:pPr>
        <w:spacing w:after="0" w:line="104" w:lineRule="exact"/>
        <w:rPr>
          <w:sz w:val="20"/>
          <w:szCs w:val="20"/>
          <w:color w:val="auto"/>
        </w:rPr>
      </w:pPr>
    </w:p>
    <w:p>
      <w:pPr>
        <w:jc w:val="both"/>
        <w:ind w:firstLine="7"/>
        <w:spacing w:after="0" w:line="275" w:lineRule="auto"/>
        <w:tabs>
          <w:tab w:leader="none" w:pos="325" w:val="left"/>
        </w:tabs>
        <w:numPr>
          <w:ilvl w:val="0"/>
          <w:numId w:val="2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At an annual meeting of the stockholders, only such business shall be conducted as is a proper matter for stockholder action under the DGCL, the Certificate of Incorporation and the Bylaws, and only such nominations shall be made and such other business shall be conducted as shall have been properly brought before the meeting in accordance with the procedures below.</w:t>
      </w:r>
    </w:p>
    <w:p>
      <w:pPr>
        <w:spacing w:after="0" w:line="116" w:lineRule="exact"/>
        <w:rPr>
          <w:rFonts w:ascii="Times New Roman" w:cs="Times New Roman" w:eastAsia="Times New Roman" w:hAnsi="Times New Roman"/>
          <w:sz w:val="14"/>
          <w:szCs w:val="14"/>
          <w:b w:val="1"/>
          <w:bCs w:val="1"/>
          <w:color w:val="auto"/>
        </w:rPr>
      </w:pPr>
    </w:p>
    <w:p>
      <w:pPr>
        <w:jc w:val="both"/>
        <w:ind w:left="640" w:right="20" w:hanging="232"/>
        <w:spacing w:after="0" w:line="269" w:lineRule="auto"/>
        <w:tabs>
          <w:tab w:leader="none" w:pos="745" w:val="left"/>
        </w:tabs>
        <w:numPr>
          <w:ilvl w:val="1"/>
          <w:numId w:val="2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nominations for the election to the Board to be properly brought before an annual meeting by a stockholder pursuant to clause (iii) of Section 3.2(a), the stockholder must deliver written notice to the Secretary at the principal executive offices of the Corporation on a timely basis as set forth in Section 3.2(b)(3) and must update and supplement the information contained in such written notice on a timely basis as set forth in Section 3.2(c). In addition to all of the information required by Section 3.2(b)(4), such stockholder’s notice shall include as to each nominee such stockholder proposes to nominate at the meeting:</w:t>
      </w:r>
    </w:p>
    <w:p>
      <w:pPr>
        <w:spacing w:after="0" w:line="120" w:lineRule="exact"/>
        <w:rPr>
          <w:rFonts w:ascii="Times New Roman" w:cs="Times New Roman" w:eastAsia="Times New Roman" w:hAnsi="Times New Roman"/>
          <w:sz w:val="14"/>
          <w:szCs w:val="14"/>
          <w:b w:val="1"/>
          <w:bCs w:val="1"/>
          <w:color w:val="auto"/>
        </w:rPr>
      </w:pPr>
    </w:p>
    <w:p>
      <w:pPr>
        <w:ind w:left="800" w:hanging="334"/>
        <w:spacing w:after="0"/>
        <w:tabs>
          <w:tab w:leader="none" w:pos="800" w:val="left"/>
        </w:tabs>
        <w:numPr>
          <w:ilvl w:val="2"/>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age, business address and residence address of such nominee,</w:t>
      </w:r>
    </w:p>
    <w:p>
      <w:pPr>
        <w:spacing w:after="0" w:line="164" w:lineRule="exact"/>
        <w:rPr>
          <w:rFonts w:ascii="Times New Roman" w:cs="Times New Roman" w:eastAsia="Times New Roman" w:hAnsi="Times New Roman"/>
          <w:sz w:val="14"/>
          <w:szCs w:val="14"/>
          <w:color w:val="auto"/>
        </w:rPr>
      </w:pPr>
    </w:p>
    <w:p>
      <w:pPr>
        <w:ind w:left="800" w:hanging="334"/>
        <w:spacing w:after="0"/>
        <w:tabs>
          <w:tab w:leader="none" w:pos="800" w:val="left"/>
        </w:tabs>
        <w:numPr>
          <w:ilvl w:val="2"/>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occupation or employment of such nominee,</w:t>
      </w:r>
    </w:p>
    <w:p>
      <w:pPr>
        <w:spacing w:after="0" w:line="164" w:lineRule="exact"/>
        <w:rPr>
          <w:rFonts w:ascii="Times New Roman" w:cs="Times New Roman" w:eastAsia="Times New Roman" w:hAnsi="Times New Roman"/>
          <w:sz w:val="14"/>
          <w:szCs w:val="14"/>
          <w:color w:val="auto"/>
        </w:rPr>
      </w:pPr>
    </w:p>
    <w:p>
      <w:pPr>
        <w:ind w:left="460" w:firstLine="6"/>
        <w:spacing w:after="0" w:line="293" w:lineRule="auto"/>
        <w:tabs>
          <w:tab w:leader="none" w:pos="795" w:val="left"/>
        </w:tabs>
        <w:numPr>
          <w:ilvl w:val="2"/>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or series and number of shares of each class or series of capital stock of the Corporation that are owned of record and beneficially by such nominee and list of any pledge of or encumbrances on such shares,</w:t>
      </w:r>
    </w:p>
    <w:p>
      <w:pPr>
        <w:spacing w:after="0" w:line="104" w:lineRule="exact"/>
        <w:rPr>
          <w:rFonts w:ascii="Times New Roman" w:cs="Times New Roman" w:eastAsia="Times New Roman" w:hAnsi="Times New Roman"/>
          <w:sz w:val="14"/>
          <w:szCs w:val="14"/>
          <w:color w:val="auto"/>
        </w:rPr>
      </w:pPr>
    </w:p>
    <w:p>
      <w:pPr>
        <w:ind w:left="800" w:hanging="334"/>
        <w:spacing w:after="0"/>
        <w:tabs>
          <w:tab w:leader="none" w:pos="800" w:val="left"/>
        </w:tabs>
        <w:numPr>
          <w:ilvl w:val="2"/>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such shares were acquired and the investment intent of such acquisition,</w:t>
      </w:r>
    </w:p>
    <w:p>
      <w:pPr>
        <w:spacing w:after="0" w:line="164" w:lineRule="exact"/>
        <w:rPr>
          <w:rFonts w:ascii="Times New Roman" w:cs="Times New Roman" w:eastAsia="Times New Roman" w:hAnsi="Times New Roman"/>
          <w:sz w:val="14"/>
          <w:szCs w:val="14"/>
          <w:color w:val="auto"/>
        </w:rPr>
      </w:pPr>
    </w:p>
    <w:p>
      <w:pPr>
        <w:ind w:left="800" w:hanging="334"/>
        <w:spacing w:after="0"/>
        <w:tabs>
          <w:tab w:leader="none" w:pos="800" w:val="left"/>
        </w:tabs>
        <w:numPr>
          <w:ilvl w:val="2"/>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questionnaire, representation and agreement required by Section 3.2(e), completed and signed by such nominee, and</w:t>
      </w:r>
    </w:p>
    <w:p>
      <w:pPr>
        <w:spacing w:after="0" w:line="164" w:lineRule="exact"/>
        <w:rPr>
          <w:rFonts w:ascii="Times New Roman" w:cs="Times New Roman" w:eastAsia="Times New Roman" w:hAnsi="Times New Roman"/>
          <w:sz w:val="14"/>
          <w:szCs w:val="14"/>
          <w:color w:val="auto"/>
        </w:rPr>
      </w:pPr>
    </w:p>
    <w:p>
      <w:pPr>
        <w:jc w:val="both"/>
        <w:ind w:left="460" w:right="20" w:firstLine="6"/>
        <w:spacing w:after="0" w:line="269" w:lineRule="auto"/>
        <w:tabs>
          <w:tab w:leader="none" w:pos="780" w:val="left"/>
        </w:tabs>
        <w:numPr>
          <w:ilvl w:val="2"/>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information concerning such nominee as would be required to be disclosed in a proxy statement soliciting proxies for the election of such nominee as a director in an election contest (even if an election contest is not involved and whether or not proxies are being or will be solicited), or that is otherwise required to be disclosed or provided to the Corporation pursuant to Section 14 of the Securities Exchange Act of 1934, as amended (the “</w:t>
      </w:r>
      <w:r>
        <w:rPr>
          <w:rFonts w:ascii="Times New Roman" w:cs="Times New Roman" w:eastAsia="Times New Roman" w:hAnsi="Times New Roman"/>
          <w:sz w:val="14"/>
          <w:szCs w:val="14"/>
          <w:b w:val="1"/>
          <w:bCs w:val="1"/>
          <w:i w:val="1"/>
          <w:iCs w:val="1"/>
          <w:color w:val="auto"/>
        </w:rPr>
        <w:t>1934 Act</w:t>
      </w:r>
      <w:r>
        <w:rPr>
          <w:rFonts w:ascii="Times New Roman" w:cs="Times New Roman" w:eastAsia="Times New Roman" w:hAnsi="Times New Roman"/>
          <w:sz w:val="14"/>
          <w:szCs w:val="14"/>
          <w:color w:val="auto"/>
        </w:rPr>
        <w:t>”) (including such person’s written consent to being named in a proxy statement, associated proxy card and other filings as a nominee and to serving as a director if elected).</w:t>
      </w:r>
    </w:p>
    <w:p>
      <w:pPr>
        <w:spacing w:after="0" w:line="120" w:lineRule="exact"/>
        <w:rPr>
          <w:sz w:val="20"/>
          <w:szCs w:val="20"/>
          <w:color w:val="auto"/>
        </w:rPr>
      </w:pPr>
    </w:p>
    <w:p>
      <w:pPr>
        <w:jc w:val="both"/>
        <w:ind w:left="400"/>
        <w:spacing w:after="0" w:line="275" w:lineRule="auto"/>
        <w:rPr>
          <w:sz w:val="20"/>
          <w:szCs w:val="20"/>
          <w:color w:val="auto"/>
        </w:rPr>
      </w:pPr>
      <w:r>
        <w:rPr>
          <w:rFonts w:ascii="Times New Roman" w:cs="Times New Roman" w:eastAsia="Times New Roman" w:hAnsi="Times New Roman"/>
          <w:sz w:val="14"/>
          <w:szCs w:val="14"/>
          <w:color w:val="auto"/>
        </w:rPr>
        <w:t>The Corporation may require any proposed nominee to furnish such other information as it may reasonably require to determine the eligibility of such proposed nominee to serve as an independent director of the Corporation or to serve on any committee or sub-committee of the Board, in either case under any applicable stock exchange listing requirements, applicable law or</w:t>
      </w:r>
    </w:p>
    <w:p>
      <w:pPr>
        <w:sectPr>
          <w:pgSz w:w="11900" w:h="16840" w:orient="portrait"/>
          <w:cols w:equalWidth="0" w:num="1">
            <w:col w:w="10620"/>
          </w:cols>
          <w:pgMar w:left="640" w:top="1440" w:right="640" w:bottom="1440" w:gutter="0" w:footer="0" w:header="0"/>
        </w:sectPr>
      </w:pPr>
    </w:p>
    <w:bookmarkStart w:id="286" w:name="page287"/>
    <w:bookmarkEnd w:id="286"/>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Policies (as defined below). The number of nominees a stockholder may nominate for election at an annual meeting on its own behalf (or in the case of a stockholder giving the notice on behalf of a beneficial owner, the number of nominees a stockholder may nominate for election at an annual meeting on behalf of such beneficial owner) shall not exceed the number of directors to be elected at such annual meeting. A stockholder may not designate any substitute or alternate nominees unless the stockholder provides timely notice of such substitute or alternate nominee(s) in accordance with this Section 3.2, in the case of an annual meeting, or Section 3.3, in the case of a special meeting (and such notice contains all of the information, representations, questionnaires and certifications with respect to such substitute or alternate nominee(s) that are required by the Bylaws with respect to nominees for director).</w:t>
      </w:r>
    </w:p>
    <w:p>
      <w:pPr>
        <w:spacing w:after="0" w:line="124" w:lineRule="exact"/>
        <w:rPr>
          <w:sz w:val="20"/>
          <w:szCs w:val="20"/>
          <w:color w:val="auto"/>
        </w:rPr>
      </w:pPr>
    </w:p>
    <w:p>
      <w:pPr>
        <w:jc w:val="both"/>
        <w:ind w:left="240" w:hanging="232"/>
        <w:spacing w:after="0" w:line="269" w:lineRule="auto"/>
        <w:tabs>
          <w:tab w:leader="none" w:pos="317" w:val="left"/>
        </w:tabs>
        <w:numPr>
          <w:ilvl w:val="0"/>
          <w:numId w:val="2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business other than nominations for the election to the Board to be properly brought before an annual meeting by a stockholder pursuant to clause (ii) of Section 3.2(a), the stockholder must deliver written notice to the Secretary at the principal executive offices of the Corporation on a timely basis as set forth in Section 3.2(b)(3), and must update and supplement the information contained in such written notice on a timely basis as set forth in Section 3.2(c). In addition to all of the information required by Section 3.2(b)(4), such stockholder’s notice shall include as to each matter such stockholder proposes to bring before the meeting:</w:t>
      </w:r>
    </w:p>
    <w:p>
      <w:pPr>
        <w:spacing w:after="0" w:line="120" w:lineRule="exact"/>
        <w:rPr>
          <w:rFonts w:ascii="Times New Roman" w:cs="Times New Roman" w:eastAsia="Times New Roman" w:hAnsi="Times New Roman"/>
          <w:sz w:val="14"/>
          <w:szCs w:val="14"/>
          <w:b w:val="1"/>
          <w:bCs w:val="1"/>
          <w:color w:val="auto"/>
        </w:rPr>
      </w:pPr>
    </w:p>
    <w:p>
      <w:pPr>
        <w:ind w:left="400" w:hanging="334"/>
        <w:spacing w:after="0"/>
        <w:tabs>
          <w:tab w:leader="none" w:pos="400" w:val="left"/>
        </w:tabs>
        <w:numPr>
          <w:ilvl w:val="1"/>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brief description of the business desired to be brought before the meeting,</w:t>
      </w:r>
    </w:p>
    <w:p>
      <w:pPr>
        <w:spacing w:after="0" w:line="164" w:lineRule="exact"/>
        <w:rPr>
          <w:rFonts w:ascii="Times New Roman" w:cs="Times New Roman" w:eastAsia="Times New Roman" w:hAnsi="Times New Roman"/>
          <w:sz w:val="14"/>
          <w:szCs w:val="14"/>
          <w:color w:val="auto"/>
        </w:rPr>
      </w:pPr>
    </w:p>
    <w:p>
      <w:pPr>
        <w:ind w:left="60" w:right="20" w:firstLine="6"/>
        <w:spacing w:after="0" w:line="293" w:lineRule="auto"/>
        <w:tabs>
          <w:tab w:leader="none" w:pos="413" w:val="left"/>
        </w:tabs>
        <w:numPr>
          <w:ilvl w:val="1"/>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text of the proposal or business (including the text of any resolutions proposed for consideration and in the event that such business includes a proposal to amend the Bylaws, the language of the proposed amendment),</w:t>
      </w:r>
    </w:p>
    <w:p>
      <w:pPr>
        <w:spacing w:after="0" w:line="104" w:lineRule="exact"/>
        <w:rPr>
          <w:rFonts w:ascii="Times New Roman" w:cs="Times New Roman" w:eastAsia="Times New Roman" w:hAnsi="Times New Roman"/>
          <w:sz w:val="14"/>
          <w:szCs w:val="14"/>
          <w:color w:val="auto"/>
        </w:rPr>
      </w:pPr>
    </w:p>
    <w:p>
      <w:pPr>
        <w:ind w:left="400" w:hanging="334"/>
        <w:spacing w:after="0"/>
        <w:tabs>
          <w:tab w:leader="none" w:pos="400" w:val="left"/>
        </w:tabs>
        <w:numPr>
          <w:ilvl w:val="1"/>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reasons for conducting such business at the meeting, and</w:t>
      </w:r>
    </w:p>
    <w:p>
      <w:pPr>
        <w:spacing w:after="0" w:line="164" w:lineRule="exact"/>
        <w:rPr>
          <w:rFonts w:ascii="Times New Roman" w:cs="Times New Roman" w:eastAsia="Times New Roman" w:hAnsi="Times New Roman"/>
          <w:sz w:val="14"/>
          <w:szCs w:val="14"/>
          <w:color w:val="auto"/>
        </w:rPr>
      </w:pPr>
    </w:p>
    <w:p>
      <w:pPr>
        <w:ind w:right="20" w:firstLine="66"/>
        <w:spacing w:after="0" w:line="293" w:lineRule="auto"/>
        <w:tabs>
          <w:tab w:leader="none" w:pos="485" w:val="left"/>
        </w:tabs>
        <w:numPr>
          <w:ilvl w:val="1"/>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w:t>
      </w:r>
    </w:p>
    <w:p>
      <w:pPr>
        <w:spacing w:after="0" w:line="104" w:lineRule="exact"/>
        <w:rPr>
          <w:rFonts w:ascii="Times New Roman" w:cs="Times New Roman" w:eastAsia="Times New Roman" w:hAnsi="Times New Roman"/>
          <w:sz w:val="14"/>
          <w:szCs w:val="14"/>
          <w:color w:val="auto"/>
        </w:rPr>
      </w:pPr>
    </w:p>
    <w:p>
      <w:pPr>
        <w:jc w:val="both"/>
        <w:ind w:left="240" w:hanging="232"/>
        <w:spacing w:after="0" w:line="238" w:lineRule="auto"/>
        <w:tabs>
          <w:tab w:leader="none" w:pos="336" w:val="left"/>
        </w:tabs>
        <w:numPr>
          <w:ilvl w:val="0"/>
          <w:numId w:val="2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be timely, the written notice required by Section 3.2(b)(1) or 3.2(b)(2) must be received by the Secretary at the principal executive offices of the Corporation not later than the close of business on the 90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4"/>
          <w:szCs w:val="14"/>
          <w:color w:val="auto"/>
        </w:rPr>
        <w:t xml:space="preserve"> day, nor earlier than the 120th day, prior to the first anniversary of the immediately preceding year’s annual meeting (for purposes of notice required for action to be taken at the Corporation’s first annual meeting of stockholders after its initial public offering of the Corporation’s Class A common stock, the date of the immediately preceding year’s annual meeting shall be deemed to have occurred on June 15 in such immediately preceding calendar year); provided, however, that, subject to the last sentence of this Section 3.2(b)(3), in the event that the date of the annual meeting is advanced more than 30 days prior to or delayed by more than 70 days after the anniversary of the preceding year’s annual meeting, or if no annual meeting was held (or deemed to have been held), notice by the stockholder to be timely must be so received not earlier than the 120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4"/>
          <w:szCs w:val="14"/>
          <w:color w:val="auto"/>
        </w:rPr>
        <w:t xml:space="preserve"> day prior to such annual meeting and not later than the later of the close of business on (i) the 90 </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4"/>
          <w:szCs w:val="14"/>
          <w:color w:val="auto"/>
        </w:rPr>
        <w:t xml:space="preserve"> day prior to such annual meeting or (ii) the tenth day following the day on which public announcement of the date of such meeting is first made by the Corporation.</w:t>
      </w:r>
    </w:p>
    <w:p>
      <w:pPr>
        <w:sectPr>
          <w:pgSz w:w="11900" w:h="16840" w:orient="portrait"/>
          <w:cols w:equalWidth="0" w:num="1">
            <w:col w:w="10220"/>
          </w:cols>
          <w:pgMar w:left="1040" w:top="1440" w:right="640" w:bottom="1440" w:gutter="0" w:footer="0" w:header="0"/>
        </w:sectPr>
      </w:pPr>
    </w:p>
    <w:bookmarkStart w:id="287" w:name="page288"/>
    <w:bookmarkEnd w:id="287"/>
    <w:p>
      <w:pPr>
        <w:spacing w:after="0" w:line="16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In no event shall an adjournment or postponement (or the public announcement thereof) of an annual meeting for which notice has been given, or for which a public announcement of the date of the meeting has been made by the Corporation, commence a new time period (or extend any time period) for the giving of a stockholder’s notice as described above.</w:t>
      </w:r>
    </w:p>
    <w:p>
      <w:pPr>
        <w:spacing w:after="0" w:line="104" w:lineRule="exact"/>
        <w:rPr>
          <w:sz w:val="20"/>
          <w:szCs w:val="20"/>
          <w:color w:val="auto"/>
        </w:rPr>
      </w:pPr>
    </w:p>
    <w:p>
      <w:pPr>
        <w:jc w:val="both"/>
        <w:ind w:left="320" w:right="20" w:hanging="232"/>
        <w:spacing w:after="0" w:line="275" w:lineRule="auto"/>
        <w:tabs>
          <w:tab w:leader="none" w:pos="397" w:val="left"/>
        </w:tabs>
        <w:numPr>
          <w:ilvl w:val="0"/>
          <w:numId w:val="2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written notice required by Sections 3.2(b)(1) or 3.2(b)(2) shall also include, as of the date of the notice and as to the stockholder giving the notice, the beneficial owner, if any, on whose behalf the nomination or proposal is made and any affiliate who controls (as such term is defined in Rule 405 under the Securities Act of 1933, as amended (the “</w:t>
      </w:r>
      <w:r>
        <w:rPr>
          <w:rFonts w:ascii="Times New Roman" w:cs="Times New Roman" w:eastAsia="Times New Roman" w:hAnsi="Times New Roman"/>
          <w:sz w:val="14"/>
          <w:szCs w:val="14"/>
          <w:b w:val="1"/>
          <w:bCs w:val="1"/>
          <w:i w:val="1"/>
          <w:iCs w:val="1"/>
          <w:color w:val="auto"/>
        </w:rPr>
        <w:t>1933 Act</w:t>
      </w:r>
      <w:r>
        <w:rPr>
          <w:rFonts w:ascii="Times New Roman" w:cs="Times New Roman" w:eastAsia="Times New Roman" w:hAnsi="Times New Roman"/>
          <w:sz w:val="14"/>
          <w:szCs w:val="14"/>
          <w:color w:val="auto"/>
        </w:rPr>
        <w:t xml:space="preserve">”) either of the foregoing stockholder or beneficial owner, directly or indirectly (each, a “ </w:t>
      </w:r>
      <w:r>
        <w:rPr>
          <w:rFonts w:ascii="Times New Roman" w:cs="Times New Roman" w:eastAsia="Times New Roman" w:hAnsi="Times New Roman"/>
          <w:sz w:val="14"/>
          <w:szCs w:val="14"/>
          <w:b w:val="1"/>
          <w:bCs w:val="1"/>
          <w:i w:val="1"/>
          <w:iCs w:val="1"/>
          <w:color w:val="auto"/>
        </w:rPr>
        <w:t>Proponent</w:t>
      </w:r>
      <w:r>
        <w:rPr>
          <w:rFonts w:ascii="Times New Roman" w:cs="Times New Roman" w:eastAsia="Times New Roman" w:hAnsi="Times New Roman"/>
          <w:sz w:val="14"/>
          <w:szCs w:val="14"/>
          <w:color w:val="auto"/>
        </w:rPr>
        <w:t xml:space="preserve">” and collectively, the “ </w:t>
      </w:r>
      <w:r>
        <w:rPr>
          <w:rFonts w:ascii="Times New Roman" w:cs="Times New Roman" w:eastAsia="Times New Roman" w:hAnsi="Times New Roman"/>
          <w:sz w:val="14"/>
          <w:szCs w:val="14"/>
          <w:b w:val="1"/>
          <w:bCs w:val="1"/>
          <w:i w:val="1"/>
          <w:iCs w:val="1"/>
          <w:color w:val="auto"/>
        </w:rPr>
        <w:t>Proponents</w:t>
      </w:r>
      <w:r>
        <w:rPr>
          <w:rFonts w:ascii="Times New Roman" w:cs="Times New Roman" w:eastAsia="Times New Roman" w:hAnsi="Times New Roman"/>
          <w:sz w:val="14"/>
          <w:szCs w:val="14"/>
          <w:color w:val="auto"/>
        </w:rPr>
        <w:t>”):</w:t>
      </w:r>
    </w:p>
    <w:p>
      <w:pPr>
        <w:spacing w:after="0" w:line="116" w:lineRule="exact"/>
        <w:rPr>
          <w:rFonts w:ascii="Times New Roman" w:cs="Times New Roman" w:eastAsia="Times New Roman" w:hAnsi="Times New Roman"/>
          <w:sz w:val="14"/>
          <w:szCs w:val="14"/>
          <w:b w:val="1"/>
          <w:bCs w:val="1"/>
          <w:color w:val="auto"/>
        </w:rPr>
      </w:pPr>
    </w:p>
    <w:p>
      <w:pPr>
        <w:ind w:left="380" w:hanging="234"/>
        <w:spacing w:after="0"/>
        <w:tabs>
          <w:tab w:leader="none" w:pos="380" w:val="left"/>
        </w:tabs>
        <w:numPr>
          <w:ilvl w:val="1"/>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and address of each Proponent, including, if applicable, such name and address as they appear on the Corporation’s books and records;</w:t>
      </w:r>
    </w:p>
    <w:p>
      <w:pPr>
        <w:spacing w:after="0" w:line="164" w:lineRule="exact"/>
        <w:rPr>
          <w:rFonts w:ascii="Times New Roman" w:cs="Times New Roman" w:eastAsia="Times New Roman" w:hAnsi="Times New Roman"/>
          <w:sz w:val="14"/>
          <w:szCs w:val="14"/>
          <w:color w:val="auto"/>
        </w:rPr>
      </w:pPr>
    </w:p>
    <w:p>
      <w:pPr>
        <w:jc w:val="both"/>
        <w:ind w:left="80" w:right="20" w:firstLine="66"/>
        <w:spacing w:after="0" w:line="269" w:lineRule="auto"/>
        <w:tabs>
          <w:tab w:leader="none" w:pos="364" w:val="left"/>
        </w:tabs>
        <w:numPr>
          <w:ilvl w:val="1"/>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series and number of shares of each class or series of the capital stock of the Corporation that are, directly or indirectly, owned of record or beneficially (within the meaning of Rule 13d-3 under the 1934 Act) by each Proponent (provided, that for purposes of this Section 3.2(b)(4), such Proponent shall in all events be deemed to beneficially own all shares of any class or series of capital stock of the Corporation as to which such Proponent or any of its affiliates or associates has a right to acquire beneficial ownership whether immediately or at any time in the future);</w:t>
      </w:r>
    </w:p>
    <w:p>
      <w:pPr>
        <w:spacing w:after="0" w:line="120" w:lineRule="exact"/>
        <w:rPr>
          <w:rFonts w:ascii="Times New Roman" w:cs="Times New Roman" w:eastAsia="Times New Roman" w:hAnsi="Times New Roman"/>
          <w:sz w:val="14"/>
          <w:szCs w:val="14"/>
          <w:color w:val="auto"/>
        </w:rPr>
      </w:pPr>
    </w:p>
    <w:p>
      <w:pPr>
        <w:jc w:val="both"/>
        <w:ind w:left="80" w:right="20" w:firstLine="66"/>
        <w:spacing w:after="0" w:line="269" w:lineRule="auto"/>
        <w:tabs>
          <w:tab w:leader="none" w:pos="371" w:val="left"/>
        </w:tabs>
        <w:numPr>
          <w:ilvl w:val="1"/>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any agreement, arrangement or understanding (whether oral or in writing) with respect to such nomination or proposal (and/or the voting of shares of any class or series of capital stock of the Corporation, other than a revocable proxy given in response to a proxy solicitation made to 10 or more persons) between or among any Proponent and any of its affiliates or associates, and/or any other persons (including their names) including without limitation, any agreements, arrangements or understandings required to be disclosed pursuant to Item 5 or Item 6 of the 1934 Act Schedule 13D, regardless of whether the requirement to file a Schedule 13D is applicable;</w:t>
      </w:r>
    </w:p>
    <w:p>
      <w:pPr>
        <w:spacing w:after="0" w:line="120" w:lineRule="exact"/>
        <w:rPr>
          <w:rFonts w:ascii="Times New Roman" w:cs="Times New Roman" w:eastAsia="Times New Roman" w:hAnsi="Times New Roman"/>
          <w:sz w:val="14"/>
          <w:szCs w:val="14"/>
          <w:color w:val="auto"/>
        </w:rPr>
      </w:pPr>
    </w:p>
    <w:p>
      <w:pPr>
        <w:jc w:val="both"/>
        <w:ind w:left="80" w:firstLine="66"/>
        <w:spacing w:after="0" w:line="275" w:lineRule="auto"/>
        <w:tabs>
          <w:tab w:leader="none" w:pos="384" w:val="left"/>
        </w:tabs>
        <w:numPr>
          <w:ilvl w:val="1"/>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representation that the stockholder is a holder of record of shares of the Corporation at the time of giving notice, will be entitled to vote at the meeting, and that such stockholder (or a qualified representative thereof) intends to appear at the meeting to nominate the person or persons specified in the notice (with respect to a notice under Section 3.2(b)(1)) or to propose the business that is specified in the notice (with respect to a notice under Section 3.2(b)(2));</w:t>
      </w:r>
    </w:p>
    <w:p>
      <w:pPr>
        <w:spacing w:after="0" w:line="125" w:lineRule="exact"/>
        <w:rPr>
          <w:rFonts w:ascii="Times New Roman" w:cs="Times New Roman" w:eastAsia="Times New Roman" w:hAnsi="Times New Roman"/>
          <w:sz w:val="14"/>
          <w:szCs w:val="14"/>
          <w:color w:val="auto"/>
        </w:rPr>
      </w:pPr>
    </w:p>
    <w:p>
      <w:pPr>
        <w:jc w:val="both"/>
        <w:ind w:left="80" w:firstLine="66"/>
        <w:spacing w:after="0" w:line="275" w:lineRule="auto"/>
        <w:tabs>
          <w:tab w:leader="none" w:pos="358" w:val="left"/>
        </w:tabs>
        <w:numPr>
          <w:ilvl w:val="1"/>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representation whether any Proponent or any other participant (as defined in Item 4 of Schedule 14A under the 1934 Act) will engage in a solicitation with respect to such nomination or proposal and, if so, the name of each participant in such solicitation and the amount of the cost of solicitation that has been and will be borne, directly or indirectly, by each participant in such solicitation, and a representation as to whether the Proponents intend or are part of a group which intends to:</w:t>
      </w:r>
    </w:p>
    <w:p>
      <w:pPr>
        <w:spacing w:after="0" w:line="117" w:lineRule="exact"/>
        <w:rPr>
          <w:sz w:val="20"/>
          <w:szCs w:val="20"/>
          <w:color w:val="auto"/>
        </w:rPr>
      </w:pPr>
    </w:p>
    <w:p>
      <w:pPr>
        <w:ind w:left="140" w:right="40" w:firstLine="459"/>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5"/>
          <w:szCs w:val="15"/>
          <w:color w:val="auto"/>
        </w:rPr>
        <w:t>x)</w:t>
      </w:r>
      <w:r>
        <w:rPr>
          <w:rFonts w:ascii="Times New Roman" w:cs="Times New Roman" w:eastAsia="Times New Roman" w:hAnsi="Times New Roman"/>
          <w:sz w:val="14"/>
          <w:szCs w:val="14"/>
          <w:color w:val="auto"/>
        </w:rPr>
        <w:t xml:space="preserve"> deliver, or make available, a proxy statement and/or form of proxy to holders of at least the percentage of the Corporation’s voting shares required to approve or adopt the proposal or elect the nominee,</w:t>
      </w:r>
    </w:p>
    <w:p>
      <w:pPr>
        <w:sectPr>
          <w:pgSz w:w="11900" w:h="16840" w:orient="portrait"/>
          <w:cols w:equalWidth="0" w:num="1">
            <w:col w:w="10300"/>
          </w:cols>
          <w:pgMar w:left="960" w:top="1440" w:right="640" w:bottom="1440" w:gutter="0" w:footer="0" w:header="0"/>
        </w:sectPr>
      </w:pPr>
    </w:p>
    <w:bookmarkStart w:id="288" w:name="page289"/>
    <w:bookmarkEnd w:id="288"/>
    <w:p>
      <w:pPr>
        <w:spacing w:after="0" w:line="173" w:lineRule="exact"/>
        <w:rPr>
          <w:sz w:val="20"/>
          <w:szCs w:val="20"/>
          <w:color w:val="auto"/>
        </w:rPr>
      </w:pPr>
    </w:p>
    <w:p>
      <w:pPr>
        <w:ind w:left="1120" w:hanging="195"/>
        <w:spacing w:after="0"/>
        <w:tabs>
          <w:tab w:leader="none" w:pos="1120" w:val="left"/>
        </w:tabs>
        <w:numPr>
          <w:ilvl w:val="2"/>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solicit proxies or votes from stockholders in support of such proposal or nomination and/or</w:t>
      </w:r>
    </w:p>
    <w:p>
      <w:pPr>
        <w:spacing w:after="0" w:line="164" w:lineRule="exact"/>
        <w:rPr>
          <w:rFonts w:ascii="Times New Roman" w:cs="Times New Roman" w:eastAsia="Times New Roman" w:hAnsi="Times New Roman"/>
          <w:sz w:val="14"/>
          <w:szCs w:val="14"/>
          <w:color w:val="auto"/>
        </w:rPr>
      </w:pPr>
    </w:p>
    <w:p>
      <w:pPr>
        <w:ind w:left="1120" w:hanging="195"/>
        <w:spacing w:after="0"/>
        <w:tabs>
          <w:tab w:leader="none" w:pos="1120" w:val="left"/>
        </w:tabs>
        <w:numPr>
          <w:ilvl w:val="2"/>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solicit proxies in support of any proposed nominee in accordance with Rule 14a-19 promulgated under the 1934 Act;</w:t>
      </w:r>
    </w:p>
    <w:p>
      <w:pPr>
        <w:spacing w:after="0" w:line="164" w:lineRule="exact"/>
        <w:rPr>
          <w:rFonts w:ascii="Times New Roman" w:cs="Times New Roman" w:eastAsia="Times New Roman" w:hAnsi="Times New Roman"/>
          <w:sz w:val="14"/>
          <w:szCs w:val="14"/>
          <w:color w:val="auto"/>
        </w:rPr>
      </w:pPr>
    </w:p>
    <w:p>
      <w:pPr>
        <w:ind w:left="460" w:right="20" w:firstLine="6"/>
        <w:spacing w:after="0" w:line="293" w:lineRule="auto"/>
        <w:tabs>
          <w:tab w:leader="none" w:pos="675" w:val="left"/>
        </w:tabs>
        <w:numPr>
          <w:ilvl w:val="1"/>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all Derivative Transactions (as defined below) by each Proponent during the previous 12-month period, including the date of the transactions and the class, series and number of securities involved in, and the material economic or voting terms of, such Derivative Transactions;</w:t>
      </w:r>
    </w:p>
    <w:p>
      <w:pPr>
        <w:spacing w:after="0" w:line="104" w:lineRule="exact"/>
        <w:rPr>
          <w:rFonts w:ascii="Times New Roman" w:cs="Times New Roman" w:eastAsia="Times New Roman" w:hAnsi="Times New Roman"/>
          <w:sz w:val="14"/>
          <w:szCs w:val="14"/>
          <w:color w:val="auto"/>
        </w:rPr>
      </w:pPr>
    </w:p>
    <w:p>
      <w:pPr>
        <w:jc w:val="both"/>
        <w:ind w:left="460" w:right="20" w:firstLine="6"/>
        <w:spacing w:after="0" w:line="287" w:lineRule="auto"/>
        <w:tabs>
          <w:tab w:leader="none" w:pos="728" w:val="left"/>
        </w:tabs>
        <w:numPr>
          <w:ilvl w:val="1"/>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certification regarding whether each Proponent has complied with all applicable federal, state and other legal requirements in connection with such Proponent’s acquisition of shares of capital stock or other securities of the Corporation and/or such Proponent’s acts or omissions as a stockholder or beneficial owner of the Corporation; and</w:t>
      </w:r>
    </w:p>
    <w:p>
      <w:pPr>
        <w:spacing w:after="0" w:line="284" w:lineRule="exact"/>
        <w:rPr>
          <w:rFonts w:ascii="Times New Roman" w:cs="Times New Roman" w:eastAsia="Times New Roman" w:hAnsi="Times New Roman"/>
          <w:sz w:val="14"/>
          <w:szCs w:val="14"/>
          <w:color w:val="auto"/>
        </w:rPr>
      </w:pPr>
    </w:p>
    <w:p>
      <w:pPr>
        <w:jc w:val="both"/>
        <w:ind w:left="460" w:firstLine="6"/>
        <w:spacing w:after="0" w:line="275" w:lineRule="auto"/>
        <w:tabs>
          <w:tab w:leader="none" w:pos="695" w:val="left"/>
        </w:tabs>
        <w:numPr>
          <w:ilvl w:val="1"/>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information relating to each Proponent required to be disclosed in a proxy statement or other filings required to be made in connection with solicitations of proxies for, as applicable, the proposal and/or for the election of directors in an election contest pursuant to and in accordance with Section 14 of the 1934 Act and the rules and regulations promulgated thereunder.</w:t>
      </w:r>
    </w:p>
    <w:p>
      <w:pPr>
        <w:spacing w:after="0" w:line="116" w:lineRule="exact"/>
        <w:rPr>
          <w:rFonts w:ascii="Times New Roman" w:cs="Times New Roman" w:eastAsia="Times New Roman" w:hAnsi="Times New Roman"/>
          <w:sz w:val="14"/>
          <w:szCs w:val="14"/>
          <w:color w:val="auto"/>
        </w:rPr>
      </w:pPr>
    </w:p>
    <w:p>
      <w:pPr>
        <w:jc w:val="both"/>
        <w:ind w:firstLine="7"/>
        <w:spacing w:after="0" w:line="264" w:lineRule="auto"/>
        <w:tabs>
          <w:tab w:leader="none" w:pos="306" w:val="left"/>
        </w:tabs>
        <w:numPr>
          <w:ilvl w:val="0"/>
          <w:numId w:val="2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stockholder providing the written notice required by Section 3.2(b)(1) or (2) shall update and supplement such notice in writing, if necessary, so that the information (other than the representations required by Section 3.2(b)(4)(E)) provided or required to be provided in such notice is true and correct in all material respects as of (i) the record date for the determination of stockholders entitled to notice of the meeting and (ii) the date that is five Business Days (as defined below) prior to the meeting and, in the event of any adjournment or postponement thereof, five Business Days prior to such adjourned or postponed meeting; provided, that no such update or supplement shall cure or affect the accuracy (or inaccuracy) of any representations made by any Proponent, any of its affiliates or associates, or a nominee or the validity (or invalidity) of any nomination or proposal that failed to comply with this Section 3.2 or is rendered invalid as a result of any inaccuracy therein.</w:t>
      </w:r>
    </w:p>
    <w:p>
      <w:pPr>
        <w:spacing w:after="0" w:line="124"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4"/>
          <w:szCs w:val="14"/>
          <w:color w:val="auto"/>
        </w:rPr>
        <w:t>In the case of an update and supplement pursuant to clause (i) of this Section 3.2(c), such update and supplement must be received by the Secretary at the principal executive offices of the Corporation not later than five Business Days after the later of the record date for the determination of stockholders entitled to notice of the meeting or the public announcement of such record date. In the case of an update and supplement pursuant to clause (ii) of this Section 3.2(c), such update and supplement shall be received by the Secretary at the principal executive offices of the Corporation not later than two Business Days prior to the date for the meeting, and, in the event of any adjournment or postponement thereof, two Business Days prior to such adjourned or postponed meeting (or if there are fewer than two Business Days between the date for the meeting, or the date of the immediately preceding adjournment or postponement thereof, and the date for the adjourned or postponed meeting, not later than the day prior to such adjourned or postponed meeting).</w:t>
      </w:r>
    </w:p>
    <w:p>
      <w:pPr>
        <w:spacing w:after="0" w:line="124" w:lineRule="exact"/>
        <w:rPr>
          <w:sz w:val="20"/>
          <w:szCs w:val="20"/>
          <w:color w:val="auto"/>
        </w:rPr>
      </w:pPr>
    </w:p>
    <w:p>
      <w:pPr>
        <w:jc w:val="both"/>
        <w:ind w:right="20" w:firstLine="7"/>
        <w:spacing w:after="0" w:line="275" w:lineRule="auto"/>
        <w:tabs>
          <w:tab w:leader="none" w:pos="344" w:val="left"/>
        </w:tabs>
        <w:numPr>
          <w:ilvl w:val="0"/>
          <w:numId w:val="3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Notwithstanding anything in Section 3.2(b)(3) to the contrary, in the event that the number of directors to be elected to the Board at an annual meeting is increased and there is no public announcement by the Corporation naming all of the nominees for director or specifying the size of the increased Board at least 10 days before the last day a stockholder may deliver a notice of nomination in accordance with</w:t>
      </w:r>
    </w:p>
    <w:p>
      <w:pPr>
        <w:sectPr>
          <w:pgSz w:w="11900" w:h="16840" w:orient="portrait"/>
          <w:cols w:equalWidth="0" w:num="1">
            <w:col w:w="10620"/>
          </w:cols>
          <w:pgMar w:left="640" w:top="1440" w:right="640" w:bottom="1440" w:gutter="0" w:footer="0" w:header="0"/>
        </w:sectPr>
      </w:pPr>
    </w:p>
    <w:bookmarkStart w:id="289" w:name="page290"/>
    <w:bookmarkEnd w:id="289"/>
    <w:p>
      <w:pPr>
        <w:spacing w:after="0" w:line="163"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14"/>
          <w:szCs w:val="14"/>
          <w:color w:val="auto"/>
        </w:rPr>
        <w:t>Section 3.2(b)(3), a stockholder’s notice required by this Section 3.2 and that complies with the requirements in Section 3.2(b)(1), other than the timing requirements in Section 3.2(b) (3), shall also be considered timely, but only with respect to nominees for the new positions created by such increase, if it shall be received by the Secretary at the principal executive offices of the Corporation not later than the close of business on the tenth day following the day on which such public announcement is first made by the Corporation.</w:t>
      </w:r>
    </w:p>
    <w:p>
      <w:pPr>
        <w:spacing w:after="0" w:line="116" w:lineRule="exact"/>
        <w:rPr>
          <w:sz w:val="20"/>
          <w:szCs w:val="20"/>
          <w:color w:val="auto"/>
        </w:rPr>
      </w:pPr>
    </w:p>
    <w:p>
      <w:pPr>
        <w:jc w:val="both"/>
        <w:ind w:firstLine="7"/>
        <w:spacing w:after="0" w:line="266" w:lineRule="auto"/>
        <w:tabs>
          <w:tab w:leader="none" w:pos="306" w:val="left"/>
        </w:tabs>
        <w:numPr>
          <w:ilvl w:val="0"/>
          <w:numId w:val="30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be eligible to be a nominee for election or re-election as a director of the Corporation pursuant to a nomination under clause (iii) of Section 3.2(a) or clause (ii) of Section 3.3(c), each Proponent must deliver (in accordance with the time periods prescribed for delivery of notice under Sections 3.2(b)(3), 3.2(d) or 3.3(c), as applicable) to the Secretary at the principal executive offices of the Corporation a completed written questionnaire with respect to the background, qualifications, stock ownership and independence of such proposed nominee (in the form provided by the Secretary within 10 days following a written request therefor by a stockholder of record) and a written representation and agreement (in the form provided by the Secretary within 10 days following written request therefor by a stockholder of record) that such person:</w:t>
      </w:r>
    </w:p>
    <w:p>
      <w:pPr>
        <w:spacing w:after="0" w:line="122" w:lineRule="exact"/>
        <w:rPr>
          <w:rFonts w:ascii="Times New Roman" w:cs="Times New Roman" w:eastAsia="Times New Roman" w:hAnsi="Times New Roman"/>
          <w:sz w:val="14"/>
          <w:szCs w:val="14"/>
          <w:b w:val="1"/>
          <w:bCs w:val="1"/>
          <w:color w:val="auto"/>
        </w:rPr>
      </w:pPr>
    </w:p>
    <w:p>
      <w:pPr>
        <w:jc w:val="both"/>
        <w:ind w:right="20" w:firstLine="466"/>
        <w:spacing w:after="0" w:line="275" w:lineRule="auto"/>
        <w:tabs>
          <w:tab w:leader="none" w:pos="632" w:val="left"/>
        </w:tabs>
        <w:numPr>
          <w:ilvl w:val="1"/>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and will not become a party to any agreement, arrangement or understanding (whether oral or in writing) with, and has not given any commitment or assurance to, any person or entity as to how such person, if elected as a director of the Corporation, will act or vote on any issue or question that (x) has not been disclosed in the questionnaire or (y) could limit or interfere with such person’s ability to comply with such person’s fiduciary duties under applicable law;</w:t>
      </w:r>
    </w:p>
    <w:p>
      <w:pPr>
        <w:spacing w:after="0" w:line="116" w:lineRule="exact"/>
        <w:rPr>
          <w:rFonts w:ascii="Times New Roman" w:cs="Times New Roman" w:eastAsia="Times New Roman" w:hAnsi="Times New Roman"/>
          <w:sz w:val="14"/>
          <w:szCs w:val="14"/>
          <w:color w:val="auto"/>
        </w:rPr>
      </w:pPr>
    </w:p>
    <w:p>
      <w:pPr>
        <w:jc w:val="both"/>
        <w:ind w:right="40" w:firstLine="466"/>
        <w:spacing w:after="0" w:line="275" w:lineRule="auto"/>
        <w:tabs>
          <w:tab w:leader="none" w:pos="679" w:val="left"/>
        </w:tabs>
        <w:numPr>
          <w:ilvl w:val="1"/>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and will not become a party to any agreement, arrangement or understanding (whether oral or in writing) with any person or entity other than the Corporation with respect to any direct or indirect compensation, reimbursement or indemnification in connection with service or action as a director of the Corporation or a nominee that has not been disclosed in such questionnaire;</w:t>
      </w:r>
    </w:p>
    <w:p>
      <w:pPr>
        <w:spacing w:after="0" w:line="116" w:lineRule="exact"/>
        <w:rPr>
          <w:rFonts w:ascii="Times New Roman" w:cs="Times New Roman" w:eastAsia="Times New Roman" w:hAnsi="Times New Roman"/>
          <w:sz w:val="14"/>
          <w:szCs w:val="14"/>
          <w:color w:val="auto"/>
        </w:rPr>
      </w:pPr>
    </w:p>
    <w:p>
      <w:pPr>
        <w:jc w:val="both"/>
        <w:ind w:right="40" w:firstLine="466"/>
        <w:spacing w:after="0" w:line="275" w:lineRule="auto"/>
        <w:tabs>
          <w:tab w:leader="none" w:pos="708" w:val="left"/>
        </w:tabs>
        <w:numPr>
          <w:ilvl w:val="1"/>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would be in compliance, if elected as a director of the Corporation (and a statement as to whether such person, if elected, intends to comply with), all applicable corporate governance, conflict of interest, confidentiality and stock ownership and trading policies and guidelines of the Corporation that are publicly disclosed or which were provided by the Secretary with the written representation and agreement required by this Section 3.2(e) (together, the “</w:t>
      </w:r>
      <w:r>
        <w:rPr>
          <w:rFonts w:ascii="Times New Roman" w:cs="Times New Roman" w:eastAsia="Times New Roman" w:hAnsi="Times New Roman"/>
          <w:sz w:val="14"/>
          <w:szCs w:val="14"/>
          <w:b w:val="1"/>
          <w:bCs w:val="1"/>
          <w:i w:val="1"/>
          <w:iCs w:val="1"/>
          <w:color w:val="auto"/>
        </w:rPr>
        <w:t>Policies</w:t>
      </w:r>
      <w:r>
        <w:rPr>
          <w:rFonts w:ascii="Times New Roman" w:cs="Times New Roman" w:eastAsia="Times New Roman" w:hAnsi="Times New Roman"/>
          <w:sz w:val="14"/>
          <w:szCs w:val="14"/>
          <w:color w:val="auto"/>
        </w:rPr>
        <w:t>”); and</w:t>
      </w:r>
    </w:p>
    <w:p>
      <w:pPr>
        <w:spacing w:after="0" w:line="116" w:lineRule="exact"/>
        <w:rPr>
          <w:rFonts w:ascii="Times New Roman" w:cs="Times New Roman" w:eastAsia="Times New Roman" w:hAnsi="Times New Roman"/>
          <w:sz w:val="14"/>
          <w:szCs w:val="14"/>
          <w:color w:val="auto"/>
        </w:rPr>
      </w:pPr>
    </w:p>
    <w:p>
      <w:pPr>
        <w:ind w:left="700" w:hanging="234"/>
        <w:spacing w:after="0"/>
        <w:tabs>
          <w:tab w:leader="none" w:pos="700" w:val="left"/>
        </w:tabs>
        <w:numPr>
          <w:ilvl w:val="1"/>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elected as a director of the Corporation, intends to serve the entire term until the next meeting at which such candidate would face re-election.</w:t>
      </w:r>
    </w:p>
    <w:p>
      <w:pPr>
        <w:spacing w:after="0" w:line="164" w:lineRule="exact"/>
        <w:rPr>
          <w:rFonts w:ascii="Times New Roman" w:cs="Times New Roman" w:eastAsia="Times New Roman" w:hAnsi="Times New Roman"/>
          <w:sz w:val="14"/>
          <w:szCs w:val="14"/>
          <w:color w:val="auto"/>
        </w:rPr>
      </w:pPr>
    </w:p>
    <w:p>
      <w:pPr>
        <w:ind w:right="40" w:firstLine="7"/>
        <w:spacing w:after="0" w:line="293" w:lineRule="auto"/>
        <w:tabs>
          <w:tab w:leader="none" w:pos="287" w:val="left"/>
        </w:tabs>
        <w:numPr>
          <w:ilvl w:val="0"/>
          <w:numId w:val="30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Notwithstanding anything to the contrary in the Bylaws, unless otherwise required by applicable law, in the event that any Proponent (i) provides notice pursuant to Rule 14a-19(b) promulgated under the 1934 Act with respect to one or more proposed nominees and (ii) subsequently fails to</w:t>
      </w:r>
    </w:p>
    <w:p>
      <w:pPr>
        <w:spacing w:after="0" w:line="104" w:lineRule="exact"/>
        <w:rPr>
          <w:rFonts w:ascii="Times New Roman" w:cs="Times New Roman" w:eastAsia="Times New Roman" w:hAnsi="Times New Roman"/>
          <w:sz w:val="14"/>
          <w:szCs w:val="14"/>
          <w:b w:val="1"/>
          <w:bCs w:val="1"/>
          <w:color w:val="auto"/>
        </w:rPr>
      </w:pPr>
    </w:p>
    <w:p>
      <w:pPr>
        <w:ind w:left="460" w:right="40" w:firstLine="465"/>
        <w:spacing w:after="0" w:line="293" w:lineRule="auto"/>
        <w:tabs>
          <w:tab w:leader="none" w:pos="1130" w:val="left"/>
        </w:tabs>
        <w:numPr>
          <w:ilvl w:val="2"/>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the requirements of Rule 14a-19 promulgated under the 1934 Act (or fails to timely provide reasonable evidence sufficient to satisfy the Corporation that such Proponent has met the requirements of Rule 14a-19(a)(3) promulgated under the 1934 Act in accordance with the next sentence) or</w:t>
      </w:r>
    </w:p>
    <w:p>
      <w:pPr>
        <w:spacing w:after="0" w:line="104" w:lineRule="exact"/>
        <w:rPr>
          <w:rFonts w:ascii="Times New Roman" w:cs="Times New Roman" w:eastAsia="Times New Roman" w:hAnsi="Times New Roman"/>
          <w:sz w:val="14"/>
          <w:szCs w:val="14"/>
          <w:color w:val="auto"/>
        </w:rPr>
      </w:pPr>
    </w:p>
    <w:p>
      <w:pPr>
        <w:ind w:left="460" w:right="40" w:firstLine="465"/>
        <w:spacing w:after="0" w:line="293" w:lineRule="auto"/>
        <w:tabs>
          <w:tab w:leader="none" w:pos="1132" w:val="left"/>
        </w:tabs>
        <w:numPr>
          <w:ilvl w:val="2"/>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 the Corporation that they no longer plan to solicit proxies in accordance with the requirements of Rule 14a-19 under the 1934 Act by delivering a written notice to the Secretary at the principal executive offices of the Corporation within two (2) Business Days after the occurrence of such change,</w:t>
      </w:r>
    </w:p>
    <w:p>
      <w:pPr>
        <w:sectPr>
          <w:pgSz w:w="11900" w:h="16840" w:orient="portrait"/>
          <w:cols w:equalWidth="0" w:num="1">
            <w:col w:w="10640"/>
          </w:cols>
          <w:pgMar w:left="640" w:top="1440" w:right="620" w:bottom="1440" w:gutter="0" w:footer="0" w:header="0"/>
        </w:sectPr>
      </w:pPr>
    </w:p>
    <w:bookmarkStart w:id="290" w:name="page291"/>
    <w:bookmarkEnd w:id="290"/>
    <w:p>
      <w:pPr>
        <w:spacing w:after="0" w:line="16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4"/>
          <w:szCs w:val="14"/>
          <w:color w:val="auto"/>
        </w:rPr>
        <w:t>then the nomination of each such proposed nominee shall be disregarded (and such nominee disqualified from standing for election or re-election), notwithstanding that the nominee is included (as applicable) as a nominee in the Corporation’s proxy statement, notice of meeting or other proxy materials for any stockholder meeting (or any supplement thereto) and notwithstanding that proxies or votes in respect of the election of such proposed nominees may have been received by the Corporation (which proxies and votes shall be disregarded).</w:t>
      </w:r>
    </w:p>
    <w:p>
      <w:pPr>
        <w:spacing w:after="0" w:line="116" w:lineRule="exact"/>
        <w:rPr>
          <w:sz w:val="20"/>
          <w:szCs w:val="20"/>
          <w:color w:val="auto"/>
        </w:rPr>
      </w:pPr>
    </w:p>
    <w:p>
      <w:pPr>
        <w:jc w:val="both"/>
        <w:ind w:right="20" w:firstLine="459"/>
        <w:spacing w:after="0" w:line="293" w:lineRule="auto"/>
        <w:rPr>
          <w:sz w:val="20"/>
          <w:szCs w:val="20"/>
          <w:color w:val="auto"/>
        </w:rPr>
      </w:pPr>
      <w:r>
        <w:rPr>
          <w:rFonts w:ascii="Times New Roman" w:cs="Times New Roman" w:eastAsia="Times New Roman" w:hAnsi="Times New Roman"/>
          <w:sz w:val="14"/>
          <w:szCs w:val="14"/>
          <w:color w:val="auto"/>
        </w:rPr>
        <w:t>If any Proponent provides notice pursuant to Rule 14a-19(b) promulgated under the 1934 Act, such Proponent shall deliver to the Corporation, no later than five (5) Business Days prior to the applicable meeting, reasonable evidence sufficient to demonstrate that it has met the requirements of Rule 14a-19(a)(3) promulgated under the 1934 Act.</w:t>
      </w:r>
    </w:p>
    <w:p>
      <w:pPr>
        <w:spacing w:after="0" w:line="104"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4"/>
          <w:szCs w:val="14"/>
          <w:color w:val="auto"/>
        </w:rPr>
        <w:t>Notwithstanding anything to the contrary set forth herein, and for the avoidance of doubt, the nomination of any person whose name is included (as applicable) as a nominee in the Corporation’s proxy statement, notice of meeting or other proxy materials for any stockholder meeting (or any supplement thereto) as a result of any notice provided by any Proponent pursuant to Rule 14a-19(b) promulgated under the 1934 Act with respect to such proposed nominee and whose nomination is not made by or at the direction of the Board or any authorized committee thereof shall not be deemed (for purposes of clause (i) of Section 3.2(a) or otherwise) to have been made pursuant to the Corporation’s notice of meeting (or any supplement thereto) and any such nominee may only be nominated by a Proponent pursuant to clause (iii) of Section 3.2(a) and, in the case of a special meeting of stockholders, pursuant to and to the extent permitted under Section 3.3(c).</w:t>
      </w:r>
    </w:p>
    <w:p>
      <w:pPr>
        <w:spacing w:after="0" w:line="124" w:lineRule="exact"/>
        <w:rPr>
          <w:sz w:val="20"/>
          <w:szCs w:val="20"/>
          <w:color w:val="auto"/>
        </w:rPr>
      </w:pPr>
    </w:p>
    <w:p>
      <w:pPr>
        <w:jc w:val="both"/>
        <w:ind w:firstLine="459"/>
        <w:spacing w:after="0" w:line="260" w:lineRule="auto"/>
        <w:rPr>
          <w:sz w:val="20"/>
          <w:szCs w:val="20"/>
          <w:color w:val="auto"/>
        </w:rPr>
      </w:pPr>
      <w:r>
        <w:rPr>
          <w:rFonts w:ascii="Times New Roman" w:cs="Times New Roman" w:eastAsia="Times New Roman" w:hAnsi="Times New Roman"/>
          <w:sz w:val="14"/>
          <w:szCs w:val="14"/>
          <w:color w:val="auto"/>
        </w:rPr>
        <w:t>A person shall not be eligible for election or re-election as a director at an annual meeting unless the person is nominated in accordance with clause (ii) or (iii) of Section 3.2(a) and in accordance with the procedures and requirements set forth in Section 3.2(b), Section 3.2(c), Section 3.2(d), Section 3.2(e) and Section 3.2(f), as applicable. Only such business shall be conducted at any annual meeting of the stockholders of the Corporation as shall have been brought before the meeting in accordance with Section 3.2(a) and in accordance with the procedures and requirements set forth in Section 3.2(b), Section 3.2(c) and Section 3.2(f), as applicable. Except as otherwise required by applicable law, and subject to the supervision, direction and control of the Board, the chairperson of the meeting shall have the power and duty to determine whether a nomination or any business proposed to be brought before the meeting was made, or proposed, as the case may be, in accordance with the procedures and requirements set forth in the Bylaws (including, without limitation, compliance with Rule 14a-19 promulgated under the 1934 Act) and, if any proposed nomination or business is not in compliance with the Bylaws, or the Proponent does not act in accordance with the representations required in this Section 3.2, to declare that such proposal or nomination shall not be presented for stockholder action at the meeting and shall be disregarded (and such nominee disqualified from standing for election or re-election), or that such business shall not be transacted, notwithstanding that such proposal or nomination is set forth in (as applicable) the Corporation’s proxy statement, notice of meeting or other proxy materials and notwithstanding that proxies or votes in respect of such nomination or such business may have been solicited or received.</w:t>
      </w:r>
    </w:p>
    <w:p>
      <w:pPr>
        <w:spacing w:after="0" w:line="304" w:lineRule="exact"/>
        <w:rPr>
          <w:sz w:val="20"/>
          <w:szCs w:val="20"/>
          <w:color w:val="auto"/>
        </w:rPr>
      </w:pPr>
    </w:p>
    <w:p>
      <w:pPr>
        <w:jc w:val="both"/>
        <w:ind w:right="20" w:firstLine="459"/>
        <w:spacing w:after="0" w:line="269" w:lineRule="auto"/>
        <w:rPr>
          <w:sz w:val="20"/>
          <w:szCs w:val="20"/>
          <w:color w:val="auto"/>
        </w:rPr>
      </w:pPr>
      <w:r>
        <w:rPr>
          <w:rFonts w:ascii="Times New Roman" w:cs="Times New Roman" w:eastAsia="Times New Roman" w:hAnsi="Times New Roman"/>
          <w:sz w:val="14"/>
          <w:szCs w:val="14"/>
          <w:color w:val="auto"/>
        </w:rPr>
        <w:t>Notwithstanding the foregoing provisions of this Section 3.2, unless otherwise required by applicable law, if the stockholder (or a qualified representative of the stockholder) does not appear at the annual meeting of stockholders of the Corporation to present a nomination or proposed business, such nomination shall be disregarded (and such nominee disqualified from standing for election or re-election) and such proposed business shall not be transacted, notwithstanding that such nomination or proposed business is set forth in (as applicable) the Corporation’s proxy statement, notice of meeting or other proxy</w:t>
      </w:r>
    </w:p>
    <w:p>
      <w:pPr>
        <w:sectPr>
          <w:pgSz w:w="11900" w:h="16840" w:orient="portrait"/>
          <w:cols w:equalWidth="0" w:num="1">
            <w:col w:w="10620"/>
          </w:cols>
          <w:pgMar w:left="640" w:top="1440" w:right="640" w:bottom="1440" w:gutter="0" w:footer="0" w:header="0"/>
        </w:sectPr>
      </w:pPr>
    </w:p>
    <w:bookmarkStart w:id="291" w:name="page292"/>
    <w:bookmarkEnd w:id="291"/>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materials and notwithstanding that proxies or votes in respect of such vote may have been solicited or received by the Corporation.</w:t>
      </w:r>
    </w:p>
    <w:p>
      <w:pPr>
        <w:spacing w:after="0" w:line="164" w:lineRule="exact"/>
        <w:rPr>
          <w:sz w:val="20"/>
          <w:szCs w:val="20"/>
          <w:color w:val="auto"/>
        </w:rPr>
      </w:pPr>
    </w:p>
    <w:p>
      <w:pPr>
        <w:ind w:left="320" w:hanging="313"/>
        <w:spacing w:after="0"/>
        <w:tabs>
          <w:tab w:leader="none" w:pos="320" w:val="left"/>
        </w:tabs>
        <w:numPr>
          <w:ilvl w:val="0"/>
          <w:numId w:val="3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purposes of Sections 3.2 and 3.3,</w:t>
      </w:r>
    </w:p>
    <w:p>
      <w:pPr>
        <w:spacing w:after="0" w:line="160" w:lineRule="exact"/>
        <w:rPr>
          <w:rFonts w:ascii="Times New Roman" w:cs="Times New Roman" w:eastAsia="Times New Roman" w:hAnsi="Times New Roman"/>
          <w:sz w:val="14"/>
          <w:szCs w:val="14"/>
          <w:b w:val="1"/>
          <w:bCs w:val="1"/>
          <w:color w:val="auto"/>
        </w:rPr>
      </w:pPr>
    </w:p>
    <w:p>
      <w:pPr>
        <w:ind w:left="720" w:hanging="312"/>
        <w:spacing w:after="0"/>
        <w:tabs>
          <w:tab w:leader="none" w:pos="720" w:val="left"/>
        </w:tabs>
        <w:numPr>
          <w:ilvl w:val="1"/>
          <w:numId w:val="3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affiliates</w:t>
      </w:r>
      <w:r>
        <w:rPr>
          <w:rFonts w:ascii="Times New Roman" w:cs="Times New Roman" w:eastAsia="Times New Roman" w:hAnsi="Times New Roman"/>
          <w:sz w:val="14"/>
          <w:szCs w:val="14"/>
          <w:color w:val="auto"/>
        </w:rPr>
        <w:t xml:space="preserve">” and “ </w:t>
      </w:r>
      <w:r>
        <w:rPr>
          <w:rFonts w:ascii="Times New Roman" w:cs="Times New Roman" w:eastAsia="Times New Roman" w:hAnsi="Times New Roman"/>
          <w:sz w:val="14"/>
          <w:szCs w:val="14"/>
          <w:b w:val="1"/>
          <w:bCs w:val="1"/>
          <w:i w:val="1"/>
          <w:iCs w:val="1"/>
          <w:color w:val="auto"/>
        </w:rPr>
        <w:t>associates</w:t>
      </w:r>
      <w:r>
        <w:rPr>
          <w:rFonts w:ascii="Times New Roman" w:cs="Times New Roman" w:eastAsia="Times New Roman" w:hAnsi="Times New Roman"/>
          <w:sz w:val="14"/>
          <w:szCs w:val="14"/>
          <w:color w:val="auto"/>
        </w:rPr>
        <w:t>” shall have the meanings set forth in Rule 405 under the 1933 Act;</w:t>
      </w:r>
    </w:p>
    <w:p>
      <w:pPr>
        <w:spacing w:after="0" w:line="164" w:lineRule="exact"/>
        <w:rPr>
          <w:rFonts w:ascii="Times New Roman" w:cs="Times New Roman" w:eastAsia="Times New Roman" w:hAnsi="Times New Roman"/>
          <w:sz w:val="14"/>
          <w:szCs w:val="14"/>
          <w:b w:val="1"/>
          <w:bCs w:val="1"/>
          <w:color w:val="auto"/>
        </w:rPr>
      </w:pPr>
    </w:p>
    <w:p>
      <w:pPr>
        <w:ind w:left="720" w:hanging="312"/>
        <w:spacing w:after="0"/>
        <w:tabs>
          <w:tab w:leader="none" w:pos="720" w:val="left"/>
        </w:tabs>
        <w:numPr>
          <w:ilvl w:val="1"/>
          <w:numId w:val="3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Business Day</w:t>
      </w:r>
      <w:r>
        <w:rPr>
          <w:rFonts w:ascii="Times New Roman" w:cs="Times New Roman" w:eastAsia="Times New Roman" w:hAnsi="Times New Roman"/>
          <w:sz w:val="14"/>
          <w:szCs w:val="14"/>
          <w:color w:val="auto"/>
        </w:rPr>
        <w:t>” means any day other than Saturday, Sunday or a day on which banks are closed in New York City, New York;</w:t>
      </w:r>
    </w:p>
    <w:p>
      <w:pPr>
        <w:spacing w:after="0" w:line="164" w:lineRule="exact"/>
        <w:rPr>
          <w:rFonts w:ascii="Times New Roman" w:cs="Times New Roman" w:eastAsia="Times New Roman" w:hAnsi="Times New Roman"/>
          <w:sz w:val="14"/>
          <w:szCs w:val="14"/>
          <w:b w:val="1"/>
          <w:bCs w:val="1"/>
          <w:color w:val="auto"/>
        </w:rPr>
      </w:pPr>
    </w:p>
    <w:p>
      <w:pPr>
        <w:ind w:left="720" w:hanging="312"/>
        <w:spacing w:after="0"/>
        <w:tabs>
          <w:tab w:leader="none" w:pos="720" w:val="left"/>
        </w:tabs>
        <w:numPr>
          <w:ilvl w:val="1"/>
          <w:numId w:val="3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close of business</w:t>
      </w:r>
      <w:r>
        <w:rPr>
          <w:rFonts w:ascii="Times New Roman" w:cs="Times New Roman" w:eastAsia="Times New Roman" w:hAnsi="Times New Roman"/>
          <w:sz w:val="14"/>
          <w:szCs w:val="14"/>
          <w:color w:val="auto"/>
        </w:rPr>
        <w:t>” means 6:00 p.m. local time at the principal executive offices of the Corporation on any calendar day, whether or not the day is a Business Day;</w:t>
      </w:r>
    </w:p>
    <w:p>
      <w:pPr>
        <w:spacing w:after="0" w:line="164" w:lineRule="exact"/>
        <w:rPr>
          <w:sz w:val="20"/>
          <w:szCs w:val="20"/>
          <w:color w:val="auto"/>
        </w:rPr>
      </w:pPr>
    </w:p>
    <w:p>
      <w:pPr>
        <w:ind w:left="640" w:right="40" w:hanging="232"/>
        <w:spacing w:after="0" w:line="299" w:lineRule="auto"/>
        <w:tabs>
          <w:tab w:leader="none" w:pos="482" w:val="left"/>
        </w:tabs>
        <w:numPr>
          <w:ilvl w:val="0"/>
          <w:numId w:val="30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4 )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Derivative Transaction</w:t>
      </w:r>
      <w:r>
        <w:rPr>
          <w:rFonts w:ascii="Times New Roman" w:cs="Times New Roman" w:eastAsia="Times New Roman" w:hAnsi="Times New Roman"/>
          <w:sz w:val="14"/>
          <w:szCs w:val="14"/>
          <w:color w:val="auto"/>
        </w:rPr>
        <w:t>” means any agreement, arrangement, interest or understanding entered into by, or on behalf or for the benefit of, any Proponent or any of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affiliates or associates, whether record or beneficial:</w:t>
      </w:r>
    </w:p>
    <w:p>
      <w:pPr>
        <w:spacing w:after="0" w:line="100" w:lineRule="exact"/>
        <w:rPr>
          <w:rFonts w:ascii="Times New Roman" w:cs="Times New Roman" w:eastAsia="Times New Roman" w:hAnsi="Times New Roman"/>
          <w:sz w:val="14"/>
          <w:szCs w:val="14"/>
          <w:b w:val="1"/>
          <w:bCs w:val="1"/>
          <w:color w:val="auto"/>
        </w:rPr>
      </w:pPr>
    </w:p>
    <w:p>
      <w:pPr>
        <w:ind w:left="1160" w:hanging="235"/>
        <w:spacing w:after="0"/>
        <w:tabs>
          <w:tab w:leader="none" w:pos="1160" w:val="left"/>
        </w:tabs>
        <w:numPr>
          <w:ilvl w:val="1"/>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which is derived in whole or in part from the value of any class or series of shares or other securities of the Corporation;</w:t>
      </w:r>
    </w:p>
    <w:p>
      <w:pPr>
        <w:spacing w:after="0" w:line="164" w:lineRule="exact"/>
        <w:rPr>
          <w:rFonts w:ascii="Times New Roman" w:cs="Times New Roman" w:eastAsia="Times New Roman" w:hAnsi="Times New Roman"/>
          <w:sz w:val="14"/>
          <w:szCs w:val="14"/>
          <w:color w:val="auto"/>
        </w:rPr>
      </w:pPr>
    </w:p>
    <w:p>
      <w:pPr>
        <w:ind w:left="1160" w:hanging="235"/>
        <w:spacing w:after="0"/>
        <w:tabs>
          <w:tab w:leader="none" w:pos="1160" w:val="left"/>
        </w:tabs>
        <w:numPr>
          <w:ilvl w:val="1"/>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otherwise provides any direct or indirect opportunity to gain or share in any gain derived from a change in the value of securities of the Corporation;</w:t>
      </w:r>
    </w:p>
    <w:p>
      <w:pPr>
        <w:spacing w:after="0" w:line="164" w:lineRule="exact"/>
        <w:rPr>
          <w:rFonts w:ascii="Times New Roman" w:cs="Times New Roman" w:eastAsia="Times New Roman" w:hAnsi="Times New Roman"/>
          <w:sz w:val="14"/>
          <w:szCs w:val="14"/>
          <w:color w:val="auto"/>
        </w:rPr>
      </w:pPr>
    </w:p>
    <w:p>
      <w:pPr>
        <w:ind w:left="1160" w:hanging="235"/>
        <w:spacing w:after="0"/>
        <w:tabs>
          <w:tab w:leader="none" w:pos="1160" w:val="left"/>
        </w:tabs>
        <w:numPr>
          <w:ilvl w:val="1"/>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or intent of which is to mitigate loss, manage risk or benefit from changes in value or price with respect to any securities of the Corporation; or</w:t>
      </w:r>
    </w:p>
    <w:p>
      <w:pPr>
        <w:spacing w:after="0" w:line="164" w:lineRule="exact"/>
        <w:rPr>
          <w:rFonts w:ascii="Times New Roman" w:cs="Times New Roman" w:eastAsia="Times New Roman" w:hAnsi="Times New Roman"/>
          <w:sz w:val="14"/>
          <w:szCs w:val="14"/>
          <w:color w:val="auto"/>
        </w:rPr>
      </w:pPr>
    </w:p>
    <w:p>
      <w:pPr>
        <w:ind w:left="400" w:right="40" w:firstLine="525"/>
        <w:spacing w:after="0" w:line="293" w:lineRule="auto"/>
        <w:tabs>
          <w:tab w:leader="none" w:pos="1153" w:val="left"/>
        </w:tabs>
        <w:numPr>
          <w:ilvl w:val="1"/>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provides the right to vote (other than a revocable proxy given in response to a proxy solicitation made to 10 or more persons) or increase or decrease the voting power of, such Proponent, or any of its affiliates or associates, directly or indirectly, with respect to any securities of the Corporation,</w:t>
      </w:r>
    </w:p>
    <w:p>
      <w:pPr>
        <w:spacing w:after="0" w:line="104" w:lineRule="exact"/>
        <w:rPr>
          <w:sz w:val="20"/>
          <w:szCs w:val="20"/>
          <w:color w:val="auto"/>
        </w:rPr>
      </w:pPr>
    </w:p>
    <w:p>
      <w:pPr>
        <w:jc w:val="both"/>
        <w:ind w:left="400"/>
        <w:spacing w:after="0" w:line="269" w:lineRule="auto"/>
        <w:rPr>
          <w:sz w:val="20"/>
          <w:szCs w:val="20"/>
          <w:color w:val="auto"/>
        </w:rPr>
      </w:pPr>
      <w:r>
        <w:rPr>
          <w:rFonts w:ascii="Times New Roman" w:cs="Times New Roman" w:eastAsia="Times New Roman" w:hAnsi="Times New Roman"/>
          <w:sz w:val="14"/>
          <w:szCs w:val="14"/>
          <w:color w:val="auto"/>
        </w:rPr>
        <w:t>which agreement, arrangement, interest or understanding may include, without limitation, any option, warrant, debt position, note, bond, convertible security, swap, stock appreciation or similar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116" w:lineRule="exact"/>
        <w:rPr>
          <w:sz w:val="20"/>
          <w:szCs w:val="20"/>
          <w:color w:val="auto"/>
        </w:rPr>
      </w:pPr>
    </w:p>
    <w:p>
      <w:pPr>
        <w:ind w:left="640" w:hanging="232"/>
        <w:spacing w:after="0" w:line="271" w:lineRule="auto"/>
        <w:tabs>
          <w:tab w:leader="none" w:pos="477" w:val="left"/>
        </w:tabs>
        <w:numPr>
          <w:ilvl w:val="0"/>
          <w:numId w:val="3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5 )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public announcement</w:t>
      </w:r>
      <w:r>
        <w:rPr>
          <w:rFonts w:ascii="Times New Roman" w:cs="Times New Roman" w:eastAsia="Times New Roman" w:hAnsi="Times New Roman"/>
          <w:sz w:val="14"/>
          <w:szCs w:val="14"/>
          <w:color w:val="auto"/>
        </w:rPr>
        <w:t>” means disclosure in a press release reported by the Dow Jones News Service, Associated Press, Business Wire, GlobeNewswire or comparable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w:t>
      </w:r>
    </w:p>
    <w:p>
      <w:pPr>
        <w:spacing w:after="0" w:line="115" w:lineRule="exact"/>
        <w:rPr>
          <w:sz w:val="20"/>
          <w:szCs w:val="20"/>
          <w:color w:val="auto"/>
        </w:rPr>
      </w:pPr>
    </w:p>
    <w:p>
      <w:pPr>
        <w:ind w:left="640" w:right="60" w:hanging="232"/>
        <w:spacing w:after="0" w:line="299" w:lineRule="auto"/>
        <w:tabs>
          <w:tab w:leader="none" w:pos="477" w:val="left"/>
        </w:tabs>
        <w:numPr>
          <w:ilvl w:val="0"/>
          <w:numId w:val="3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6 ) </w:t>
      </w: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b w:val="1"/>
          <w:bCs w:val="1"/>
          <w:i w:val="1"/>
          <w:iCs w:val="1"/>
          <w:color w:val="auto"/>
        </w:rPr>
        <w:t>qualified representative</w:t>
      </w:r>
      <w:r>
        <w:rPr>
          <w:rFonts w:ascii="Times New Roman" w:cs="Times New Roman" w:eastAsia="Times New Roman" w:hAnsi="Times New Roman"/>
          <w:sz w:val="14"/>
          <w:szCs w:val="14"/>
          <w:color w:val="auto"/>
        </w:rPr>
        <w:t>” of a stockholder shall mean (A) a duly authorized officer, manager, trustee or partner of such stockholder or (B) a person authorized by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writing executed by such stockholder or an electronic transmission delivered by such stockholder to</w:t>
      </w:r>
    </w:p>
    <w:p>
      <w:pPr>
        <w:sectPr>
          <w:pgSz w:w="11900" w:h="16840" w:orient="portrait"/>
          <w:cols w:equalWidth="0" w:num="1">
            <w:col w:w="10640"/>
          </w:cols>
          <w:pgMar w:left="640" w:top="1440" w:right="620" w:bottom="1440" w:gutter="0" w:footer="0" w:header="0"/>
        </w:sectPr>
      </w:pPr>
    </w:p>
    <w:bookmarkStart w:id="292" w:name="page293"/>
    <w:bookmarkEnd w:id="292"/>
    <w:p>
      <w:pPr>
        <w:spacing w:after="0" w:line="163" w:lineRule="exact"/>
        <w:rPr>
          <w:sz w:val="20"/>
          <w:szCs w:val="20"/>
          <w:color w:val="auto"/>
        </w:rPr>
      </w:pPr>
    </w:p>
    <w:p>
      <w:pPr>
        <w:ind w:left="640" w:right="20"/>
        <w:spacing w:after="0" w:line="293" w:lineRule="auto"/>
        <w:rPr>
          <w:sz w:val="20"/>
          <w:szCs w:val="20"/>
          <w:color w:val="auto"/>
        </w:rPr>
      </w:pPr>
      <w:r>
        <w:rPr>
          <w:rFonts w:ascii="Times New Roman" w:cs="Times New Roman" w:eastAsia="Times New Roman" w:hAnsi="Times New Roman"/>
          <w:sz w:val="14"/>
          <w:szCs w:val="14"/>
          <w:color w:val="auto"/>
        </w:rPr>
        <w:t>act for such stockholder as proxy at the meeting of stockholders, and such writing or electronic transmission, or a reliable reproduction of the writing or electronic transmission, shall be provided to the Secretary of the Corporation at least five Business Days prior to the meeting of stockholders.</w:t>
      </w:r>
    </w:p>
    <w:p>
      <w:pPr>
        <w:spacing w:after="0" w:line="10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Section 3.3</w:t>
        <w:tab/>
        <w:t>Special Meetings.</w:t>
      </w:r>
    </w:p>
    <w:p>
      <w:pPr>
        <w:spacing w:after="0" w:line="164" w:lineRule="exact"/>
        <w:rPr>
          <w:sz w:val="20"/>
          <w:szCs w:val="20"/>
          <w:color w:val="auto"/>
        </w:rPr>
      </w:pPr>
    </w:p>
    <w:p>
      <w:pPr>
        <w:jc w:val="both"/>
        <w:ind w:right="20" w:firstLine="7"/>
        <w:spacing w:after="0" w:line="276" w:lineRule="auto"/>
        <w:tabs>
          <w:tab w:leader="none" w:pos="76" w:val="left"/>
        </w:tabs>
        <w:numPr>
          <w:ilvl w:val="0"/>
          <w:numId w:val="3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 ) </w:t>
      </w:r>
      <w:r>
        <w:rPr>
          <w:rFonts w:ascii="Times New Roman" w:cs="Times New Roman" w:eastAsia="Times New Roman" w:hAnsi="Times New Roman"/>
          <w:sz w:val="14"/>
          <w:szCs w:val="14"/>
          <w:color w:val="auto"/>
        </w:rPr>
        <w:t>Special meetings of the stockholders of the Corporation may only be called in the manner provided in the Certificate of Incorporation. Any special meeting of stockholders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previously scheduled by the Board may be postponed, rescheduled or cancelled by the Board, or any director or officer to whom the Board has delegated such authority, at any time before or after notice of such meeting has been given to stockholders.</w:t>
      </w:r>
    </w:p>
    <w:p>
      <w:pPr>
        <w:spacing w:after="0" w:line="116" w:lineRule="exact"/>
        <w:rPr>
          <w:sz w:val="20"/>
          <w:szCs w:val="20"/>
          <w:color w:val="auto"/>
        </w:rPr>
      </w:pPr>
    </w:p>
    <w:p>
      <w:pPr>
        <w:ind w:right="20" w:firstLine="7"/>
        <w:spacing w:after="0" w:line="293" w:lineRule="auto"/>
        <w:tabs>
          <w:tab w:leader="none" w:pos="335" w:val="left"/>
        </w:tabs>
        <w:numPr>
          <w:ilvl w:val="0"/>
          <w:numId w:val="3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Board (or its designee) shall determine the date and time of such special meeting. Upon determination of the date, time and place, if any, of the meeting, the Secretary shall cause a notice of meeting to be given to the stockholders entitled to vote, in accordance with the provisions of Section 3.4.</w:t>
      </w:r>
    </w:p>
    <w:p>
      <w:pPr>
        <w:spacing w:after="0" w:line="102" w:lineRule="exact"/>
        <w:rPr>
          <w:sz w:val="20"/>
          <w:szCs w:val="20"/>
          <w:color w:val="auto"/>
        </w:rPr>
      </w:pPr>
    </w:p>
    <w:p>
      <w:pPr>
        <w:ind w:right="20" w:firstLine="7"/>
        <w:spacing w:after="0" w:line="296" w:lineRule="auto"/>
        <w:tabs>
          <w:tab w:leader="none" w:pos="81" w:val="left"/>
        </w:tabs>
        <w:numPr>
          <w:ilvl w:val="0"/>
          <w:numId w:val="30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 ) </w:t>
      </w:r>
      <w:r>
        <w:rPr>
          <w:rFonts w:ascii="Times New Roman" w:cs="Times New Roman" w:eastAsia="Times New Roman" w:hAnsi="Times New Roman"/>
          <w:sz w:val="14"/>
          <w:szCs w:val="14"/>
          <w:color w:val="auto"/>
        </w:rPr>
        <w:t>Only such business shall be conducted at a special meeting of stockholders as shall have been brought before the meeting pursuant to the Corporation’s notice of meeting.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Nominations of persons for election to the Board may be made at a special meeting of stockholders at which directors are to be elected</w:t>
      </w:r>
    </w:p>
    <w:p>
      <w:pPr>
        <w:spacing w:after="0" w:line="102" w:lineRule="exact"/>
        <w:rPr>
          <w:rFonts w:ascii="Times New Roman" w:cs="Times New Roman" w:eastAsia="Times New Roman" w:hAnsi="Times New Roman"/>
          <w:sz w:val="14"/>
          <w:szCs w:val="14"/>
          <w:b w:val="1"/>
          <w:bCs w:val="1"/>
          <w:color w:val="auto"/>
        </w:rPr>
      </w:pPr>
    </w:p>
    <w:p>
      <w:pPr>
        <w:ind w:left="640" w:hanging="174"/>
        <w:spacing w:after="0"/>
        <w:tabs>
          <w:tab w:leader="none" w:pos="640" w:val="left"/>
        </w:tabs>
        <w:numPr>
          <w:ilvl w:val="1"/>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or at the direction of the Board or a duly authorized committee thereof or</w:t>
      </w:r>
    </w:p>
    <w:p>
      <w:pPr>
        <w:spacing w:after="0" w:line="164" w:lineRule="exact"/>
        <w:rPr>
          <w:rFonts w:ascii="Times New Roman" w:cs="Times New Roman" w:eastAsia="Times New Roman" w:hAnsi="Times New Roman"/>
          <w:sz w:val="14"/>
          <w:szCs w:val="14"/>
          <w:color w:val="auto"/>
        </w:rPr>
      </w:pPr>
    </w:p>
    <w:p>
      <w:pPr>
        <w:ind w:firstLine="466"/>
        <w:spacing w:after="0" w:line="293" w:lineRule="auto"/>
        <w:tabs>
          <w:tab w:leader="none" w:pos="678" w:val="left"/>
        </w:tabs>
        <w:numPr>
          <w:ilvl w:val="1"/>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any stockholder of the Corporation who is a stockholder of record at the time of giving notice provided for in this paragraph and who is a stockholder of record at the time of the special meeting, who is entitled to vote at the meeting and who complies with Sections 3.2(b)(1), 3.2(b)(4), 3.2(c), 3.2(e) and 3.2(f).</w:t>
      </w:r>
    </w:p>
    <w:p>
      <w:pPr>
        <w:spacing w:after="0" w:line="104" w:lineRule="exact"/>
        <w:rPr>
          <w:sz w:val="20"/>
          <w:szCs w:val="20"/>
          <w:color w:val="auto"/>
        </w:rPr>
      </w:pPr>
    </w:p>
    <w:p>
      <w:pPr>
        <w:jc w:val="both"/>
        <w:ind w:firstLine="459"/>
        <w:spacing w:after="0" w:line="249" w:lineRule="auto"/>
        <w:rPr>
          <w:sz w:val="20"/>
          <w:szCs w:val="20"/>
          <w:color w:val="auto"/>
        </w:rPr>
      </w:pPr>
      <w:r>
        <w:rPr>
          <w:rFonts w:ascii="Times New Roman" w:cs="Times New Roman" w:eastAsia="Times New Roman" w:hAnsi="Times New Roman"/>
          <w:sz w:val="14"/>
          <w:szCs w:val="14"/>
          <w:color w:val="auto"/>
        </w:rPr>
        <w:t>The number of nominees a stockholder may nominate for election at a special meeting on its own behalf (or in the case of a stockholder giving the notice on behalf of a beneficial owner, the number of nominees a stockholder may nominate for election at a special meeting on behalf of such beneficial owner) shall not exceed the number of directors to be elected at such special meeting. In the event the Corporation calls a special meeting of stockholders for the purpose of submitting a proposal to stockholders for the election of one or more directors, any such stockholder of record entitled to vote in such election of directors may nominate a person or persons (as the case may be), for election to such position(s) as specified in the Corporation’s notice of meeting, if written notice setting forth the information required by Sections 3.2(b)(1) and 3.2(b)(4) shall be received by the Secretary at the principal executive offices of the Corporation not earlier than the close of business on 120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4"/>
          <w:szCs w:val="14"/>
          <w:color w:val="auto"/>
        </w:rPr>
        <w:t xml:space="preserve"> day prior to such special meeting and not later than the close of business on the later of (i) the 90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4"/>
          <w:szCs w:val="14"/>
          <w:color w:val="auto"/>
        </w:rPr>
        <w:t xml:space="preserve"> day prior to such meeting or (ii) the tenth day following the day on which the Corporation first makes a public announcement of the date of the special meeting at which directors are to be elected. The stockholder shall also update and supplement such information as required under Section 3.2(c).</w:t>
      </w:r>
    </w:p>
    <w:p>
      <w:pPr>
        <w:spacing w:after="0" w:line="135" w:lineRule="exact"/>
        <w:rPr>
          <w:sz w:val="20"/>
          <w:szCs w:val="20"/>
          <w:color w:val="auto"/>
        </w:rPr>
      </w:pPr>
    </w:p>
    <w:p>
      <w:pPr>
        <w:jc w:val="both"/>
        <w:ind w:firstLine="459"/>
        <w:spacing w:after="0" w:line="287" w:lineRule="auto"/>
        <w:rPr>
          <w:sz w:val="20"/>
          <w:szCs w:val="20"/>
          <w:color w:val="auto"/>
        </w:rPr>
      </w:pPr>
      <w:r>
        <w:rPr>
          <w:rFonts w:ascii="Times New Roman" w:cs="Times New Roman" w:eastAsia="Times New Roman" w:hAnsi="Times New Roman"/>
          <w:sz w:val="14"/>
          <w:szCs w:val="14"/>
          <w:color w:val="auto"/>
        </w:rPr>
        <w:t>In no event shall an adjournment or a postponement (or the public announcement thereof) of a special meeting for which notice has been given, or for which a public announcement of the date of the meeting has been made by the Corporation, commence a new time period (or extend any time period) for the giving of a stockholder’s notice as described above.</w:t>
      </w:r>
    </w:p>
    <w:p>
      <w:pPr>
        <w:sectPr>
          <w:pgSz w:w="11900" w:h="16840" w:orient="portrait"/>
          <w:cols w:equalWidth="0" w:num="1">
            <w:col w:w="10620"/>
          </w:cols>
          <w:pgMar w:left="640" w:top="1440" w:right="640" w:bottom="1440" w:gutter="0" w:footer="0" w:header="0"/>
        </w:sectPr>
      </w:pPr>
    </w:p>
    <w:bookmarkStart w:id="293" w:name="page294"/>
    <w:bookmarkEnd w:id="293"/>
    <w:p>
      <w:pPr>
        <w:spacing w:after="0" w:line="163" w:lineRule="exact"/>
        <w:rPr>
          <w:sz w:val="20"/>
          <w:szCs w:val="20"/>
          <w:color w:val="auto"/>
        </w:rPr>
      </w:pPr>
    </w:p>
    <w:p>
      <w:pPr>
        <w:jc w:val="both"/>
        <w:ind w:firstLine="7"/>
        <w:spacing w:after="0" w:line="262" w:lineRule="auto"/>
        <w:tabs>
          <w:tab w:leader="none" w:pos="344" w:val="left"/>
        </w:tabs>
        <w:numPr>
          <w:ilvl w:val="0"/>
          <w:numId w:val="3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person shall not be eligible for election or re-election as a director at the special meeting unless the person is nominated either in accordance with clause (i) or clause (ii) of Section 3.3(c). Except as otherwise required by applicable law, and subject to the supervision, direction and control of the Board, the chairperson of the meeting shall have the power and duty to determine whether a nomination was made in accordance with the procedures and requirements set forth in the Bylaws and, if any proposed nomination is not in compliance with the Bylaws (including, without limitation, compliance with Rule 14a-19 under the 1934 Act), or if the Proponent does not act in accordance with the representations required in Section 3.2, to declare that such nomination shall not be presented for stockholder action at the meeting and shall be disregarded (and such nominee disqualified from standing for election or re-election), notwithstanding that such nomination is set forth in (as applicable) the Corporation’s proxy statement, notice of meeting or other proxy materials and notwithstanding that proxies or votes in respect of such nomination may have been solicited or received.</w:t>
      </w:r>
    </w:p>
    <w:p>
      <w:pPr>
        <w:spacing w:after="0" w:line="129" w:lineRule="exact"/>
        <w:rPr>
          <w:sz w:val="20"/>
          <w:szCs w:val="20"/>
          <w:color w:val="auto"/>
        </w:rPr>
      </w:pPr>
    </w:p>
    <w:p>
      <w:pPr>
        <w:jc w:val="both"/>
        <w:ind w:right="20" w:firstLine="459"/>
        <w:spacing w:after="0" w:line="269" w:lineRule="auto"/>
        <w:rPr>
          <w:sz w:val="20"/>
          <w:szCs w:val="20"/>
          <w:color w:val="auto"/>
        </w:rPr>
      </w:pPr>
      <w:r>
        <w:rPr>
          <w:rFonts w:ascii="Times New Roman" w:cs="Times New Roman" w:eastAsia="Times New Roman" w:hAnsi="Times New Roman"/>
          <w:sz w:val="14"/>
          <w:szCs w:val="14"/>
          <w:color w:val="auto"/>
        </w:rPr>
        <w:t>Notwithstanding the foregoing provisions of this Section 3.3, unless otherwise required by applicable law, if the stockholder (or a qualified representative of the stockholder) does not appear at the special meeting of stockholders of the Corporation to present a nomination, such nomination shall be disregarded (and such nominee disqualified from standing for election or re-election), notwithstanding that the nomination is set forth (as applicable) in the Corporation’s proxy statement, notice of meeting or other proxy materials and notwithstanding that proxies or votes in respect of such nomination may have been solicited or received by the Corporation.</w:t>
      </w:r>
    </w:p>
    <w:p>
      <w:pPr>
        <w:spacing w:after="0" w:line="120" w:lineRule="exact"/>
        <w:rPr>
          <w:sz w:val="20"/>
          <w:szCs w:val="20"/>
          <w:color w:val="auto"/>
        </w:rPr>
      </w:pPr>
    </w:p>
    <w:p>
      <w:pPr>
        <w:jc w:val="both"/>
        <w:ind w:firstLine="7"/>
        <w:spacing w:after="0" w:line="264" w:lineRule="auto"/>
        <w:tabs>
          <w:tab w:leader="none" w:pos="325" w:val="left"/>
        </w:tabs>
        <w:numPr>
          <w:ilvl w:val="0"/>
          <w:numId w:val="3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Notwithstanding the foregoing provisions of Sections 3.2 and 3.3, a stockholder must also comply with all applicable requirements of the 1934 Act and the rules and regulations promulgated thereunder with respect to the matters set forth in Sections 3.2 and 3.3, and any failure to comply with such requirements shall be deemed a failure to comply with Sections 3.2 or 3.3, as applicable; provided, however, that, to the fullest extent not prohibited by applicable law, any references in the Bylaws to the 1934 Act or the rules and regulations promulgated thereunder are not intended to and shall not limit the requirements applicable to proposals and/or nominations to be considered pursuant to Sections 3.2(a)(iii) and 3.3(c). Nothing in the Bylaws shall be deemed to affect any rights of holders of any class or series of preferred stock to nominate and elect directors pursuant to and to the extent provided in any applicable provision of the Certificate of Incorporation.</w:t>
      </w:r>
    </w:p>
    <w:p>
      <w:pPr>
        <w:spacing w:after="0" w:line="1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Section 3.4 Notice of Meetings. </w:t>
      </w:r>
      <w:r>
        <w:rPr>
          <w:rFonts w:ascii="Times New Roman" w:cs="Times New Roman" w:eastAsia="Times New Roman" w:hAnsi="Times New Roman"/>
          <w:sz w:val="14"/>
          <w:szCs w:val="14"/>
          <w:color w:val="auto"/>
        </w:rPr>
        <w:t>Except as otherwise provided by applicable law, the Certificate of Incorporation or the Bylaws, notice of each meeting of stockholders shall be given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 less than ten nor more than 60 days before the date of the meeting to each stockholder entitled to vote at such meeting as of the record date for determining the stockholders entitled to notice of such meeting. Such notice shall specify the date, time and place, if any, of the meeting, the record date for determining stockholders entitled to vote at the meeting, if such record date is different from the record date for determining stockholders entitled to notice of the meeting, and the means of remote communications, if any, by which stockholders and proxyholders may be deemed to be present in person and vote at any such meeting, and, in the case of special meetings, the purpose or purposes of the meeting. Notice shall be deemed given as provided in Section 232 of the DGCL.</w:t>
      </w:r>
    </w:p>
    <w:p>
      <w:pPr>
        <w:spacing w:after="0" w:line="12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Section 3.5 Quorum and Vote Required. </w:t>
      </w:r>
      <w:r>
        <w:rPr>
          <w:rFonts w:ascii="Times New Roman" w:cs="Times New Roman" w:eastAsia="Times New Roman" w:hAnsi="Times New Roman"/>
          <w:sz w:val="14"/>
          <w:szCs w:val="14"/>
          <w:color w:val="auto"/>
        </w:rPr>
        <w:t>At all meetings of stockholders, except where otherwise required by law or by the Certificate of Incorporation, or by the Bylaws,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presence, in person, by remote communication, if applicable, or by proxy, of the holders of a majority of the voting power of the outstanding shares of stock entitled to vote at the meeting shall constitute a quorum for the transaction of business. The stockholders present at a duly called or convened meeting, at which a quorum is present,</w:t>
      </w:r>
    </w:p>
    <w:p>
      <w:pPr>
        <w:sectPr>
          <w:pgSz w:w="11900" w:h="16840" w:orient="portrait"/>
          <w:cols w:equalWidth="0" w:num="1">
            <w:col w:w="10620"/>
          </w:cols>
          <w:pgMar w:left="640" w:top="1440" w:right="640" w:bottom="1440" w:gutter="0" w:footer="0" w:header="0"/>
        </w:sectPr>
      </w:pPr>
    </w:p>
    <w:bookmarkStart w:id="294" w:name="page295"/>
    <w:bookmarkEnd w:id="294"/>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continue to transact business until adjournment, notwithstanding the withdrawal of enough stockholders to leave less than a quorum.</w:t>
      </w:r>
    </w:p>
    <w:p>
      <w:pPr>
        <w:spacing w:after="0" w:line="164" w:lineRule="exact"/>
        <w:rPr>
          <w:sz w:val="20"/>
          <w:szCs w:val="20"/>
          <w:color w:val="auto"/>
        </w:rPr>
      </w:pPr>
    </w:p>
    <w:p>
      <w:pPr>
        <w:jc w:val="both"/>
        <w:ind w:firstLine="459"/>
        <w:spacing w:after="0" w:line="262" w:lineRule="auto"/>
        <w:rPr>
          <w:sz w:val="20"/>
          <w:szCs w:val="20"/>
          <w:color w:val="auto"/>
        </w:rPr>
      </w:pPr>
      <w:r>
        <w:rPr>
          <w:rFonts w:ascii="Times New Roman" w:cs="Times New Roman" w:eastAsia="Times New Roman" w:hAnsi="Times New Roman"/>
          <w:sz w:val="14"/>
          <w:szCs w:val="14"/>
          <w:color w:val="auto"/>
        </w:rPr>
        <w:t>Unless a different or minimum vote is provided by law or by applicable stock exchange rules, or by the Certificate of Incorporation or the Bylaws, in which case such different or minimum vote shall be the applicable vote on the matter, in all matters other than the election of directors, the affirmative vote of a majority of the votes cast on such matter, voting affirmatively or negatively (excluding abstentions and broker non-votes) shall be the act of the stockholders. Except as otherwise required by law, the Certificate of Incorporation or the Bylaws, directors shall be elected by a plurality of the votes of the shares present in person, by remote communication, if applicable, or represented by proxy at the meeting and entitled to vote in the election of directors. Where a separate vote by a class or classes or series is required, except as required by law or by the Certificate of Incorporation or the Bylaws, the holders of a majority of the voting power of the outstanding shares of such class or classes or series, present in person, by remote communication, if applicable, or represented by proxy, shall constitute a quorum entitled to take action with respect to that vote on that matter.</w:t>
      </w:r>
    </w:p>
    <w:p>
      <w:pPr>
        <w:spacing w:after="0" w:line="129" w:lineRule="exact"/>
        <w:rPr>
          <w:sz w:val="20"/>
          <w:szCs w:val="20"/>
          <w:color w:val="auto"/>
        </w:rPr>
      </w:pPr>
    </w:p>
    <w:p>
      <w:pPr>
        <w:jc w:val="both"/>
        <w:ind w:right="20" w:firstLine="459"/>
        <w:spacing w:after="0" w:line="275" w:lineRule="auto"/>
        <w:rPr>
          <w:sz w:val="20"/>
          <w:szCs w:val="20"/>
          <w:color w:val="auto"/>
        </w:rPr>
      </w:pPr>
      <w:r>
        <w:rPr>
          <w:rFonts w:ascii="Times New Roman" w:cs="Times New Roman" w:eastAsia="Times New Roman" w:hAnsi="Times New Roman"/>
          <w:sz w:val="14"/>
          <w:szCs w:val="14"/>
          <w:color w:val="auto"/>
        </w:rPr>
        <w:t>Unless a different or minimum vote is provided by law or by the Certificate of Incorporation or the Bylaws or any applicable stock exchange rules, in which case such different or minimum vote shall be the applicable vote on the matter, the affirmative vote of the holders of a majority (or plurality, in the case of the election of directors) of the votes cast on such matter, voting affirmatively or negatively (excluding abstentions and broker non-votes) shall be the act of such class or classes or series.</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Section 3.6 Adjournment and Notice of Adjourned Meetings. </w:t>
      </w:r>
      <w:r>
        <w:rPr>
          <w:rFonts w:ascii="Times New Roman" w:cs="Times New Roman" w:eastAsia="Times New Roman" w:hAnsi="Times New Roman"/>
          <w:sz w:val="14"/>
          <w:szCs w:val="14"/>
          <w:color w:val="auto"/>
        </w:rPr>
        <w:t>Any meeting of stockholders, whether annual or special, may be adjourned from time to time either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chairperson of the meeting or by the stockholders by the affirmative vote of a majority of the votes cast, voting affirmatively or negatively (excluding abstentions and broker non-votes). When a meeting is adjourned to another time or place, if any, (including an adjournment taken to address a technical failure to convene or continue a meeting using remote communication) notice need not be given of the adjourned meeting if the time and place, if any, thereof and the means of remote communication, if any, by which stockholders and proxyholders may be deemed present in person and may vote at such meeting are announced at the meeting at which the adjournment is taken or are</w:t>
      </w:r>
    </w:p>
    <w:p>
      <w:pPr>
        <w:spacing w:after="0" w:line="124" w:lineRule="exact"/>
        <w:rPr>
          <w:sz w:val="20"/>
          <w:szCs w:val="20"/>
          <w:color w:val="auto"/>
        </w:rPr>
      </w:pPr>
    </w:p>
    <w:p>
      <w:pPr>
        <w:ind w:left="460" w:firstLine="6"/>
        <w:spacing w:after="0" w:line="293" w:lineRule="auto"/>
        <w:tabs>
          <w:tab w:leader="none" w:pos="632"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displayed, during the time scheduled for the meeting, on the same electronic network used to enable stockholders and proxy holders to participate in the meeting by means of remote communication or</w:t>
      </w:r>
    </w:p>
    <w:p>
      <w:pPr>
        <w:spacing w:after="0" w:line="104" w:lineRule="exact"/>
        <w:rPr>
          <w:rFonts w:ascii="Times New Roman" w:cs="Times New Roman" w:eastAsia="Times New Roman" w:hAnsi="Times New Roman"/>
          <w:sz w:val="14"/>
          <w:szCs w:val="14"/>
          <w:color w:val="auto"/>
        </w:rPr>
      </w:pPr>
    </w:p>
    <w:p>
      <w:pPr>
        <w:ind w:left="680" w:hanging="214"/>
        <w:spacing w:after="0"/>
        <w:tabs>
          <w:tab w:leader="none" w:pos="680"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 forth in the notice of meeting given in accordance with Section 3.4.</w:t>
      </w:r>
    </w:p>
    <w:p>
      <w:pPr>
        <w:spacing w:after="0" w:line="164"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4"/>
          <w:szCs w:val="14"/>
          <w:color w:val="auto"/>
        </w:rPr>
        <w:t>At the adjourned meeting, the Corporation may transact any business that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w:t>
      </w:r>
    </w:p>
    <w:p>
      <w:pPr>
        <w:sectPr>
          <w:pgSz w:w="11900" w:h="16840" w:orient="portrait"/>
          <w:cols w:equalWidth="0" w:num="1">
            <w:col w:w="10620"/>
          </w:cols>
          <w:pgMar w:left="640" w:top="1440" w:right="640" w:bottom="1440" w:gutter="0" w:footer="0" w:header="0"/>
        </w:sectPr>
      </w:pPr>
    </w:p>
    <w:bookmarkStart w:id="295" w:name="page296"/>
    <w:bookmarkEnd w:id="295"/>
    <w:p>
      <w:pPr>
        <w:spacing w:after="0" w:line="16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Section 3.7 Voting Rights. </w:t>
      </w:r>
      <w:r>
        <w:rPr>
          <w:rFonts w:ascii="Times New Roman" w:cs="Times New Roman" w:eastAsia="Times New Roman" w:hAnsi="Times New Roman"/>
          <w:sz w:val="14"/>
          <w:szCs w:val="14"/>
          <w:color w:val="auto"/>
        </w:rPr>
        <w:t>For the purpose of determining those stockholders entitled to vote at any meeting of the stockholders or adjournment thereof, except as otherwise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provided by applicable law, only persons in whose names shares stand on the stock records of the Corporation on the record date shall be entitled to vote at any meeting of stockholders. Each stockholder entitled to vote at a meeting of stockholders may authorize another person or persons to act for such stockholder by proxy. No proxy shall be voted after three years from its date of creation unless the proxy provides for a longer period. Voting at meetings of stockholders need not be by written ballot. Any stockholder directly or indirectly soliciting proxies from other stockholders must use a proxy card color other than white, which shall be reserved for the exclusive use by the Board.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Section 3.8 List of Stockholders. </w:t>
      </w:r>
      <w:r>
        <w:rPr>
          <w:rFonts w:ascii="Times New Roman" w:cs="Times New Roman" w:eastAsia="Times New Roman" w:hAnsi="Times New Roman"/>
          <w:sz w:val="14"/>
          <w:szCs w:val="14"/>
          <w:color w:val="auto"/>
        </w:rPr>
        <w:t>The corporation shall prepare, no later than the tenth day before each meeting of stockholders, a complete list of the stockholders entitled to vote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said meeting, arranged in alphabetical order, showing the address of each stockholder and the number of shares registered in the name of each stockholder; provided, however, if the record date for determining the stockholders entitled to vote is less than ten days before the meeting date, the list shall reflect all of the stockholders entitled to vote as of the tenth day before the meeting date. Nothing in this Section 3.8 shall require the corporation to include electronic mail addresses or other electronic contact information on such list. Such list shall be open to the examination of any stockholder, for any purpose germane to the meeting for a period of ten days ending on the day before the meeting date:</w:t>
      </w:r>
    </w:p>
    <w:p>
      <w:pPr>
        <w:spacing w:after="0" w:line="124" w:lineRule="exact"/>
        <w:rPr>
          <w:sz w:val="20"/>
          <w:szCs w:val="20"/>
          <w:color w:val="auto"/>
        </w:rPr>
      </w:pPr>
    </w:p>
    <w:p>
      <w:pPr>
        <w:ind w:left="660" w:hanging="194"/>
        <w:spacing w:after="0"/>
        <w:tabs>
          <w:tab w:leader="none" w:pos="660"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reasonably accessible electronic network, provided that the information required to gain access to such list is provided with the notice of the meeting, or</w:t>
      </w:r>
    </w:p>
    <w:p>
      <w:pPr>
        <w:spacing w:after="0" w:line="164" w:lineRule="exact"/>
        <w:rPr>
          <w:rFonts w:ascii="Times New Roman" w:cs="Times New Roman" w:eastAsia="Times New Roman" w:hAnsi="Times New Roman"/>
          <w:sz w:val="14"/>
          <w:szCs w:val="14"/>
          <w:color w:val="auto"/>
        </w:rPr>
      </w:pPr>
    </w:p>
    <w:p>
      <w:pPr>
        <w:ind w:left="660" w:hanging="194"/>
        <w:spacing w:after="0"/>
        <w:tabs>
          <w:tab w:leader="none" w:pos="660"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ordinary business hours, at the principal place of business of the Corporation.</w:t>
      </w:r>
    </w:p>
    <w:p>
      <w:pPr>
        <w:spacing w:after="0" w:line="164" w:lineRule="exact"/>
        <w:rPr>
          <w:sz w:val="20"/>
          <w:szCs w:val="20"/>
          <w:color w:val="auto"/>
        </w:rPr>
      </w:pPr>
    </w:p>
    <w:p>
      <w:pPr>
        <w:ind w:firstLine="459"/>
        <w:spacing w:after="0" w:line="293" w:lineRule="auto"/>
        <w:rPr>
          <w:sz w:val="20"/>
          <w:szCs w:val="20"/>
          <w:color w:val="auto"/>
        </w:rPr>
      </w:pPr>
      <w:r>
        <w:rPr>
          <w:rFonts w:ascii="Times New Roman" w:cs="Times New Roman" w:eastAsia="Times New Roman" w:hAnsi="Times New Roman"/>
          <w:sz w:val="14"/>
          <w:szCs w:val="14"/>
          <w:color w:val="auto"/>
        </w:rPr>
        <w:t>In the event that the Corporation determines to make the list available on an electronic network, the Corporation may take reasonable steps to ensure that such information is available only to stockholders of the Corporation.</w:t>
      </w:r>
    </w:p>
    <w:p>
      <w:pPr>
        <w:spacing w:after="0" w:line="10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Section 3.9</w:t>
        <w:tab/>
        <w:t>Remote Communication; Delivery to the Corporation.</w:t>
      </w:r>
    </w:p>
    <w:p>
      <w:pPr>
        <w:spacing w:after="0" w:line="166" w:lineRule="exact"/>
        <w:rPr>
          <w:sz w:val="20"/>
          <w:szCs w:val="20"/>
          <w:color w:val="auto"/>
        </w:rPr>
      </w:pPr>
    </w:p>
    <w:p>
      <w:pPr>
        <w:ind w:right="20" w:firstLine="7"/>
        <w:spacing w:after="0" w:line="293" w:lineRule="auto"/>
        <w:tabs>
          <w:tab w:leader="none" w:pos="316" w:val="left"/>
        </w:tabs>
        <w:numPr>
          <w:ilvl w:val="0"/>
          <w:numId w:val="3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authorized by the Board in its sole discretion, and subject to such guidelines and procedures as the Board may adopt, stockholders and proxyholders not physically present at a stockholder meeting may, by means of remote communication:</w:t>
      </w:r>
    </w:p>
    <w:p>
      <w:pPr>
        <w:spacing w:after="0" w:line="104" w:lineRule="exact"/>
        <w:rPr>
          <w:rFonts w:ascii="Times New Roman" w:cs="Times New Roman" w:eastAsia="Times New Roman" w:hAnsi="Times New Roman"/>
          <w:sz w:val="14"/>
          <w:szCs w:val="14"/>
          <w:b w:val="1"/>
          <w:bCs w:val="1"/>
          <w:color w:val="auto"/>
        </w:rPr>
      </w:pPr>
    </w:p>
    <w:p>
      <w:pPr>
        <w:ind w:left="720" w:hanging="312"/>
        <w:spacing w:after="0"/>
        <w:tabs>
          <w:tab w:leader="none" w:pos="720" w:val="left"/>
        </w:tabs>
        <w:numPr>
          <w:ilvl w:val="1"/>
          <w:numId w:val="3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participate in a meeting of stockholders; and</w:t>
      </w:r>
    </w:p>
    <w:p>
      <w:pPr>
        <w:spacing w:after="0" w:line="164" w:lineRule="exact"/>
        <w:rPr>
          <w:rFonts w:ascii="Times New Roman" w:cs="Times New Roman" w:eastAsia="Times New Roman" w:hAnsi="Times New Roman"/>
          <w:sz w:val="14"/>
          <w:szCs w:val="14"/>
          <w:b w:val="1"/>
          <w:bCs w:val="1"/>
          <w:color w:val="auto"/>
        </w:rPr>
      </w:pPr>
    </w:p>
    <w:p>
      <w:pPr>
        <w:jc w:val="both"/>
        <w:ind w:left="640" w:hanging="232"/>
        <w:spacing w:after="0" w:line="264" w:lineRule="auto"/>
        <w:tabs>
          <w:tab w:leader="none" w:pos="736" w:val="left"/>
        </w:tabs>
        <w:numPr>
          <w:ilvl w:val="1"/>
          <w:numId w:val="3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ectPr>
          <w:pgSz w:w="11900" w:h="16840" w:orient="portrait"/>
          <w:cols w:equalWidth="0" w:num="1">
            <w:col w:w="10620"/>
          </w:cols>
          <w:pgMar w:left="640" w:top="1440" w:right="640" w:bottom="1440" w:gutter="0" w:footer="0" w:header="0"/>
        </w:sectPr>
      </w:pPr>
    </w:p>
    <w:bookmarkStart w:id="296" w:name="page297"/>
    <w:bookmarkEnd w:id="296"/>
    <w:p>
      <w:pPr>
        <w:spacing w:after="0" w:line="163" w:lineRule="exact"/>
        <w:rPr>
          <w:sz w:val="20"/>
          <w:szCs w:val="20"/>
          <w:color w:val="auto"/>
        </w:rPr>
      </w:pPr>
    </w:p>
    <w:p>
      <w:pPr>
        <w:jc w:val="both"/>
        <w:ind w:right="20" w:firstLine="7"/>
        <w:spacing w:after="0" w:line="269" w:lineRule="auto"/>
        <w:tabs>
          <w:tab w:leader="none" w:pos="316" w:val="left"/>
        </w:tabs>
        <w:numPr>
          <w:ilvl w:val="0"/>
          <w:numId w:val="3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Whenever Section 3.2 or 3.3 requires one or more persons (including a record or beneficial owner of capital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w:t>
      </w:r>
    </w:p>
    <w:p>
      <w:pPr>
        <w:spacing w:after="0" w:line="11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Section 3.10</w:t>
        <w:tab/>
        <w:t>Organization.</w:t>
      </w:r>
    </w:p>
    <w:p>
      <w:pPr>
        <w:spacing w:after="0" w:line="166" w:lineRule="exact"/>
        <w:rPr>
          <w:sz w:val="20"/>
          <w:szCs w:val="20"/>
          <w:color w:val="auto"/>
        </w:rPr>
      </w:pPr>
    </w:p>
    <w:p>
      <w:pPr>
        <w:jc w:val="both"/>
        <w:ind w:right="20" w:firstLine="7"/>
        <w:spacing w:after="0" w:line="264" w:lineRule="auto"/>
        <w:tabs>
          <w:tab w:leader="none" w:pos="316" w:val="left"/>
        </w:tabs>
        <w:numPr>
          <w:ilvl w:val="0"/>
          <w:numId w:val="3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At every meeting of stockholders, a person designated by the Board shall act as chairperson of the meeting of stockholders. If no chairperson of the meeting of stockholders is so designated, then the Chairperson of the Board, or if no Chairperson has been appointed, is absent or refuses to act, the Chief Executive Officer, or if no Chief Executive Officer is then serving or the Chief Executive Officer is absent or refuses to act, the President, or, if the President is absent or refuses to act, a chairperson of the meeting chosen by the stockholders by the affirmative vote of a majority of the votes cast, voting affirmatively or negatively (excluding abstentions and broker non-votes), shall act as chairperson of the meeting of stockholders. A person designated by the Board shall act as secretary of the meeting. If no secretary of the meeting is designated, then the Secretary, or, in the Secretary’s absence, an Assistant Secretary or other officer or other person directed to do so by the chairperson of the meeting, shall act as secretary of the meeting.</w:t>
      </w:r>
    </w:p>
    <w:p>
      <w:pPr>
        <w:spacing w:after="0" w:line="123" w:lineRule="exact"/>
        <w:rPr>
          <w:rFonts w:ascii="Times New Roman" w:cs="Times New Roman" w:eastAsia="Times New Roman" w:hAnsi="Times New Roman"/>
          <w:sz w:val="14"/>
          <w:szCs w:val="14"/>
          <w:b w:val="1"/>
          <w:bCs w:val="1"/>
          <w:color w:val="auto"/>
        </w:rPr>
      </w:pPr>
    </w:p>
    <w:p>
      <w:pPr>
        <w:jc w:val="both"/>
        <w:ind w:firstLine="7"/>
        <w:spacing w:after="0" w:line="261" w:lineRule="auto"/>
        <w:tabs>
          <w:tab w:leader="none" w:pos="344" w:val="left"/>
        </w:tabs>
        <w:numPr>
          <w:ilvl w:val="0"/>
          <w:numId w:val="3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Board shall be entitled to make such rules or regulations for the conduct of meetings of stockholders as it shall deem necessary, appropriate or convenient. Subject to such rules and regulations of the Board, if any, the chairperson of the meeting shall have the right and authority to convene and (for any or no reason) to recess and/or adjourn the meeting,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shall be announced at the meeting. Unless and to the extent determined by the Board or the chairperson of the meeting, meetings of stockholders shall not be required to be held in accordance with rules of parliamentary procedure.</w:t>
      </w:r>
    </w:p>
    <w:p>
      <w:pPr>
        <w:spacing w:after="0" w:line="127" w:lineRule="exact"/>
        <w:rPr>
          <w:rFonts w:ascii="Times New Roman" w:cs="Times New Roman" w:eastAsia="Times New Roman" w:hAnsi="Times New Roman"/>
          <w:sz w:val="14"/>
          <w:szCs w:val="14"/>
          <w:b w:val="1"/>
          <w:bCs w:val="1"/>
          <w:color w:val="auto"/>
        </w:rPr>
      </w:pPr>
    </w:p>
    <w:p>
      <w:pPr>
        <w:jc w:val="both"/>
        <w:ind w:right="20" w:firstLine="7"/>
        <w:spacing w:after="0" w:line="269" w:lineRule="auto"/>
        <w:tabs>
          <w:tab w:leader="none" w:pos="316" w:val="left"/>
        </w:tabs>
        <w:numPr>
          <w:ilvl w:val="0"/>
          <w:numId w:val="3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Corporation may and shall, if required by applicable law,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chairperson of the meeting shall appoint one or more inspectors to act at the meeting. Each inspector, before entering upon the discharge of the duties of inspector, shall take and sign an oath faithfully to execute the duties of inspector with strict impartiality and according to the best of such inspector’s ability. The inspectors shall: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ascertain the number of shares outstanding and the voting power of each;</w:t>
      </w:r>
    </w:p>
    <w:p>
      <w:pPr>
        <w:sectPr>
          <w:pgSz w:w="11900" w:h="16840" w:orient="portrait"/>
          <w:cols w:equalWidth="0" w:num="1">
            <w:col w:w="10620"/>
          </w:cols>
          <w:pgMar w:left="640" w:top="1440" w:right="640" w:bottom="1440" w:gutter="0" w:footer="0" w:header="0"/>
        </w:sectPr>
      </w:pPr>
    </w:p>
    <w:bookmarkStart w:id="297" w:name="page298"/>
    <w:bookmarkEnd w:id="297"/>
    <w:p>
      <w:pPr>
        <w:spacing w:after="0" w:line="163" w:lineRule="exact"/>
        <w:rPr>
          <w:sz w:val="20"/>
          <w:szCs w:val="20"/>
          <w:color w:val="auto"/>
        </w:rPr>
      </w:pPr>
    </w:p>
    <w:p>
      <w:pPr>
        <w:ind w:left="200" w:hanging="193"/>
        <w:spacing w:after="0"/>
        <w:tabs>
          <w:tab w:leader="none" w:pos="200"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shares represented at a meeting and the validity of proxies and ballots;</w:t>
      </w:r>
    </w:p>
    <w:p>
      <w:pPr>
        <w:spacing w:after="0" w:line="164" w:lineRule="exact"/>
        <w:rPr>
          <w:rFonts w:ascii="Times New Roman" w:cs="Times New Roman" w:eastAsia="Times New Roman" w:hAnsi="Times New Roman"/>
          <w:sz w:val="14"/>
          <w:szCs w:val="14"/>
          <w:color w:val="auto"/>
        </w:rPr>
      </w:pPr>
    </w:p>
    <w:p>
      <w:pPr>
        <w:ind w:left="200" w:hanging="193"/>
        <w:spacing w:after="0"/>
        <w:tabs>
          <w:tab w:leader="none" w:pos="200"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 all votes and ballots;</w:t>
      </w:r>
    </w:p>
    <w:p>
      <w:pPr>
        <w:spacing w:after="0" w:line="164" w:lineRule="exact"/>
        <w:rPr>
          <w:rFonts w:ascii="Times New Roman" w:cs="Times New Roman" w:eastAsia="Times New Roman" w:hAnsi="Times New Roman"/>
          <w:sz w:val="14"/>
          <w:szCs w:val="14"/>
          <w:color w:val="auto"/>
        </w:rPr>
      </w:pPr>
    </w:p>
    <w:p>
      <w:pPr>
        <w:ind w:left="200" w:hanging="193"/>
        <w:spacing w:after="0"/>
        <w:tabs>
          <w:tab w:leader="none" w:pos="200"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and retain for a reasonable period a record of the disposition of any challenges made to any determination by the inspectors; and</w:t>
      </w:r>
    </w:p>
    <w:p>
      <w:pPr>
        <w:spacing w:after="0" w:line="164" w:lineRule="exact"/>
        <w:rPr>
          <w:rFonts w:ascii="Times New Roman" w:cs="Times New Roman" w:eastAsia="Times New Roman" w:hAnsi="Times New Roman"/>
          <w:sz w:val="14"/>
          <w:szCs w:val="14"/>
          <w:color w:val="auto"/>
        </w:rPr>
      </w:pPr>
    </w:p>
    <w:p>
      <w:pPr>
        <w:ind w:left="200" w:hanging="193"/>
        <w:spacing w:after="0"/>
        <w:tabs>
          <w:tab w:leader="none" w:pos="200"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certify their determination of the number of shares represented at the meeting, and their count of all votes and ballots.</w:t>
      </w:r>
    </w:p>
    <w:p>
      <w:pPr>
        <w:spacing w:after="0" w:line="164" w:lineRule="exact"/>
        <w:rPr>
          <w:sz w:val="20"/>
          <w:szCs w:val="20"/>
          <w:color w:val="auto"/>
        </w:rPr>
      </w:pPr>
    </w:p>
    <w:p>
      <w:pPr>
        <w:jc w:val="both"/>
        <w:ind w:firstLine="459"/>
        <w:spacing w:after="0" w:line="262" w:lineRule="auto"/>
        <w:rPr>
          <w:sz w:val="20"/>
          <w:szCs w:val="20"/>
          <w:color w:val="auto"/>
        </w:rPr>
      </w:pPr>
      <w:r>
        <w:rPr>
          <w:rFonts w:ascii="Times New Roman" w:cs="Times New Roman" w:eastAsia="Times New Roman" w:hAnsi="Times New Roman"/>
          <w:sz w:val="14"/>
          <w:szCs w:val="14"/>
          <w:color w:val="auto"/>
        </w:rPr>
        <w:t>The inspectors may appoint or retain other persons or entities to assist the inspectors in the performance of the duties of the inspectors. In determining the validity and counting of proxies and ballots, the inspectors shall be limited to an examination of the proxies, any envelopes submitted with those proxies, any information provided in accordance with Sections 211(e) or 212(c)(2) of the DGCL, or any information provided pursuant to Sections 211(a)(2)b.(i) or (iii)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pursuant to Section 231(b)(5) of the DGCL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4.</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1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Section 4.1</w:t>
        <w:tab/>
        <w:t xml:space="preserve">Number. </w:t>
      </w:r>
      <w:r>
        <w:rPr>
          <w:rFonts w:ascii="Times New Roman" w:cs="Times New Roman" w:eastAsia="Times New Roman" w:hAnsi="Times New Roman"/>
          <w:sz w:val="14"/>
          <w:szCs w:val="14"/>
          <w:color w:val="auto"/>
        </w:rPr>
        <w:t>The authorized number of directors of the Corporation shall be fixed in accordance with the Certificate of Incorporation.</w:t>
      </w:r>
    </w:p>
    <w:p>
      <w:pPr>
        <w:spacing w:after="0" w:line="164"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4"/>
          <w:szCs w:val="14"/>
          <w:b w:val="1"/>
          <w:bCs w:val="1"/>
          <w:color w:val="auto"/>
        </w:rPr>
        <w:t xml:space="preserve">Section 4.2 Powers. </w:t>
      </w:r>
      <w:r>
        <w:rPr>
          <w:rFonts w:ascii="Times New Roman" w:cs="Times New Roman" w:eastAsia="Times New Roman" w:hAnsi="Times New Roman"/>
          <w:sz w:val="14"/>
          <w:szCs w:val="14"/>
          <w:color w:val="auto"/>
        </w:rPr>
        <w:t>The business and affairs of the Corporation shall be managed by or under the direction of the Board, except as may be otherwise provided by the Certificate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Incorporation or the DGCL.</w:t>
      </w:r>
    </w:p>
    <w:p>
      <w:pPr>
        <w:spacing w:after="0" w:line="10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Section 4.3</w:t>
        <w:tab/>
        <w:t xml:space="preserve">Terms. </w:t>
      </w:r>
      <w:r>
        <w:rPr>
          <w:rFonts w:ascii="Times New Roman" w:cs="Times New Roman" w:eastAsia="Times New Roman" w:hAnsi="Times New Roman"/>
          <w:sz w:val="14"/>
          <w:szCs w:val="14"/>
          <w:color w:val="auto"/>
        </w:rPr>
        <w:t>The terms of directors shall be as set forth in the Certificate of Incorporation.</w:t>
      </w:r>
    </w:p>
    <w:p>
      <w:pPr>
        <w:spacing w:after="0" w:line="164"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4"/>
          <w:szCs w:val="14"/>
          <w:b w:val="1"/>
          <w:bCs w:val="1"/>
          <w:color w:val="auto"/>
        </w:rPr>
        <w:t xml:space="preserve">Section 4.4 Vacancies; Newly Created Directorships. </w:t>
      </w:r>
      <w:r>
        <w:rPr>
          <w:rFonts w:ascii="Times New Roman" w:cs="Times New Roman" w:eastAsia="Times New Roman" w:hAnsi="Times New Roman"/>
          <w:sz w:val="14"/>
          <w:szCs w:val="14"/>
          <w:color w:val="auto"/>
        </w:rPr>
        <w:t>Vacancies and newly created directorships on the Board shall be filled as set forth in the Certificate of Incorporation, except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otherwise required by applicable law.</w:t>
      </w:r>
    </w:p>
    <w:p>
      <w:pPr>
        <w:spacing w:after="0" w:line="10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Section 4.5 Resignation. </w:t>
      </w:r>
      <w:r>
        <w:rPr>
          <w:rFonts w:ascii="Times New Roman" w:cs="Times New Roman" w:eastAsia="Times New Roman" w:hAnsi="Times New Roman"/>
          <w:sz w:val="14"/>
          <w:szCs w:val="14"/>
          <w:color w:val="auto"/>
        </w:rPr>
        <w:t>Any director may resign at any time by delivering such director’s notice in writing or by electronic transmission to the Board or the Secretary.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resignation shall take effect at the time of delivery of the notice or at any later time specified therein. Acceptance of such resignation shall not be necessary to make it effective. When one or more directors shall resign from the Board,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w:t>
      </w:r>
    </w:p>
    <w:p>
      <w:pPr>
        <w:sectPr>
          <w:pgSz w:w="11900" w:h="16840" w:orient="portrait"/>
          <w:cols w:equalWidth="0" w:num="1">
            <w:col w:w="10620"/>
          </w:cols>
          <w:pgMar w:left="640" w:top="1440" w:right="640" w:bottom="1440" w:gutter="0" w:footer="0" w:header="0"/>
        </w:sectPr>
      </w:pPr>
    </w:p>
    <w:bookmarkStart w:id="298" w:name="page299"/>
    <w:bookmarkEnd w:id="298"/>
    <w:p>
      <w:pPr>
        <w:spacing w:after="0" w:line="163"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4"/>
          <w:szCs w:val="14"/>
          <w:color w:val="auto"/>
        </w:rPr>
        <w:t>portion of the term of the director whose place shall be vacated and until such director’s successor shall have been duly elected and qualified or until such director’s earlier death, resignation or removal.</w:t>
      </w:r>
    </w:p>
    <w:p>
      <w:pPr>
        <w:spacing w:after="0" w:line="10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Section 4.6</w:t>
        <w:tab/>
        <w:t xml:space="preserve">Removal. </w:t>
      </w:r>
      <w:r>
        <w:rPr>
          <w:rFonts w:ascii="Times New Roman" w:cs="Times New Roman" w:eastAsia="Times New Roman" w:hAnsi="Times New Roman"/>
          <w:sz w:val="14"/>
          <w:szCs w:val="14"/>
          <w:color w:val="auto"/>
        </w:rPr>
        <w:t>Directors shall be removed as set forth in the Certificate of Incorporation.</w:t>
      </w:r>
    </w:p>
    <w:p>
      <w:pPr>
        <w:spacing w:after="0" w:line="1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Section 4.7</w:t>
        <w:tab/>
        <w:t>Meetings.</w:t>
      </w:r>
    </w:p>
    <w:p>
      <w:pPr>
        <w:spacing w:after="0" w:line="164" w:lineRule="exact"/>
        <w:rPr>
          <w:sz w:val="20"/>
          <w:szCs w:val="20"/>
          <w:color w:val="auto"/>
        </w:rPr>
      </w:pPr>
    </w:p>
    <w:p>
      <w:pPr>
        <w:jc w:val="both"/>
        <w:ind w:firstLine="7"/>
        <w:spacing w:after="0" w:line="273" w:lineRule="auto"/>
        <w:tabs>
          <w:tab w:leader="none" w:pos="311" w:val="left"/>
        </w:tabs>
        <w:numPr>
          <w:ilvl w:val="0"/>
          <w:numId w:val="3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Regular Meetings. </w:t>
      </w:r>
      <w:r>
        <w:rPr>
          <w:rFonts w:ascii="Times New Roman" w:cs="Times New Roman" w:eastAsia="Times New Roman" w:hAnsi="Times New Roman"/>
          <w:sz w:val="14"/>
          <w:szCs w:val="14"/>
          <w:color w:val="auto"/>
        </w:rPr>
        <w:t>Unless otherwise restricted by the Certificate of Incorporation, regular meetings of the Board may be held at any time or date and at any place, if any, within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outside of the State of Delaware that has been designated by the Board and publicized among all directors, either orally or in writing, by telephone, including a voice-messaging system or other system designed to record and communicate messages, facsimile or by electronic mail or other electronic means. No further notice shall be required for regular meetings of the Board.</w:t>
      </w:r>
    </w:p>
    <w:p>
      <w:pPr>
        <w:spacing w:after="0" w:line="292" w:lineRule="exact"/>
        <w:rPr>
          <w:rFonts w:ascii="Times New Roman" w:cs="Times New Roman" w:eastAsia="Times New Roman" w:hAnsi="Times New Roman"/>
          <w:sz w:val="14"/>
          <w:szCs w:val="14"/>
          <w:b w:val="1"/>
          <w:bCs w:val="1"/>
          <w:color w:val="auto"/>
        </w:rPr>
      </w:pPr>
    </w:p>
    <w:p>
      <w:pPr>
        <w:ind w:right="20" w:firstLine="7"/>
        <w:spacing w:after="0" w:line="296" w:lineRule="auto"/>
        <w:tabs>
          <w:tab w:leader="none" w:pos="341" w:val="left"/>
        </w:tabs>
        <w:numPr>
          <w:ilvl w:val="0"/>
          <w:numId w:val="3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Special Meetings. </w:t>
      </w:r>
      <w:r>
        <w:rPr>
          <w:rFonts w:ascii="Times New Roman" w:cs="Times New Roman" w:eastAsia="Times New Roman" w:hAnsi="Times New Roman"/>
          <w:sz w:val="14"/>
          <w:szCs w:val="14"/>
          <w:color w:val="auto"/>
        </w:rPr>
        <w:t>Unless otherwise restricted by the Certificate of Incorporation, special meetings of the Board may be held at any time and place, if any, within or without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 of Delaware as designated and called by the Chairperson of the Board, the Chief Executive Officer or by a majority of the directors then in office.</w:t>
      </w:r>
    </w:p>
    <w:p>
      <w:pPr>
        <w:spacing w:after="0" w:line="100" w:lineRule="exact"/>
        <w:rPr>
          <w:rFonts w:ascii="Times New Roman" w:cs="Times New Roman" w:eastAsia="Times New Roman" w:hAnsi="Times New Roman"/>
          <w:sz w:val="14"/>
          <w:szCs w:val="14"/>
          <w:b w:val="1"/>
          <w:bCs w:val="1"/>
          <w:color w:val="auto"/>
        </w:rPr>
      </w:pPr>
    </w:p>
    <w:p>
      <w:pPr>
        <w:jc w:val="both"/>
        <w:ind w:right="20" w:firstLine="7"/>
        <w:spacing w:after="0" w:line="276" w:lineRule="auto"/>
        <w:tabs>
          <w:tab w:leader="none" w:pos="322" w:val="left"/>
        </w:tabs>
        <w:numPr>
          <w:ilvl w:val="0"/>
          <w:numId w:val="3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Meetings by Electronic Communications Equipment. </w:t>
      </w:r>
      <w:r>
        <w:rPr>
          <w:rFonts w:ascii="Times New Roman" w:cs="Times New Roman" w:eastAsia="Times New Roman" w:hAnsi="Times New Roman"/>
          <w:sz w:val="14"/>
          <w:szCs w:val="14"/>
          <w:color w:val="auto"/>
        </w:rPr>
        <w:t>Any member of the Board, or of any committee thereof, may participate in a meeting by means of conference telephone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other communications equipment by means of which all persons participating in the meeting can hear each other, and participation in a meeting by such means shall constitute presence in person at such meeting.</w:t>
      </w:r>
    </w:p>
    <w:p>
      <w:pPr>
        <w:spacing w:after="0" w:line="114" w:lineRule="exact"/>
        <w:rPr>
          <w:rFonts w:ascii="Times New Roman" w:cs="Times New Roman" w:eastAsia="Times New Roman" w:hAnsi="Times New Roman"/>
          <w:sz w:val="14"/>
          <w:szCs w:val="14"/>
          <w:b w:val="1"/>
          <w:bCs w:val="1"/>
          <w:color w:val="auto"/>
        </w:rPr>
      </w:pPr>
    </w:p>
    <w:p>
      <w:pPr>
        <w:jc w:val="both"/>
        <w:ind w:right="20" w:firstLine="7"/>
        <w:spacing w:after="0" w:line="270" w:lineRule="auto"/>
        <w:tabs>
          <w:tab w:leader="none" w:pos="319" w:val="left"/>
        </w:tabs>
        <w:numPr>
          <w:ilvl w:val="0"/>
          <w:numId w:val="3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Notice of Special Meetings. </w:t>
      </w:r>
      <w:r>
        <w:rPr>
          <w:rFonts w:ascii="Times New Roman" w:cs="Times New Roman" w:eastAsia="Times New Roman" w:hAnsi="Times New Roman"/>
          <w:sz w:val="14"/>
          <w:szCs w:val="14"/>
          <w:color w:val="auto"/>
        </w:rPr>
        <w:t>Notice of the time and place, if any, of all special meetings of the Board shall be given orally or in writing, by telephone, including a voice messaging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system or other system or technology designed to record and communicate messages, or by electronic mail or other means of electronic transmission at least 24 hours before the date and time of the meeting. If notice is sent by U.S. mail, it shall be sent by first class mail, postage prepaid, at least three days before the date of the meeting. Neither the business to be transacted at, nor the purpose of, any special meeting of the Board need be specified in any such notice.</w:t>
      </w:r>
    </w:p>
    <w:p>
      <w:pPr>
        <w:spacing w:after="0" w:line="1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Section 4.8</w:t>
        <w:tab/>
        <w:t>Quorum and Voting.</w:t>
      </w:r>
    </w:p>
    <w:p>
      <w:pPr>
        <w:spacing w:after="0" w:line="166" w:lineRule="exact"/>
        <w:rPr>
          <w:sz w:val="20"/>
          <w:szCs w:val="20"/>
          <w:color w:val="auto"/>
        </w:rPr>
      </w:pPr>
    </w:p>
    <w:p>
      <w:pPr>
        <w:jc w:val="both"/>
        <w:ind w:right="20" w:firstLine="7"/>
        <w:spacing w:after="0" w:line="275" w:lineRule="auto"/>
        <w:tabs>
          <w:tab w:leader="none" w:pos="343" w:val="left"/>
        </w:tabs>
        <w:numPr>
          <w:ilvl w:val="0"/>
          <w:numId w:val="3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Except as otherwise required by the DGCL, the Certificate of Incorporation or the Bylaws, a quorum of the Board shall consist of a majority of the authorized number of directors fixed from time to time by the Board in accordance with the Certificate of Incorporation; provided, however, at any meeting whether a quorum be present or otherwise, a majority of the directors present may adjourn the meeting to another time, without notice other than by announcement at the meeting.</w:t>
      </w:r>
    </w:p>
    <w:p>
      <w:pPr>
        <w:spacing w:after="0" w:line="116" w:lineRule="exact"/>
        <w:rPr>
          <w:rFonts w:ascii="Times New Roman" w:cs="Times New Roman" w:eastAsia="Times New Roman" w:hAnsi="Times New Roman"/>
          <w:sz w:val="14"/>
          <w:szCs w:val="14"/>
          <w:b w:val="1"/>
          <w:bCs w:val="1"/>
          <w:color w:val="auto"/>
        </w:rPr>
      </w:pPr>
    </w:p>
    <w:p>
      <w:pPr>
        <w:ind w:right="20" w:firstLine="7"/>
        <w:spacing w:after="0" w:line="293" w:lineRule="auto"/>
        <w:tabs>
          <w:tab w:leader="none" w:pos="335" w:val="left"/>
        </w:tabs>
        <w:numPr>
          <w:ilvl w:val="0"/>
          <w:numId w:val="3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At each meeting of the Board at which a quorum is present, all questions and business shall be determined by the affirmative vote of a majority of the directors present, unless a different vote be required by applicable law, the Certificate of Incorporation or the Bylaws.</w:t>
      </w:r>
    </w:p>
    <w:p>
      <w:pPr>
        <w:spacing w:after="0" w:line="1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Section 4.9 Action without Meeting. </w:t>
      </w:r>
      <w:r>
        <w:rPr>
          <w:rFonts w:ascii="Times New Roman" w:cs="Times New Roman" w:eastAsia="Times New Roman" w:hAnsi="Times New Roman"/>
          <w:sz w:val="14"/>
          <w:szCs w:val="14"/>
          <w:color w:val="auto"/>
        </w:rPr>
        <w:t>Unless otherwise restricted by the Certificate of Incorporation or the Bylaws, any action required or permitted to be taken at any meeting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Board or of any committee thereof may be taken without a meeting, if all members of the Board or committee, as the case may be, consent thereto in writing or by electronic transmission. After an action is taken, such consent or consents shall be filed with the minutes of proceedings of the Board or committee. Such filing shall be in</w:t>
      </w:r>
    </w:p>
    <w:p>
      <w:pPr>
        <w:sectPr>
          <w:pgSz w:w="11900" w:h="16840" w:orient="portrait"/>
          <w:cols w:equalWidth="0" w:num="1">
            <w:col w:w="10620"/>
          </w:cols>
          <w:pgMar w:left="640" w:top="1440" w:right="640" w:bottom="1440" w:gutter="0" w:footer="0" w:header="0"/>
        </w:sectPr>
      </w:pPr>
    </w:p>
    <w:bookmarkStart w:id="299" w:name="page300"/>
    <w:bookmarkEnd w:id="299"/>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paper form if the minutes are maintained in paper form and shall be in electronic form if the minutes are maintained in electronic form.</w:t>
      </w:r>
    </w:p>
    <w:p>
      <w:pPr>
        <w:spacing w:after="0" w:line="162"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4"/>
          <w:szCs w:val="14"/>
          <w:b w:val="1"/>
          <w:bCs w:val="1"/>
          <w:color w:val="auto"/>
        </w:rPr>
        <w:t>Section 4.10 Fees and Compensation</w:t>
      </w:r>
      <w:r>
        <w:rPr>
          <w:rFonts w:ascii="Times New Roman" w:cs="Times New Roman" w:eastAsia="Times New Roman" w:hAnsi="Times New Roman"/>
          <w:sz w:val="14"/>
          <w:szCs w:val="14"/>
          <w:color w:val="auto"/>
        </w:rPr>
        <w:t>. Unless otherwise restricted by the Certificate of Incorporation or the Bylaws, the Board, or any duly authorized committee thereof, shall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authority to fix the compensation, including fees and reimbursement of expenses, of directors for services to the Corporation in any capacity.</w:t>
      </w:r>
    </w:p>
    <w:p>
      <w:pPr>
        <w:spacing w:after="0" w:line="10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Section 4.11</w:t>
        <w:tab/>
        <w:t>Committees.</w:t>
      </w:r>
    </w:p>
    <w:p>
      <w:pPr>
        <w:spacing w:after="0" w:line="164" w:lineRule="exact"/>
        <w:rPr>
          <w:sz w:val="20"/>
          <w:szCs w:val="20"/>
          <w:color w:val="auto"/>
        </w:rPr>
      </w:pPr>
    </w:p>
    <w:p>
      <w:pPr>
        <w:jc w:val="both"/>
        <w:ind w:firstLine="7"/>
        <w:spacing w:after="0" w:line="266" w:lineRule="auto"/>
        <w:tabs>
          <w:tab w:leader="none" w:pos="311" w:val="left"/>
        </w:tabs>
        <w:numPr>
          <w:ilvl w:val="0"/>
          <w:numId w:val="3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Committees. </w:t>
      </w:r>
      <w:r>
        <w:rPr>
          <w:rFonts w:ascii="Times New Roman" w:cs="Times New Roman" w:eastAsia="Times New Roman" w:hAnsi="Times New Roman"/>
          <w:sz w:val="14"/>
          <w:szCs w:val="14"/>
          <w:color w:val="auto"/>
        </w:rPr>
        <w:t>The Board may, from time to time, appoint such committees as may be permitted by applicable law. Such committees appointed by the Board shall consist of one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more members of the Board and to the extent permitted by applicable law and provided in the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(i) 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122" w:lineRule="exact"/>
        <w:rPr>
          <w:rFonts w:ascii="Times New Roman" w:cs="Times New Roman" w:eastAsia="Times New Roman" w:hAnsi="Times New Roman"/>
          <w:sz w:val="14"/>
          <w:szCs w:val="14"/>
          <w:b w:val="1"/>
          <w:bCs w:val="1"/>
          <w:color w:val="auto"/>
        </w:rPr>
      </w:pPr>
    </w:p>
    <w:p>
      <w:pPr>
        <w:jc w:val="both"/>
        <w:ind w:firstLine="7"/>
        <w:spacing w:after="0" w:line="262" w:lineRule="auto"/>
        <w:tabs>
          <w:tab w:leader="none" w:pos="338" w:val="left"/>
        </w:tabs>
        <w:numPr>
          <w:ilvl w:val="0"/>
          <w:numId w:val="3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Term. </w:t>
      </w:r>
      <w:r>
        <w:rPr>
          <w:rFonts w:ascii="Times New Roman" w:cs="Times New Roman" w:eastAsia="Times New Roman" w:hAnsi="Times New Roman"/>
          <w:sz w:val="14"/>
          <w:szCs w:val="14"/>
          <w:color w:val="auto"/>
        </w:rPr>
        <w:t>The Board, subject to any requirements of any outstanding series of preferred stock and the provisions of subsection (a) of this Section 4.11, may at any time increase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decrease the number of members of a committee or terminate the existence of a committee. The membership of a committee member shall terminate on the date of such committee member’s death, such person’s resignation from the committee or on such date that the committee member, for any reason, is no longer a member of the Board. The Board may at any time for any reason remove any individual committee member and the Board may fill any committee vacancy created by death, resignation, removal or increase in the number of members of the committee. The Board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w:t>
      </w:r>
    </w:p>
    <w:p>
      <w:pPr>
        <w:spacing w:after="0" w:line="300" w:lineRule="exact"/>
        <w:rPr>
          <w:rFonts w:ascii="Times New Roman" w:cs="Times New Roman" w:eastAsia="Times New Roman" w:hAnsi="Times New Roman"/>
          <w:sz w:val="14"/>
          <w:szCs w:val="14"/>
          <w:b w:val="1"/>
          <w:bCs w:val="1"/>
          <w:color w:val="auto"/>
        </w:rPr>
      </w:pPr>
    </w:p>
    <w:p>
      <w:pPr>
        <w:jc w:val="both"/>
        <w:ind w:right="20" w:firstLine="7"/>
        <w:spacing w:after="0" w:line="262" w:lineRule="auto"/>
        <w:tabs>
          <w:tab w:leader="none" w:pos="322" w:val="left"/>
        </w:tabs>
        <w:numPr>
          <w:ilvl w:val="0"/>
          <w:numId w:val="3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Meetings. </w:t>
      </w:r>
      <w:r>
        <w:rPr>
          <w:rFonts w:ascii="Times New Roman" w:cs="Times New Roman" w:eastAsia="Times New Roman" w:hAnsi="Times New Roman"/>
          <w:sz w:val="14"/>
          <w:szCs w:val="14"/>
          <w:color w:val="auto"/>
        </w:rPr>
        <w:t>Unless the Board shall otherwise provide, regular meetings of any committee appointed pursuant to this Section 4.11 shall be held at such times and places, if any,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are determined by the Board, or by any such committee, and when notice thereof has been given to each member of such committee, no further notice of such regular meetings need be given thereafter. Special meetings of any such committee may be held at such place, if any, that has been determined from time to time by such committee, and may be called by any director who is a member of such committee, upon notice to the members of such committee of the time and place, if any, of such special meeting given in the manner provided for the giving of notice to members of the Board of the time and place, if any, of special meetings of the Board. Unless otherwise provided by the Board in the resolutions authorizing the creation of the committee, the presence of at least a majority of the members of the committee then serving shall be necessary to constitute a quorum unless the committee shall consist of one or two members, in which event one member shall constitute a quorum; and all matters shall be determined by the affirmative vote of a majority of the members present at a meeting of the committee at which a quorum is present.</w:t>
      </w:r>
    </w:p>
    <w:p>
      <w:pPr>
        <w:sectPr>
          <w:pgSz w:w="11900" w:h="16840" w:orient="portrait"/>
          <w:cols w:equalWidth="0" w:num="1">
            <w:col w:w="10620"/>
          </w:cols>
          <w:pgMar w:left="640" w:top="1440" w:right="640" w:bottom="1440" w:gutter="0" w:footer="0" w:header="0"/>
        </w:sectPr>
      </w:pPr>
    </w:p>
    <w:bookmarkStart w:id="300" w:name="page301"/>
    <w:bookmarkEnd w:id="300"/>
    <w:p>
      <w:pPr>
        <w:spacing w:after="0" w:line="16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Section 4.12 Duties of Chairperson of the Board. </w:t>
      </w:r>
      <w:r>
        <w:rPr>
          <w:rFonts w:ascii="Times New Roman" w:cs="Times New Roman" w:eastAsia="Times New Roman" w:hAnsi="Times New Roman"/>
          <w:sz w:val="14"/>
          <w:szCs w:val="14"/>
          <w:color w:val="auto"/>
        </w:rPr>
        <w:t>The Board shall elect from its ranks a Chairperson of the Board. The Chairperson of the Board shall perform such other duties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customarily associated with the office and shall also perform such other duties and have such other powers, as the Board shall designate from time to time. The Chairperson of the Board, when present, shall preside at all meetings of the Board in accordance with Section 4.13 of the Bylaws.</w:t>
      </w:r>
    </w:p>
    <w:p>
      <w:pPr>
        <w:spacing w:after="0" w:line="11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Section 4.13 Organization. </w:t>
      </w:r>
      <w:r>
        <w:rPr>
          <w:rFonts w:ascii="Times New Roman" w:cs="Times New Roman" w:eastAsia="Times New Roman" w:hAnsi="Times New Roman"/>
          <w:sz w:val="14"/>
          <w:szCs w:val="14"/>
          <w:color w:val="auto"/>
        </w:rPr>
        <w:t>At every meeting of the directors, the Chairperson of the Board shall act as chairperson of the meeting. If a Chairperson has not been appointed or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absent, the Chief Executive Officer (if a director), or, if no Chief Executive Officer is then serving or the Chief Executive Officer is absent, the President (if a director), or, in the absence of any such person, a chairperson of the meeting chosen by a majority of the directors present, shall preside over the meeting. The Secretary, or in the Secretary’s absence, any Assistant Secretary or other officer, director or other person directed to do so by the person presiding over the meeting, shall act as secretary of the meeting.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5.</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OFFICERS</w:t>
      </w:r>
    </w:p>
    <w:p>
      <w:pPr>
        <w:spacing w:after="0" w:line="16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Section 5.1 Officers Designated. </w:t>
      </w:r>
      <w:r>
        <w:rPr>
          <w:rFonts w:ascii="Times New Roman" w:cs="Times New Roman" w:eastAsia="Times New Roman" w:hAnsi="Times New Roman"/>
          <w:sz w:val="14"/>
          <w:szCs w:val="14"/>
          <w:color w:val="auto"/>
        </w:rPr>
        <w:t>The officers of the Corporation shall include, if and when designated by the Board, the Chief Executive Officer, the President, the Secretary and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Treasurer. The Board may also appoint one or more Assistant Secretaries and Assistant Treasurers and such other officers and agents with such powers and duties as it shall deem appropriate or necessary. The Board may assign such additional titles to one or more of the officers as it shall deem appropriate. Any one person may hold any number of offices of the Corporation at any one time unless specifically prohibited therefrom by applicable law, the Certificate of Incorporation or the Bylaws.</w:t>
      </w:r>
    </w:p>
    <w:p>
      <w:pPr>
        <w:spacing w:after="0" w:line="1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Section 5.2</w:t>
        <w:tab/>
        <w:t>Tenure and Duties of Officers.</w:t>
      </w:r>
    </w:p>
    <w:p>
      <w:pPr>
        <w:spacing w:after="0" w:line="164" w:lineRule="exact"/>
        <w:rPr>
          <w:sz w:val="20"/>
          <w:szCs w:val="20"/>
          <w:color w:val="auto"/>
        </w:rPr>
      </w:pPr>
    </w:p>
    <w:p>
      <w:pPr>
        <w:jc w:val="both"/>
        <w:ind w:right="20" w:firstLine="7"/>
        <w:spacing w:after="0" w:line="276" w:lineRule="auto"/>
        <w:tabs>
          <w:tab w:leader="none" w:pos="349" w:val="left"/>
        </w:tabs>
        <w:numPr>
          <w:ilvl w:val="0"/>
          <w:numId w:val="3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General. </w:t>
      </w:r>
      <w:r>
        <w:rPr>
          <w:rFonts w:ascii="Times New Roman" w:cs="Times New Roman" w:eastAsia="Times New Roman" w:hAnsi="Times New Roman"/>
          <w:sz w:val="14"/>
          <w:szCs w:val="14"/>
          <w:color w:val="auto"/>
        </w:rPr>
        <w:t>All officers shall hold office at the pleasure of the Board and until their successors shall have been duly elected and qualified, subject to such officer’s earlier death,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resignation or removal. If the office of any officer becomes vacant for any reason, the vacancy may be filled by the Board or by a committee thereof to which the Board has delegated such responsibility.</w:t>
      </w:r>
    </w:p>
    <w:p>
      <w:pPr>
        <w:spacing w:after="0" w:line="114" w:lineRule="exact"/>
        <w:rPr>
          <w:rFonts w:ascii="Times New Roman" w:cs="Times New Roman" w:eastAsia="Times New Roman" w:hAnsi="Times New Roman"/>
          <w:sz w:val="14"/>
          <w:szCs w:val="14"/>
          <w:b w:val="1"/>
          <w:bCs w:val="1"/>
          <w:color w:val="auto"/>
        </w:rPr>
      </w:pPr>
    </w:p>
    <w:p>
      <w:pPr>
        <w:jc w:val="both"/>
        <w:ind w:firstLine="7"/>
        <w:spacing w:after="0" w:line="264" w:lineRule="auto"/>
        <w:tabs>
          <w:tab w:leader="none" w:pos="319" w:val="left"/>
        </w:tabs>
        <w:numPr>
          <w:ilvl w:val="0"/>
          <w:numId w:val="3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Duties of Chief Executive Officer. </w:t>
      </w:r>
      <w:r>
        <w:rPr>
          <w:rFonts w:ascii="Times New Roman" w:cs="Times New Roman" w:eastAsia="Times New Roman" w:hAnsi="Times New Roman"/>
          <w:sz w:val="14"/>
          <w:szCs w:val="14"/>
          <w:color w:val="auto"/>
        </w:rPr>
        <w:t>The Chief Executive Officer shall preside, if a director, at all meetings of the Board, unless a Chairperson of the Board has been appointed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 present thereat. The Chief Executive Officer shall be the chief executive officer of the Corporation and, subject to the supervision, direction and control of the Board, shall have the general powers and duties of supervision, direction, management and control of the business and officers of the Corporation as are customarily associated with the position of Chief Executive Officer. To the extent that a Chief Executive Officer has been appointed and no President has been appointed, all references in the Bylaws to the President shall be deemed references to the Chief Executive Officer. The Chief Executive Officer shall perform other duties customarily associated with the office and shall also perform such other duties and have such other powers, as the Board shall designate from time to time.</w:t>
      </w:r>
    </w:p>
    <w:p>
      <w:pPr>
        <w:spacing w:after="0" w:line="123" w:lineRule="exact"/>
        <w:rPr>
          <w:rFonts w:ascii="Times New Roman" w:cs="Times New Roman" w:eastAsia="Times New Roman" w:hAnsi="Times New Roman"/>
          <w:sz w:val="14"/>
          <w:szCs w:val="14"/>
          <w:b w:val="1"/>
          <w:bCs w:val="1"/>
          <w:color w:val="auto"/>
        </w:rPr>
      </w:pPr>
    </w:p>
    <w:p>
      <w:pPr>
        <w:jc w:val="both"/>
        <w:ind w:firstLine="7"/>
        <w:spacing w:after="0" w:line="270" w:lineRule="auto"/>
        <w:tabs>
          <w:tab w:leader="none" w:pos="303" w:val="left"/>
        </w:tabs>
        <w:numPr>
          <w:ilvl w:val="0"/>
          <w:numId w:val="3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Duties of President. </w:t>
      </w:r>
      <w:r>
        <w:rPr>
          <w:rFonts w:ascii="Times New Roman" w:cs="Times New Roman" w:eastAsia="Times New Roman" w:hAnsi="Times New Roman"/>
          <w:sz w:val="14"/>
          <w:szCs w:val="14"/>
          <w:color w:val="auto"/>
        </w:rPr>
        <w:t>The President shall preside, if a director, at all meetings of the Board, unless a Chairperson of the Board or Chief Executive Officer has been appointed and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present and willing to act. Unless another officer has been appointed Chief Executive Officer of the Corporation, the President shall be the chief executive officer of the Corporation and, subject to the supervision, direction and control of the Board, shall have the general powers and duties of supervision, direction, management and control of the business and officers of the Corporation as are customarily associated with the position</w:t>
      </w:r>
    </w:p>
    <w:p>
      <w:pPr>
        <w:sectPr>
          <w:pgSz w:w="11900" w:h="16840" w:orient="portrait"/>
          <w:cols w:equalWidth="0" w:num="1">
            <w:col w:w="10620"/>
          </w:cols>
          <w:pgMar w:left="640" w:top="1440" w:right="640" w:bottom="1440" w:gutter="0" w:footer="0" w:header="0"/>
        </w:sectPr>
      </w:pPr>
    </w:p>
    <w:bookmarkStart w:id="301" w:name="page302"/>
    <w:bookmarkEnd w:id="301"/>
    <w:p>
      <w:pPr>
        <w:spacing w:after="0" w:line="16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4"/>
          <w:szCs w:val="14"/>
          <w:color w:val="auto"/>
        </w:rPr>
        <w:t>of chief executive officer. The President shall perform other duties customarily associated with the office and shall also perform such other duties and have such other powers, as the Board (or the Chief Executive Officer, if the Chief Executive Officer and President are not the same person and the Board has delegated the designation of the President’s duties to the Chief Executive Officer) shall designate from time to time.</w:t>
      </w:r>
    </w:p>
    <w:p>
      <w:pPr>
        <w:spacing w:after="0" w:line="114" w:lineRule="exact"/>
        <w:rPr>
          <w:sz w:val="20"/>
          <w:szCs w:val="20"/>
          <w:color w:val="auto"/>
        </w:rPr>
      </w:pPr>
    </w:p>
    <w:p>
      <w:pPr>
        <w:jc w:val="both"/>
        <w:ind w:firstLine="7"/>
        <w:spacing w:after="0" w:line="262" w:lineRule="auto"/>
        <w:tabs>
          <w:tab w:leader="none" w:pos="319" w:val="left"/>
        </w:tabs>
        <w:numPr>
          <w:ilvl w:val="0"/>
          <w:numId w:val="3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Duties of Secretary and Assistant Secretary. </w:t>
      </w:r>
      <w:r>
        <w:rPr>
          <w:rFonts w:ascii="Times New Roman" w:cs="Times New Roman" w:eastAsia="Times New Roman" w:hAnsi="Times New Roman"/>
          <w:sz w:val="14"/>
          <w:szCs w:val="14"/>
          <w:color w:val="auto"/>
        </w:rPr>
        <w:t>The Secretary shall attend all meetings of the stockholders and of the Board and shall record, or cause to be recorded, all acts, votes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proceedings thereof in the minute books of the Corporation. The Secretary shall give, or cause to be given, notice in conformity with the Bylaws of all meetings of the stockholders and of all meetings of the Board and any committee thereof requiring notice. The Secretary shall perform all other duties provided for in the Bylaws and other duties customarily associated with the office and shall also perform such other duties and have such other powers, as the Board or the Chief Executive Officer, or if no Chief Executive Officer is then serving, the President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customarily associated with the office and shall also perform such other duties and have such other powers as the Board or the Chief Executive Officer, or if no Chief Executive Officer is then serving, the President shall designate from time to time.</w:t>
      </w:r>
    </w:p>
    <w:p>
      <w:pPr>
        <w:spacing w:after="0" w:line="125" w:lineRule="exact"/>
        <w:rPr>
          <w:rFonts w:ascii="Times New Roman" w:cs="Times New Roman" w:eastAsia="Times New Roman" w:hAnsi="Times New Roman"/>
          <w:sz w:val="14"/>
          <w:szCs w:val="14"/>
          <w:b w:val="1"/>
          <w:bCs w:val="1"/>
          <w:color w:val="auto"/>
        </w:rPr>
      </w:pPr>
    </w:p>
    <w:p>
      <w:pPr>
        <w:jc w:val="both"/>
        <w:ind w:right="20" w:firstLine="7"/>
        <w:spacing w:after="0" w:line="262" w:lineRule="auto"/>
        <w:tabs>
          <w:tab w:leader="none" w:pos="319" w:val="left"/>
        </w:tabs>
        <w:numPr>
          <w:ilvl w:val="0"/>
          <w:numId w:val="3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Duties of Treasurer and Assistant Treasurer. </w:t>
      </w:r>
      <w:r>
        <w:rPr>
          <w:rFonts w:ascii="Times New Roman" w:cs="Times New Roman" w:eastAsia="Times New Roman" w:hAnsi="Times New Roman"/>
          <w:sz w:val="14"/>
          <w:szCs w:val="14"/>
          <w:color w:val="auto"/>
        </w:rPr>
        <w:t>The Treasurer shall keep or cause to be kept the books of account of the Corporation in a thorough and proper manner and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render statements of the financial affairs of the Corporation in such form and as often as required by the Board, the Chief Executive Officer or the President. The Treasurer, subject to the order of the Board, shall have the custody of all funds and securities of the Corporation. The Treasurer shall perform other duties customarily associated with the office and shall also perform such other duties and have such other powers as the Board or the Chief Executive Officer, or if no Chief Executive Officer is then serving, the President shall designate from time to time. The Chief Executive Officer, or if no Chief Executive Officer is then serving, the President may direct any Assistant Treasurer or other officer to assume and perform the duties of the Treasurer in the absence or disability of the Treasurer, and each Assistant Treasurer shall perform other duties commonly incident to the office and shall also perform such other duties and have such other powers as the Board or the Chief Executive Officer, or if no Chief Executive Officer is then serving, the President shall designate from time to time.</w:t>
      </w:r>
    </w:p>
    <w:p>
      <w:pPr>
        <w:spacing w:after="0" w:line="30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Section 5.3 Delegation of Authority. </w:t>
      </w:r>
      <w:r>
        <w:rPr>
          <w:rFonts w:ascii="Times New Roman" w:cs="Times New Roman" w:eastAsia="Times New Roman" w:hAnsi="Times New Roman"/>
          <w:sz w:val="14"/>
          <w:szCs w:val="14"/>
          <w:color w:val="auto"/>
        </w:rPr>
        <w:t>The Board may from time to time delegate the powers or duties of any officer to any other officer or agent, notwithstanding any provision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hereof.</w:t>
      </w:r>
    </w:p>
    <w:p>
      <w:pPr>
        <w:spacing w:after="0" w:line="3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Section 5.4 Resignations. </w:t>
      </w:r>
      <w:r>
        <w:rPr>
          <w:rFonts w:ascii="Times New Roman" w:cs="Times New Roman" w:eastAsia="Times New Roman" w:hAnsi="Times New Roman"/>
          <w:sz w:val="14"/>
          <w:szCs w:val="14"/>
          <w:color w:val="auto"/>
        </w:rPr>
        <w:t>Any officer may resign at any time by giving notice in writing or by electronic transmission to the Board, the Chairperson of the Board, the Chief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Executive Officer, the President or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1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Section 5.5 Contracts and Other Documents. </w:t>
      </w:r>
      <w:r>
        <w:rPr>
          <w:rFonts w:ascii="Times New Roman" w:cs="Times New Roman" w:eastAsia="Times New Roman" w:hAnsi="Times New Roman"/>
          <w:sz w:val="14"/>
          <w:szCs w:val="14"/>
          <w:color w:val="auto"/>
        </w:rPr>
        <w:t>The Chief Executive Officer, or such other officer or officers as may from time to time be authorized by the Board or any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committee given specific authority in the premises by the Board during the intervals between the meetings of the Board, shall have power to sign and execute on behalf of the Corporation deeds, conveyances and contracts, and any and all other documents requiring execution by the Corporation.</w:t>
      </w:r>
    </w:p>
    <w:p>
      <w:pPr>
        <w:sectPr>
          <w:pgSz w:w="11900" w:h="16840" w:orient="portrait"/>
          <w:cols w:equalWidth="0" w:num="1">
            <w:col w:w="10620"/>
          </w:cols>
          <w:pgMar w:left="640" w:top="1440" w:right="640" w:bottom="1440" w:gutter="0" w:footer="0" w:header="0"/>
        </w:sectPr>
      </w:pPr>
    </w:p>
    <w:bookmarkStart w:id="302" w:name="page303"/>
    <w:bookmarkEnd w:id="302"/>
    <w:p>
      <w:pPr>
        <w:spacing w:after="0" w:line="161"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4"/>
          <w:szCs w:val="14"/>
          <w:b w:val="1"/>
          <w:bCs w:val="1"/>
          <w:color w:val="auto"/>
        </w:rPr>
        <w:t xml:space="preserve">Section 5.6 Removal. </w:t>
      </w:r>
      <w:r>
        <w:rPr>
          <w:rFonts w:ascii="Times New Roman" w:cs="Times New Roman" w:eastAsia="Times New Roman" w:hAnsi="Times New Roman"/>
          <w:sz w:val="14"/>
          <w:szCs w:val="14"/>
          <w:color w:val="auto"/>
        </w:rPr>
        <w:t>Any officer may be removed from office at any time, either with or without cause, by the Board, or by any duly authorized committee thereof or any officer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upon whom such power of removal may have been conferred by the Board.</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6.</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EXECUTION OF CORPORATE INSTRUMENTS AND VOTING OF SECURITIES OWNED BY THE CORPORATION</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Section 6.1 Execution of Corporate Instruments. </w:t>
      </w:r>
      <w:r>
        <w:rPr>
          <w:rFonts w:ascii="Times New Roman" w:cs="Times New Roman" w:eastAsia="Times New Roman" w:hAnsi="Times New Roman"/>
          <w:sz w:val="14"/>
          <w:szCs w:val="14"/>
          <w:color w:val="auto"/>
        </w:rPr>
        <w:t>The Board may, in its discretion, determine the method and designate the signatory officer or officers, or other person or persons,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execute, sign or endorse on behalf of the Corporation any corporate instrument or document, or to sign on behalf of the Corporation the corporate name without limitation, or to enter into contracts on behalf of the Corporation, except where otherwise provided by applicable law or the Bylaws, and such execution or signature shall be binding upon the Corporation.</w:t>
      </w:r>
    </w:p>
    <w:p>
      <w:pPr>
        <w:spacing w:after="0" w:line="116" w:lineRule="exact"/>
        <w:rPr>
          <w:sz w:val="20"/>
          <w:szCs w:val="20"/>
          <w:color w:val="auto"/>
        </w:rPr>
      </w:pPr>
    </w:p>
    <w:p>
      <w:pPr>
        <w:ind w:right="20" w:firstLine="7"/>
        <w:spacing w:after="0" w:line="293" w:lineRule="auto"/>
        <w:tabs>
          <w:tab w:leader="none" w:pos="335" w:val="left"/>
        </w:tabs>
        <w:numPr>
          <w:ilvl w:val="0"/>
          <w:numId w:val="3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All checks and drafts drawn on banks or other depositaries on funds to the credit of the Corporation or in special accounts of the Corporation shall be signed by such person or persons as the Board shall from time to time authorize so to do.</w:t>
      </w:r>
    </w:p>
    <w:p>
      <w:pPr>
        <w:spacing w:after="0" w:line="104" w:lineRule="exact"/>
        <w:rPr>
          <w:rFonts w:ascii="Times New Roman" w:cs="Times New Roman" w:eastAsia="Times New Roman" w:hAnsi="Times New Roman"/>
          <w:sz w:val="14"/>
          <w:szCs w:val="14"/>
          <w:b w:val="1"/>
          <w:bCs w:val="1"/>
          <w:color w:val="auto"/>
        </w:rPr>
      </w:pPr>
    </w:p>
    <w:p>
      <w:pPr>
        <w:jc w:val="both"/>
        <w:ind w:right="20" w:firstLine="7"/>
        <w:spacing w:after="0" w:line="275" w:lineRule="auto"/>
        <w:tabs>
          <w:tab w:leader="none" w:pos="316" w:val="left"/>
        </w:tabs>
        <w:numPr>
          <w:ilvl w:val="0"/>
          <w:numId w:val="3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Unless otherwise specifically determined by the Board or otherwise required by applicable law, the execution, signing or endorsement of any corporate instrument or document by or on behalf of the Corporation may be effected manually, by facsimile or (to the extent not prohibited by applicable law and subject to such policies and procedures as the Corporation may have in effect from time to time) by electronic signature.</w:t>
      </w:r>
    </w:p>
    <w:p>
      <w:pPr>
        <w:spacing w:after="0" w:line="116" w:lineRule="exact"/>
        <w:rPr>
          <w:rFonts w:ascii="Times New Roman" w:cs="Times New Roman" w:eastAsia="Times New Roman" w:hAnsi="Times New Roman"/>
          <w:sz w:val="14"/>
          <w:szCs w:val="14"/>
          <w:b w:val="1"/>
          <w:bCs w:val="1"/>
          <w:color w:val="auto"/>
        </w:rPr>
      </w:pPr>
    </w:p>
    <w:p>
      <w:pPr>
        <w:ind w:right="20" w:firstLine="7"/>
        <w:spacing w:after="0" w:line="293" w:lineRule="auto"/>
        <w:tabs>
          <w:tab w:leader="none" w:pos="306" w:val="left"/>
        </w:tabs>
        <w:numPr>
          <w:ilvl w:val="0"/>
          <w:numId w:val="3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Unless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Section 6.2 Voting of Securities Owned by the Corporation. </w:t>
      </w:r>
      <w:r>
        <w:rPr>
          <w:rFonts w:ascii="Times New Roman" w:cs="Times New Roman" w:eastAsia="Times New Roman" w:hAnsi="Times New Roman"/>
          <w:sz w:val="14"/>
          <w:szCs w:val="14"/>
          <w:color w:val="auto"/>
        </w:rPr>
        <w:t>All stock and other securities of or interests in other corporations or entities owned or held by the Corporation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itself, or for other parties in any capacity, shall be voted, and all proxies and consents with respect thereto shall be executed, by the person authorized so to do by resolution of the Board, or, in the absence of such authorization, by the Chairperson of the Board, the Chief Executive Officer, or the President.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7.</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SHARES OF STOCK</w:t>
      </w:r>
    </w:p>
    <w:p>
      <w:pPr>
        <w:spacing w:after="0" w:line="16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Section 7.1 Form and Execution of Certificates. </w:t>
      </w:r>
      <w:r>
        <w:rPr>
          <w:rFonts w:ascii="Times New Roman" w:cs="Times New Roman" w:eastAsia="Times New Roman" w:hAnsi="Times New Roman"/>
          <w:sz w:val="14"/>
          <w:szCs w:val="14"/>
          <w:color w:val="auto"/>
        </w:rPr>
        <w:t>The shares of the Corporation shall be represented by certificates, or shall be uncertificated if so provided by resolution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resolutions of the Board. Certificates for the shares of stock of the Corporation, if any, shall be in such form as is consistent with the Certificate of Incorporation and applicable law. Every holder of stock in the Corporation represented by certificates shall be entitled to have a certificate signed by or in the name of the Corporation by any two authorized officers of the Corporation (including, without limitation, the Chairperson of the Board, the Chief Executive Officer, the President, the Treasurer, any Assistant Treasurer, the Secretary and any Assistant Secretary), certifying the number, and the class or series, of shares owned by such holder in the Corporation in certificated form. Any or all of the signatures on the certificate may be facsimiles. In case any officer, transfer agent, or registrar who has signed or whose facsimile signature has been placed upon</w:t>
      </w:r>
    </w:p>
    <w:p>
      <w:pPr>
        <w:sectPr>
          <w:pgSz w:w="11900" w:h="16840" w:orient="portrait"/>
          <w:cols w:equalWidth="0" w:num="1">
            <w:col w:w="10620"/>
          </w:cols>
          <w:pgMar w:left="640" w:top="1440" w:right="640" w:bottom="1440" w:gutter="0" w:footer="0" w:header="0"/>
        </w:sectPr>
      </w:pPr>
    </w:p>
    <w:bookmarkStart w:id="303" w:name="page304"/>
    <w:bookmarkEnd w:id="303"/>
    <w:p>
      <w:pPr>
        <w:spacing w:after="0" w:line="163"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4"/>
          <w:szCs w:val="14"/>
          <w:color w:val="auto"/>
        </w:rPr>
        <w:t>a certificate shall have ceased to be such officer, transfer agent, or registrar before such certificate is issued, it may be issued with the same effect as if he were such officer, transfer agent, or registrar at the date of issue.</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Section 7.2 Lost Certificates. </w:t>
      </w:r>
      <w:r>
        <w:rPr>
          <w:rFonts w:ascii="Times New Roman" w:cs="Times New Roman" w:eastAsia="Times New Roman" w:hAnsi="Times New Roman"/>
          <w:sz w:val="14"/>
          <w:szCs w:val="14"/>
          <w:color w:val="auto"/>
        </w:rPr>
        <w:t>The Corporation may issue a new certificate or certificates or uncertificated shares in place of any certificate or certificates theretofore issued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give the Corporation a bond (or other adequate security) sufficient to indemnify the Corporation against any claim that may be made against the Corporation with respect to the certificate alleged to have been lost, stolen, or destroyed or the issuance of such new certificate(s) or uncertificated shares.</w:t>
      </w:r>
    </w:p>
    <w:p>
      <w:pPr>
        <w:spacing w:after="0" w:line="12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Section 7.3</w:t>
        <w:tab/>
        <w:t>Transfers.</w:t>
      </w:r>
    </w:p>
    <w:p>
      <w:pPr>
        <w:spacing w:after="0" w:line="166" w:lineRule="exact"/>
        <w:rPr>
          <w:sz w:val="20"/>
          <w:szCs w:val="20"/>
          <w:color w:val="auto"/>
        </w:rPr>
      </w:pPr>
    </w:p>
    <w:p>
      <w:pPr>
        <w:ind w:right="20" w:firstLine="7"/>
        <w:spacing w:after="0" w:line="293" w:lineRule="auto"/>
        <w:tabs>
          <w:tab w:leader="none" w:pos="335" w:val="left"/>
        </w:tabs>
        <w:numPr>
          <w:ilvl w:val="0"/>
          <w:numId w:val="3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04" w:lineRule="exact"/>
        <w:rPr>
          <w:rFonts w:ascii="Times New Roman" w:cs="Times New Roman" w:eastAsia="Times New Roman" w:hAnsi="Times New Roman"/>
          <w:sz w:val="14"/>
          <w:szCs w:val="14"/>
          <w:b w:val="1"/>
          <w:bCs w:val="1"/>
          <w:color w:val="auto"/>
        </w:rPr>
      </w:pPr>
    </w:p>
    <w:p>
      <w:pPr>
        <w:ind w:right="20" w:firstLine="7"/>
        <w:spacing w:after="0" w:line="293" w:lineRule="auto"/>
        <w:tabs>
          <w:tab w:leader="none" w:pos="335" w:val="left"/>
        </w:tabs>
        <w:numPr>
          <w:ilvl w:val="0"/>
          <w:numId w:val="3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DGCL.</w:t>
      </w:r>
    </w:p>
    <w:p>
      <w:pPr>
        <w:spacing w:after="0" w:line="10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Section 7.4</w:t>
        <w:tab/>
        <w:t>Fixing Record Dates.</w:t>
      </w:r>
    </w:p>
    <w:p>
      <w:pPr>
        <w:spacing w:after="0" w:line="166" w:lineRule="exact"/>
        <w:rPr>
          <w:sz w:val="20"/>
          <w:szCs w:val="20"/>
          <w:color w:val="auto"/>
        </w:rPr>
      </w:pPr>
    </w:p>
    <w:p>
      <w:pPr>
        <w:jc w:val="both"/>
        <w:ind w:firstLine="7"/>
        <w:spacing w:after="0" w:line="260" w:lineRule="auto"/>
        <w:tabs>
          <w:tab w:leader="none" w:pos="306" w:val="left"/>
        </w:tabs>
        <w:numPr>
          <w:ilvl w:val="0"/>
          <w:numId w:val="3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subject to applicable law, not be more than 60 nor less than ten days before the date of such meeting. If the Board so fixes a record date for determining the stockholders entitled to notice of any meeting of stockholders, such date shall also be the record date for determining the stockholders entitled to vote at such meeting, unless the Board determines, at the time it fixes the record date for determining the stockholders entitled to notice of such meeting, that a later date on or before the date of the meeting shall be the record date for determining the stockholders entitled to vote at such meeting.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determining the stockholders entitled to vote at the adjourned meeting, and in such case shall also fix as the record date for stockholders entitled to notice of such adjourned meeting the same or an earlier date as that fixed for determining the stockholders entitled to vote in accordance with the provisions of this Section 7.4(a).</w:t>
      </w:r>
    </w:p>
    <w:p>
      <w:pPr>
        <w:spacing w:after="0" w:line="129" w:lineRule="exact"/>
        <w:rPr>
          <w:sz w:val="20"/>
          <w:szCs w:val="20"/>
          <w:color w:val="auto"/>
        </w:rPr>
      </w:pPr>
    </w:p>
    <w:p>
      <w:pPr>
        <w:ind w:right="20" w:firstLine="7"/>
        <w:spacing w:after="0" w:line="296" w:lineRule="auto"/>
        <w:tabs>
          <w:tab w:leader="none" w:pos="76" w:val="left"/>
        </w:tabs>
        <w:numPr>
          <w:ilvl w:val="0"/>
          <w:numId w:val="3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 ) </w:t>
      </w:r>
      <w:r>
        <w:rPr>
          <w:rFonts w:ascii="Times New Roman" w:cs="Times New Roman" w:eastAsia="Times New Roman" w:hAnsi="Times New Roman"/>
          <w:sz w:val="14"/>
          <w:szCs w:val="14"/>
          <w:color w:val="auto"/>
        </w:rPr>
        <w:t>In order that the Corporation may determine the stockholders entitled to receive payment of any dividend or other distribution or allotment of any rights or the stockholders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entitled to exercise any rights in respect of any change, conversion or exchange of stock, or for the purpose of any other lawful action,</w:t>
      </w:r>
    </w:p>
    <w:p>
      <w:pPr>
        <w:sectPr>
          <w:pgSz w:w="11900" w:h="16840" w:orient="portrait"/>
          <w:cols w:equalWidth="0" w:num="1">
            <w:col w:w="10620"/>
          </w:cols>
          <w:pgMar w:left="640" w:top="1440" w:right="640" w:bottom="1440" w:gutter="0" w:footer="0" w:header="0"/>
        </w:sectPr>
      </w:pPr>
    </w:p>
    <w:bookmarkStart w:id="304" w:name="page305"/>
    <w:bookmarkEnd w:id="304"/>
    <w:p>
      <w:pPr>
        <w:spacing w:after="0" w:line="163"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14"/>
          <w:szCs w:val="14"/>
          <w:color w:val="auto"/>
        </w:rPr>
        <w:t>the Board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to such action.</w:t>
      </w:r>
    </w:p>
    <w:p>
      <w:pPr>
        <w:spacing w:after="0" w:line="1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Section 7.5 Registered Stockholders. </w:t>
      </w:r>
      <w:r>
        <w:rPr>
          <w:rFonts w:ascii="Times New Roman" w:cs="Times New Roman" w:eastAsia="Times New Roman" w:hAnsi="Times New Roman"/>
          <w:sz w:val="14"/>
          <w:szCs w:val="14"/>
          <w:color w:val="auto"/>
        </w:rPr>
        <w:t>The Corporation shall be entitled to recognize the exclusive right of a person registered on its books as the owner of shares to receive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1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Section 7.6 Additional Powers of the Board. </w:t>
      </w:r>
      <w:r>
        <w:rPr>
          <w:rFonts w:ascii="Times New Roman" w:cs="Times New Roman" w:eastAsia="Times New Roman" w:hAnsi="Times New Roman"/>
          <w:sz w:val="14"/>
          <w:szCs w:val="14"/>
          <w:color w:val="auto"/>
        </w:rPr>
        <w:t>In addition to, and without limiting, the powers set forth in the Bylaws, the Board shall have power and authority to make all such rules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regulations as it shall deem expedient concerning the issue, transfer, and registration of certificates for shares of stock of the Corporation, including the use of uncertificated shares of stock, subject to the provisions of the DGCL, other applicable law, the Certificate of Incorporation and the Bylaws. The Board may appoint and remove transfer agents and registrars of transfers, and may require all stock certificates to bear the signature of any such transfer agent and/or any such registrar of transfers.</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SECTION 8.</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OTHER SECURITIES OF THE CORPORATION</w:t>
      </w:r>
    </w:p>
    <w:p>
      <w:pPr>
        <w:spacing w:after="0" w:line="16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Section 8.1 Execution of Other Securities. </w:t>
      </w:r>
      <w:r>
        <w:rPr>
          <w:rFonts w:ascii="Times New Roman" w:cs="Times New Roman" w:eastAsia="Times New Roman" w:hAnsi="Times New Roman"/>
          <w:sz w:val="14"/>
          <w:szCs w:val="14"/>
          <w:color w:val="auto"/>
        </w:rPr>
        <w:t>All bonds, debentures and other corporate securities of the Corporation, other than stock certificates (covered in Section 7.1), may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signed by the Chairperson of the Board, the Chief Executive Officer, or the President, or such other person as may be authorized by the Board; provided, however,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SECTION 9.</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64" w:lineRule="exact"/>
        <w:rPr>
          <w:sz w:val="20"/>
          <w:szCs w:val="20"/>
          <w:color w:val="auto"/>
        </w:rPr>
      </w:pPr>
    </w:p>
    <w:p>
      <w:pPr>
        <w:jc w:val="both"/>
        <w:ind w:right="40"/>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Section 9.1 Declaration of Dividends. </w:t>
      </w:r>
      <w:r>
        <w:rPr>
          <w:rFonts w:ascii="Times New Roman" w:cs="Times New Roman" w:eastAsia="Times New Roman" w:hAnsi="Times New Roman"/>
          <w:sz w:val="14"/>
          <w:szCs w:val="14"/>
          <w:color w:val="auto"/>
        </w:rPr>
        <w:t>Dividends upon the capital stock of the Corporation, subject to the provisions of the Certificate of Incorporation and applicable law, if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be declared by the Board. Dividends may be paid in cash, in property, or in shares of capital stock or other securities of the Corporation, subject to the provisions of the Certificate of Incorporation and applicable law.</w:t>
      </w:r>
    </w:p>
    <w:p>
      <w:pPr>
        <w:sectPr>
          <w:pgSz w:w="11900" w:h="16840" w:orient="portrait"/>
          <w:cols w:equalWidth="0" w:num="1">
            <w:col w:w="10640"/>
          </w:cols>
          <w:pgMar w:left="640" w:top="1440" w:right="620" w:bottom="1440" w:gutter="0" w:footer="0" w:header="0"/>
        </w:sectPr>
      </w:pPr>
    </w:p>
    <w:bookmarkStart w:id="305" w:name="page306"/>
    <w:bookmarkEnd w:id="305"/>
    <w:p>
      <w:pPr>
        <w:spacing w:after="0" w:line="1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Section 9.2 Dividend Reserve. </w:t>
      </w:r>
      <w:r>
        <w:rPr>
          <w:rFonts w:ascii="Times New Roman" w:cs="Times New Roman" w:eastAsia="Times New Roman" w:hAnsi="Times New Roman"/>
          <w:sz w:val="14"/>
          <w:szCs w:val="14"/>
          <w:color w:val="auto"/>
        </w:rPr>
        <w:t>Before payment of any dividend, there may be set aside out of any funds of the Corporation available for dividends such sum or sums as the Board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from time to time, in its absolute discretion, determines proper as a reserve or reserves to meet contingencies, or for equalizing dividends, or for repairing or maintaining any property of the Corporation, or for such other purpose or purposes as the Board shall determine to be conducive to the interests of the Corporation, and the Board may modify or abolish any such reserve in the manner in which it was created.</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SECTION 10.</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16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Section 10.1</w:t>
        <w:tab/>
        <w:t xml:space="preserve">Fiscal Year. </w:t>
      </w:r>
      <w:r>
        <w:rPr>
          <w:rFonts w:ascii="Times New Roman" w:cs="Times New Roman" w:eastAsia="Times New Roman" w:hAnsi="Times New Roman"/>
          <w:sz w:val="14"/>
          <w:szCs w:val="14"/>
          <w:color w:val="auto"/>
        </w:rPr>
        <w:t>The fiscal year of the Corporation shall be fixed by resolution of the Board and may be changed by the Board.</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SECTION 11.</w:t>
      </w:r>
    </w:p>
    <w:p>
      <w:pPr>
        <w:spacing w:after="0" w:line="16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INDEMNIFICATION</w:t>
      </w:r>
    </w:p>
    <w:p>
      <w:pPr>
        <w:spacing w:after="0" w:line="16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Section 11.1</w:t>
        <w:tab/>
        <w:t>Indemnification of Directors, Officers, Employees and Other Agents.</w:t>
      </w:r>
    </w:p>
    <w:p>
      <w:pPr>
        <w:spacing w:after="0" w:line="164" w:lineRule="exact"/>
        <w:rPr>
          <w:sz w:val="20"/>
          <w:szCs w:val="20"/>
          <w:color w:val="auto"/>
        </w:rPr>
      </w:pPr>
    </w:p>
    <w:p>
      <w:pPr>
        <w:jc w:val="both"/>
        <w:ind w:firstLine="7"/>
        <w:spacing w:after="0" w:line="261" w:lineRule="auto"/>
        <w:tabs>
          <w:tab w:leader="none" w:pos="330" w:val="left"/>
        </w:tabs>
        <w:numPr>
          <w:ilvl w:val="0"/>
          <w:numId w:val="3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Directors and Officers. </w:t>
      </w:r>
      <w:r>
        <w:rPr>
          <w:rFonts w:ascii="Times New Roman" w:cs="Times New Roman" w:eastAsia="Times New Roman" w:hAnsi="Times New Roman"/>
          <w:sz w:val="14"/>
          <w:szCs w:val="14"/>
          <w:color w:val="auto"/>
        </w:rPr>
        <w:t>The Corporation shall indemnify to the fullest extent permitted by the DGCL as it presently exists or may hereafter be amended (but, in the case of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such amendment, only to the extent that such amendment permits the Corporation to provide broader indemnification rights than such law permitted the Corporation to provide prior to such amendment), any person who was or is made or is threatened to be made a party or is otherwise involved in a Proceeding, by reason of the fact that such person is or was a director or officer of the Corporation, or while serving as a director or officer of the Corporation, is or was serving at the request of the Corporation as a director, officer, </w:t>
      </w:r>
      <w:r>
        <w:rPr>
          <w:rFonts w:ascii="Times New Roman" w:cs="Times New Roman" w:eastAsia="Times New Roman" w:hAnsi="Times New Roman"/>
          <w:sz w:val="14"/>
          <w:szCs w:val="14"/>
          <w:color w:val="333333"/>
        </w:rPr>
        <w:t>employee or agent</w:t>
      </w:r>
      <w:r>
        <w:rPr>
          <w:rFonts w:ascii="Times New Roman" w:cs="Times New Roman" w:eastAsia="Times New Roman" w:hAnsi="Times New Roman"/>
          <w:sz w:val="14"/>
          <w:szCs w:val="14"/>
          <w:color w:val="auto"/>
        </w:rPr>
        <w:t xml:space="preserve"> of another corporation, partnership, joint venture, trust, employee benefit plan or other enterprise, whether the basis of such Proceeding is alleged action in an official capacity as a director or officer or in any other capacity while serving as a director or officer, against all expense, liability and loss (including attorneys’ fees, judgments, fines, ERISA excise taxes or penalties and amounts paid in settlement) reasonably incurred or suffered by such person in connection therewith; provided, however, that the Corporation will not be required to indemnify or advance expenses to any director or officer in connection with any Proceeding (or part thereof) initiated by such person unless (i) the Proceeding (or part thereof) was authorized by the Board or (ii) the Proceeding (or part thereof) is initiated to enforce rights to indemnification or advancement of expenses as provided under subsection (d) of this Section 11.1 or is a compulsory counterclaim brought by such person.</w:t>
      </w:r>
    </w:p>
    <w:p>
      <w:pPr>
        <w:spacing w:after="0" w:line="127" w:lineRule="exact"/>
        <w:rPr>
          <w:sz w:val="20"/>
          <w:szCs w:val="20"/>
          <w:color w:val="auto"/>
        </w:rPr>
      </w:pPr>
    </w:p>
    <w:p>
      <w:pPr>
        <w:jc w:val="both"/>
        <w:ind w:firstLine="459"/>
        <w:spacing w:after="0" w:line="262" w:lineRule="auto"/>
        <w:rPr>
          <w:sz w:val="20"/>
          <w:szCs w:val="20"/>
          <w:color w:val="auto"/>
        </w:rPr>
      </w:pPr>
      <w:r>
        <w:rPr>
          <w:rFonts w:ascii="Times New Roman" w:cs="Times New Roman" w:eastAsia="Times New Roman" w:hAnsi="Times New Roman"/>
          <w:sz w:val="14"/>
          <w:szCs w:val="14"/>
          <w:color w:val="auto"/>
        </w:rPr>
        <w:t>Any reference to an officer of the Corporation in this Section 11.1 shall be deemed to refer exclusively to the Chief Executive Officer, President, Secretary, Treasurer and any other officer of the Corporation appointed by the Board pursuant to Section 5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but not an officer thereof as described in the preceding sentence, has been given or has used the title of “Vice President” or any other title that could be construed to suggest or imply that such person is or may be such an officer of the Corporation or of such other corporation, partnership, joint venture,</w:t>
      </w:r>
    </w:p>
    <w:p>
      <w:pPr>
        <w:sectPr>
          <w:pgSz w:w="11900" w:h="16840" w:orient="portrait"/>
          <w:cols w:equalWidth="0" w:num="1">
            <w:col w:w="10620"/>
          </w:cols>
          <w:pgMar w:left="640" w:top="1440" w:right="640" w:bottom="1440" w:gutter="0" w:footer="0" w:header="0"/>
        </w:sectPr>
      </w:pPr>
    </w:p>
    <w:bookmarkStart w:id="306" w:name="page307"/>
    <w:bookmarkEnd w:id="306"/>
    <w:p>
      <w:pPr>
        <w:spacing w:after="0" w:line="163"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4"/>
          <w:szCs w:val="14"/>
          <w:color w:val="auto"/>
        </w:rPr>
        <w:t>trust, employee benefit plan or other enterprise shall not result in such person being constituted as, or being deemed to be, such an officer of the Corporation or of such other corporation, partnership, joint venture, trust, employee benefit plan or other enterprise for purposes of this Section 11.1.</w:t>
      </w:r>
    </w:p>
    <w:p>
      <w:pPr>
        <w:spacing w:after="0" w:line="102" w:lineRule="exact"/>
        <w:rPr>
          <w:sz w:val="20"/>
          <w:szCs w:val="20"/>
          <w:color w:val="auto"/>
        </w:rPr>
      </w:pPr>
    </w:p>
    <w:p>
      <w:pPr>
        <w:ind w:right="80" w:firstLine="7"/>
        <w:spacing w:after="0" w:line="268" w:lineRule="auto"/>
        <w:tabs>
          <w:tab w:leader="none" w:pos="357" w:val="left"/>
        </w:tabs>
        <w:numPr>
          <w:ilvl w:val="0"/>
          <w:numId w:val="3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Employees and Other Agents. </w:t>
      </w:r>
      <w:r>
        <w:rPr>
          <w:rFonts w:ascii="Times New Roman" w:cs="Times New Roman" w:eastAsia="Times New Roman" w:hAnsi="Times New Roman"/>
          <w:sz w:val="14"/>
          <w:szCs w:val="14"/>
          <w:color w:val="auto"/>
        </w:rPr>
        <w:t>The Corporation shall have power to indemnify and advance expenses to its employees and other agents to the fullest extent permitted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DGCL.</w:t>
      </w:r>
    </w:p>
    <w:p>
      <w:pPr>
        <w:spacing w:after="0" w:line="317" w:lineRule="exact"/>
        <w:rPr>
          <w:rFonts w:ascii="Times New Roman" w:cs="Times New Roman" w:eastAsia="Times New Roman" w:hAnsi="Times New Roman"/>
          <w:sz w:val="14"/>
          <w:szCs w:val="14"/>
          <w:b w:val="1"/>
          <w:bCs w:val="1"/>
          <w:color w:val="auto"/>
        </w:rPr>
      </w:pPr>
    </w:p>
    <w:p>
      <w:pPr>
        <w:jc w:val="both"/>
        <w:ind w:right="40" w:firstLine="7"/>
        <w:spacing w:after="0" w:line="262" w:lineRule="auto"/>
        <w:tabs>
          <w:tab w:leader="none" w:pos="360" w:val="left"/>
        </w:tabs>
        <w:numPr>
          <w:ilvl w:val="0"/>
          <w:numId w:val="3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Expenses. </w:t>
      </w:r>
      <w:r>
        <w:rPr>
          <w:rFonts w:ascii="Times New Roman" w:cs="Times New Roman" w:eastAsia="Times New Roman" w:hAnsi="Times New Roman"/>
          <w:sz w:val="14"/>
          <w:szCs w:val="14"/>
          <w:color w:val="auto"/>
        </w:rPr>
        <w:t>The Corporation shall advance to any current or former director or officer of the Corporation, or to any person, who while serving as a director or officer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 is or was serving at the request of the Corporation as a director or officer of another corporation, partnership, joint venture, trust, employee benefit plan or other enterprise, prior to the final disposition of the Proceeding, promptly following request therefor, all expenses incurred by such person in defending (or participating as a witness in) any Proceeding referred to in Section 11.1(a), or in connection with a Proceeding (or part thereof) brought to establish or enforce a right to indemnification or advancement of expenses under subsection</w:t>
      </w:r>
    </w:p>
    <w:p>
      <w:pPr>
        <w:spacing w:after="0" w:line="1" w:lineRule="exact"/>
        <w:rPr>
          <w:rFonts w:ascii="Times New Roman" w:cs="Times New Roman" w:eastAsia="Times New Roman" w:hAnsi="Times New Roman"/>
          <w:sz w:val="14"/>
          <w:szCs w:val="14"/>
          <w:b w:val="1"/>
          <w:bCs w:val="1"/>
          <w:color w:val="auto"/>
        </w:rPr>
      </w:pPr>
    </w:p>
    <w:p>
      <w:pPr>
        <w:jc w:val="both"/>
        <w:ind w:right="60" w:firstLine="7"/>
        <w:spacing w:after="0" w:line="265" w:lineRule="auto"/>
        <w:tabs>
          <w:tab w:leader="none" w:pos="206" w:val="left"/>
        </w:tabs>
        <w:numPr>
          <w:ilvl w:val="0"/>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this Section 11.1, provided, however, that any advancement of expenses incurred by a current or former director or officer will be made only upon delivery to the Corporation of an undertaking, by or on behalf of such indemnitee, to repay all amounts so advanced if it is ultimately determined by final judicial decision from which there is no further right to appeal that such indemnitee is not entitled to be indemnified or entitled to advancement for such expenses under this Section 11.1 or otherwise.</w:t>
      </w:r>
    </w:p>
    <w:p>
      <w:pPr>
        <w:spacing w:after="0" w:line="121" w:lineRule="exact"/>
        <w:rPr>
          <w:sz w:val="20"/>
          <w:szCs w:val="20"/>
          <w:color w:val="auto"/>
        </w:rPr>
      </w:pPr>
    </w:p>
    <w:p>
      <w:pPr>
        <w:jc w:val="both"/>
        <w:ind w:right="60" w:firstLine="7"/>
        <w:spacing w:after="0" w:line="270" w:lineRule="auto"/>
        <w:tabs>
          <w:tab w:leader="none" w:pos="328" w:val="left"/>
        </w:tabs>
        <w:numPr>
          <w:ilvl w:val="0"/>
          <w:numId w:val="3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Enforcement. </w:t>
      </w:r>
      <w:r>
        <w:rPr>
          <w:rFonts w:ascii="Times New Roman" w:cs="Times New Roman" w:eastAsia="Times New Roman" w:hAnsi="Times New Roman"/>
          <w:sz w:val="14"/>
          <w:szCs w:val="14"/>
          <w:color w:val="auto"/>
        </w:rPr>
        <w:t>Without the necessity of entering into an express contract, all rights to indemnification and advances to current and former directors and officers under this Section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11.1 will be deemed to be contractual rights and be effective to the same extent and as if provided for in a contract between the Corporation and such director or officer. Any right to indemnification or advancement of expenses granted by this Section 11.1 to a current or former director or officer will be enforceable by or on behalf of the person holding such right in any court of competent jurisdiction if</w:t>
      </w:r>
    </w:p>
    <w:p>
      <w:pPr>
        <w:spacing w:after="0" w:line="120" w:lineRule="exact"/>
        <w:rPr>
          <w:sz w:val="20"/>
          <w:szCs w:val="20"/>
          <w:color w:val="auto"/>
        </w:rPr>
      </w:pPr>
    </w:p>
    <w:p>
      <w:pPr>
        <w:ind w:left="180" w:hanging="173"/>
        <w:spacing w:after="0"/>
        <w:tabs>
          <w:tab w:leader="none" w:pos="180"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claim for indemnification or advancement of expenses is denied, in whole or in part,</w:t>
      </w:r>
    </w:p>
    <w:p>
      <w:pPr>
        <w:spacing w:after="0" w:line="164" w:lineRule="exact"/>
        <w:rPr>
          <w:rFonts w:ascii="Times New Roman" w:cs="Times New Roman" w:eastAsia="Times New Roman" w:hAnsi="Times New Roman"/>
          <w:sz w:val="14"/>
          <w:szCs w:val="14"/>
          <w:color w:val="auto"/>
        </w:rPr>
      </w:pPr>
    </w:p>
    <w:p>
      <w:pPr>
        <w:ind w:left="220" w:hanging="213"/>
        <w:spacing w:after="0"/>
        <w:tabs>
          <w:tab w:leader="none" w:pos="220"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disposition of a claim for indemnification is made within 60 days of request therefor, or</w:t>
      </w:r>
    </w:p>
    <w:p>
      <w:pPr>
        <w:spacing w:after="0" w:line="164"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disposition of a claim for an advance is made within 30 days of request therefor.</w:t>
      </w:r>
    </w:p>
    <w:p>
      <w:pPr>
        <w:spacing w:after="0" w:line="164" w:lineRule="exact"/>
        <w:rPr>
          <w:sz w:val="20"/>
          <w:szCs w:val="20"/>
          <w:color w:val="auto"/>
        </w:rPr>
      </w:pPr>
    </w:p>
    <w:p>
      <w:pPr>
        <w:ind w:firstLine="459"/>
        <w:spacing w:after="0" w:line="293" w:lineRule="auto"/>
        <w:rPr>
          <w:sz w:val="20"/>
          <w:szCs w:val="20"/>
          <w:color w:val="auto"/>
        </w:rPr>
      </w:pPr>
      <w:r>
        <w:rPr>
          <w:rFonts w:ascii="Times New Roman" w:cs="Times New Roman" w:eastAsia="Times New Roman" w:hAnsi="Times New Roman"/>
          <w:sz w:val="14"/>
          <w:szCs w:val="14"/>
          <w:color w:val="auto"/>
        </w:rPr>
        <w:t>The indemnitee in such enforcement action, if successful in whole or in part, or in a suit brought by the Corporation to recover an advancement of expenses pursuant to the terms of an undertaking, will be entitled to be paid also the expense of prosecuting or defending the claim to the fullest extent permitted by the DGCL.</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(i) any suit brought to enforce a right to indemnification hereunder (but not in a suit brought to enforce a right to an advancement of expenses) it shall be a defense that, and</w:t>
      </w:r>
    </w:p>
    <w:p>
      <w:pPr>
        <w:spacing w:after="0" w:line="25" w:lineRule="exact"/>
        <w:rPr>
          <w:sz w:val="20"/>
          <w:szCs w:val="20"/>
          <w:color w:val="auto"/>
        </w:rPr>
      </w:pPr>
    </w:p>
    <w:p>
      <w:pPr>
        <w:ind w:right="60" w:firstLine="7"/>
        <w:spacing w:after="0" w:line="273" w:lineRule="auto"/>
        <w:tabs>
          <w:tab w:leader="none" w:pos="213"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jc w:val="both"/>
        <w:ind w:right="60" w:firstLine="459"/>
        <w:spacing w:after="0" w:line="275" w:lineRule="auto"/>
        <w:rPr>
          <w:sz w:val="20"/>
          <w:szCs w:val="20"/>
          <w:color w:val="auto"/>
        </w:rPr>
      </w:pPr>
      <w:r>
        <w:rPr>
          <w:rFonts w:ascii="Times New Roman" w:cs="Times New Roman" w:eastAsia="Times New Roman" w:hAnsi="Times New Roman"/>
          <w:sz w:val="14"/>
          <w:szCs w:val="14"/>
          <w:color w:val="auto"/>
        </w:rPr>
        <w:t>Neither the failure of the Corporation (including its Board, independent legal counsel or its stockholders) to have made a determination prior to the commencement of such action that indemnification of the indemnitee is proper in the circumstances because such person has met the applicable standard of conduct set forth in the DGCL, nor an actual determination by the Corporation (including its Board, independent legal counsel or its stockholders) that the indemnitee has not met such</w:t>
      </w:r>
    </w:p>
    <w:p>
      <w:pPr>
        <w:sectPr>
          <w:pgSz w:w="11900" w:h="16840" w:orient="portrait"/>
          <w:cols w:equalWidth="0" w:num="1">
            <w:col w:w="10680"/>
          </w:cols>
          <w:pgMar w:left="640" w:top="1440" w:right="580" w:bottom="1440" w:gutter="0" w:footer="0" w:header="0"/>
        </w:sectPr>
      </w:pPr>
    </w:p>
    <w:bookmarkStart w:id="307" w:name="page308"/>
    <w:bookmarkEnd w:id="307"/>
    <w:p>
      <w:pPr>
        <w:spacing w:after="0" w:line="1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applicable standard of conduct, will be a defense to the action or create a presumption that the indemnitee has not met the applicable standard of conduct. In any suit brought by a current or former director or officer to enforce a right to indemnification or to an advancement of expenses hereunder, or brought by the Corporation to recover an advancement of expenses pursuant to the terms of an undertaking, the burden of proving that the director or officer is not entitled to be indemnified, or to such advancement of expenses, under this Section 11.1 or otherwise is on the Corporation.</w:t>
      </w:r>
    </w:p>
    <w:p>
      <w:pPr>
        <w:spacing w:after="0" w:line="118" w:lineRule="exact"/>
        <w:rPr>
          <w:sz w:val="20"/>
          <w:szCs w:val="20"/>
          <w:color w:val="auto"/>
        </w:rPr>
      </w:pPr>
    </w:p>
    <w:p>
      <w:pPr>
        <w:jc w:val="both"/>
        <w:ind w:right="20" w:firstLine="7"/>
        <w:spacing w:after="0" w:line="270" w:lineRule="auto"/>
        <w:tabs>
          <w:tab w:leader="none" w:pos="315" w:val="left"/>
        </w:tabs>
        <w:numPr>
          <w:ilvl w:val="0"/>
          <w:numId w:val="3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Non-Exclusivity of Rights. </w:t>
      </w:r>
      <w:r>
        <w:rPr>
          <w:rFonts w:ascii="Times New Roman" w:cs="Times New Roman" w:eastAsia="Times New Roman" w:hAnsi="Times New Roman"/>
          <w:sz w:val="14"/>
          <w:szCs w:val="14"/>
          <w:color w:val="auto"/>
        </w:rPr>
        <w:t>The rights conferred on any person by this Section 11.1 are not exclusive of any other right that such person may have or hereafter acquire under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applicable law, provision of the Certificate of Incorporation, Bylaws, agreement, vote of stockholders or disinterested directors or otherwise, both as to action in such person’s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w:t>
      </w:r>
    </w:p>
    <w:p>
      <w:pPr>
        <w:spacing w:after="0" w:line="117" w:lineRule="exact"/>
        <w:rPr>
          <w:rFonts w:ascii="Times New Roman" w:cs="Times New Roman" w:eastAsia="Times New Roman" w:hAnsi="Times New Roman"/>
          <w:sz w:val="14"/>
          <w:szCs w:val="14"/>
          <w:b w:val="1"/>
          <w:bCs w:val="1"/>
          <w:color w:val="auto"/>
        </w:rPr>
      </w:pPr>
    </w:p>
    <w:p>
      <w:pPr>
        <w:ind w:right="20" w:firstLine="7"/>
        <w:spacing w:after="0" w:line="296" w:lineRule="auto"/>
        <w:tabs>
          <w:tab w:leader="none" w:pos="306" w:val="left"/>
        </w:tabs>
        <w:numPr>
          <w:ilvl w:val="0"/>
          <w:numId w:val="3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Survival of Rights. </w:t>
      </w:r>
      <w:r>
        <w:rPr>
          <w:rFonts w:ascii="Times New Roman" w:cs="Times New Roman" w:eastAsia="Times New Roman" w:hAnsi="Times New Roman"/>
          <w:sz w:val="14"/>
          <w:szCs w:val="14"/>
          <w:color w:val="auto"/>
        </w:rPr>
        <w:t>The rights conferred on any person by this Section 11.1 will continue as to a person who has ceased to be a director or officer and will inure to the benefit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heirs, executors and administrators of such a person.</w:t>
      </w:r>
    </w:p>
    <w:p>
      <w:pPr>
        <w:spacing w:after="0" w:line="100" w:lineRule="exact"/>
        <w:rPr>
          <w:rFonts w:ascii="Times New Roman" w:cs="Times New Roman" w:eastAsia="Times New Roman" w:hAnsi="Times New Roman"/>
          <w:sz w:val="14"/>
          <w:szCs w:val="14"/>
          <w:b w:val="1"/>
          <w:bCs w:val="1"/>
          <w:color w:val="auto"/>
        </w:rPr>
      </w:pPr>
    </w:p>
    <w:p>
      <w:pPr>
        <w:ind w:right="20" w:firstLine="7"/>
        <w:spacing w:after="0" w:line="296" w:lineRule="auto"/>
        <w:tabs>
          <w:tab w:leader="none" w:pos="311" w:val="left"/>
        </w:tabs>
        <w:numPr>
          <w:ilvl w:val="0"/>
          <w:numId w:val="3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Insurance. </w:t>
      </w:r>
      <w:r>
        <w:rPr>
          <w:rFonts w:ascii="Times New Roman" w:cs="Times New Roman" w:eastAsia="Times New Roman" w:hAnsi="Times New Roman"/>
          <w:sz w:val="14"/>
          <w:szCs w:val="14"/>
          <w:color w:val="auto"/>
        </w:rPr>
        <w:t>To the fullest extent permitted by the DGCL, the Corporation may purchase insurance on behalf of any person required or permitted to be indemnified pursuant to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Section 11.1.</w:t>
      </w:r>
    </w:p>
    <w:p>
      <w:pPr>
        <w:spacing w:after="0" w:line="100" w:lineRule="exact"/>
        <w:rPr>
          <w:rFonts w:ascii="Times New Roman" w:cs="Times New Roman" w:eastAsia="Times New Roman" w:hAnsi="Times New Roman"/>
          <w:sz w:val="14"/>
          <w:szCs w:val="14"/>
          <w:b w:val="1"/>
          <w:bCs w:val="1"/>
          <w:color w:val="auto"/>
        </w:rPr>
      </w:pPr>
    </w:p>
    <w:p>
      <w:pPr>
        <w:ind w:right="20" w:firstLine="7"/>
        <w:spacing w:after="0" w:line="296" w:lineRule="auto"/>
        <w:tabs>
          <w:tab w:leader="none" w:pos="319" w:val="left"/>
        </w:tabs>
        <w:numPr>
          <w:ilvl w:val="0"/>
          <w:numId w:val="3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Amendments. </w:t>
      </w:r>
      <w:r>
        <w:rPr>
          <w:rFonts w:ascii="Times New Roman" w:cs="Times New Roman" w:eastAsia="Times New Roman" w:hAnsi="Times New Roman"/>
          <w:sz w:val="14"/>
          <w:szCs w:val="14"/>
          <w:color w:val="auto"/>
        </w:rPr>
        <w:t>Any repeal or modification of this Section 11.1 is only prospective and does not affect the rights under this Bylaw in effect at the time of the alleged occurrence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action or omission to act that is the cause of any Proceeding against any current or former director or officer of the Corporation.</w:t>
      </w:r>
    </w:p>
    <w:p>
      <w:pPr>
        <w:spacing w:after="0" w:line="100" w:lineRule="exact"/>
        <w:rPr>
          <w:rFonts w:ascii="Times New Roman" w:cs="Times New Roman" w:eastAsia="Times New Roman" w:hAnsi="Times New Roman"/>
          <w:sz w:val="14"/>
          <w:szCs w:val="14"/>
          <w:b w:val="1"/>
          <w:bCs w:val="1"/>
          <w:color w:val="auto"/>
        </w:rPr>
      </w:pPr>
    </w:p>
    <w:p>
      <w:pPr>
        <w:jc w:val="both"/>
        <w:ind w:right="20" w:firstLine="7"/>
        <w:spacing w:after="0" w:line="270" w:lineRule="auto"/>
        <w:tabs>
          <w:tab w:leader="none" w:pos="294" w:val="left"/>
        </w:tabs>
        <w:numPr>
          <w:ilvl w:val="0"/>
          <w:numId w:val="3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Saving Clause. </w:t>
      </w:r>
      <w:r>
        <w:rPr>
          <w:rFonts w:ascii="Times New Roman" w:cs="Times New Roman" w:eastAsia="Times New Roman" w:hAnsi="Times New Roman"/>
          <w:sz w:val="14"/>
          <w:szCs w:val="14"/>
          <w:color w:val="auto"/>
        </w:rPr>
        <w:t>If this Section 11 or any portion hereof is invalidated on any ground by any court of competent jurisdiction, then the Corporation will nevertheless indemnify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advance expenses to each director and officer to the full extent not prohibited by any applicable portion of this Section 11 that has not been invalidated, or by any. If this Section 11 is invalid due to the application of the indemnification and advancement provisions of another jurisdiction, then the Corporation will indemnify and advance expenses to each director and officer to the full extent under applicable law.</w:t>
      </w:r>
    </w:p>
    <w:p>
      <w:pPr>
        <w:spacing w:after="0" w:line="117" w:lineRule="exact"/>
        <w:rPr>
          <w:rFonts w:ascii="Times New Roman" w:cs="Times New Roman" w:eastAsia="Times New Roman" w:hAnsi="Times New Roman"/>
          <w:sz w:val="14"/>
          <w:szCs w:val="14"/>
          <w:b w:val="1"/>
          <w:bCs w:val="1"/>
          <w:color w:val="auto"/>
        </w:rPr>
      </w:pPr>
    </w:p>
    <w:p>
      <w:pPr>
        <w:ind w:left="300" w:hanging="293"/>
        <w:spacing w:after="0"/>
        <w:tabs>
          <w:tab w:leader="none" w:pos="300" w:val="left"/>
        </w:tabs>
        <w:numPr>
          <w:ilvl w:val="0"/>
          <w:numId w:val="3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Certain Definitions. </w:t>
      </w:r>
      <w:r>
        <w:rPr>
          <w:rFonts w:ascii="Times New Roman" w:cs="Times New Roman" w:eastAsia="Times New Roman" w:hAnsi="Times New Roman"/>
          <w:sz w:val="14"/>
          <w:szCs w:val="14"/>
          <w:color w:val="auto"/>
        </w:rPr>
        <w:t>For the purposes of this Section 11, the following definitions apply:</w:t>
      </w:r>
    </w:p>
    <w:p>
      <w:pPr>
        <w:spacing w:after="0" w:line="162" w:lineRule="exact"/>
        <w:rPr>
          <w:rFonts w:ascii="Times New Roman" w:cs="Times New Roman" w:eastAsia="Times New Roman" w:hAnsi="Times New Roman"/>
          <w:sz w:val="14"/>
          <w:szCs w:val="14"/>
          <w:b w:val="1"/>
          <w:bCs w:val="1"/>
          <w:color w:val="auto"/>
        </w:rPr>
      </w:pPr>
    </w:p>
    <w:p>
      <w:pPr>
        <w:ind w:left="640" w:hanging="232"/>
        <w:spacing w:after="0" w:line="299" w:lineRule="auto"/>
        <w:tabs>
          <w:tab w:leader="none" w:pos="717" w:val="left"/>
        </w:tabs>
        <w:numPr>
          <w:ilvl w:val="1"/>
          <w:numId w:val="3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Proceeding</w:t>
      </w:r>
      <w:r>
        <w:rPr>
          <w:rFonts w:ascii="Times New Roman" w:cs="Times New Roman" w:eastAsia="Times New Roman" w:hAnsi="Times New Roman"/>
          <w:sz w:val="14"/>
          <w:szCs w:val="14"/>
          <w:color w:val="auto"/>
        </w:rPr>
        <w:t>” is to be broadly construed and includes,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96" w:lineRule="exact"/>
        <w:rPr>
          <w:rFonts w:ascii="Times New Roman" w:cs="Times New Roman" w:eastAsia="Times New Roman" w:hAnsi="Times New Roman"/>
          <w:sz w:val="14"/>
          <w:szCs w:val="14"/>
          <w:b w:val="1"/>
          <w:bCs w:val="1"/>
          <w:color w:val="auto"/>
        </w:rPr>
      </w:pPr>
    </w:p>
    <w:p>
      <w:pPr>
        <w:ind w:left="640" w:right="20" w:hanging="232"/>
        <w:spacing w:after="0" w:line="299" w:lineRule="auto"/>
        <w:tabs>
          <w:tab w:leader="none" w:pos="745" w:val="left"/>
        </w:tabs>
        <w:numPr>
          <w:ilvl w:val="1"/>
          <w:numId w:val="3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expenses</w:t>
      </w:r>
      <w:r>
        <w:rPr>
          <w:rFonts w:ascii="Times New Roman" w:cs="Times New Roman" w:eastAsia="Times New Roman" w:hAnsi="Times New Roman"/>
          <w:sz w:val="14"/>
          <w:szCs w:val="14"/>
          <w:color w:val="auto"/>
        </w:rPr>
        <w:t>” is to be broadly construed and includes, without limitation, court costs, attorneys’ fees, witness fees, fines, amounts paid in settlement or judgment and any other costs and expenses of any nature or kind incurred in connection with any proceeding.</w:t>
      </w:r>
    </w:p>
    <w:p>
      <w:pPr>
        <w:spacing w:after="0" w:line="96" w:lineRule="exact"/>
        <w:rPr>
          <w:sz w:val="20"/>
          <w:szCs w:val="20"/>
          <w:color w:val="auto"/>
        </w:rPr>
      </w:pPr>
    </w:p>
    <w:p>
      <w:pPr>
        <w:ind w:left="640" w:right="20" w:hanging="232"/>
        <w:spacing w:after="0" w:line="278" w:lineRule="auto"/>
        <w:tabs>
          <w:tab w:leader="none" w:pos="496" w:val="left"/>
        </w:tabs>
        <w:numPr>
          <w:ilvl w:val="0"/>
          <w:numId w:val="3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3 ) </w:t>
      </w:r>
      <w:r>
        <w:rPr>
          <w:rFonts w:ascii="Times New Roman" w:cs="Times New Roman" w:eastAsia="Times New Roman" w:hAnsi="Times New Roman"/>
          <w:sz w:val="14"/>
          <w:szCs w:val="14"/>
          <w:color w:val="auto"/>
        </w:rPr>
        <w:t>The term the “</w:t>
      </w:r>
      <w:r>
        <w:rPr>
          <w:rFonts w:ascii="Times New Roman" w:cs="Times New Roman" w:eastAsia="Times New Roman" w:hAnsi="Times New Roman"/>
          <w:sz w:val="14"/>
          <w:szCs w:val="14"/>
          <w:b w:val="1"/>
          <w:bCs w:val="1"/>
          <w:i w:val="1"/>
          <w:iCs w:val="1"/>
          <w:color w:val="auto"/>
        </w:rPr>
        <w:t>Corporation</w:t>
      </w:r>
      <w:r>
        <w:rPr>
          <w:rFonts w:ascii="Times New Roman" w:cs="Times New Roman" w:eastAsia="Times New Roman" w:hAnsi="Times New Roman"/>
          <w:sz w:val="14"/>
          <w:szCs w:val="14"/>
          <w:color w:val="auto"/>
        </w:rPr>
        <w:t>” includes, in addition to the resulting corporation, any constituent corporation (including any constituent of a constituent) absorbed in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w:t>
      </w:r>
    </w:p>
    <w:p>
      <w:pPr>
        <w:sectPr>
          <w:pgSz w:w="11900" w:h="16840" w:orient="portrait"/>
          <w:cols w:equalWidth="0" w:num="1">
            <w:col w:w="10620"/>
          </w:cols>
          <w:pgMar w:left="640" w:top="1440" w:right="640" w:bottom="1440" w:gutter="0" w:footer="0" w:header="0"/>
        </w:sectPr>
      </w:pPr>
    </w:p>
    <w:bookmarkStart w:id="308" w:name="page309"/>
    <w:bookmarkEnd w:id="308"/>
    <w:p>
      <w:pPr>
        <w:spacing w:after="0" w:line="163" w:lineRule="exact"/>
        <w:rPr>
          <w:sz w:val="20"/>
          <w:szCs w:val="20"/>
          <w:color w:val="auto"/>
        </w:rPr>
      </w:pPr>
    </w:p>
    <w:p>
      <w:pPr>
        <w:jc w:val="both"/>
        <w:ind w:left="640" w:right="20"/>
        <w:spacing w:after="0" w:line="275" w:lineRule="auto"/>
        <w:rPr>
          <w:sz w:val="20"/>
          <w:szCs w:val="20"/>
          <w:color w:val="auto"/>
        </w:rPr>
      </w:pPr>
      <w:r>
        <w:rPr>
          <w:rFonts w:ascii="Times New Roman" w:cs="Times New Roman" w:eastAsia="Times New Roman" w:hAnsi="Times New Roman"/>
          <w:sz w:val="14"/>
          <w:szCs w:val="14"/>
          <w:color w:val="auto"/>
        </w:rPr>
        <w:t>of such constituent corporation as a director, officer, employee or agent of another corporation, partnership, joint venture, trust, employee benefit plan or other enterprise, stands in the same position under the provisions of this Section 11 with respect to the resulting or surviving corporation as such person would have with respect to such constituent corporation if its separate existence had continued.</w:t>
      </w:r>
    </w:p>
    <w:p>
      <w:pPr>
        <w:spacing w:after="0" w:line="112" w:lineRule="exact"/>
        <w:rPr>
          <w:sz w:val="20"/>
          <w:szCs w:val="20"/>
          <w:color w:val="auto"/>
        </w:rPr>
      </w:pPr>
    </w:p>
    <w:p>
      <w:pPr>
        <w:ind w:left="720" w:hanging="312"/>
        <w:spacing w:after="0"/>
        <w:tabs>
          <w:tab w:leader="none" w:pos="720" w:val="left"/>
        </w:tabs>
        <w:numPr>
          <w:ilvl w:val="0"/>
          <w:numId w:val="3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References to “ </w:t>
      </w:r>
      <w:r>
        <w:rPr>
          <w:rFonts w:ascii="Times New Roman" w:cs="Times New Roman" w:eastAsia="Times New Roman" w:hAnsi="Times New Roman"/>
          <w:sz w:val="14"/>
          <w:szCs w:val="14"/>
          <w:b w:val="1"/>
          <w:bCs w:val="1"/>
          <w:i w:val="1"/>
          <w:iCs w:val="1"/>
          <w:color w:val="auto"/>
        </w:rPr>
        <w:t>fines</w:t>
      </w:r>
      <w:r>
        <w:rPr>
          <w:rFonts w:ascii="Times New Roman" w:cs="Times New Roman" w:eastAsia="Times New Roman" w:hAnsi="Times New Roman"/>
          <w:sz w:val="14"/>
          <w:szCs w:val="14"/>
          <w:color w:val="auto"/>
        </w:rPr>
        <w:t>” include any excise taxes assessed on a person with respect to an employee benefit plan.</w:t>
      </w:r>
    </w:p>
    <w:p>
      <w:pPr>
        <w:spacing w:after="0" w:line="166" w:lineRule="exact"/>
        <w:rPr>
          <w:rFonts w:ascii="Times New Roman" w:cs="Times New Roman" w:eastAsia="Times New Roman" w:hAnsi="Times New Roman"/>
          <w:sz w:val="14"/>
          <w:szCs w:val="14"/>
          <w:b w:val="1"/>
          <w:bCs w:val="1"/>
          <w:color w:val="auto"/>
        </w:rPr>
      </w:pPr>
    </w:p>
    <w:p>
      <w:pPr>
        <w:ind w:left="4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SECTION 12.</w:t>
      </w:r>
    </w:p>
    <w:p>
      <w:pPr>
        <w:spacing w:after="0" w:line="164" w:lineRule="exact"/>
        <w:rPr>
          <w:rFonts w:ascii="Times New Roman" w:cs="Times New Roman" w:eastAsia="Times New Roman" w:hAnsi="Times New Roman"/>
          <w:sz w:val="14"/>
          <w:szCs w:val="14"/>
          <w:b w:val="1"/>
          <w:bCs w:val="1"/>
          <w:color w:val="auto"/>
        </w:rPr>
      </w:pPr>
    </w:p>
    <w:p>
      <w:pPr>
        <w:ind w:left="49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NOTICES</w:t>
      </w:r>
    </w:p>
    <w:p>
      <w:pPr>
        <w:spacing w:after="0" w:line="16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Section 12.1</w:t>
        <w:tab/>
        <w:t>Notices.</w:t>
      </w:r>
    </w:p>
    <w:p>
      <w:pPr>
        <w:spacing w:after="0" w:line="164" w:lineRule="exact"/>
        <w:rPr>
          <w:sz w:val="20"/>
          <w:szCs w:val="20"/>
          <w:color w:val="auto"/>
        </w:rPr>
      </w:pPr>
    </w:p>
    <w:p>
      <w:pPr>
        <w:jc w:val="both"/>
        <w:ind w:right="20" w:firstLine="7"/>
        <w:spacing w:after="0" w:line="273" w:lineRule="auto"/>
        <w:tabs>
          <w:tab w:leader="none" w:pos="317" w:val="left"/>
        </w:tabs>
        <w:numPr>
          <w:ilvl w:val="0"/>
          <w:numId w:val="3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Notice to Stockholders. </w:t>
      </w:r>
      <w:r>
        <w:rPr>
          <w:rFonts w:ascii="Times New Roman" w:cs="Times New Roman" w:eastAsia="Times New Roman" w:hAnsi="Times New Roman"/>
          <w:sz w:val="14"/>
          <w:szCs w:val="14"/>
          <w:color w:val="auto"/>
        </w:rPr>
        <w:t>Notice to stockholders of stockholder meetings shall be given as provided in Section 3.4. Without limiting the manner by which notice may otherwise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given effectively to stockholders under any agreement or contract with such stockholder, and except as otherwise required by applicable law, notice to stockholders for purposes other than stockholder meetings may be sent by U.S. mail or courier service, facsimile or by electronic mail or other means of electronic transmission in accordance with Section 232 of the DGCL.</w:t>
      </w:r>
    </w:p>
    <w:p>
      <w:pPr>
        <w:spacing w:after="0" w:line="292" w:lineRule="exact"/>
        <w:rPr>
          <w:rFonts w:ascii="Times New Roman" w:cs="Times New Roman" w:eastAsia="Times New Roman" w:hAnsi="Times New Roman"/>
          <w:sz w:val="14"/>
          <w:szCs w:val="14"/>
          <w:b w:val="1"/>
          <w:bCs w:val="1"/>
          <w:color w:val="auto"/>
        </w:rPr>
      </w:pPr>
    </w:p>
    <w:p>
      <w:pPr>
        <w:jc w:val="both"/>
        <w:ind w:right="20" w:firstLine="7"/>
        <w:spacing w:after="0" w:line="276" w:lineRule="auto"/>
        <w:tabs>
          <w:tab w:leader="none" w:pos="319" w:val="left"/>
        </w:tabs>
        <w:numPr>
          <w:ilvl w:val="0"/>
          <w:numId w:val="3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Notice to Directors. </w:t>
      </w:r>
      <w:r>
        <w:rPr>
          <w:rFonts w:ascii="Times New Roman" w:cs="Times New Roman" w:eastAsia="Times New Roman" w:hAnsi="Times New Roman"/>
          <w:sz w:val="14"/>
          <w:szCs w:val="14"/>
          <w:color w:val="auto"/>
        </w:rPr>
        <w:t>Any notice required to be given to any director may be given by the method stated in subsection (a) or as otherwise provided in the Bylaws, with notice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than one that is delivered personally to be sent to such address or electronic mail address as such director shall have filed in writing with the Secretary, or, in the absence of such filing, to the last known address or electronic mail address of such director.</w:t>
      </w:r>
    </w:p>
    <w:p>
      <w:pPr>
        <w:spacing w:after="0" w:line="114" w:lineRule="exact"/>
        <w:rPr>
          <w:rFonts w:ascii="Times New Roman" w:cs="Times New Roman" w:eastAsia="Times New Roman" w:hAnsi="Times New Roman"/>
          <w:sz w:val="14"/>
          <w:szCs w:val="14"/>
          <w:b w:val="1"/>
          <w:bCs w:val="1"/>
          <w:color w:val="auto"/>
        </w:rPr>
      </w:pPr>
    </w:p>
    <w:p>
      <w:pPr>
        <w:jc w:val="both"/>
        <w:ind w:right="20" w:firstLine="7"/>
        <w:spacing w:after="0" w:line="276" w:lineRule="auto"/>
        <w:tabs>
          <w:tab w:leader="none" w:pos="306" w:val="left"/>
        </w:tabs>
        <w:numPr>
          <w:ilvl w:val="0"/>
          <w:numId w:val="3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Affidavit of Mailing. </w:t>
      </w:r>
      <w:r>
        <w:rPr>
          <w:rFonts w:ascii="Times New Roman" w:cs="Times New Roman" w:eastAsia="Times New Roman" w:hAnsi="Times New Roman"/>
          <w:sz w:val="14"/>
          <w:szCs w:val="14"/>
          <w:color w:val="auto"/>
        </w:rPr>
        <w:t>An affidavit of notice, executed by a duly authorized and competent employee of the Corporation or its transfer agent appointed with respect to the class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14" w:lineRule="exact"/>
        <w:rPr>
          <w:rFonts w:ascii="Times New Roman" w:cs="Times New Roman" w:eastAsia="Times New Roman" w:hAnsi="Times New Roman"/>
          <w:sz w:val="14"/>
          <w:szCs w:val="14"/>
          <w:b w:val="1"/>
          <w:bCs w:val="1"/>
          <w:color w:val="auto"/>
        </w:rPr>
      </w:pPr>
    </w:p>
    <w:p>
      <w:pPr>
        <w:ind w:firstLine="7"/>
        <w:spacing w:after="0" w:line="296" w:lineRule="auto"/>
        <w:tabs>
          <w:tab w:leader="none" w:pos="395" w:val="left"/>
        </w:tabs>
        <w:numPr>
          <w:ilvl w:val="0"/>
          <w:numId w:val="3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Methods of Notice. </w:t>
      </w:r>
      <w:r>
        <w:rPr>
          <w:rFonts w:ascii="Times New Roman" w:cs="Times New Roman" w:eastAsia="Times New Roman" w:hAnsi="Times New Roman"/>
          <w:sz w:val="14"/>
          <w:szCs w:val="14"/>
          <w:color w:val="auto"/>
        </w:rPr>
        <w:t>It shall not be necessary that the same method of giving notice be employed in respect of all recipients of notice, but one permissible method may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employed in respect of any one or more, and any other permissible method or methods may be employed in respect of any other or others.</w:t>
      </w:r>
    </w:p>
    <w:p>
      <w:pPr>
        <w:spacing w:after="0" w:line="100" w:lineRule="exact"/>
        <w:rPr>
          <w:rFonts w:ascii="Times New Roman" w:cs="Times New Roman" w:eastAsia="Times New Roman" w:hAnsi="Times New Roman"/>
          <w:sz w:val="14"/>
          <w:szCs w:val="14"/>
          <w:b w:val="1"/>
          <w:bCs w:val="1"/>
          <w:color w:val="auto"/>
        </w:rPr>
      </w:pPr>
    </w:p>
    <w:p>
      <w:pPr>
        <w:jc w:val="both"/>
        <w:ind w:firstLine="7"/>
        <w:spacing w:after="0" w:line="264" w:lineRule="auto"/>
        <w:tabs>
          <w:tab w:leader="none" w:pos="306" w:val="left"/>
        </w:tabs>
        <w:numPr>
          <w:ilvl w:val="0"/>
          <w:numId w:val="3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Notice to Person with Whom Communication is Unlawful. </w:t>
      </w:r>
      <w:r>
        <w:rPr>
          <w:rFonts w:ascii="Times New Roman" w:cs="Times New Roman" w:eastAsia="Times New Roman" w:hAnsi="Times New Roman"/>
          <w:sz w:val="14"/>
          <w:szCs w:val="14"/>
          <w:color w:val="auto"/>
        </w:rPr>
        <w:t>Whenever notice is required to be given, under applicable law or any provision of the Certificate of Incorporation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ectPr>
          <w:pgSz w:w="11900" w:h="16840" w:orient="portrait"/>
          <w:cols w:equalWidth="0" w:num="1">
            <w:col w:w="10620"/>
          </w:cols>
          <w:pgMar w:left="640" w:top="1440" w:right="640" w:bottom="1440" w:gutter="0" w:footer="0" w:header="0"/>
        </w:sectPr>
      </w:pPr>
    </w:p>
    <w:bookmarkStart w:id="309" w:name="page310"/>
    <w:bookmarkEnd w:id="309"/>
    <w:p>
      <w:pPr>
        <w:spacing w:after="0" w:line="161" w:lineRule="exact"/>
        <w:rPr>
          <w:sz w:val="20"/>
          <w:szCs w:val="20"/>
          <w:color w:val="auto"/>
        </w:rPr>
      </w:pPr>
    </w:p>
    <w:p>
      <w:pPr>
        <w:jc w:val="both"/>
        <w:ind w:firstLine="7"/>
        <w:spacing w:after="0" w:line="270" w:lineRule="auto"/>
        <w:tabs>
          <w:tab w:leader="none" w:pos="410" w:val="left"/>
        </w:tabs>
        <w:numPr>
          <w:ilvl w:val="0"/>
          <w:numId w:val="3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Notice to Stockholders Sharing an Address. </w:t>
      </w:r>
      <w:r>
        <w:rPr>
          <w:rFonts w:ascii="Times New Roman" w:cs="Times New Roman" w:eastAsia="Times New Roman" w:hAnsi="Times New Roman"/>
          <w:sz w:val="14"/>
          <w:szCs w:val="14"/>
          <w:color w:val="auto"/>
        </w:rPr>
        <w:t>Except as otherwise prohibited under the DGCL, any notice given under the provisions of the DGCL, the Certificate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117" w:lineRule="exact"/>
        <w:rPr>
          <w:rFonts w:ascii="Times New Roman" w:cs="Times New Roman" w:eastAsia="Times New Roman" w:hAnsi="Times New Roman"/>
          <w:sz w:val="14"/>
          <w:szCs w:val="14"/>
          <w:b w:val="1"/>
          <w:bCs w:val="1"/>
          <w:color w:val="auto"/>
        </w:rPr>
      </w:pPr>
    </w:p>
    <w:p>
      <w:pPr>
        <w:jc w:val="both"/>
        <w:ind w:firstLine="7"/>
        <w:spacing w:after="0" w:line="264" w:lineRule="auto"/>
        <w:tabs>
          <w:tab w:leader="none" w:pos="320" w:val="left"/>
        </w:tabs>
        <w:numPr>
          <w:ilvl w:val="0"/>
          <w:numId w:val="3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Waiver</w:t>
      </w:r>
      <w:r>
        <w:rPr>
          <w:rFonts w:ascii="Times New Roman" w:cs="Times New Roman" w:eastAsia="Times New Roman" w:hAnsi="Times New Roman"/>
          <w:sz w:val="14"/>
          <w:szCs w:val="14"/>
          <w:color w:val="auto"/>
        </w:rPr>
        <w:t>. Whenever notice is required to be given under any provision of the DGCL, the Certificate of Incorporation or the Bylaws, a written waiver, signed by the person entitled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or any waiver by electronic transmission unless so required by the Certificate of Incorporation or the Bylaws.</w:t>
      </w:r>
    </w:p>
    <w:p>
      <w:pPr>
        <w:spacing w:after="0" w:line="1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SECTION 13.</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AMENDMENTS</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Section 13.1 Amendments. </w:t>
      </w:r>
      <w:r>
        <w:rPr>
          <w:rFonts w:ascii="Times New Roman" w:cs="Times New Roman" w:eastAsia="Times New Roman" w:hAnsi="Times New Roman"/>
          <w:sz w:val="14"/>
          <w:szCs w:val="14"/>
          <w:color w:val="auto"/>
        </w:rPr>
        <w:t>Subject to the limitations set forth in Section 11.1(h) or the Certificate of Incorporation, the Board is expressly empowered to adopt, amend or repeal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Bylaws of the Corporation. The stockholders also shall have power to adopt, amend or repeal the Bylaws of the Corporation; provided, however, that, in addition to any vote of the holders of any class or series of stock of the Corporation required by applicable law or by the Certificate of Incorporation (including any certificate of designation relating to any series of Preferred Stock (as defined in the Certificate of Incorporation)), such action by stockholders shall require the affirmative vote of the holders of 66-2/3% of the voting power of all of the then-outstanding shares of the capital stock of the Corporation entitled to vote thereon, voting together as a single class.</w:t>
      </w:r>
    </w:p>
    <w:p>
      <w:pPr>
        <w:sectPr>
          <w:pgSz w:w="11900" w:h="16840" w:orient="portrait"/>
          <w:cols w:equalWidth="0" w:num="1">
            <w:col w:w="10620"/>
          </w:cols>
          <w:pgMar w:left="640" w:top="1440" w:right="640" w:bottom="1440" w:gutter="0" w:footer="0" w:header="0"/>
        </w:sectPr>
      </w:pPr>
    </w:p>
    <w:bookmarkStart w:id="310" w:name="page311"/>
    <w:bookmarkEnd w:id="310"/>
    <w:p>
      <w:pPr>
        <w:ind w:left="9240"/>
        <w:spacing w:after="0"/>
        <w:rPr>
          <w:sz w:val="20"/>
          <w:szCs w:val="20"/>
          <w:color w:val="auto"/>
        </w:rPr>
      </w:pPr>
      <w:r>
        <w:rPr>
          <w:rFonts w:ascii="Times New Roman" w:cs="Times New Roman" w:eastAsia="Times New Roman" w:hAnsi="Times New Roman"/>
          <w:sz w:val="12"/>
          <w:szCs w:val="1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357505</wp:posOffset>
            </wp:positionV>
            <wp:extent cx="5541010" cy="33597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5541010" cy="3359785"/>
                    </a:xfrm>
                    <a:prstGeom prst="rect">
                      <a:avLst/>
                    </a:prstGeom>
                    <a:noFill/>
                  </pic:spPr>
                </pic:pic>
              </a:graphicData>
            </a:graphic>
          </wp:anchor>
        </w:drawing>
      </w:r>
    </w:p>
    <w:p>
      <w:pPr>
        <w:sectPr>
          <w:pgSz w:w="11900" w:h="16840" w:orient="portrait"/>
          <w:cols w:equalWidth="0" w:num="1">
            <w:col w:w="9820"/>
          </w:cols>
          <w:pgMar w:left="1440" w:top="557" w:right="640" w:bottom="1440" w:gutter="0" w:footer="0" w:header="0"/>
        </w:sectPr>
      </w:pPr>
    </w:p>
    <w:bookmarkStart w:id="311" w:name="page312"/>
    <w:bookmarkEnd w:id="3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1734820</wp:posOffset>
            </wp:positionH>
            <wp:positionV relativeFrom="page">
              <wp:posOffset>799465</wp:posOffset>
            </wp:positionV>
            <wp:extent cx="4083050" cy="53162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4083050" cy="531622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12" w:name="page313"/>
    <w:bookmarkEnd w:id="312"/>
    <w:p>
      <w:pPr>
        <w:ind w:left="10040"/>
        <w:spacing w:after="0"/>
        <w:rPr>
          <w:sz w:val="20"/>
          <w:szCs w:val="20"/>
          <w:color w:val="auto"/>
        </w:rPr>
      </w:pPr>
      <w:r>
        <w:rPr>
          <w:rFonts w:ascii="Times New Roman" w:cs="Times New Roman" w:eastAsia="Times New Roman" w:hAnsi="Times New Roman"/>
          <w:sz w:val="12"/>
          <w:szCs w:val="1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875030" cy="2857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87503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2"/>
          <w:szCs w:val="12"/>
          <w:color w:val="auto"/>
        </w:rPr>
        <w:t>John T. McKenna</w:t>
      </w:r>
    </w:p>
    <w:p>
      <w:pPr>
        <w:spacing w:after="0" w:line="18" w:lineRule="exact"/>
        <w:rPr>
          <w:sz w:val="20"/>
          <w:szCs w:val="20"/>
          <w:color w:val="auto"/>
        </w:rPr>
      </w:pPr>
    </w:p>
    <w:p>
      <w:pPr>
        <w:ind w:left="20" w:right="9340" w:hanging="4"/>
        <w:spacing w:after="0" w:line="274" w:lineRule="auto"/>
        <w:tabs>
          <w:tab w:leader="none" w:pos="165" w:val="left"/>
        </w:tabs>
        <w:numPr>
          <w:ilvl w:val="0"/>
          <w:numId w:val="336"/>
        </w:numPr>
        <w:rPr>
          <w:rFonts w:ascii="Arial" w:cs="Arial" w:eastAsia="Arial" w:hAnsi="Arial"/>
          <w:sz w:val="12"/>
          <w:szCs w:val="12"/>
          <w:color w:val="auto"/>
        </w:rPr>
      </w:pPr>
      <w:r>
        <w:rPr>
          <w:rFonts w:ascii="Arial" w:cs="Arial" w:eastAsia="Arial" w:hAnsi="Arial"/>
          <w:sz w:val="12"/>
          <w:szCs w:val="12"/>
          <w:color w:val="auto"/>
        </w:rPr>
        <w:t>(650) 843-5059 jmckenna@cooley.com</w:t>
      </w:r>
    </w:p>
    <w:p>
      <w:pPr>
        <w:spacing w:after="0" w:line="371" w:lineRule="exact"/>
        <w:rPr>
          <w:sz w:val="20"/>
          <w:szCs w:val="20"/>
          <w:color w:val="auto"/>
        </w:rPr>
      </w:pPr>
    </w:p>
    <w:p>
      <w:pPr>
        <w:spacing w:after="0"/>
        <w:rPr>
          <w:sz w:val="20"/>
          <w:szCs w:val="20"/>
          <w:color w:val="auto"/>
        </w:rPr>
      </w:pPr>
      <w:r>
        <w:rPr>
          <w:rFonts w:ascii="Arial" w:cs="Arial" w:eastAsia="Arial" w:hAnsi="Arial"/>
          <w:sz w:val="12"/>
          <w:szCs w:val="12"/>
          <w:color w:val="auto"/>
        </w:rPr>
        <w:t>October 10, 2025</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Navan, Inc.</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3045 Park Boulevard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Palo Alto, California 94306</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Ladies and Gentlemen:</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 xml:space="preserve">We have acted as counsel to Navan, Inc., a Delaware corporation (the “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in connection with the filing by the Company of a Registration Statement (No. 333-290396) on Form S-1 (the “</w:t>
      </w:r>
      <w:r>
        <w:rPr>
          <w:rFonts w:ascii="Arial" w:cs="Arial" w:eastAsia="Arial" w:hAnsi="Arial"/>
          <w:sz w:val="12"/>
          <w:szCs w:val="12"/>
          <w:b w:val="1"/>
          <w:bCs w:val="1"/>
          <w:i w:val="1"/>
          <w:iCs w:val="1"/>
          <w:color w:val="auto"/>
        </w:rPr>
        <w:t>Registration Statement</w:t>
      </w:r>
      <w:r>
        <w:rPr>
          <w:rFonts w:ascii="Arial" w:cs="Arial" w:eastAsia="Arial" w:hAnsi="Arial"/>
          <w:sz w:val="12"/>
          <w:szCs w:val="12"/>
          <w:color w:val="auto"/>
        </w:rPr>
        <w:t xml:space="preserve">”) with the Securities and Exchange Commission (the “ </w:t>
      </w:r>
      <w:r>
        <w:rPr>
          <w:rFonts w:ascii="Arial" w:cs="Arial" w:eastAsia="Arial" w:hAnsi="Arial"/>
          <w:sz w:val="12"/>
          <w:szCs w:val="12"/>
          <w:b w:val="1"/>
          <w:bCs w:val="1"/>
          <w:i w:val="1"/>
          <w:iCs w:val="1"/>
          <w:color w:val="auto"/>
        </w:rPr>
        <w:t>Commission</w:t>
      </w:r>
      <w:r>
        <w:rPr>
          <w:rFonts w:ascii="Arial" w:cs="Arial" w:eastAsia="Arial" w:hAnsi="Arial"/>
          <w:sz w:val="12"/>
          <w:szCs w:val="12"/>
          <w:color w:val="auto"/>
        </w:rPr>
        <w:t xml:space="preserve"> ”) under the Securities Act of 1933, as amended (the “ </w:t>
      </w:r>
      <w:r>
        <w:rPr>
          <w:rFonts w:ascii="Arial" w:cs="Arial" w:eastAsia="Arial" w:hAnsi="Arial"/>
          <w:sz w:val="12"/>
          <w:szCs w:val="12"/>
          <w:b w:val="1"/>
          <w:bCs w:val="1"/>
          <w:i w:val="1"/>
          <w:iCs w:val="1"/>
          <w:color w:val="auto"/>
        </w:rPr>
        <w:t>Securities Act</w:t>
      </w:r>
      <w:r>
        <w:rPr>
          <w:rFonts w:ascii="Arial" w:cs="Arial" w:eastAsia="Arial" w:hAnsi="Arial"/>
          <w:sz w:val="12"/>
          <w:szCs w:val="12"/>
          <w:color w:val="auto"/>
        </w:rPr>
        <w:t>”), including a related prospectus included in the Registration Statement (the “</w:t>
      </w:r>
      <w:r>
        <w:rPr>
          <w:rFonts w:ascii="Arial" w:cs="Arial" w:eastAsia="Arial" w:hAnsi="Arial"/>
          <w:sz w:val="12"/>
          <w:szCs w:val="12"/>
          <w:b w:val="1"/>
          <w:bCs w:val="1"/>
          <w:i w:val="1"/>
          <w:iCs w:val="1"/>
          <w:color w:val="auto"/>
        </w:rPr>
        <w:t>Prospectus</w:t>
      </w:r>
      <w:r>
        <w:rPr>
          <w:rFonts w:ascii="Arial" w:cs="Arial" w:eastAsia="Arial" w:hAnsi="Arial"/>
          <w:sz w:val="12"/>
          <w:szCs w:val="12"/>
          <w:color w:val="auto"/>
        </w:rPr>
        <w:t xml:space="preserve">”), covering an underwritten public offering of up to 42,463,066 shares (the “ </w:t>
      </w:r>
      <w:r>
        <w:rPr>
          <w:rFonts w:ascii="Arial" w:cs="Arial" w:eastAsia="Arial" w:hAnsi="Arial"/>
          <w:sz w:val="12"/>
          <w:szCs w:val="12"/>
          <w:b w:val="1"/>
          <w:bCs w:val="1"/>
          <w:i w:val="1"/>
          <w:iCs w:val="1"/>
          <w:color w:val="auto"/>
        </w:rPr>
        <w:t>Shares</w:t>
      </w:r>
      <w:r>
        <w:rPr>
          <w:rFonts w:ascii="Arial" w:cs="Arial" w:eastAsia="Arial" w:hAnsi="Arial"/>
          <w:sz w:val="12"/>
          <w:szCs w:val="12"/>
          <w:color w:val="auto"/>
        </w:rPr>
        <w:t>”) of the Company’s Class A Common Stock, par value $0.00000625 per share, consisting of (i) up to 35,538,660 Shares to be sold by the Company (the “</w:t>
      </w:r>
      <w:r>
        <w:rPr>
          <w:rFonts w:ascii="Arial" w:cs="Arial" w:eastAsia="Arial" w:hAnsi="Arial"/>
          <w:sz w:val="12"/>
          <w:szCs w:val="12"/>
          <w:b w:val="1"/>
          <w:bCs w:val="1"/>
          <w:i w:val="1"/>
          <w:iCs w:val="1"/>
          <w:color w:val="auto"/>
        </w:rPr>
        <w:t>Company Shares</w:t>
      </w:r>
      <w:r>
        <w:rPr>
          <w:rFonts w:ascii="Arial" w:cs="Arial" w:eastAsia="Arial" w:hAnsi="Arial"/>
          <w:sz w:val="12"/>
          <w:szCs w:val="12"/>
          <w:color w:val="auto"/>
        </w:rPr>
        <w:t>”) (including up to 5,538,660 Shares that may be sold by the Company pursuant to the exercise of an option to purchase additional Shares granted to the underwriters), and (ii) 6,924,406 Shares to be sold by the selling stockholders identified in the Registration Statement (the “</w:t>
      </w:r>
      <w:r>
        <w:rPr>
          <w:rFonts w:ascii="Arial" w:cs="Arial" w:eastAsia="Arial" w:hAnsi="Arial"/>
          <w:sz w:val="12"/>
          <w:szCs w:val="12"/>
          <w:b w:val="1"/>
          <w:bCs w:val="1"/>
          <w:i w:val="1"/>
          <w:iCs w:val="1"/>
          <w:color w:val="auto"/>
        </w:rPr>
        <w:t>Stockholder Shares</w:t>
      </w:r>
      <w:r>
        <w:rPr>
          <w:rFonts w:ascii="Arial" w:cs="Arial" w:eastAsia="Arial" w:hAnsi="Arial"/>
          <w:sz w:val="12"/>
          <w:szCs w:val="12"/>
          <w:color w:val="auto"/>
        </w:rPr>
        <w:t>”).</w:t>
      </w:r>
    </w:p>
    <w:p>
      <w:pPr>
        <w:spacing w:after="0" w:line="117" w:lineRule="exact"/>
        <w:rPr>
          <w:sz w:val="20"/>
          <w:szCs w:val="20"/>
          <w:color w:val="auto"/>
        </w:rPr>
      </w:pPr>
    </w:p>
    <w:p>
      <w:pPr>
        <w:jc w:val="both"/>
        <w:ind w:right="40"/>
        <w:spacing w:after="0" w:line="258" w:lineRule="auto"/>
        <w:rPr>
          <w:sz w:val="20"/>
          <w:szCs w:val="20"/>
          <w:color w:val="auto"/>
        </w:rPr>
      </w:pPr>
      <w:r>
        <w:rPr>
          <w:rFonts w:ascii="Arial" w:cs="Arial" w:eastAsia="Arial" w:hAnsi="Arial"/>
          <w:sz w:val="12"/>
          <w:szCs w:val="12"/>
          <w:color w:val="auto"/>
        </w:rPr>
        <w:t>In connection with this opinion, we have (i) examined and relied upon (a) the Registration Statement and the Prospectus, (b) the Company’s certificate of incorporation and bylaws, each as currently in effect, (c) the Company’s Amended and Restated Certificate of Incorporation and Amended and Restated Bylaws, filed as Exhibits 3.2 and 3.4 to the Registration Statement, respectively, each of which is to be in effect in connection with the closing of the offering contemplated by the Registration Statement, and (d) such other records, documents, opinions, certificates, memoranda and instruments as in our judgment are necessary or appropriate to enable us to render the opinion expressed below and (ii) assumed that (a) the Shares will be sold at a price established by the Board of Directors of the Company or a duly authorized committee thereof and (b) the Amended and Restated Certificate of Incorporation referred to in clause (i)(c) is filed with the Secretary of State of the State of Delaware before issuance of the Shares.</w:t>
      </w:r>
    </w:p>
    <w:p>
      <w:pPr>
        <w:spacing w:after="0" w:line="124" w:lineRule="exact"/>
        <w:rPr>
          <w:sz w:val="20"/>
          <w:szCs w:val="20"/>
          <w:color w:val="auto"/>
        </w:rPr>
      </w:pPr>
    </w:p>
    <w:p>
      <w:pPr>
        <w:jc w:val="both"/>
        <w:ind w:right="20"/>
        <w:spacing w:after="0" w:line="272" w:lineRule="auto"/>
        <w:rPr>
          <w:sz w:val="20"/>
          <w:szCs w:val="20"/>
          <w:color w:val="auto"/>
        </w:rPr>
      </w:pPr>
      <w:r>
        <w:rPr>
          <w:rFonts w:ascii="Arial" w:cs="Arial" w:eastAsia="Arial" w:hAnsi="Arial"/>
          <w:sz w:val="12"/>
          <w:szCs w:val="12"/>
          <w:color w:val="auto"/>
        </w:rPr>
        <w:t>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15" w:lineRule="exact"/>
        <w:rPr>
          <w:sz w:val="20"/>
          <w:szCs w:val="20"/>
          <w:color w:val="auto"/>
        </w:rPr>
      </w:pPr>
    </w:p>
    <w:p>
      <w:pPr>
        <w:jc w:val="both"/>
        <w:ind w:right="20"/>
        <w:spacing w:after="0" w:line="295" w:lineRule="auto"/>
        <w:rPr>
          <w:sz w:val="20"/>
          <w:szCs w:val="20"/>
          <w:color w:val="auto"/>
        </w:rPr>
      </w:pPr>
      <w:r>
        <w:rPr>
          <w:rFonts w:ascii="Arial" w:cs="Arial" w:eastAsia="Arial" w:hAnsi="Arial"/>
          <w:sz w:val="12"/>
          <w:szCs w:val="12"/>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01" w:lineRule="exact"/>
        <w:rPr>
          <w:sz w:val="20"/>
          <w:szCs w:val="20"/>
          <w:color w:val="auto"/>
        </w:rPr>
      </w:pPr>
    </w:p>
    <w:p>
      <w:pPr>
        <w:jc w:val="both"/>
        <w:ind w:right="40"/>
        <w:spacing w:after="0" w:line="265" w:lineRule="auto"/>
        <w:rPr>
          <w:sz w:val="20"/>
          <w:szCs w:val="20"/>
          <w:color w:val="auto"/>
        </w:rPr>
      </w:pPr>
      <w:r>
        <w:rPr>
          <w:rFonts w:ascii="Arial" w:cs="Arial" w:eastAsia="Arial" w:hAnsi="Arial"/>
          <w:sz w:val="12"/>
          <w:szCs w:val="12"/>
          <w:color w:val="auto"/>
        </w:rPr>
        <w:t>On the basis of the foregoing, and in reliance thereon, we are of the opinion that (i) the Company Shares, when sold and issued against payment therefor as provided in the Registration Statement and the Prospectus, will be validly issued, fully paid and nonassessable and (ii) the Stockholder Shares are validly issued, fully paid and nonassessable, except with respect to Stockholder Shares that are to be sold by certain selling stockholders upon the conversion of shares of outstanding preferred stock of the Company in accordance with their terms, which will be validly issued, fully paid and nonassessable upon such conversion.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9"/>
          <w:szCs w:val="9"/>
          <w:color w:val="auto"/>
        </w:rPr>
        <w:t>Cooley LLP 3175 Hanover Street Palo Alto, CA 94304-1130</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9"/>
          <w:szCs w:val="9"/>
          <w:color w:val="auto"/>
        </w:rPr>
        <w:t>t: +1 650 843 5000 f: +1 650 849 7400 cooley.com</w:t>
      </w:r>
    </w:p>
    <w:p>
      <w:pPr>
        <w:sectPr>
          <w:pgSz w:w="11900" w:h="16840" w:orient="portrait"/>
          <w:cols w:equalWidth="0" w:num="1">
            <w:col w:w="10640"/>
          </w:cols>
          <w:pgMar w:left="640" w:top="557" w:right="620" w:bottom="1440" w:gutter="0" w:footer="0" w:header="0"/>
        </w:sectPr>
      </w:pPr>
    </w:p>
    <w:bookmarkStart w:id="313" w:name="page314"/>
    <w:bookmarkEnd w:id="313"/>
    <w:p>
      <w:pPr>
        <w:ind w:left="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416560</wp:posOffset>
            </wp:positionH>
            <wp:positionV relativeFrom="page">
              <wp:posOffset>374015</wp:posOffset>
            </wp:positionV>
            <wp:extent cx="875030" cy="2857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875030" cy="285750"/>
                    </a:xfrm>
                    <a:prstGeom prst="rect">
                      <a:avLst/>
                    </a:prstGeom>
                    <a:noFill/>
                  </pic:spPr>
                </pic:pic>
              </a:graphicData>
            </a:graphic>
          </wp:anchor>
        </w:drawing>
        <w:t>Navan,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2"/>
          <w:szCs w:val="12"/>
          <w:color w:val="auto"/>
        </w:rPr>
        <w:t>October 10, 2025</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Page Two</w:t>
      </w:r>
    </w:p>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15"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We consent to the reference to our firm under the caption “Legal Matters” in the Prospectus included in the Registration Statement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Sincerely,</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Cooley LLP</w:t>
      </w:r>
    </w:p>
    <w:p>
      <w:pPr>
        <w:spacing w:after="0" w:line="350"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John T. McKenna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21590</wp:posOffset>
            </wp:positionV>
            <wp:extent cx="2126615"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2126615" cy="6350"/>
                    </a:xfrm>
                    <a:prstGeom prst="rect">
                      <a:avLst/>
                    </a:prstGeom>
                    <a:noFill/>
                  </pic:spPr>
                </pic:pic>
              </a:graphicData>
            </a:graphic>
          </wp:anchor>
        </w:drawing>
      </w:r>
    </w:p>
    <w:p>
      <w:pPr>
        <w:spacing w:after="0" w:line="33"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John T. McKenna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9"/>
          <w:szCs w:val="9"/>
          <w:color w:val="auto"/>
        </w:rPr>
        <w:t>Cooley LLP 3175 Hanover Street Palo Alto, CA 94304-1130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auto"/>
        </w:rPr>
        <w:t>t: +1 650 843 5000 f: +1 650 849 7400 cooley.com</w:t>
      </w:r>
    </w:p>
    <w:p>
      <w:pPr>
        <w:sectPr>
          <w:pgSz w:w="11900" w:h="16840" w:orient="portrait"/>
          <w:cols w:equalWidth="0" w:num="1">
            <w:col w:w="10600"/>
          </w:cols>
          <w:pgMar w:left="640" w:top="1258" w:right="660" w:bottom="1440" w:gutter="0" w:footer="0" w:header="0"/>
        </w:sectPr>
      </w:pPr>
    </w:p>
    <w:bookmarkStart w:id="314" w:name="page315"/>
    <w:bookmarkEnd w:id="314"/>
    <w:p>
      <w:pPr>
        <w:ind w:left="9960"/>
        <w:spacing w:after="0"/>
        <w:rPr>
          <w:sz w:val="20"/>
          <w:szCs w:val="20"/>
          <w:color w:val="auto"/>
        </w:rPr>
      </w:pPr>
      <w:r>
        <w:rPr>
          <w:rFonts w:ascii="Times New Roman" w:cs="Times New Roman" w:eastAsia="Times New Roman" w:hAnsi="Times New Roman"/>
          <w:sz w:val="12"/>
          <w:szCs w:val="1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NAVAN,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2025 EQUITY INCENTIVE PLAN</w:t>
      </w:r>
    </w:p>
    <w:p>
      <w:pPr>
        <w:spacing w:after="0" w:line="1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ADOPTED BY THE BOARD OF DIRECTORS: SEPTEMBER 16, 2025</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APPROVED BY THE STOCKHOLDERS: OCTOBER 6, 2025</w:t>
      </w:r>
    </w:p>
    <w:p>
      <w:pPr>
        <w:spacing w:after="0" w:line="149" w:lineRule="exact"/>
        <w:rPr>
          <w:sz w:val="20"/>
          <w:szCs w:val="20"/>
          <w:color w:val="auto"/>
        </w:rPr>
      </w:pPr>
    </w:p>
    <w:p>
      <w:pPr>
        <w:ind w:left="260" w:hanging="253"/>
        <w:spacing w:after="0"/>
        <w:tabs>
          <w:tab w:leader="none" w:pos="260" w:val="left"/>
        </w:tabs>
        <w:numPr>
          <w:ilvl w:val="0"/>
          <w:numId w:val="3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w:t>
      </w:r>
    </w:p>
    <w:p>
      <w:pPr>
        <w:spacing w:after="0" w:line="163" w:lineRule="exact"/>
        <w:rPr>
          <w:sz w:val="20"/>
          <w:szCs w:val="20"/>
          <w:color w:val="auto"/>
        </w:rPr>
      </w:pPr>
    </w:p>
    <w:p>
      <w:pPr>
        <w:jc w:val="both"/>
        <w:ind w:right="20" w:firstLine="466"/>
        <w:spacing w:after="0" w:line="274" w:lineRule="auto"/>
        <w:tabs>
          <w:tab w:leader="none" w:pos="534" w:val="left"/>
        </w:tabs>
        <w:numPr>
          <w:ilvl w:val="0"/>
          <w:numId w:val="3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a ) </w:t>
      </w:r>
      <w:r>
        <w:rPr>
          <w:rFonts w:ascii="Times New Roman" w:cs="Times New Roman" w:eastAsia="Times New Roman" w:hAnsi="Times New Roman"/>
          <w:sz w:val="14"/>
          <w:szCs w:val="14"/>
          <w:b w:val="1"/>
          <w:bCs w:val="1"/>
          <w:color w:val="auto"/>
        </w:rPr>
        <w:t>Plan Purpose.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The Company, by means of the Plan, seeks to secure and retain the services of Employees, Directors and Consultants, to provide incentives for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25" w:lineRule="exact"/>
        <w:rPr>
          <w:sz w:val="20"/>
          <w:szCs w:val="20"/>
          <w:color w:val="auto"/>
        </w:rPr>
      </w:pPr>
    </w:p>
    <w:p>
      <w:pPr>
        <w:ind w:left="820" w:hanging="354"/>
        <w:spacing w:after="0"/>
        <w:tabs>
          <w:tab w:leader="none" w:pos="820" w:val="left"/>
        </w:tabs>
        <w:numPr>
          <w:ilvl w:val="1"/>
          <w:numId w:val="3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Types of Awards. </w:t>
      </w:r>
      <w:r>
        <w:rPr>
          <w:rFonts w:ascii="Times New Roman" w:cs="Times New Roman" w:eastAsia="Times New Roman" w:hAnsi="Times New Roman"/>
          <w:sz w:val="14"/>
          <w:szCs w:val="14"/>
          <w:color w:val="auto"/>
        </w:rPr>
        <w:t>The Plan provides for the grant of the following Awards: (i) Incentive Stock Options; (ii) Nonstatutory Stock Options; (iii) Stock Appreciation Rights;</w:t>
      </w:r>
    </w:p>
    <w:p>
      <w:pPr>
        <w:spacing w:after="0" w:line="17" w:lineRule="exact"/>
        <w:rPr>
          <w:rFonts w:ascii="Times New Roman" w:cs="Times New Roman" w:eastAsia="Times New Roman" w:hAnsi="Times New Roman"/>
          <w:sz w:val="15"/>
          <w:szCs w:val="15"/>
          <w:b w:val="1"/>
          <w:bCs w:val="1"/>
          <w:color w:val="auto"/>
        </w:rPr>
      </w:pPr>
    </w:p>
    <w:p>
      <w:pPr>
        <w:ind w:left="240" w:hanging="233"/>
        <w:spacing w:after="0"/>
        <w:tabs>
          <w:tab w:leader="none" w:pos="240"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Awards; (v) Restricted Stock Unit Awards; (vi) Performance Awards; and (vii) Other Awards.</w:t>
      </w:r>
    </w:p>
    <w:p>
      <w:pPr>
        <w:spacing w:after="0" w:line="155" w:lineRule="exact"/>
        <w:rPr>
          <w:rFonts w:ascii="Times New Roman" w:cs="Times New Roman" w:eastAsia="Times New Roman" w:hAnsi="Times New Roman"/>
          <w:sz w:val="14"/>
          <w:szCs w:val="14"/>
          <w:color w:val="auto"/>
        </w:rPr>
      </w:pPr>
    </w:p>
    <w:p>
      <w:pPr>
        <w:ind w:left="800" w:hanging="334"/>
        <w:spacing w:after="0"/>
        <w:tabs>
          <w:tab w:leader="none" w:pos="800" w:val="left"/>
        </w:tabs>
        <w:numPr>
          <w:ilvl w:val="1"/>
          <w:numId w:val="3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Effective Date. </w:t>
      </w:r>
      <w:r>
        <w:rPr>
          <w:rFonts w:ascii="Times New Roman" w:cs="Times New Roman" w:eastAsia="Times New Roman" w:hAnsi="Times New Roman"/>
          <w:sz w:val="14"/>
          <w:szCs w:val="14"/>
          <w:color w:val="auto"/>
        </w:rPr>
        <w:t>The Plan will come into existence on the Effective Date and no Award may be granted prior to the Effective Date.</w:t>
      </w:r>
    </w:p>
    <w:p>
      <w:pPr>
        <w:spacing w:after="0" w:line="162" w:lineRule="exact"/>
        <w:rPr>
          <w:sz w:val="20"/>
          <w:szCs w:val="20"/>
          <w:color w:val="auto"/>
        </w:rPr>
      </w:pPr>
    </w:p>
    <w:p>
      <w:pPr>
        <w:ind w:left="280" w:hanging="273"/>
        <w:spacing w:after="0"/>
        <w:tabs>
          <w:tab w:leader="none" w:pos="280" w:val="left"/>
        </w:tabs>
        <w:numPr>
          <w:ilvl w:val="0"/>
          <w:numId w:val="3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SHARES SUBJECT TO THE PLAN.</w:t>
      </w:r>
    </w:p>
    <w:p>
      <w:pPr>
        <w:spacing w:after="0" w:line="152" w:lineRule="exact"/>
        <w:rPr>
          <w:sz w:val="20"/>
          <w:szCs w:val="20"/>
          <w:color w:val="auto"/>
        </w:rPr>
      </w:pPr>
    </w:p>
    <w:p>
      <w:pPr>
        <w:jc w:val="both"/>
        <w:ind w:right="20" w:firstLine="466"/>
        <w:spacing w:after="0" w:line="265" w:lineRule="auto"/>
        <w:tabs>
          <w:tab w:leader="none" w:pos="534" w:val="left"/>
        </w:tabs>
        <w:numPr>
          <w:ilvl w:val="0"/>
          <w:numId w:val="34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a ) </w:t>
      </w:r>
      <w:r>
        <w:rPr>
          <w:rFonts w:ascii="Times New Roman" w:cs="Times New Roman" w:eastAsia="Times New Roman" w:hAnsi="Times New Roman"/>
          <w:sz w:val="14"/>
          <w:szCs w:val="14"/>
          <w:b w:val="1"/>
          <w:bCs w:val="1"/>
          <w:color w:val="auto"/>
        </w:rPr>
        <w:t>Share Reserve.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Subject to adjustment in accordance with Section 2(c) and any adjustments as necessary to implement any Capitalization Adjustments, the aggregate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number of Shares that may be issued pursuant to Awards will not exceed 35,000,000. In addition, subject to any adjustments as necessary to implement any Capitalization Adjustments, the aggregate number of Shares will automatically increase on the first day of each Fiscal Year for a period of ten years commencing on the first day of the 2027 Fiscal Year and ending on (and including) the first day of the 2036 Fiscal Year, in an amount equal to 5% of the total number of shares of Capital Stock outstanding on the last day of the preceding Fiscal Year; provided, however, that the Board may act prior to the first day of a given Fiscal Year to provide that the increase for that Fiscal Year will be a lesser number of Shares.</w:t>
      </w:r>
    </w:p>
    <w:p>
      <w:pPr>
        <w:spacing w:after="0" w:line="133" w:lineRule="exact"/>
        <w:rPr>
          <w:sz w:val="20"/>
          <w:szCs w:val="20"/>
          <w:color w:val="auto"/>
        </w:rPr>
      </w:pPr>
    </w:p>
    <w:p>
      <w:pPr>
        <w:ind w:firstLine="466"/>
        <w:spacing w:after="0" w:line="279" w:lineRule="auto"/>
        <w:tabs>
          <w:tab w:leader="none" w:pos="804" w:val="left"/>
        </w:tabs>
        <w:numPr>
          <w:ilvl w:val="0"/>
          <w:numId w:val="34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Aggregate Incentive Stock Option Limit. </w:t>
      </w:r>
      <w:r>
        <w:rPr>
          <w:rFonts w:ascii="Times New Roman" w:cs="Times New Roman" w:eastAsia="Times New Roman" w:hAnsi="Times New Roman"/>
          <w:sz w:val="14"/>
          <w:szCs w:val="14"/>
          <w:color w:val="auto"/>
        </w:rPr>
        <w:t>The aggregate maximum number of Shares that may be issued pursuant to the exercise of Incentive Stock Options is specified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Section 3(b)(iv).</w:t>
      </w:r>
    </w:p>
    <w:p>
      <w:pPr>
        <w:spacing w:after="0" w:line="119" w:lineRule="exact"/>
        <w:rPr>
          <w:rFonts w:ascii="Times New Roman" w:cs="Times New Roman" w:eastAsia="Times New Roman" w:hAnsi="Times New Roman"/>
          <w:sz w:val="15"/>
          <w:szCs w:val="15"/>
          <w:b w:val="1"/>
          <w:bCs w:val="1"/>
          <w:color w:val="auto"/>
        </w:rPr>
      </w:pPr>
    </w:p>
    <w:p>
      <w:pPr>
        <w:ind w:left="800" w:hanging="334"/>
        <w:spacing w:after="0"/>
        <w:tabs>
          <w:tab w:leader="none" w:pos="800" w:val="left"/>
        </w:tabs>
        <w:numPr>
          <w:ilvl w:val="0"/>
          <w:numId w:val="34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Share Reserve Operation.</w:t>
      </w:r>
    </w:p>
    <w:p>
      <w:pPr>
        <w:spacing w:after="0" w:line="162" w:lineRule="exact"/>
        <w:rPr>
          <w:rFonts w:ascii="Times New Roman" w:cs="Times New Roman" w:eastAsia="Times New Roman" w:hAnsi="Times New Roman"/>
          <w:sz w:val="15"/>
          <w:szCs w:val="15"/>
          <w:b w:val="1"/>
          <w:bCs w:val="1"/>
          <w:color w:val="auto"/>
        </w:rPr>
      </w:pPr>
    </w:p>
    <w:p>
      <w:pPr>
        <w:jc w:val="both"/>
        <w:ind w:firstLine="925"/>
        <w:spacing w:after="0" w:line="262" w:lineRule="auto"/>
        <w:tabs>
          <w:tab w:leader="none" w:pos="1244" w:val="left"/>
        </w:tabs>
        <w:numPr>
          <w:ilvl w:val="1"/>
          <w:numId w:val="34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Actions that Do Not Constitute Issuance Shares and Do Not Reduce Share Reserve. </w:t>
      </w:r>
      <w:r>
        <w:rPr>
          <w:rFonts w:ascii="Times New Roman" w:cs="Times New Roman" w:eastAsia="Times New Roman" w:hAnsi="Times New Roman"/>
          <w:sz w:val="14"/>
          <w:szCs w:val="14"/>
          <w:color w:val="auto"/>
        </w:rPr>
        <w:t>The following actions do not result in an issuance of Shares under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Plan and accordingly do not reduce the number of Shares subject to the Share Reserve and available for issuance under the Plan: (1) the expiration or termination of any portion of an Award without the Shares covered by that portion of the Award having been issued; (2) the settlement of any portion of an Award in cash rather than Shares;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32" w:lineRule="exact"/>
        <w:rPr>
          <w:rFonts w:ascii="Times New Roman" w:cs="Times New Roman" w:eastAsia="Times New Roman" w:hAnsi="Times New Roman"/>
          <w:sz w:val="15"/>
          <w:szCs w:val="15"/>
          <w:b w:val="1"/>
          <w:bCs w:val="1"/>
          <w:color w:val="auto"/>
        </w:rPr>
      </w:pPr>
    </w:p>
    <w:p>
      <w:pPr>
        <w:ind w:left="1260" w:hanging="335"/>
        <w:spacing w:after="0"/>
        <w:tabs>
          <w:tab w:leader="none" w:pos="1260" w:val="left"/>
        </w:tabs>
        <w:numPr>
          <w:ilvl w:val="1"/>
          <w:numId w:val="34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Reversion of Previously Issued Shares to Share Reserve. </w:t>
      </w:r>
      <w:r>
        <w:rPr>
          <w:rFonts w:ascii="Times New Roman" w:cs="Times New Roman" w:eastAsia="Times New Roman" w:hAnsi="Times New Roman"/>
          <w:sz w:val="14"/>
          <w:szCs w:val="14"/>
          <w:color w:val="auto"/>
        </w:rPr>
        <w:t>The following Shares previously issued pursuant to an Award and accordingly initially deducted from</w:t>
      </w:r>
    </w:p>
    <w:p>
      <w:pPr>
        <w:spacing w:after="0" w:line="17" w:lineRule="exact"/>
        <w:rPr>
          <w:rFonts w:ascii="Times New Roman" w:cs="Times New Roman" w:eastAsia="Times New Roman" w:hAnsi="Times New Roman"/>
          <w:sz w:val="15"/>
          <w:szCs w:val="15"/>
          <w:b w:val="1"/>
          <w:bCs w:val="1"/>
          <w:color w:val="auto"/>
        </w:rPr>
      </w:pPr>
    </w:p>
    <w:p>
      <w:pPr>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the Share Reserve</w:t>
      </w:r>
    </w:p>
    <w:p>
      <w:pPr>
        <w:sectPr>
          <w:pgSz w:w="11900" w:h="16840" w:orient="portrait"/>
          <w:cols w:equalWidth="0" w:num="1">
            <w:col w:w="10620"/>
          </w:cols>
          <w:pgMar w:left="640" w:top="557" w:right="640" w:bottom="1440" w:gutter="0" w:footer="0" w:header="0"/>
        </w:sectPr>
      </w:pPr>
    </w:p>
    <w:bookmarkStart w:id="315" w:name="page316"/>
    <w:bookmarkEnd w:id="315"/>
    <w:p>
      <w:pPr>
        <w:spacing w:after="0" w:line="3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4"/>
          <w:szCs w:val="14"/>
          <w:color w:val="auto"/>
        </w:rPr>
        <w:t>will be added back to the Share Reserve and again become available for issuance under the Plan: (1) any Shares that are forfeited back to or repurchased by the Company because of a failure to meet a contingency or condition required for the vesting of the Award; (2) any Shares that are reacquired by the Company to satisfy the exercise, strike or purchase price of an Award; and (3) any Shares that are reacquired by the Company to satisfy a tax withholding obligation in connection with an Award.</w:t>
      </w:r>
    </w:p>
    <w:p>
      <w:pPr>
        <w:spacing w:after="0" w:line="124" w:lineRule="exact"/>
        <w:rPr>
          <w:sz w:val="20"/>
          <w:szCs w:val="20"/>
          <w:color w:val="auto"/>
        </w:rPr>
      </w:pPr>
    </w:p>
    <w:p>
      <w:pPr>
        <w:ind w:left="280" w:hanging="273"/>
        <w:spacing w:after="0"/>
        <w:tabs>
          <w:tab w:leader="none" w:pos="280" w:val="left"/>
        </w:tabs>
        <w:numPr>
          <w:ilvl w:val="0"/>
          <w:numId w:val="3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ELIGIBILITY AND LIMITATIONS.</w:t>
      </w:r>
    </w:p>
    <w:p>
      <w:pPr>
        <w:spacing w:after="0" w:line="162" w:lineRule="exact"/>
        <w:rPr>
          <w:rFonts w:ascii="Times New Roman" w:cs="Times New Roman" w:eastAsia="Times New Roman" w:hAnsi="Times New Roman"/>
          <w:sz w:val="15"/>
          <w:szCs w:val="15"/>
          <w:b w:val="1"/>
          <w:bCs w:val="1"/>
          <w:color w:val="auto"/>
        </w:rPr>
      </w:pPr>
    </w:p>
    <w:p>
      <w:pPr>
        <w:ind w:left="800" w:hanging="334"/>
        <w:spacing w:after="0"/>
        <w:tabs>
          <w:tab w:leader="none" w:pos="800" w:val="left"/>
        </w:tabs>
        <w:numPr>
          <w:ilvl w:val="1"/>
          <w:numId w:val="3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Eligible Award Recipients. </w:t>
      </w:r>
      <w:r>
        <w:rPr>
          <w:rFonts w:ascii="Times New Roman" w:cs="Times New Roman" w:eastAsia="Times New Roman" w:hAnsi="Times New Roman"/>
          <w:sz w:val="14"/>
          <w:szCs w:val="14"/>
          <w:color w:val="auto"/>
        </w:rPr>
        <w:t>Subject to the terms of the Plan, Employees, Directors, and Consultants are eligible to receive Awards.</w:t>
      </w:r>
    </w:p>
    <w:p>
      <w:pPr>
        <w:spacing w:after="0" w:line="162" w:lineRule="exact"/>
        <w:rPr>
          <w:rFonts w:ascii="Times New Roman" w:cs="Times New Roman" w:eastAsia="Times New Roman" w:hAnsi="Times New Roman"/>
          <w:sz w:val="15"/>
          <w:szCs w:val="15"/>
          <w:b w:val="1"/>
          <w:bCs w:val="1"/>
          <w:color w:val="auto"/>
        </w:rPr>
      </w:pPr>
    </w:p>
    <w:p>
      <w:pPr>
        <w:ind w:left="820" w:hanging="354"/>
        <w:spacing w:after="0"/>
        <w:tabs>
          <w:tab w:leader="none" w:pos="820" w:val="left"/>
        </w:tabs>
        <w:numPr>
          <w:ilvl w:val="1"/>
          <w:numId w:val="3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Specific Award Limitations.</w:t>
      </w:r>
    </w:p>
    <w:p>
      <w:pPr>
        <w:spacing w:after="0" w:line="162" w:lineRule="exact"/>
        <w:rPr>
          <w:rFonts w:ascii="Times New Roman" w:cs="Times New Roman" w:eastAsia="Times New Roman" w:hAnsi="Times New Roman"/>
          <w:sz w:val="15"/>
          <w:szCs w:val="15"/>
          <w:b w:val="1"/>
          <w:bCs w:val="1"/>
          <w:color w:val="auto"/>
        </w:rPr>
      </w:pPr>
    </w:p>
    <w:p>
      <w:pPr>
        <w:ind w:right="20" w:firstLine="925"/>
        <w:spacing w:after="0" w:line="279" w:lineRule="auto"/>
        <w:tabs>
          <w:tab w:leader="none" w:pos="1253" w:val="left"/>
        </w:tabs>
        <w:numPr>
          <w:ilvl w:val="2"/>
          <w:numId w:val="3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Limitations on Incentive Stock Option Recipients. </w:t>
      </w:r>
      <w:r>
        <w:rPr>
          <w:rFonts w:ascii="Times New Roman" w:cs="Times New Roman" w:eastAsia="Times New Roman" w:hAnsi="Times New Roman"/>
          <w:sz w:val="14"/>
          <w:szCs w:val="14"/>
          <w:color w:val="auto"/>
        </w:rPr>
        <w:t>Incentive Stock Options may be granted only to Employees of the Company or a “parent corporation”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“subsidiary corporation” thereof (as such terms are defined in Sections 424(e) and (f) of the Code).</w:t>
      </w:r>
    </w:p>
    <w:p>
      <w:pPr>
        <w:spacing w:after="0" w:line="119" w:lineRule="exact"/>
        <w:rPr>
          <w:rFonts w:ascii="Times New Roman" w:cs="Times New Roman" w:eastAsia="Times New Roman" w:hAnsi="Times New Roman"/>
          <w:sz w:val="15"/>
          <w:szCs w:val="15"/>
          <w:b w:val="1"/>
          <w:bCs w:val="1"/>
          <w:color w:val="auto"/>
        </w:rPr>
      </w:pPr>
    </w:p>
    <w:p>
      <w:pPr>
        <w:jc w:val="both"/>
        <w:ind w:firstLine="925"/>
        <w:spacing w:after="0" w:line="262" w:lineRule="auto"/>
        <w:tabs>
          <w:tab w:leader="none" w:pos="1301" w:val="left"/>
        </w:tabs>
        <w:numPr>
          <w:ilvl w:val="2"/>
          <w:numId w:val="3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Incentive Stock Option $100,000 Limitation. </w:t>
      </w:r>
      <w:r>
        <w:rPr>
          <w:rFonts w:ascii="Times New Roman" w:cs="Times New Roman" w:eastAsia="Times New Roman" w:hAnsi="Times New Roman"/>
          <w:sz w:val="14"/>
          <w:szCs w:val="14"/>
          <w:color w:val="auto"/>
        </w:rPr>
        <w:t>To the extent that the aggregate Fair Market Value (determined at the time of grant) of Shares with respect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Incentive Stock Options are exercisable for the first time by any Participant during any calendar year (under all plans of the Company and any “parent corporation” or “subsidiary corporation” thereof (as such terms are defined in Sections 424(e) and (f) of the Code))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Award Agreement(s).</w:t>
      </w:r>
    </w:p>
    <w:p>
      <w:pPr>
        <w:spacing w:after="0" w:line="132" w:lineRule="exact"/>
        <w:rPr>
          <w:rFonts w:ascii="Times New Roman" w:cs="Times New Roman" w:eastAsia="Times New Roman" w:hAnsi="Times New Roman"/>
          <w:sz w:val="15"/>
          <w:szCs w:val="15"/>
          <w:b w:val="1"/>
          <w:bCs w:val="1"/>
          <w:color w:val="auto"/>
        </w:rPr>
      </w:pPr>
    </w:p>
    <w:p>
      <w:pPr>
        <w:jc w:val="both"/>
        <w:ind w:right="40" w:firstLine="925"/>
        <w:spacing w:after="0" w:line="267" w:lineRule="auto"/>
        <w:tabs>
          <w:tab w:leader="none" w:pos="1340" w:val="left"/>
        </w:tabs>
        <w:numPr>
          <w:ilvl w:val="2"/>
          <w:numId w:val="3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Limitations on Incentive Stock Options Granted to Ten Percent Stockholders. </w:t>
      </w:r>
      <w:r>
        <w:rPr>
          <w:rFonts w:ascii="Times New Roman" w:cs="Times New Roman" w:eastAsia="Times New Roman" w:hAnsi="Times New Roman"/>
          <w:sz w:val="14"/>
          <w:szCs w:val="14"/>
          <w:color w:val="auto"/>
        </w:rPr>
        <w:t>A Ten Percent Stockholder may not be granted an Incentive Stock Option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unless (1) the per share exercise price of such Option is at least 110% of the Fair Market Value of a Share on the date of grant of such Option and (2) the Option is not exercisable after the expiration of five years from the date of grant of such Option.</w:t>
      </w:r>
    </w:p>
    <w:p>
      <w:pPr>
        <w:spacing w:after="0" w:line="129" w:lineRule="exact"/>
        <w:rPr>
          <w:rFonts w:ascii="Times New Roman" w:cs="Times New Roman" w:eastAsia="Times New Roman" w:hAnsi="Times New Roman"/>
          <w:sz w:val="15"/>
          <w:szCs w:val="15"/>
          <w:b w:val="1"/>
          <w:bCs w:val="1"/>
          <w:color w:val="auto"/>
        </w:rPr>
      </w:pPr>
    </w:p>
    <w:p>
      <w:pPr>
        <w:ind w:right="20" w:firstLine="925"/>
        <w:spacing w:after="0" w:line="279" w:lineRule="auto"/>
        <w:tabs>
          <w:tab w:leader="none" w:pos="1311" w:val="left"/>
        </w:tabs>
        <w:numPr>
          <w:ilvl w:val="2"/>
          <w:numId w:val="3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Aggregate Incentive Stock Option Limit. </w:t>
      </w:r>
      <w:r>
        <w:rPr>
          <w:rFonts w:ascii="Times New Roman" w:cs="Times New Roman" w:eastAsia="Times New Roman" w:hAnsi="Times New Roman"/>
          <w:sz w:val="14"/>
          <w:szCs w:val="14"/>
          <w:color w:val="auto"/>
        </w:rPr>
        <w:t>Notwithstanding anything to the contrary in Section 2(a) and subject to any adjustments as necessary to implement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Capitalization Adjustments, the aggregate maximum number of Shares that may be issued pursuant to the exercise of Incentive Stock Options is 175,000,000 Shares.</w:t>
      </w:r>
    </w:p>
    <w:p>
      <w:pPr>
        <w:spacing w:after="0" w:line="119" w:lineRule="exact"/>
        <w:rPr>
          <w:rFonts w:ascii="Times New Roman" w:cs="Times New Roman" w:eastAsia="Times New Roman" w:hAnsi="Times New Roman"/>
          <w:sz w:val="15"/>
          <w:szCs w:val="15"/>
          <w:b w:val="1"/>
          <w:bCs w:val="1"/>
          <w:color w:val="auto"/>
        </w:rPr>
      </w:pPr>
    </w:p>
    <w:p>
      <w:pPr>
        <w:ind w:right="20" w:firstLine="466"/>
        <w:spacing w:after="0" w:line="259" w:lineRule="auto"/>
        <w:tabs>
          <w:tab w:leader="none" w:pos="794" w:val="left"/>
        </w:tabs>
        <w:numPr>
          <w:ilvl w:val="1"/>
          <w:numId w:val="3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Non-Employee Director Compensation Limit. </w:t>
      </w:r>
      <w:r>
        <w:rPr>
          <w:rFonts w:ascii="Times New Roman" w:cs="Times New Roman" w:eastAsia="Times New Roman" w:hAnsi="Times New Roman"/>
          <w:sz w:val="14"/>
          <w:szCs w:val="14"/>
          <w:color w:val="auto"/>
        </w:rPr>
        <w:t>The aggregate value of all compensation granted or paid, as applicable, to any individual for service as a Non-Employee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 with respect to any Fiscal Year, including Awards granted and cash fees paid by the Company to such Non-Employee Director, will not exceed (1) $750,000 in total value or</w:t>
      </w:r>
    </w:p>
    <w:p>
      <w:pPr>
        <w:jc w:val="both"/>
        <w:ind w:right="20"/>
        <w:spacing w:after="0" w:line="26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(2) in the event such Non-Employee Director is first appointed or elected to the Board during such Fiscal Year, $1,000,000 in total value, in each case, calculating the value of any equity awards based on the grant date fair value of such equity awards for financial reporting purposes. The limitations in this Section 3(c) shall apply commencing with the first Fiscal Year that begins following the Effective Date.</w:t>
      </w:r>
    </w:p>
    <w:p>
      <w:pPr>
        <w:sectPr>
          <w:pgSz w:w="11900" w:h="16840" w:orient="portrait"/>
          <w:cols w:equalWidth="0" w:num="1">
            <w:col w:w="10620"/>
          </w:cols>
          <w:pgMar w:left="640" w:top="1440" w:right="640" w:bottom="1440" w:gutter="0" w:footer="0" w:header="0"/>
        </w:sectPr>
      </w:pPr>
    </w:p>
    <w:bookmarkStart w:id="316" w:name="page317"/>
    <w:bookmarkEnd w:id="316"/>
    <w:p>
      <w:pPr>
        <w:spacing w:after="0" w:line="46" w:lineRule="exact"/>
        <w:rPr>
          <w:sz w:val="20"/>
          <w:szCs w:val="20"/>
          <w:color w:val="auto"/>
        </w:rPr>
      </w:pPr>
    </w:p>
    <w:p>
      <w:pPr>
        <w:ind w:left="280" w:hanging="273"/>
        <w:spacing w:after="0"/>
        <w:tabs>
          <w:tab w:leader="none" w:pos="280" w:val="left"/>
        </w:tabs>
        <w:numPr>
          <w:ilvl w:val="0"/>
          <w:numId w:val="34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OPTIONS AND STOCK APPRECIATION RIGHTS.</w:t>
      </w:r>
    </w:p>
    <w:p>
      <w:pPr>
        <w:spacing w:after="0" w:line="155" w:lineRule="exact"/>
        <w:rPr>
          <w:sz w:val="20"/>
          <w:szCs w:val="20"/>
          <w:color w:val="auto"/>
        </w:rPr>
      </w:pPr>
    </w:p>
    <w:p>
      <w:pPr>
        <w:jc w:val="both"/>
        <w:ind w:right="20" w:firstLine="459"/>
        <w:spacing w:after="0" w:line="265" w:lineRule="auto"/>
        <w:rPr>
          <w:sz w:val="20"/>
          <w:szCs w:val="20"/>
          <w:color w:val="auto"/>
        </w:rPr>
      </w:pPr>
      <w:r>
        <w:rPr>
          <w:rFonts w:ascii="Times New Roman" w:cs="Times New Roman" w:eastAsia="Times New Roman" w:hAnsi="Times New Roman"/>
          <w:sz w:val="14"/>
          <w:szCs w:val="14"/>
          <w:color w:val="auto"/>
        </w:rPr>
        <w:t>Each Option and Stock Appreciation Right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Stock Appreciation Right will be denominated in Share equivalents. The terms and conditions of separate Options and Stock Appreciation Rights need not be identical; provided, however, that each Award Agreement will conform (through incorporation of provisions hereof by reference in the Award Agreement or otherwise) to the substance of each of the following provisions:</w:t>
      </w:r>
    </w:p>
    <w:p>
      <w:pPr>
        <w:spacing w:after="0" w:line="305" w:lineRule="exact"/>
        <w:rPr>
          <w:sz w:val="20"/>
          <w:szCs w:val="20"/>
          <w:color w:val="auto"/>
        </w:rPr>
      </w:pPr>
    </w:p>
    <w:p>
      <w:pPr>
        <w:ind w:right="20" w:firstLine="466"/>
        <w:spacing w:after="0" w:line="279" w:lineRule="auto"/>
        <w:tabs>
          <w:tab w:leader="none" w:pos="813" w:val="left"/>
        </w:tabs>
        <w:numPr>
          <w:ilvl w:val="0"/>
          <w:numId w:val="3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Term. </w:t>
      </w:r>
      <w:r>
        <w:rPr>
          <w:rFonts w:ascii="Times New Roman" w:cs="Times New Roman" w:eastAsia="Times New Roman" w:hAnsi="Times New Roman"/>
          <w:sz w:val="14"/>
          <w:szCs w:val="14"/>
          <w:color w:val="auto"/>
        </w:rPr>
        <w:t>Subject to Section 3(b) regarding Ten Percent Stockholders, no Option or Stock Appreciation Right will be exercisable after the expiration of ten years from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date of grant of such Award or such shorter period specified in the Award Agreement.</w:t>
      </w:r>
    </w:p>
    <w:p>
      <w:pPr>
        <w:spacing w:after="0" w:line="119" w:lineRule="exact"/>
        <w:rPr>
          <w:rFonts w:ascii="Times New Roman" w:cs="Times New Roman" w:eastAsia="Times New Roman" w:hAnsi="Times New Roman"/>
          <w:sz w:val="15"/>
          <w:szCs w:val="15"/>
          <w:b w:val="1"/>
          <w:bCs w:val="1"/>
          <w:color w:val="auto"/>
        </w:rPr>
      </w:pPr>
    </w:p>
    <w:p>
      <w:pPr>
        <w:jc w:val="both"/>
        <w:ind w:right="20" w:firstLine="466"/>
        <w:spacing w:after="0" w:line="262" w:lineRule="auto"/>
        <w:tabs>
          <w:tab w:leader="none" w:pos="823" w:val="left"/>
        </w:tabs>
        <w:numPr>
          <w:ilvl w:val="0"/>
          <w:numId w:val="3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Exercise or Strike Price. </w:t>
      </w:r>
      <w:r>
        <w:rPr>
          <w:rFonts w:ascii="Times New Roman" w:cs="Times New Roman" w:eastAsia="Times New Roman" w:hAnsi="Times New Roman"/>
          <w:sz w:val="14"/>
          <w:szCs w:val="14"/>
          <w:color w:val="auto"/>
        </w:rPr>
        <w:t>Subject to Section 3(b) regarding Ten Percent Stockholders, the per share exercise or strike price of each Option or Stock Appreciation Right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will not be less than 100% of the Fair Market Value of a Share on the date of grant of such Award. Notwithstanding the foregoing, an Option or Stock Appreciation Right may be granted with a per share exercise or strike price lower than 100% of the Fair Market Value of a Share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22" w:lineRule="exact"/>
        <w:rPr>
          <w:sz w:val="20"/>
          <w:szCs w:val="20"/>
          <w:color w:val="auto"/>
        </w:rPr>
      </w:pPr>
    </w:p>
    <w:p>
      <w:pPr>
        <w:jc w:val="both"/>
        <w:ind w:firstLine="466"/>
        <w:spacing w:after="0" w:line="265" w:lineRule="auto"/>
        <w:tabs>
          <w:tab w:leader="none" w:pos="563" w:val="left"/>
        </w:tabs>
        <w:numPr>
          <w:ilvl w:val="0"/>
          <w:numId w:val="34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 ) </w:t>
      </w:r>
      <w:r>
        <w:rPr>
          <w:rFonts w:ascii="Times New Roman" w:cs="Times New Roman" w:eastAsia="Times New Roman" w:hAnsi="Times New Roman"/>
          <w:sz w:val="14"/>
          <w:szCs w:val="14"/>
          <w:b w:val="1"/>
          <w:bCs w:val="1"/>
          <w:color w:val="auto"/>
        </w:rPr>
        <w:t>Exercise Procedure and Payment of Exercise Price for Options.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In order to exercise an Option, the Participant must provide notice of exercise to the Plan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Administrator in accordance with the procedures specified in the Award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Award Agreement:</w:t>
      </w:r>
    </w:p>
    <w:p>
      <w:pPr>
        <w:spacing w:after="0" w:line="134" w:lineRule="exact"/>
        <w:rPr>
          <w:rFonts w:ascii="Times New Roman" w:cs="Times New Roman" w:eastAsia="Times New Roman" w:hAnsi="Times New Roman"/>
          <w:sz w:val="15"/>
          <w:szCs w:val="15"/>
          <w:b w:val="1"/>
          <w:bCs w:val="1"/>
          <w:color w:val="auto"/>
        </w:rPr>
      </w:pPr>
    </w:p>
    <w:p>
      <w:pPr>
        <w:ind w:left="1220" w:hanging="295"/>
        <w:spacing w:after="0"/>
        <w:tabs>
          <w:tab w:leader="none" w:pos="1220" w:val="left"/>
        </w:tabs>
        <w:numPr>
          <w:ilvl w:val="1"/>
          <w:numId w:val="34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cash or check, bank draft or money order payable to the Company;</w:t>
      </w:r>
    </w:p>
    <w:p>
      <w:pPr>
        <w:spacing w:after="0" w:line="162" w:lineRule="exact"/>
        <w:rPr>
          <w:rFonts w:ascii="Times New Roman" w:cs="Times New Roman" w:eastAsia="Times New Roman" w:hAnsi="Times New Roman"/>
          <w:sz w:val="15"/>
          <w:szCs w:val="15"/>
          <w:b w:val="1"/>
          <w:bCs w:val="1"/>
          <w:color w:val="auto"/>
        </w:rPr>
      </w:pPr>
    </w:p>
    <w:p>
      <w:pPr>
        <w:ind w:right="20" w:firstLine="925"/>
        <w:spacing w:after="0" w:line="276" w:lineRule="auto"/>
        <w:tabs>
          <w:tab w:leader="none" w:pos="1273" w:val="left"/>
        </w:tabs>
        <w:numPr>
          <w:ilvl w:val="1"/>
          <w:numId w:val="34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consideration received by the Company under a broker-assisted (or other) cashless exercise program (whether through a broker or otherwise) implemented by the Company in connection with the Plan;</w:t>
      </w:r>
    </w:p>
    <w:p>
      <w:pPr>
        <w:spacing w:after="0" w:line="123" w:lineRule="exact"/>
        <w:rPr>
          <w:rFonts w:ascii="Times New Roman" w:cs="Times New Roman" w:eastAsia="Times New Roman" w:hAnsi="Times New Roman"/>
          <w:sz w:val="15"/>
          <w:szCs w:val="15"/>
          <w:b w:val="1"/>
          <w:bCs w:val="1"/>
          <w:color w:val="auto"/>
        </w:rPr>
      </w:pPr>
    </w:p>
    <w:p>
      <w:pPr>
        <w:jc w:val="both"/>
        <w:ind w:right="20" w:firstLine="925"/>
        <w:spacing w:after="0" w:line="269" w:lineRule="auto"/>
        <w:tabs>
          <w:tab w:leader="none" w:pos="1340" w:val="left"/>
        </w:tabs>
        <w:numPr>
          <w:ilvl w:val="1"/>
          <w:numId w:val="34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other Shares, provided that such Shares have a Fair Market Value on the date of surrender equal to the aggregate exercise price of the Shares as to which the Option will be exercised and provided further that accepting the Shares will not result in any adverse accounting consequences to the Company, as the Company determines in its sole discretion;</w:t>
      </w:r>
    </w:p>
    <w:p>
      <w:pPr>
        <w:spacing w:after="0" w:line="305" w:lineRule="exact"/>
        <w:rPr>
          <w:rFonts w:ascii="Times New Roman" w:cs="Times New Roman" w:eastAsia="Times New Roman" w:hAnsi="Times New Roman"/>
          <w:sz w:val="15"/>
          <w:szCs w:val="15"/>
          <w:b w:val="1"/>
          <w:bCs w:val="1"/>
          <w:color w:val="auto"/>
        </w:rPr>
      </w:pPr>
    </w:p>
    <w:p>
      <w:pPr>
        <w:ind w:left="1300" w:hanging="375"/>
        <w:spacing w:after="0"/>
        <w:tabs>
          <w:tab w:leader="none" w:pos="1300" w:val="left"/>
        </w:tabs>
        <w:numPr>
          <w:ilvl w:val="1"/>
          <w:numId w:val="34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if the Option is a Nonstatutory Stock Option, a “net exercise” arrangement; or</w:t>
      </w:r>
    </w:p>
    <w:p>
      <w:pPr>
        <w:spacing w:after="0" w:line="162" w:lineRule="exact"/>
        <w:rPr>
          <w:rFonts w:ascii="Times New Roman" w:cs="Times New Roman" w:eastAsia="Times New Roman" w:hAnsi="Times New Roman"/>
          <w:sz w:val="15"/>
          <w:szCs w:val="15"/>
          <w:b w:val="1"/>
          <w:bCs w:val="1"/>
          <w:color w:val="auto"/>
        </w:rPr>
      </w:pPr>
    </w:p>
    <w:p>
      <w:pPr>
        <w:ind w:left="1260" w:hanging="335"/>
        <w:spacing w:after="0"/>
        <w:tabs>
          <w:tab w:leader="none" w:pos="1260" w:val="left"/>
        </w:tabs>
        <w:numPr>
          <w:ilvl w:val="1"/>
          <w:numId w:val="34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any other form of consideration that may be acceptable to the Board and permissible under Applicable Law.</w:t>
      </w:r>
    </w:p>
    <w:p>
      <w:pPr>
        <w:sectPr>
          <w:pgSz w:w="11900" w:h="16840" w:orient="portrait"/>
          <w:cols w:equalWidth="0" w:num="1">
            <w:col w:w="10620"/>
          </w:cols>
          <w:pgMar w:left="640" w:top="1440" w:right="640" w:bottom="1440" w:gutter="0" w:footer="0" w:header="0"/>
        </w:sectPr>
      </w:pPr>
    </w:p>
    <w:bookmarkStart w:id="317" w:name="page318"/>
    <w:bookmarkEnd w:id="317"/>
    <w:p>
      <w:pPr>
        <w:spacing w:after="0" w:line="46" w:lineRule="exact"/>
        <w:rPr>
          <w:sz w:val="20"/>
          <w:szCs w:val="20"/>
          <w:color w:val="auto"/>
        </w:rPr>
      </w:pPr>
    </w:p>
    <w:p>
      <w:pPr>
        <w:jc w:val="both"/>
        <w:ind w:left="-466" w:right="20" w:firstLine="466"/>
        <w:spacing w:after="0" w:line="261" w:lineRule="auto"/>
        <w:tabs>
          <w:tab w:leader="none" w:pos="376" w:val="left"/>
        </w:tabs>
        <w:numPr>
          <w:ilvl w:val="0"/>
          <w:numId w:val="34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Exercise Procedure and Payment of Appreciation Distribution for Stock Appreciation Rights. </w:t>
      </w:r>
      <w:r>
        <w:rPr>
          <w:rFonts w:ascii="Times New Roman" w:cs="Times New Roman" w:eastAsia="Times New Roman" w:hAnsi="Times New Roman"/>
          <w:sz w:val="14"/>
          <w:szCs w:val="14"/>
          <w:color w:val="auto"/>
        </w:rPr>
        <w:t>In order to exercise any Stock Appreciation Right, the Participant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must provide notice of exercise to the Plan Administrator in accordance with the Award Agreement. The appreciation distribution payable to a Participant upon the exercise of a Stock Appreciation Right will not be greater than an amount equal to the excess of (i) the aggregate Fair Market Value on the date of exercise of a number of Shares equal to the number of Share equivalents that are vested and being exercised under the Stock Appreciation Right, over (ii) the aggregate strike price of the portion of the Stock Appreciation Right that is being exercised. The appreciation distribution may be paid to the Participant in the form of Shares or cash (or any combination of Shares and cash), as determined by the Board and specified in the Award Agreement.</w:t>
      </w:r>
    </w:p>
    <w:p>
      <w:pPr>
        <w:spacing w:after="0" w:line="123" w:lineRule="exact"/>
        <w:rPr>
          <w:sz w:val="20"/>
          <w:szCs w:val="20"/>
          <w:color w:val="auto"/>
        </w:rPr>
      </w:pPr>
    </w:p>
    <w:p>
      <w:pPr>
        <w:jc w:val="both"/>
        <w:ind w:left="-466" w:firstLine="466"/>
        <w:spacing w:after="0" w:line="266" w:lineRule="auto"/>
        <w:tabs>
          <w:tab w:leader="none" w:pos="68" w:val="left"/>
        </w:tabs>
        <w:numPr>
          <w:ilvl w:val="0"/>
          <w:numId w:val="34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e ) </w:t>
      </w:r>
      <w:r>
        <w:rPr>
          <w:rFonts w:ascii="Times New Roman" w:cs="Times New Roman" w:eastAsia="Times New Roman" w:hAnsi="Times New Roman"/>
          <w:sz w:val="14"/>
          <w:szCs w:val="14"/>
          <w:b w:val="1"/>
          <w:bCs w:val="1"/>
          <w:color w:val="auto"/>
        </w:rPr>
        <w:t>Transferability.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Options and Stock Appreciation Rights may not be transferred to third party financial institutions for value. The Board may impose such additional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 xml:space="preserve">limitations on the transferability of an Option or Stock Appreciation Right as it determines. In the absence of any such determination by the Board, the following restrictions on the transferability of Options and Stock Appreciation Rights will apply, provided that except as explicitly provided herein, neither an Option nor a Stock Appreciation Right may be transferred for consideration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that if an Option is an Incentive Stock Option, such Option may be deemed to be a Nonstatutory Stock Option as a result of such transfer:</w:t>
      </w:r>
    </w:p>
    <w:p>
      <w:pPr>
        <w:spacing w:after="0" w:line="307" w:lineRule="exact"/>
        <w:rPr>
          <w:rFonts w:ascii="Times New Roman" w:cs="Times New Roman" w:eastAsia="Times New Roman" w:hAnsi="Times New Roman"/>
          <w:sz w:val="15"/>
          <w:szCs w:val="15"/>
          <w:b w:val="1"/>
          <w:bCs w:val="1"/>
          <w:color w:val="auto"/>
        </w:rPr>
      </w:pPr>
    </w:p>
    <w:p>
      <w:pPr>
        <w:jc w:val="both"/>
        <w:ind w:left="-466" w:right="20" w:firstLine="925"/>
        <w:spacing w:after="0" w:line="262" w:lineRule="auto"/>
        <w:tabs>
          <w:tab w:leader="none" w:pos="768" w:val="left"/>
        </w:tabs>
        <w:numPr>
          <w:ilvl w:val="1"/>
          <w:numId w:val="34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Restrictions on Transfer. </w:t>
      </w:r>
      <w:r>
        <w:rPr>
          <w:rFonts w:ascii="Times New Roman" w:cs="Times New Roman" w:eastAsia="Times New Roman" w:hAnsi="Times New Roman"/>
          <w:sz w:val="14"/>
          <w:szCs w:val="14"/>
          <w:color w:val="auto"/>
        </w:rPr>
        <w:t>An Option or Stock Appreciation Right will not be transferable, except by will or by the laws of descent and distribution, and will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exercisable during the lifetime of the Participant only by the Participant; provided, however, that the Board may permit transfer of an Option or Stock Appreciation Right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Stock Appreciation Right is held in such trust, provided that the Participant and the trustee enter into a transfer and other agreements required by the Company.</w:t>
      </w:r>
    </w:p>
    <w:p>
      <w:pPr>
        <w:spacing w:after="0" w:line="122" w:lineRule="exact"/>
        <w:rPr>
          <w:sz w:val="20"/>
          <w:szCs w:val="20"/>
          <w:color w:val="auto"/>
        </w:rPr>
      </w:pPr>
    </w:p>
    <w:p>
      <w:pPr>
        <w:ind w:left="-466" w:firstLine="925"/>
        <w:spacing w:after="0" w:line="295" w:lineRule="auto"/>
        <w:tabs>
          <w:tab w:leader="none" w:pos="526" w:val="left"/>
        </w:tabs>
        <w:numPr>
          <w:ilvl w:val="1"/>
          <w:numId w:val="3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i i ) </w:t>
      </w:r>
      <w:r>
        <w:rPr>
          <w:rFonts w:ascii="Times New Roman" w:cs="Times New Roman" w:eastAsia="Times New Roman" w:hAnsi="Times New Roman"/>
          <w:sz w:val="14"/>
          <w:szCs w:val="14"/>
          <w:b w:val="1"/>
          <w:bCs w:val="1"/>
          <w:color w:val="auto"/>
        </w:rPr>
        <w:t>Domestic Relations Orders.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Notwithstanding the foregoing, subject to the execution of transfer documentation in a format acceptable to the Company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subject to the approval of the Board or a duly authorized Officer, an Option or Stock Appreciation Right may be transferred pursuant to a domestic relations order.</w:t>
      </w:r>
    </w:p>
    <w:p>
      <w:pPr>
        <w:spacing w:after="0" w:line="107" w:lineRule="exact"/>
        <w:rPr>
          <w:rFonts w:ascii="Times New Roman" w:cs="Times New Roman" w:eastAsia="Times New Roman" w:hAnsi="Times New Roman"/>
          <w:sz w:val="15"/>
          <w:szCs w:val="15"/>
          <w:b w:val="1"/>
          <w:bCs w:val="1"/>
          <w:color w:val="auto"/>
        </w:rPr>
      </w:pPr>
    </w:p>
    <w:p>
      <w:pPr>
        <w:jc w:val="both"/>
        <w:ind w:left="-466" w:right="20" w:firstLine="466"/>
        <w:spacing w:after="0" w:line="267" w:lineRule="auto"/>
        <w:tabs>
          <w:tab w:leader="none" w:pos="309" w:val="left"/>
        </w:tabs>
        <w:numPr>
          <w:ilvl w:val="0"/>
          <w:numId w:val="3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Vesting. </w:t>
      </w:r>
      <w:r>
        <w:rPr>
          <w:rFonts w:ascii="Times New Roman" w:cs="Times New Roman" w:eastAsia="Times New Roman" w:hAnsi="Times New Roman"/>
          <w:sz w:val="14"/>
          <w:szCs w:val="14"/>
          <w:color w:val="auto"/>
        </w:rPr>
        <w:t>The Board may impose such restrictions on or conditions to the vesting and exercisability of an Option or Stock Appreciation Right as determined by the Board.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Except as otherwise provided in the applicable Award Agreement or other written agreement between a Participant and the Company or an Affiliate that is approved by the Board, vesting of Options and Stock Appreciation Rights will cease upon termination of the Participant’s Continuous Service.</w:t>
      </w:r>
    </w:p>
    <w:p>
      <w:pPr>
        <w:spacing w:after="0" w:line="129" w:lineRule="exact"/>
        <w:rPr>
          <w:rFonts w:ascii="Times New Roman" w:cs="Times New Roman" w:eastAsia="Times New Roman" w:hAnsi="Times New Roman"/>
          <w:sz w:val="15"/>
          <w:szCs w:val="15"/>
          <w:b w:val="1"/>
          <w:bCs w:val="1"/>
          <w:color w:val="auto"/>
        </w:rPr>
      </w:pPr>
    </w:p>
    <w:p>
      <w:pPr>
        <w:jc w:val="both"/>
        <w:ind w:left="-466" w:firstLine="466"/>
        <w:spacing w:after="0" w:line="262" w:lineRule="auto"/>
        <w:tabs>
          <w:tab w:leader="none" w:pos="347" w:val="left"/>
        </w:tabs>
        <w:numPr>
          <w:ilvl w:val="0"/>
          <w:numId w:val="3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Termination of Continuous Service for Cause. </w:t>
      </w:r>
      <w:r>
        <w:rPr>
          <w:rFonts w:ascii="Times New Roman" w:cs="Times New Roman" w:eastAsia="Times New Roman" w:hAnsi="Times New Roman"/>
          <w:sz w:val="14"/>
          <w:szCs w:val="14"/>
          <w:color w:val="auto"/>
        </w:rPr>
        <w:t>Except as explicitly otherwise provided in the Award Agreement or other written agreement between a Participant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or an Affiliate that is approved by the Board, if a Participant’s Continuous Service is terminated for Cause, the Participant’s Options and Stock Appreciation Rights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subject to the forfeited Award, or any consideration in respect of the forfeited Award.</w:t>
      </w:r>
    </w:p>
    <w:p>
      <w:pPr>
        <w:sectPr>
          <w:pgSz w:w="11900" w:h="16840" w:orient="portrait"/>
          <w:cols w:equalWidth="0" w:num="1">
            <w:col w:w="10154"/>
          </w:cols>
          <w:pgMar w:left="1106" w:top="1440" w:right="640" w:bottom="1440" w:gutter="0" w:footer="0" w:header="0"/>
        </w:sectPr>
      </w:pPr>
    </w:p>
    <w:bookmarkStart w:id="318" w:name="page319"/>
    <w:bookmarkEnd w:id="318"/>
    <w:p>
      <w:pPr>
        <w:spacing w:after="0" w:line="46" w:lineRule="exact"/>
        <w:rPr>
          <w:sz w:val="20"/>
          <w:szCs w:val="20"/>
          <w:color w:val="auto"/>
        </w:rPr>
      </w:pPr>
    </w:p>
    <w:p>
      <w:pPr>
        <w:jc w:val="both"/>
        <w:ind w:firstLine="466"/>
        <w:spacing w:after="0" w:line="263" w:lineRule="auto"/>
        <w:tabs>
          <w:tab w:leader="none" w:pos="832" w:val="left"/>
        </w:tabs>
        <w:numPr>
          <w:ilvl w:val="0"/>
          <w:numId w:val="3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14"/>
          <w:szCs w:val="14"/>
          <w:color w:val="auto"/>
        </w:rPr>
        <w:t>Subject to Sections 4(i) and 6, if a Participant’s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Continuous Service terminates for any reason other than for Cause, the Participant may exercise their Option or Stock Appreciation Right to the extent vested, but only within the following period of time or, if applicable, such other period of time provided in the Award Agreement or other written agreement between a Participant and the Company or an Affiliate that is approved by the Board; provided, however, that in no event may such Award be exercised after the expiration of its maximum term (as set forth in Section 4(a)):</w:t>
      </w:r>
    </w:p>
    <w:p>
      <w:pPr>
        <w:spacing w:after="0" w:line="135" w:lineRule="exact"/>
        <w:rPr>
          <w:rFonts w:ascii="Times New Roman" w:cs="Times New Roman" w:eastAsia="Times New Roman" w:hAnsi="Times New Roman"/>
          <w:sz w:val="15"/>
          <w:szCs w:val="15"/>
          <w:b w:val="1"/>
          <w:bCs w:val="1"/>
          <w:color w:val="auto"/>
        </w:rPr>
      </w:pPr>
    </w:p>
    <w:p>
      <w:pPr>
        <w:ind w:left="1240" w:hanging="315"/>
        <w:spacing w:after="0"/>
        <w:tabs>
          <w:tab w:leader="none" w:pos="1240" w:val="left"/>
        </w:tabs>
        <w:numPr>
          <w:ilvl w:val="1"/>
          <w:numId w:val="3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three months following the date of the termination if the termination is a termination without Cause (other than any termination due to the Participant’s Disability</w:t>
      </w:r>
    </w:p>
    <w:p>
      <w:pPr>
        <w:spacing w:after="0" w:line="15" w:lineRule="exact"/>
        <w:rPr>
          <w:rFonts w:ascii="Times New Roman" w:cs="Times New Roman" w:eastAsia="Times New Roman" w:hAnsi="Times New Roman"/>
          <w:sz w:val="15"/>
          <w:szCs w:val="15"/>
          <w:b w:val="1"/>
          <w:bCs w:val="1"/>
          <w:color w:val="auto"/>
        </w:rPr>
      </w:pPr>
    </w:p>
    <w:p>
      <w:pPr>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or death);</w:t>
      </w:r>
    </w:p>
    <w:p>
      <w:pPr>
        <w:spacing w:after="0" w:line="157" w:lineRule="exact"/>
        <w:rPr>
          <w:rFonts w:ascii="Times New Roman" w:cs="Times New Roman" w:eastAsia="Times New Roman" w:hAnsi="Times New Roman"/>
          <w:sz w:val="15"/>
          <w:szCs w:val="15"/>
          <w:b w:val="1"/>
          <w:bCs w:val="1"/>
          <w:color w:val="auto"/>
        </w:rPr>
      </w:pPr>
    </w:p>
    <w:p>
      <w:pPr>
        <w:ind w:left="1260" w:hanging="335"/>
        <w:spacing w:after="0"/>
        <w:tabs>
          <w:tab w:leader="none" w:pos="1260" w:val="left"/>
        </w:tabs>
        <w:numPr>
          <w:ilvl w:val="1"/>
          <w:numId w:val="3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12 months following the date of the termination if the termination is due to the Participant’s Disability;</w:t>
      </w:r>
    </w:p>
    <w:p>
      <w:pPr>
        <w:spacing w:after="0" w:line="162" w:lineRule="exact"/>
        <w:rPr>
          <w:rFonts w:ascii="Times New Roman" w:cs="Times New Roman" w:eastAsia="Times New Roman" w:hAnsi="Times New Roman"/>
          <w:sz w:val="15"/>
          <w:szCs w:val="15"/>
          <w:b w:val="1"/>
          <w:bCs w:val="1"/>
          <w:color w:val="auto"/>
        </w:rPr>
      </w:pPr>
    </w:p>
    <w:p>
      <w:pPr>
        <w:ind w:left="1300" w:hanging="375"/>
        <w:spacing w:after="0"/>
        <w:tabs>
          <w:tab w:leader="none" w:pos="1300" w:val="left"/>
        </w:tabs>
        <w:numPr>
          <w:ilvl w:val="1"/>
          <w:numId w:val="3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18 months following the date of the termination if the termination is due to the Participant’s death; or</w:t>
      </w:r>
    </w:p>
    <w:p>
      <w:pPr>
        <w:spacing w:after="0" w:line="162" w:lineRule="exact"/>
        <w:rPr>
          <w:rFonts w:ascii="Times New Roman" w:cs="Times New Roman" w:eastAsia="Times New Roman" w:hAnsi="Times New Roman"/>
          <w:sz w:val="15"/>
          <w:szCs w:val="15"/>
          <w:b w:val="1"/>
          <w:bCs w:val="1"/>
          <w:color w:val="auto"/>
        </w:rPr>
      </w:pPr>
    </w:p>
    <w:p>
      <w:pPr>
        <w:ind w:right="20" w:firstLine="925"/>
        <w:spacing w:after="0" w:line="276" w:lineRule="auto"/>
        <w:tabs>
          <w:tab w:leader="none" w:pos="1330" w:val="left"/>
        </w:tabs>
        <w:numPr>
          <w:ilvl w:val="1"/>
          <w:numId w:val="3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18 months following the date of the Participant’s death if the death occurs following the date of the termination but during the period the Award is otherwise exercisable (as provided in (i) or (ii) above).</w:t>
      </w:r>
    </w:p>
    <w:p>
      <w:pPr>
        <w:spacing w:after="0" w:line="114"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14"/>
          <w:szCs w:val="14"/>
          <w:color w:val="auto"/>
        </w:rPr>
        <w:t>Following the date of termination, to the extent the Participant does not exercise an Award within the applicable Post-Termination Exercise Period (or, if earlier, prior to the expiration of the maximum term of such Award), the unexercised portion of the Award will terminate, and the Participant will have no further right, title or interest in the terminated Award, the Shares subject to the terminated Award, or any consideration in respect of the terminated Award.</w:t>
      </w:r>
    </w:p>
    <w:p>
      <w:pPr>
        <w:spacing w:after="0" w:line="124" w:lineRule="exact"/>
        <w:rPr>
          <w:sz w:val="20"/>
          <w:szCs w:val="20"/>
          <w:color w:val="auto"/>
        </w:rPr>
      </w:pPr>
    </w:p>
    <w:p>
      <w:pPr>
        <w:ind w:firstLine="466"/>
        <w:spacing w:after="0" w:line="259" w:lineRule="auto"/>
        <w:tabs>
          <w:tab w:leader="none" w:pos="794" w:val="left"/>
        </w:tabs>
        <w:numPr>
          <w:ilvl w:val="0"/>
          <w:numId w:val="35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Restrictions on Exercise; Extension of Exercisability. </w:t>
      </w:r>
      <w:r>
        <w:rPr>
          <w:rFonts w:ascii="Times New Roman" w:cs="Times New Roman" w:eastAsia="Times New Roman" w:hAnsi="Times New Roman"/>
          <w:sz w:val="14"/>
          <w:szCs w:val="14"/>
          <w:color w:val="auto"/>
        </w:rPr>
        <w:t>A Participant may not exercise an Option or Stock Appreciation Right at any time that the issuance of Shares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upon exercise of the Award would violate Applicable Law. Except as otherwise provided in the Award Agreement or other written agreement between a Participant and the Company or an Affiliate that is approved by the Board, if a Participant’s Continuous Service terminates for any reason other than for Cause and, at any time during the last thirty days of the applicable Post-Termination Exercise Period: (i) the exercise of the Participant’s Option or Stock Appreciation Right would be prohibited solely because the issuance of Shares upon exercise of the Award would violate Applicable Law, or (ii) the immediate sale of any Shares issued upon the exercise of the Award would violate the Company’s Trading Policy, then the applicable Post-Termination Exercise Period will be extended to the last day of the calendar month that commences following the date the exercise period would otherwise expire, with an additional extension of the exercise period to the last day of the next calendar month to apply if any of the foregoing restrictions apply at any time during the extended exercise period, generally without limitation as to the maximum permitted number of extensions; provided, however, that in no event may such Award be exercised after the expiration of its maximum term (as set forth in Section 4(a)).</w:t>
      </w:r>
    </w:p>
    <w:p>
      <w:pPr>
        <w:spacing w:after="0" w:line="136" w:lineRule="exact"/>
        <w:rPr>
          <w:rFonts w:ascii="Times New Roman" w:cs="Times New Roman" w:eastAsia="Times New Roman" w:hAnsi="Times New Roman"/>
          <w:sz w:val="15"/>
          <w:szCs w:val="15"/>
          <w:b w:val="1"/>
          <w:bCs w:val="1"/>
          <w:color w:val="auto"/>
        </w:rPr>
      </w:pPr>
    </w:p>
    <w:p>
      <w:pPr>
        <w:ind w:left="780" w:hanging="314"/>
        <w:spacing w:after="0"/>
        <w:tabs>
          <w:tab w:leader="none" w:pos="780" w:val="left"/>
        </w:tabs>
        <w:numPr>
          <w:ilvl w:val="0"/>
          <w:numId w:val="35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Whole Shares. </w:t>
      </w:r>
      <w:r>
        <w:rPr>
          <w:rFonts w:ascii="Times New Roman" w:cs="Times New Roman" w:eastAsia="Times New Roman" w:hAnsi="Times New Roman"/>
          <w:sz w:val="14"/>
          <w:szCs w:val="14"/>
          <w:color w:val="auto"/>
        </w:rPr>
        <w:t>Options and Stock Appreciation Rights may be exercised only with respect to whole Shares or their equivalents.</w:t>
      </w:r>
    </w:p>
    <w:p>
      <w:pPr>
        <w:sectPr>
          <w:pgSz w:w="11900" w:h="16840" w:orient="portrait"/>
          <w:cols w:equalWidth="0" w:num="1">
            <w:col w:w="10600"/>
          </w:cols>
          <w:pgMar w:left="640" w:top="1440" w:right="660" w:bottom="1440" w:gutter="0" w:footer="0" w:header="0"/>
        </w:sectPr>
      </w:pPr>
    </w:p>
    <w:bookmarkStart w:id="319" w:name="page320"/>
    <w:bookmarkEnd w:id="319"/>
    <w:p>
      <w:pPr>
        <w:spacing w:after="0" w:line="46" w:lineRule="exact"/>
        <w:rPr>
          <w:sz w:val="20"/>
          <w:szCs w:val="20"/>
          <w:color w:val="auto"/>
        </w:rPr>
      </w:pPr>
    </w:p>
    <w:p>
      <w:pPr>
        <w:ind w:left="273" w:hanging="273"/>
        <w:spacing w:after="0"/>
        <w:tabs>
          <w:tab w:leader="none" w:pos="273" w:val="left"/>
        </w:tabs>
        <w:numPr>
          <w:ilvl w:val="0"/>
          <w:numId w:val="35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RESTRICTED STOCK AWARDS, RESTRICTED STOCK UNIT AWARDS, AND OTHER AWARDS.</w:t>
      </w:r>
    </w:p>
    <w:p>
      <w:pPr>
        <w:spacing w:after="0" w:line="162" w:lineRule="exact"/>
        <w:rPr>
          <w:rFonts w:ascii="Times New Roman" w:cs="Times New Roman" w:eastAsia="Times New Roman" w:hAnsi="Times New Roman"/>
          <w:sz w:val="15"/>
          <w:szCs w:val="15"/>
          <w:b w:val="1"/>
          <w:bCs w:val="1"/>
          <w:color w:val="auto"/>
        </w:rPr>
      </w:pPr>
    </w:p>
    <w:p>
      <w:pPr>
        <w:jc w:val="both"/>
        <w:ind w:left="-7" w:right="40" w:firstLine="466"/>
        <w:spacing w:after="0" w:line="267" w:lineRule="auto"/>
        <w:tabs>
          <w:tab w:leader="none" w:pos="807" w:val="left"/>
        </w:tabs>
        <w:numPr>
          <w:ilvl w:val="1"/>
          <w:numId w:val="35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Restricted Stock Awards and Restricted Stock Unit Awards. </w:t>
      </w:r>
      <w:r>
        <w:rPr>
          <w:rFonts w:ascii="Times New Roman" w:cs="Times New Roman" w:eastAsia="Times New Roman" w:hAnsi="Times New Roman"/>
          <w:sz w:val="14"/>
          <w:szCs w:val="14"/>
          <w:color w:val="auto"/>
        </w:rPr>
        <w:t>Each Restricted Stock Award and Restricted Stock Unit Award will have such terms and conditions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determined by the Board; provided, however, that each Award Agreement will conform (through incorporation of the provisions hereof by reference in the Award Agreement or otherwise) to the substance of each of the following provisions:</w:t>
      </w:r>
    </w:p>
    <w:p>
      <w:pPr>
        <w:spacing w:after="0" w:line="129" w:lineRule="exact"/>
        <w:rPr>
          <w:rFonts w:ascii="Times New Roman" w:cs="Times New Roman" w:eastAsia="Times New Roman" w:hAnsi="Times New Roman"/>
          <w:sz w:val="15"/>
          <w:szCs w:val="15"/>
          <w:b w:val="1"/>
          <w:bCs w:val="1"/>
          <w:color w:val="auto"/>
        </w:rPr>
      </w:pPr>
    </w:p>
    <w:p>
      <w:pPr>
        <w:ind w:left="1213" w:hanging="295"/>
        <w:spacing w:after="0"/>
        <w:tabs>
          <w:tab w:leader="none" w:pos="1213" w:val="left"/>
        </w:tabs>
        <w:numPr>
          <w:ilvl w:val="2"/>
          <w:numId w:val="35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Form of Award.</w:t>
      </w:r>
    </w:p>
    <w:p>
      <w:pPr>
        <w:spacing w:after="0" w:line="152" w:lineRule="exact"/>
        <w:rPr>
          <w:sz w:val="20"/>
          <w:szCs w:val="20"/>
          <w:color w:val="auto"/>
        </w:rPr>
      </w:pPr>
    </w:p>
    <w:p>
      <w:pPr>
        <w:jc w:val="both"/>
        <w:ind w:left="-7" w:firstLine="1384"/>
        <w:spacing w:after="0" w:line="268" w:lineRule="auto"/>
        <w:tabs>
          <w:tab w:leader="none" w:pos="1465" w:val="left"/>
        </w:tabs>
        <w:numPr>
          <w:ilvl w:val="0"/>
          <w:numId w:val="3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1 ) </w:t>
      </w:r>
      <w:r>
        <w:rPr>
          <w:rFonts w:ascii="Times New Roman" w:cs="Times New Roman" w:eastAsia="Times New Roman" w:hAnsi="Times New Roman"/>
          <w:sz w:val="14"/>
          <w:szCs w:val="14"/>
          <w:u w:val="single" w:color="auto"/>
          <w:color w:val="auto"/>
        </w:rPr>
        <w:t>Restricted Stock Awards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 At the Board’s election, Shares subject to a Restricted Stock Award may be (A) held in book entry form subject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Company’s instructions until the Shares become vested or any other restrictions lapse, or (B) evidenced by a certificate, which certificate will be held in the form and manner as determined by the Board. Unless otherwise determined by the Board, a Participant will have voting and other rights as a stockholder of the Company with respect to any Shares subject to a Restricted Stock Award.</w:t>
      </w:r>
    </w:p>
    <w:p>
      <w:pPr>
        <w:spacing w:after="0" w:line="132" w:lineRule="exact"/>
        <w:rPr>
          <w:sz w:val="20"/>
          <w:szCs w:val="20"/>
          <w:color w:val="auto"/>
        </w:rPr>
      </w:pPr>
    </w:p>
    <w:p>
      <w:pPr>
        <w:ind w:left="-7" w:firstLine="1384"/>
        <w:spacing w:after="0" w:line="260" w:lineRule="auto"/>
        <w:tabs>
          <w:tab w:leader="none" w:pos="1735" w:val="left"/>
        </w:tabs>
        <w:numPr>
          <w:ilvl w:val="1"/>
          <w:numId w:val="35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u w:val="single" w:color="auto"/>
          <w:color w:val="auto"/>
        </w:rPr>
        <w:t>Restricted Stock Unit Awards</w:t>
      </w:r>
      <w:r>
        <w:rPr>
          <w:rFonts w:ascii="Times New Roman" w:cs="Times New Roman" w:eastAsia="Times New Roman" w:hAnsi="Times New Roman"/>
          <w:sz w:val="14"/>
          <w:szCs w:val="14"/>
          <w:color w:val="auto"/>
        </w:rPr>
        <w:t xml:space="preserve"> : A Restricted Stock Unit Award represents a Participant’s right to be issued on a future date the number of Shares that is equal to the number of units subject to the Restricted Stock Unit Award. As a holder of a Restricted Stock Unit Award, a Participant is an unsecured creditor of the Company with respect to the Company’s unfunded obligation, if any, to issue Shares or pay cash in settlement of the Award and nothing contained in the Plan or any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Restricted Stock Unit Award (unless and until shares are actually issued in settlement of a vested Restricted Stock Unit Award).</w:t>
      </w:r>
    </w:p>
    <w:p>
      <w:pPr>
        <w:spacing w:after="0" w:line="135" w:lineRule="exact"/>
        <w:rPr>
          <w:rFonts w:ascii="Times New Roman" w:cs="Times New Roman" w:eastAsia="Times New Roman" w:hAnsi="Times New Roman"/>
          <w:sz w:val="15"/>
          <w:szCs w:val="15"/>
          <w:b w:val="1"/>
          <w:bCs w:val="1"/>
          <w:color w:val="auto"/>
        </w:rPr>
      </w:pPr>
    </w:p>
    <w:p>
      <w:pPr>
        <w:ind w:left="1253" w:hanging="335"/>
        <w:spacing w:after="0"/>
        <w:tabs>
          <w:tab w:leader="none" w:pos="1253" w:val="left"/>
        </w:tabs>
        <w:numPr>
          <w:ilvl w:val="0"/>
          <w:numId w:val="35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Consideration.</w:t>
      </w:r>
    </w:p>
    <w:p>
      <w:pPr>
        <w:spacing w:after="0" w:line="164" w:lineRule="exact"/>
        <w:rPr>
          <w:rFonts w:ascii="Times New Roman" w:cs="Times New Roman" w:eastAsia="Times New Roman" w:hAnsi="Times New Roman"/>
          <w:sz w:val="15"/>
          <w:szCs w:val="15"/>
          <w:b w:val="1"/>
          <w:bCs w:val="1"/>
          <w:color w:val="auto"/>
        </w:rPr>
      </w:pPr>
    </w:p>
    <w:p>
      <w:pPr>
        <w:ind w:left="-7" w:right="40" w:firstLine="1384"/>
        <w:spacing w:after="0" w:line="276" w:lineRule="auto"/>
        <w:tabs>
          <w:tab w:leader="none" w:pos="1744" w:val="left"/>
        </w:tabs>
        <w:numPr>
          <w:ilvl w:val="1"/>
          <w:numId w:val="35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u w:val="single" w:color="auto"/>
          <w:color w:val="auto"/>
        </w:rPr>
        <w:t>Restricted Stock Awards</w:t>
      </w:r>
      <w:r>
        <w:rPr>
          <w:rFonts w:ascii="Times New Roman" w:cs="Times New Roman" w:eastAsia="Times New Roman" w:hAnsi="Times New Roman"/>
          <w:sz w:val="14"/>
          <w:szCs w:val="14"/>
          <w:color w:val="auto"/>
        </w:rPr>
        <w:t xml:space="preserve"> : A Restricted Stock Award may be granted in consideration for (A) cash or check, bank draft or money order payable to the Company, (B) services to the Company or an Affiliate, or (C) any other form of consideration as the Board may determine and permissible under Applicable Law.</w:t>
      </w:r>
    </w:p>
    <w:p>
      <w:pPr>
        <w:spacing w:after="0" w:line="111" w:lineRule="exact"/>
        <w:rPr>
          <w:sz w:val="20"/>
          <w:szCs w:val="20"/>
          <w:color w:val="auto"/>
        </w:rPr>
      </w:pPr>
    </w:p>
    <w:p>
      <w:pPr>
        <w:jc w:val="both"/>
        <w:ind w:left="-7" w:firstLine="1384"/>
        <w:spacing w:after="0" w:line="261" w:lineRule="auto"/>
        <w:tabs>
          <w:tab w:leader="none" w:pos="1460" w:val="left"/>
        </w:tabs>
        <w:numPr>
          <w:ilvl w:val="1"/>
          <w:numId w:val="35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2 ) </w:t>
      </w:r>
      <w:r>
        <w:rPr>
          <w:rFonts w:ascii="Times New Roman" w:cs="Times New Roman" w:eastAsia="Times New Roman" w:hAnsi="Times New Roman"/>
          <w:sz w:val="14"/>
          <w:szCs w:val="14"/>
          <w:u w:val="single" w:color="auto"/>
          <w:color w:val="auto"/>
        </w:rPr>
        <w:t>Restricted Stock Unit Awards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 Unless otherwise determined by the Board at the time of grant, an Restricted Stock Unit Award will be granted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consideration for the Participant’s services to the Company or an Affiliate, such that the Participant will not be required to make any payment to the Company (other than such services) with respect to the grant or vesting of the Restricted Stock Unit Award, or the issuance of any Shares pursuant to the Restricted Stock Unit Award. If, at the time of grant, the Board determines that any consideration must be paid by the Participant (in a form other than the Participant’s services to the Company or an Affiliate) upon the issuance of any Shares in settlement of the Restricted Stock Unit Award, such consideration may be paid in any form of consideration as the Board may determine and that is permissible under Applicable Law.</w:t>
      </w:r>
    </w:p>
    <w:p>
      <w:pPr>
        <w:spacing w:after="0" w:line="133" w:lineRule="exact"/>
        <w:rPr>
          <w:rFonts w:ascii="Times New Roman" w:cs="Times New Roman" w:eastAsia="Times New Roman" w:hAnsi="Times New Roman"/>
          <w:sz w:val="15"/>
          <w:szCs w:val="15"/>
          <w:b w:val="1"/>
          <w:bCs w:val="1"/>
          <w:color w:val="auto"/>
        </w:rPr>
      </w:pPr>
    </w:p>
    <w:p>
      <w:pPr>
        <w:ind w:left="-7" w:right="40" w:firstLine="925"/>
        <w:spacing w:after="0" w:line="279" w:lineRule="auto"/>
        <w:tabs>
          <w:tab w:leader="none" w:pos="1314" w:val="left"/>
        </w:tabs>
        <w:numPr>
          <w:ilvl w:val="0"/>
          <w:numId w:val="35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Vesting. </w:t>
      </w:r>
      <w:r>
        <w:rPr>
          <w:rFonts w:ascii="Times New Roman" w:cs="Times New Roman" w:eastAsia="Times New Roman" w:hAnsi="Times New Roman"/>
          <w:sz w:val="14"/>
          <w:szCs w:val="14"/>
          <w:color w:val="auto"/>
        </w:rPr>
        <w:t>The Board may impose such restrictions on or conditions to the vesting of a Restricted Stock Award or Restricted Stock Unit Award as determined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Board. Except as otherwise provided in the Award Agreement or other written agreement between a Participant and the</w:t>
      </w:r>
    </w:p>
    <w:p>
      <w:pPr>
        <w:sectPr>
          <w:pgSz w:w="11900" w:h="16840" w:orient="portrait"/>
          <w:cols w:equalWidth="0" w:num="1">
            <w:col w:w="10593"/>
          </w:cols>
          <w:pgMar w:left="647" w:top="1440" w:right="660" w:bottom="1440" w:gutter="0" w:footer="0" w:header="0"/>
        </w:sectPr>
      </w:pPr>
    </w:p>
    <w:bookmarkStart w:id="320" w:name="page321"/>
    <w:bookmarkEnd w:id="320"/>
    <w:p>
      <w:pPr>
        <w:spacing w:after="0" w:line="39"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4"/>
          <w:szCs w:val="14"/>
          <w:color w:val="auto"/>
        </w:rPr>
        <w:t>Company or an Affiliate that is approved by the Board, vesting of Restricted Stock Awards and Restricted Stock Unit Awards will cease upon termination of the Participant’s Continuous Service.</w:t>
      </w:r>
    </w:p>
    <w:p>
      <w:pPr>
        <w:spacing w:after="0" w:line="112" w:lineRule="exact"/>
        <w:rPr>
          <w:sz w:val="20"/>
          <w:szCs w:val="20"/>
          <w:color w:val="auto"/>
        </w:rPr>
      </w:pPr>
    </w:p>
    <w:p>
      <w:pPr>
        <w:ind w:right="20" w:firstLine="925"/>
        <w:spacing w:after="0" w:line="260" w:lineRule="auto"/>
        <w:tabs>
          <w:tab w:leader="none" w:pos="1292" w:val="left"/>
        </w:tabs>
        <w:numPr>
          <w:ilvl w:val="0"/>
          <w:numId w:val="35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Termination of Continuous Service. </w:t>
      </w:r>
      <w:r>
        <w:rPr>
          <w:rFonts w:ascii="Times New Roman" w:cs="Times New Roman" w:eastAsia="Times New Roman" w:hAnsi="Times New Roman"/>
          <w:sz w:val="14"/>
          <w:szCs w:val="14"/>
          <w:color w:val="auto"/>
        </w:rPr>
        <w:t>Except as otherwise provided in the Award Agreement or other written agreement between a Participant and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an Affiliate that is approved by the Board, if a Participant’s Continuous Service terminates for any reason, (1) the Company may receive through a forfeiture condition or a repurchase right any or all of the Shares held by the Participant under their Restricted Stock Award that have not vested as of the date of such termination as set forth in the Award Agreement and the Participant will have no further right, title or interest in the Restricted Stock Award, the Shares subject to the Restricted Stock Award, or any consideration in respect of the Restricted Stock Award and (2) any portion of the Participant’s Restricted Stock Unit Award that has not vested will be forfeited upon such termination and the Participant will have no further right, title or interest in the Restricted Stock Unit Award, the Shares issuable pursuant to the Restricted Stock Unit Award, or any consideration in respect of the Restricted Stock Unit Award.</w:t>
      </w:r>
    </w:p>
    <w:p>
      <w:pPr>
        <w:spacing w:after="0" w:line="299" w:lineRule="exact"/>
        <w:rPr>
          <w:sz w:val="20"/>
          <w:szCs w:val="20"/>
          <w:color w:val="auto"/>
        </w:rPr>
      </w:pPr>
    </w:p>
    <w:p>
      <w:pPr>
        <w:ind w:right="20" w:firstLine="925"/>
        <w:spacing w:after="0" w:line="295" w:lineRule="auto"/>
        <w:tabs>
          <w:tab w:leader="none" w:pos="1013" w:val="left"/>
        </w:tabs>
        <w:numPr>
          <w:ilvl w:val="0"/>
          <w:numId w:val="35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v ) </w:t>
      </w:r>
      <w:r>
        <w:rPr>
          <w:rFonts w:ascii="Times New Roman" w:cs="Times New Roman" w:eastAsia="Times New Roman" w:hAnsi="Times New Roman"/>
          <w:sz w:val="14"/>
          <w:szCs w:val="14"/>
          <w:b w:val="1"/>
          <w:bCs w:val="1"/>
          <w:color w:val="auto"/>
        </w:rPr>
        <w:t>Dividends and Dividend Equivalents.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Dividends or dividend equivalents may be paid or credited, as applicable, with respect to any Shares subject to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Restricted Stock Award or Restricted Stock Unit Award, as determined by the Board and specified in the Award Agreement.</w:t>
      </w:r>
    </w:p>
    <w:p>
      <w:pPr>
        <w:spacing w:after="0" w:line="108" w:lineRule="exact"/>
        <w:rPr>
          <w:sz w:val="20"/>
          <w:szCs w:val="20"/>
          <w:color w:val="auto"/>
        </w:rPr>
      </w:pPr>
    </w:p>
    <w:p>
      <w:pPr>
        <w:jc w:val="both"/>
        <w:ind w:firstLine="925"/>
        <w:spacing w:after="0" w:line="267" w:lineRule="auto"/>
        <w:tabs>
          <w:tab w:leader="none" w:pos="1301" w:val="left"/>
        </w:tabs>
        <w:numPr>
          <w:ilvl w:val="1"/>
          <w:numId w:val="36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Settlement of Restricted Stock Unit Awards. </w:t>
      </w:r>
      <w:r>
        <w:rPr>
          <w:rFonts w:ascii="Times New Roman" w:cs="Times New Roman" w:eastAsia="Times New Roman" w:hAnsi="Times New Roman"/>
          <w:sz w:val="14"/>
          <w:szCs w:val="14"/>
          <w:color w:val="auto"/>
        </w:rPr>
        <w:t>A Restricted Stock Unit Award may be settled by the issuance of Shares or cash (or any combination thereof),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determined by the Board and specified in the Award Agreement. At the time of grant, the Board may determine to impose such restrictions or conditions that delay such delivery to a date following the vesting of the Restricted Stock Unit Award.</w:t>
      </w:r>
    </w:p>
    <w:p>
      <w:pPr>
        <w:spacing w:after="0" w:line="129" w:lineRule="exact"/>
        <w:rPr>
          <w:rFonts w:ascii="Times New Roman" w:cs="Times New Roman" w:eastAsia="Times New Roman" w:hAnsi="Times New Roman"/>
          <w:sz w:val="15"/>
          <w:szCs w:val="15"/>
          <w:b w:val="1"/>
          <w:bCs w:val="1"/>
          <w:color w:val="auto"/>
        </w:rPr>
      </w:pPr>
    </w:p>
    <w:p>
      <w:pPr>
        <w:ind w:right="40" w:firstLine="466"/>
        <w:spacing w:after="0" w:line="279" w:lineRule="auto"/>
        <w:tabs>
          <w:tab w:leader="none" w:pos="832" w:val="left"/>
        </w:tabs>
        <w:numPr>
          <w:ilvl w:val="0"/>
          <w:numId w:val="36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Performance Awards. </w:t>
      </w:r>
      <w:r>
        <w:rPr>
          <w:rFonts w:ascii="Times New Roman" w:cs="Times New Roman" w:eastAsia="Times New Roman" w:hAnsi="Times New Roman"/>
          <w:sz w:val="14"/>
          <w:szCs w:val="14"/>
          <w:color w:val="auto"/>
        </w:rPr>
        <w:t>With respect to any Performance Award, the length of any Performance Period, the Performance Goals to be achieved during the Performance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Period, the other terms and conditions of such Award, and the measure of whether and to what degree such Performance Goals have been attained will be determined by the Board.</w:t>
      </w:r>
    </w:p>
    <w:p>
      <w:pPr>
        <w:spacing w:after="0" w:line="109" w:lineRule="exact"/>
        <w:rPr>
          <w:sz w:val="20"/>
          <w:szCs w:val="20"/>
          <w:color w:val="auto"/>
        </w:rPr>
      </w:pPr>
    </w:p>
    <w:p>
      <w:pPr>
        <w:jc w:val="both"/>
        <w:ind w:firstLine="466"/>
        <w:spacing w:after="0" w:line="268" w:lineRule="auto"/>
        <w:tabs>
          <w:tab w:leader="none" w:pos="534" w:val="left"/>
        </w:tabs>
        <w:numPr>
          <w:ilvl w:val="1"/>
          <w:numId w:val="36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 ) </w:t>
      </w:r>
      <w:r>
        <w:rPr>
          <w:rFonts w:ascii="Times New Roman" w:cs="Times New Roman" w:eastAsia="Times New Roman" w:hAnsi="Times New Roman"/>
          <w:sz w:val="14"/>
          <w:szCs w:val="14"/>
          <w:b w:val="1"/>
          <w:bCs w:val="1"/>
          <w:color w:val="auto"/>
        </w:rPr>
        <w:t>Other Awards.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Other forms of Awards valued in whole or in part by reference to, or otherwise based on, Shares, including the appreciation in value thereof may be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(or the cash equivalent thereof) to be granted pursuant to such Other Awards and all other terms and conditions of such Other Awards.</w:t>
      </w:r>
    </w:p>
    <w:p>
      <w:pPr>
        <w:spacing w:after="0" w:line="130" w:lineRule="exact"/>
        <w:rPr>
          <w:rFonts w:ascii="Times New Roman" w:cs="Times New Roman" w:eastAsia="Times New Roman" w:hAnsi="Times New Roman"/>
          <w:sz w:val="15"/>
          <w:szCs w:val="15"/>
          <w:b w:val="1"/>
          <w:bCs w:val="1"/>
          <w:color w:val="auto"/>
        </w:rPr>
      </w:pPr>
    </w:p>
    <w:p>
      <w:pPr>
        <w:ind w:left="280" w:hanging="273"/>
        <w:spacing w:after="0"/>
        <w:tabs>
          <w:tab w:leader="none" w:pos="280" w:val="left"/>
        </w:tabs>
        <w:numPr>
          <w:ilvl w:val="0"/>
          <w:numId w:val="36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ADJUSTMENTS UPON CHANGES IN COMMON STOCK; OTHER CORPORATE EVENTS.</w:t>
      </w:r>
    </w:p>
    <w:p>
      <w:pPr>
        <w:spacing w:after="0" w:line="162" w:lineRule="exact"/>
        <w:rPr>
          <w:sz w:val="20"/>
          <w:szCs w:val="20"/>
          <w:color w:val="auto"/>
        </w:rPr>
      </w:pPr>
    </w:p>
    <w:p>
      <w:pPr>
        <w:jc w:val="both"/>
        <w:ind w:right="20" w:firstLine="466"/>
        <w:spacing w:after="0" w:line="259" w:lineRule="auto"/>
        <w:tabs>
          <w:tab w:leader="none" w:pos="794" w:val="left"/>
        </w:tabs>
        <w:numPr>
          <w:ilvl w:val="1"/>
          <w:numId w:val="36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Capitalization Adjustments. </w:t>
      </w:r>
      <w:r>
        <w:rPr>
          <w:rFonts w:ascii="Times New Roman" w:cs="Times New Roman" w:eastAsia="Times New Roman" w:hAnsi="Times New Roman"/>
          <w:sz w:val="14"/>
          <w:szCs w:val="14"/>
          <w:color w:val="auto"/>
        </w:rPr>
        <w:t>In the event of a Capitalization Adjustment, the Board shall appropriately and proportionately adjust: (i) the class(es) and maximum number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shares subject to the Plan; (ii) the class(es) and maximum number of shares that may be issued pursuant to the exercise of Incentive Stock Options pursuant to Section 3(b)(iv); and</w:t>
      </w:r>
    </w:p>
    <w:p>
      <w:pPr>
        <w:ind w:right="20" w:firstLine="7"/>
        <w:spacing w:after="0" w:line="273" w:lineRule="auto"/>
        <w:tabs>
          <w:tab w:leader="none" w:pos="272" w:val="left"/>
        </w:tabs>
        <w:numPr>
          <w:ilvl w:val="0"/>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class(es) and number of underlying shares and the exercise price, strike price or purchase price of outstanding Awards. The Board shall make such adjustments, and its determination shall be final, binding, and conclusive. Notwithstanding the foregoing, no fractional shares or rights shall be created in order to implement any Capitalization</w:t>
      </w:r>
    </w:p>
    <w:p>
      <w:pPr>
        <w:sectPr>
          <w:pgSz w:w="11900" w:h="16840" w:orient="portrait"/>
          <w:cols w:equalWidth="0" w:num="1">
            <w:col w:w="10620"/>
          </w:cols>
          <w:pgMar w:left="640" w:top="1440" w:right="640" w:bottom="1440" w:gutter="0" w:footer="0" w:header="0"/>
        </w:sectPr>
      </w:pPr>
    </w:p>
    <w:bookmarkStart w:id="321" w:name="page322"/>
    <w:bookmarkEnd w:id="321"/>
    <w:p>
      <w:pPr>
        <w:spacing w:after="0" w:line="39"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4"/>
          <w:szCs w:val="14"/>
          <w:color w:val="auto"/>
        </w:rPr>
        <w:t>Adjustment. The Board shall determine an appropriate equivalent benefit, if any, for any fractional shares or rights that might be created by the adjustments referred to in the preceding provisions of this Section.</w:t>
      </w:r>
    </w:p>
    <w:p>
      <w:pPr>
        <w:spacing w:after="0" w:line="112" w:lineRule="exact"/>
        <w:rPr>
          <w:sz w:val="20"/>
          <w:szCs w:val="20"/>
          <w:color w:val="auto"/>
        </w:rPr>
      </w:pPr>
    </w:p>
    <w:p>
      <w:pPr>
        <w:jc w:val="both"/>
        <w:ind w:right="40" w:firstLine="466"/>
        <w:spacing w:after="0" w:line="261" w:lineRule="auto"/>
        <w:tabs>
          <w:tab w:leader="none" w:pos="813" w:val="left"/>
        </w:tabs>
        <w:numPr>
          <w:ilvl w:val="0"/>
          <w:numId w:val="3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Dissolution or Liquidation. </w:t>
      </w:r>
      <w:r>
        <w:rPr>
          <w:rFonts w:ascii="Times New Roman" w:cs="Times New Roman" w:eastAsia="Times New Roman" w:hAnsi="Times New Roman"/>
          <w:sz w:val="14"/>
          <w:szCs w:val="14"/>
          <w:color w:val="auto"/>
        </w:rPr>
        <w:t>Except as otherwise provided in the Award Agreement, in the event of a dissolution or liquidation of the Company, all outstanding Awards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 than Awards consisting of vested and outstanding Shares not subject to a forfeiture condition or the Company’s right of repurchase) will terminate immediately prior to the completion of such dissolution or liquidation, and the Shares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or no longer subject to repurchase or forfeiture (to the extent such Awards have not previously expired or terminated) before the dissolution or liquidation is completed but contingent on its completion.</w:t>
      </w:r>
    </w:p>
    <w:p>
      <w:pPr>
        <w:spacing w:after="0" w:line="133" w:lineRule="exact"/>
        <w:rPr>
          <w:rFonts w:ascii="Times New Roman" w:cs="Times New Roman" w:eastAsia="Times New Roman" w:hAnsi="Times New Roman"/>
          <w:sz w:val="15"/>
          <w:szCs w:val="15"/>
          <w:b w:val="1"/>
          <w:bCs w:val="1"/>
          <w:color w:val="auto"/>
        </w:rPr>
      </w:pPr>
    </w:p>
    <w:p>
      <w:pPr>
        <w:jc w:val="both"/>
        <w:ind w:right="60" w:firstLine="466"/>
        <w:spacing w:after="0" w:line="267" w:lineRule="auto"/>
        <w:tabs>
          <w:tab w:leader="none" w:pos="794" w:val="left"/>
        </w:tabs>
        <w:numPr>
          <w:ilvl w:val="0"/>
          <w:numId w:val="3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Corporate Transaction. </w:t>
      </w:r>
      <w:r>
        <w:rPr>
          <w:rFonts w:ascii="Times New Roman" w:cs="Times New Roman" w:eastAsia="Times New Roman" w:hAnsi="Times New Roman"/>
          <w:sz w:val="14"/>
          <w:szCs w:val="14"/>
          <w:color w:val="auto"/>
        </w:rPr>
        <w:t>The following provisions will apply to Awards in the event of a Corporate Transaction, unless otherwise provided in the instrument evidencing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Award or any other written agreement between the Company or any Affiliate and the Participant that is approved by the Board or unless otherwise expressly provided by the Board at the time of grant of an Award.</w:t>
      </w:r>
    </w:p>
    <w:p>
      <w:pPr>
        <w:spacing w:after="0" w:line="129" w:lineRule="exact"/>
        <w:rPr>
          <w:rFonts w:ascii="Times New Roman" w:cs="Times New Roman" w:eastAsia="Times New Roman" w:hAnsi="Times New Roman"/>
          <w:sz w:val="15"/>
          <w:szCs w:val="15"/>
          <w:b w:val="1"/>
          <w:bCs w:val="1"/>
          <w:color w:val="auto"/>
        </w:rPr>
      </w:pPr>
    </w:p>
    <w:p>
      <w:pPr>
        <w:ind w:firstLine="925"/>
        <w:spacing w:after="0" w:line="260" w:lineRule="auto"/>
        <w:tabs>
          <w:tab w:leader="none" w:pos="1215" w:val="left"/>
        </w:tabs>
        <w:numPr>
          <w:ilvl w:val="1"/>
          <w:numId w:val="3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Awards May Be Assumed. </w:t>
      </w:r>
      <w:r>
        <w:rPr>
          <w:rFonts w:ascii="Times New Roman" w:cs="Times New Roman" w:eastAsia="Times New Roman" w:hAnsi="Times New Roman"/>
          <w:sz w:val="14"/>
          <w:szCs w:val="14"/>
          <w:color w:val="auto"/>
        </w:rPr>
        <w:t>In the event of a Corporate Transaction, any surviving corporation or acquiring corporation (or the surviving or acquiring corporation’s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Shares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determined by the Board.</w:t>
      </w:r>
    </w:p>
    <w:p>
      <w:pPr>
        <w:spacing w:after="0" w:line="124" w:lineRule="exact"/>
        <w:rPr>
          <w:sz w:val="20"/>
          <w:szCs w:val="20"/>
          <w:color w:val="auto"/>
        </w:rPr>
      </w:pPr>
    </w:p>
    <w:p>
      <w:pPr>
        <w:jc w:val="both"/>
        <w:ind w:right="20" w:firstLine="925"/>
        <w:spacing w:after="0" w:line="260" w:lineRule="auto"/>
        <w:tabs>
          <w:tab w:leader="none" w:pos="992" w:val="left"/>
        </w:tabs>
        <w:numPr>
          <w:ilvl w:val="0"/>
          <w:numId w:val="3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i i ) </w:t>
      </w:r>
      <w:r>
        <w:rPr>
          <w:rFonts w:ascii="Times New Roman" w:cs="Times New Roman" w:eastAsia="Times New Roman" w:hAnsi="Times New Roman"/>
          <w:sz w:val="14"/>
          <w:szCs w:val="14"/>
          <w:b w:val="1"/>
          <w:bCs w:val="1"/>
          <w:color w:val="auto"/>
        </w:rPr>
        <w:t>Awards Held by Current Participants.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In the event of a Corporate Transaction in which the surviving corporation or acquiring corporation (or its parent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company) does not assume or continue such outstanding Awards (or portions thereof) or substitute similar awards for such outstanding Awards (or portions thereof), then with respect to any Award (or portion thereof) that has not been assumed, continued or substituted and that is held by a Participant whose Continuous Service has not terminated prior to the effective time of the Corporate Transaction (referred to as the “</w:t>
      </w:r>
      <w:r>
        <w:rPr>
          <w:rFonts w:ascii="Times New Roman" w:cs="Times New Roman" w:eastAsia="Times New Roman" w:hAnsi="Times New Roman"/>
          <w:sz w:val="14"/>
          <w:szCs w:val="14"/>
          <w:b w:val="1"/>
          <w:bCs w:val="1"/>
          <w:i w:val="1"/>
          <w:iCs w:val="1"/>
          <w:color w:val="auto"/>
        </w:rPr>
        <w:t>Current Participants</w:t>
      </w:r>
      <w:r>
        <w:rPr>
          <w:rFonts w:ascii="Times New Roman" w:cs="Times New Roman" w:eastAsia="Times New Roman" w:hAnsi="Times New Roman"/>
          <w:sz w:val="14"/>
          <w:szCs w:val="14"/>
          <w:color w:val="auto"/>
        </w:rPr>
        <w:t>”), the vesting of such Award or portion thereof (and, with respect to an Option or Stock Appreciation Right, the time when such Award or portion thereof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 (or portion thereof) will terminate if not exercised (if applicable) at or prior to the effective time of the Corporate Transaction, and any reacquisition or repurchase rights held by the Company with respect to such Award (or portion thereof) will lapse (contingent upon the effectiveness of the Corporate Transaction). With respect to the vesting of a Performance Award (or portion thereof) that will accelerate upon the occurrence of a Corporate Transaction pursuant to this subsection (ii), the vesting of such Performance Award (or portion thereof) will accelerate at 100% of the target level upon the occurrence of</w:t>
      </w:r>
    </w:p>
    <w:p>
      <w:pPr>
        <w:sectPr>
          <w:pgSz w:w="11900" w:h="16840" w:orient="portrait"/>
          <w:cols w:equalWidth="0" w:num="1">
            <w:col w:w="10640"/>
          </w:cols>
          <w:pgMar w:left="640" w:top="1440" w:right="620" w:bottom="1440" w:gutter="0" w:footer="0" w:header="0"/>
        </w:sectPr>
      </w:pPr>
    </w:p>
    <w:bookmarkStart w:id="322" w:name="page323"/>
    <w:bookmarkEnd w:id="322"/>
    <w:p>
      <w:pPr>
        <w:spacing w:after="0" w:line="3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4"/>
          <w:szCs w:val="14"/>
          <w:color w:val="auto"/>
        </w:rPr>
        <w:t>the Corporate Transaction in which the Award (or portion thereof) is not assumed, continued or substituted in accordance with Section 6(c)(i). With respect to the vesting of Awards (or portions thereof)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124" w:lineRule="exact"/>
        <w:rPr>
          <w:sz w:val="20"/>
          <w:szCs w:val="20"/>
          <w:color w:val="auto"/>
        </w:rPr>
      </w:pPr>
    </w:p>
    <w:p>
      <w:pPr>
        <w:ind w:right="20" w:firstLine="925"/>
        <w:spacing w:after="0" w:line="262" w:lineRule="auto"/>
        <w:tabs>
          <w:tab w:leader="none" w:pos="1301" w:val="left"/>
        </w:tabs>
        <w:numPr>
          <w:ilvl w:val="2"/>
          <w:numId w:val="3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Awards Held by Persons other than Current Participants. </w:t>
      </w:r>
      <w:r>
        <w:rPr>
          <w:rFonts w:ascii="Times New Roman" w:cs="Times New Roman" w:eastAsia="Times New Roman" w:hAnsi="Times New Roman"/>
          <w:sz w:val="14"/>
          <w:szCs w:val="14"/>
          <w:color w:val="auto"/>
        </w:rPr>
        <w:t>In the event of a Corporate Transaction in which the surviving corporation or acquiring corporation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its parent company) does not assume or continue such outstanding Awards or substitute similar awards for such outstanding Awards, then with respect to Awards that have not been assumed, continued or substituted and that are held by persons other than Current Participants, the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32" w:lineRule="exact"/>
        <w:rPr>
          <w:rFonts w:ascii="Times New Roman" w:cs="Times New Roman" w:eastAsia="Times New Roman" w:hAnsi="Times New Roman"/>
          <w:sz w:val="15"/>
          <w:szCs w:val="15"/>
          <w:b w:val="1"/>
          <w:bCs w:val="1"/>
          <w:color w:val="auto"/>
        </w:rPr>
      </w:pPr>
    </w:p>
    <w:p>
      <w:pPr>
        <w:jc w:val="both"/>
        <w:ind w:right="40" w:firstLine="925"/>
        <w:spacing w:after="0" w:line="263" w:lineRule="auto"/>
        <w:tabs>
          <w:tab w:leader="none" w:pos="1292" w:val="left"/>
        </w:tabs>
        <w:numPr>
          <w:ilvl w:val="2"/>
          <w:numId w:val="3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Payment for Awards. </w:t>
      </w:r>
      <w:r>
        <w:rPr>
          <w:rFonts w:ascii="Times New Roman" w:cs="Times New Roman" w:eastAsia="Times New Roman" w:hAnsi="Times New Roman"/>
          <w:sz w:val="14"/>
          <w:szCs w:val="14"/>
          <w:color w:val="auto"/>
        </w:rPr>
        <w:t>Notwithstanding the foregoing, in the event any portion of an Award will terminate prior to the effective time of a Corporate Transaction,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Board may provide, in its sole discretion, that the holder of the Award will receive a payment, in such form as may be determined by the Board, equal in value, at the effective time, to the excess, if any, of (1) the value of the property the Participant would have received with respect to that portion of the Award (including, at the discretion of the Board, any unvested portion of such Award), over (2) the exercise price payable by such holder in connection with that portion of the Award, if any.</w:t>
      </w:r>
    </w:p>
    <w:p>
      <w:pPr>
        <w:spacing w:after="0" w:line="133" w:lineRule="exact"/>
        <w:rPr>
          <w:rFonts w:ascii="Times New Roman" w:cs="Times New Roman" w:eastAsia="Times New Roman" w:hAnsi="Times New Roman"/>
          <w:sz w:val="15"/>
          <w:szCs w:val="15"/>
          <w:b w:val="1"/>
          <w:bCs w:val="1"/>
          <w:color w:val="auto"/>
        </w:rPr>
      </w:pPr>
    </w:p>
    <w:p>
      <w:pPr>
        <w:jc w:val="both"/>
        <w:ind w:right="20" w:firstLine="466"/>
        <w:spacing w:after="0" w:line="267" w:lineRule="auto"/>
        <w:tabs>
          <w:tab w:leader="none" w:pos="804" w:val="left"/>
        </w:tabs>
        <w:numPr>
          <w:ilvl w:val="1"/>
          <w:numId w:val="3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Appointment of Stockholder Representative. </w:t>
      </w:r>
      <w:r>
        <w:rPr>
          <w:rFonts w:ascii="Times New Roman" w:cs="Times New Roman" w:eastAsia="Times New Roman" w:hAnsi="Times New Roman"/>
          <w:sz w:val="14"/>
          <w:szCs w:val="14"/>
          <w:color w:val="auto"/>
        </w:rPr>
        <w:t>As a condition to the receipt of an Award under this Plan, a Participant will be deemed to have agreed that the Award will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29" w:lineRule="exact"/>
        <w:rPr>
          <w:rFonts w:ascii="Times New Roman" w:cs="Times New Roman" w:eastAsia="Times New Roman" w:hAnsi="Times New Roman"/>
          <w:sz w:val="15"/>
          <w:szCs w:val="15"/>
          <w:b w:val="1"/>
          <w:bCs w:val="1"/>
          <w:color w:val="auto"/>
        </w:rPr>
      </w:pPr>
    </w:p>
    <w:p>
      <w:pPr>
        <w:jc w:val="both"/>
        <w:ind w:firstLine="466"/>
        <w:spacing w:after="0" w:line="261" w:lineRule="auto"/>
        <w:tabs>
          <w:tab w:leader="none" w:pos="785" w:val="left"/>
        </w:tabs>
        <w:numPr>
          <w:ilvl w:val="1"/>
          <w:numId w:val="3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No Restriction on Right to Undertake Transactions. </w:t>
      </w:r>
      <w:r>
        <w:rPr>
          <w:rFonts w:ascii="Times New Roman" w:cs="Times New Roman" w:eastAsia="Times New Roman" w:hAnsi="Times New Roman"/>
          <w:sz w:val="14"/>
          <w:szCs w:val="14"/>
          <w:color w:val="auto"/>
        </w:rPr>
        <w:t>The grant of any Award under the Plan and the issuance of Shares pursuant to any Award does not affect or restrict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33" w:lineRule="exact"/>
        <w:rPr>
          <w:rFonts w:ascii="Times New Roman" w:cs="Times New Roman" w:eastAsia="Times New Roman" w:hAnsi="Times New Roman"/>
          <w:sz w:val="15"/>
          <w:szCs w:val="15"/>
          <w:b w:val="1"/>
          <w:bCs w:val="1"/>
          <w:color w:val="auto"/>
        </w:rPr>
      </w:pPr>
    </w:p>
    <w:p>
      <w:pPr>
        <w:ind w:left="280" w:hanging="273"/>
        <w:spacing w:after="0"/>
        <w:tabs>
          <w:tab w:leader="none" w:pos="280" w:val="left"/>
        </w:tabs>
        <w:numPr>
          <w:ilvl w:val="0"/>
          <w:numId w:val="3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ADMINISTRATION.</w:t>
      </w:r>
    </w:p>
    <w:p>
      <w:pPr>
        <w:spacing w:after="0" w:line="162" w:lineRule="exact"/>
        <w:rPr>
          <w:rFonts w:ascii="Times New Roman" w:cs="Times New Roman" w:eastAsia="Times New Roman" w:hAnsi="Times New Roman"/>
          <w:sz w:val="15"/>
          <w:szCs w:val="15"/>
          <w:b w:val="1"/>
          <w:bCs w:val="1"/>
          <w:color w:val="auto"/>
        </w:rPr>
      </w:pPr>
    </w:p>
    <w:p>
      <w:pPr>
        <w:ind w:right="20" w:firstLine="466"/>
        <w:spacing w:after="0" w:line="279" w:lineRule="auto"/>
        <w:tabs>
          <w:tab w:leader="none" w:pos="794" w:val="left"/>
        </w:tabs>
        <w:numPr>
          <w:ilvl w:val="1"/>
          <w:numId w:val="3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Administration by Board. </w:t>
      </w:r>
      <w:r>
        <w:rPr>
          <w:rFonts w:ascii="Times New Roman" w:cs="Times New Roman" w:eastAsia="Times New Roman" w:hAnsi="Times New Roman"/>
          <w:sz w:val="14"/>
          <w:szCs w:val="14"/>
          <w:color w:val="auto"/>
        </w:rPr>
        <w:t>The Board will administer the Plan unless and until the Board delegates administration of the Plan to a Committee or Committees, as provided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subsection (c) below.</w:t>
      </w:r>
    </w:p>
    <w:p>
      <w:pPr>
        <w:sectPr>
          <w:pgSz w:w="11900" w:h="16840" w:orient="portrait"/>
          <w:cols w:equalWidth="0" w:num="1">
            <w:col w:w="10620"/>
          </w:cols>
          <w:pgMar w:left="640" w:top="1440" w:right="640" w:bottom="1440" w:gutter="0" w:footer="0" w:header="0"/>
        </w:sectPr>
      </w:pPr>
    </w:p>
    <w:bookmarkStart w:id="323" w:name="page324"/>
    <w:bookmarkEnd w:id="323"/>
    <w:p>
      <w:pPr>
        <w:spacing w:after="0" w:line="46" w:lineRule="exact"/>
        <w:rPr>
          <w:sz w:val="20"/>
          <w:szCs w:val="20"/>
          <w:color w:val="auto"/>
        </w:rPr>
      </w:pPr>
    </w:p>
    <w:p>
      <w:pPr>
        <w:ind w:left="354" w:hanging="354"/>
        <w:spacing w:after="0"/>
        <w:tabs>
          <w:tab w:leader="none" w:pos="354" w:val="left"/>
        </w:tabs>
        <w:numPr>
          <w:ilvl w:val="0"/>
          <w:numId w:val="3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Powers of Board. </w:t>
      </w:r>
      <w:r>
        <w:rPr>
          <w:rFonts w:ascii="Times New Roman" w:cs="Times New Roman" w:eastAsia="Times New Roman" w:hAnsi="Times New Roman"/>
          <w:sz w:val="14"/>
          <w:szCs w:val="14"/>
          <w:color w:val="auto"/>
        </w:rPr>
        <w:t>The Board will have the power, subject to, and within the limitations of, the express provisions of the Plan:</w:t>
      </w:r>
    </w:p>
    <w:p>
      <w:pPr>
        <w:spacing w:after="0" w:line="164" w:lineRule="exact"/>
        <w:rPr>
          <w:rFonts w:ascii="Times New Roman" w:cs="Times New Roman" w:eastAsia="Times New Roman" w:hAnsi="Times New Roman"/>
          <w:sz w:val="15"/>
          <w:szCs w:val="15"/>
          <w:b w:val="1"/>
          <w:bCs w:val="1"/>
          <w:color w:val="auto"/>
        </w:rPr>
      </w:pPr>
    </w:p>
    <w:p>
      <w:pPr>
        <w:ind w:left="-466" w:firstLine="925"/>
        <w:spacing w:after="0" w:line="261" w:lineRule="auto"/>
        <w:tabs>
          <w:tab w:leader="none" w:pos="759" w:val="left"/>
        </w:tabs>
        <w:numPr>
          <w:ilvl w:val="1"/>
          <w:numId w:val="3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To determine from time to time (1) which of the persons eligible under the Plan will be granted Awards; (2) when and how each Award will be granted; (3) what type or combination of types of Award will be granted; (4) the terms and conditions of each Award granted (which need not be identical), including the time or times when a person will be permitted to receive an issuance of Shares or other payment pursuant to an Award; (5) the number of Shares or cash equivalent with respect to which an Award will be granted to each such person; (6) the value applicable to an Award; and (7) the terms of any Performance Award that is not valued in whole or in part by reference to, or otherwise based on, Shares, including the amount of cash payment that may be earned and the timing of payment.</w:t>
      </w:r>
    </w:p>
    <w:p>
      <w:pPr>
        <w:spacing w:after="0" w:line="135" w:lineRule="exact"/>
        <w:rPr>
          <w:rFonts w:ascii="Times New Roman" w:cs="Times New Roman" w:eastAsia="Times New Roman" w:hAnsi="Times New Roman"/>
          <w:sz w:val="15"/>
          <w:szCs w:val="15"/>
          <w:b w:val="1"/>
          <w:bCs w:val="1"/>
          <w:color w:val="auto"/>
        </w:rPr>
      </w:pPr>
    </w:p>
    <w:p>
      <w:pPr>
        <w:jc w:val="both"/>
        <w:ind w:left="-466" w:right="20" w:firstLine="925"/>
        <w:spacing w:after="0" w:line="262" w:lineRule="auto"/>
        <w:tabs>
          <w:tab w:leader="none" w:pos="807" w:val="left"/>
        </w:tabs>
        <w:numPr>
          <w:ilvl w:val="1"/>
          <w:numId w:val="3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To construe and interpret the Plan and Awards granted under it, and to establish, amend and revoke rules and regulations for its administration. The Board, in the exercise of this power, may correct any defect, omission or inconsistency in the Plan, any Award Agreement, or any written agreement between the Company or any Affiliate and a Participant that is approved by the Board (to the extent such written agreement relates to an Award), in a manner and to the extent it deems necessary or expedient to make the Plan or Award fully effective.</w:t>
      </w:r>
    </w:p>
    <w:p>
      <w:pPr>
        <w:spacing w:after="0" w:line="136" w:lineRule="exact"/>
        <w:rPr>
          <w:rFonts w:ascii="Times New Roman" w:cs="Times New Roman" w:eastAsia="Times New Roman" w:hAnsi="Times New Roman"/>
          <w:sz w:val="15"/>
          <w:szCs w:val="15"/>
          <w:b w:val="1"/>
          <w:bCs w:val="1"/>
          <w:color w:val="auto"/>
        </w:rPr>
      </w:pPr>
    </w:p>
    <w:p>
      <w:pPr>
        <w:ind w:left="834" w:hanging="375"/>
        <w:spacing w:after="0"/>
        <w:tabs>
          <w:tab w:leader="none" w:pos="834" w:val="left"/>
        </w:tabs>
        <w:numPr>
          <w:ilvl w:val="1"/>
          <w:numId w:val="3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To settle all controversies regarding the Plan and Awards granted under it.</w:t>
      </w:r>
    </w:p>
    <w:p>
      <w:pPr>
        <w:spacing w:after="0" w:line="162" w:lineRule="exact"/>
        <w:rPr>
          <w:rFonts w:ascii="Times New Roman" w:cs="Times New Roman" w:eastAsia="Times New Roman" w:hAnsi="Times New Roman"/>
          <w:sz w:val="15"/>
          <w:szCs w:val="15"/>
          <w:b w:val="1"/>
          <w:bCs w:val="1"/>
          <w:color w:val="auto"/>
        </w:rPr>
      </w:pPr>
    </w:p>
    <w:p>
      <w:pPr>
        <w:ind w:left="-466" w:right="60" w:firstLine="925"/>
        <w:spacing w:after="0" w:line="276" w:lineRule="auto"/>
        <w:tabs>
          <w:tab w:leader="none" w:pos="845" w:val="left"/>
        </w:tabs>
        <w:numPr>
          <w:ilvl w:val="1"/>
          <w:numId w:val="3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To accelerate the time at which an Award may first be exercised or the time during which an Award or any part thereof will vest, notwithstanding the terms set forth in the Award Agreement or any written agreement between the Company or any Affiliate and a Participant that is approved by the Board.</w:t>
      </w:r>
    </w:p>
    <w:p>
      <w:pPr>
        <w:spacing w:after="0" w:line="111" w:lineRule="exact"/>
        <w:rPr>
          <w:sz w:val="20"/>
          <w:szCs w:val="20"/>
          <w:color w:val="auto"/>
        </w:rPr>
      </w:pPr>
    </w:p>
    <w:p>
      <w:pPr>
        <w:jc w:val="both"/>
        <w:ind w:left="-466" w:right="20" w:firstLine="925"/>
        <w:spacing w:after="0" w:line="268" w:lineRule="auto"/>
        <w:tabs>
          <w:tab w:leader="none" w:pos="528" w:val="left"/>
        </w:tabs>
        <w:numPr>
          <w:ilvl w:val="0"/>
          <w:numId w:val="37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v ) </w:t>
      </w:r>
      <w:r>
        <w:rPr>
          <w:rFonts w:ascii="Times New Roman" w:cs="Times New Roman" w:eastAsia="Times New Roman" w:hAnsi="Times New Roman"/>
          <w:sz w:val="14"/>
          <w:szCs w:val="14"/>
          <w:color w:val="auto"/>
        </w:rPr>
        <w:t>To prohibit the exercise of any Option, Stock Appreciation Right or other exercisable Award prior to any pending stock dividend, stock split, combination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 for the period of time the Board determines is necessary or advisable in connection with the transaction.</w:t>
      </w:r>
    </w:p>
    <w:p>
      <w:pPr>
        <w:spacing w:after="0" w:line="132" w:lineRule="exact"/>
        <w:rPr>
          <w:sz w:val="20"/>
          <w:szCs w:val="20"/>
          <w:color w:val="auto"/>
        </w:rPr>
      </w:pPr>
    </w:p>
    <w:p>
      <w:pPr>
        <w:ind w:left="-466" w:right="20" w:firstLine="925"/>
        <w:spacing w:after="0" w:line="276" w:lineRule="auto"/>
        <w:tabs>
          <w:tab w:leader="none" w:pos="835" w:val="left"/>
        </w:tabs>
        <w:numPr>
          <w:ilvl w:val="0"/>
          <w:numId w:val="37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To suspend or terminate the Plan at any time. Any suspension, or a termination, of the Plan will not Materially Impair rights and obligations with respect to any Award granted while the Plan is in effect except with the consent of the affected Participant.</w:t>
      </w:r>
    </w:p>
    <w:p>
      <w:pPr>
        <w:spacing w:after="0" w:line="121" w:lineRule="exact"/>
        <w:rPr>
          <w:rFonts w:ascii="Times New Roman" w:cs="Times New Roman" w:eastAsia="Times New Roman" w:hAnsi="Times New Roman"/>
          <w:sz w:val="15"/>
          <w:szCs w:val="15"/>
          <w:b w:val="1"/>
          <w:bCs w:val="1"/>
          <w:color w:val="auto"/>
        </w:rPr>
      </w:pPr>
    </w:p>
    <w:p>
      <w:pPr>
        <w:jc w:val="both"/>
        <w:ind w:left="-466" w:firstLine="925"/>
        <w:spacing w:after="0" w:line="267" w:lineRule="auto"/>
        <w:tabs>
          <w:tab w:leader="none" w:pos="883" w:val="left"/>
        </w:tabs>
        <w:numPr>
          <w:ilvl w:val="0"/>
          <w:numId w:val="37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 xml:space="preserve">To amend the Plan in any respect the Board deems necessary or advisable; provided, however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that stockholder approval will be required for any amendment to the extent required by Applicable Law. Except as provided above, rights of a Participant under any Award granted before amendment of the Plan will not be Materially Impaired except with the consent of the affected Participant.</w:t>
      </w:r>
    </w:p>
    <w:p>
      <w:pPr>
        <w:spacing w:after="0" w:line="131" w:lineRule="exact"/>
        <w:rPr>
          <w:rFonts w:ascii="Times New Roman" w:cs="Times New Roman" w:eastAsia="Times New Roman" w:hAnsi="Times New Roman"/>
          <w:sz w:val="15"/>
          <w:szCs w:val="15"/>
          <w:b w:val="1"/>
          <w:bCs w:val="1"/>
          <w:color w:val="auto"/>
        </w:rPr>
      </w:pPr>
    </w:p>
    <w:p>
      <w:pPr>
        <w:ind w:left="914" w:hanging="455"/>
        <w:spacing w:after="0"/>
        <w:tabs>
          <w:tab w:leader="none" w:pos="914" w:val="left"/>
        </w:tabs>
        <w:numPr>
          <w:ilvl w:val="0"/>
          <w:numId w:val="37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To submit any amendment to the Plan for stockholder approval.</w:t>
      </w:r>
    </w:p>
    <w:p>
      <w:pPr>
        <w:spacing w:after="0" w:line="162" w:lineRule="exact"/>
        <w:rPr>
          <w:rFonts w:ascii="Times New Roman" w:cs="Times New Roman" w:eastAsia="Times New Roman" w:hAnsi="Times New Roman"/>
          <w:sz w:val="15"/>
          <w:szCs w:val="15"/>
          <w:b w:val="1"/>
          <w:bCs w:val="1"/>
          <w:color w:val="auto"/>
        </w:rPr>
      </w:pPr>
    </w:p>
    <w:p>
      <w:pPr>
        <w:jc w:val="both"/>
        <w:ind w:left="-466" w:right="40" w:firstLine="925"/>
        <w:spacing w:after="0" w:line="265" w:lineRule="auto"/>
        <w:tabs>
          <w:tab w:leader="none" w:pos="835" w:val="left"/>
        </w:tabs>
        <w:numPr>
          <w:ilvl w:val="0"/>
          <w:numId w:val="37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a Participant’s rights under any Award will not be Materially Impaired except with the consent of the affected Participant.</w:t>
      </w:r>
    </w:p>
    <w:p>
      <w:pPr>
        <w:sectPr>
          <w:pgSz w:w="11900" w:h="16840" w:orient="portrait"/>
          <w:cols w:equalWidth="0" w:num="1">
            <w:col w:w="10154"/>
          </w:cols>
          <w:pgMar w:left="1106" w:top="1440" w:right="640" w:bottom="1440" w:gutter="0" w:footer="0" w:header="0"/>
        </w:sectPr>
      </w:pPr>
    </w:p>
    <w:bookmarkStart w:id="324" w:name="page325"/>
    <w:bookmarkEnd w:id="324"/>
    <w:p>
      <w:pPr>
        <w:spacing w:after="0" w:line="48" w:lineRule="exact"/>
        <w:rPr>
          <w:sz w:val="20"/>
          <w:szCs w:val="20"/>
          <w:color w:val="auto"/>
        </w:rPr>
      </w:pPr>
    </w:p>
    <w:p>
      <w:pPr>
        <w:ind w:left="-466" w:right="20" w:firstLine="925"/>
        <w:spacing w:after="0" w:line="276" w:lineRule="auto"/>
        <w:tabs>
          <w:tab w:leader="none" w:pos="797" w:val="left"/>
        </w:tabs>
        <w:numPr>
          <w:ilvl w:val="0"/>
          <w:numId w:val="3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Generally, to exercise such powers and to perform such acts as the Board deems necessary or expedient to promote the best interests of the Company and that are not in conflict with the provisions of the Plan or outstanding Awards.</w:t>
      </w:r>
    </w:p>
    <w:p>
      <w:pPr>
        <w:spacing w:after="0" w:line="123" w:lineRule="exact"/>
        <w:rPr>
          <w:rFonts w:ascii="Times New Roman" w:cs="Times New Roman" w:eastAsia="Times New Roman" w:hAnsi="Times New Roman"/>
          <w:sz w:val="15"/>
          <w:szCs w:val="15"/>
          <w:b w:val="1"/>
          <w:bCs w:val="1"/>
          <w:color w:val="auto"/>
        </w:rPr>
      </w:pPr>
    </w:p>
    <w:p>
      <w:pPr>
        <w:jc w:val="both"/>
        <w:ind w:left="-466" w:right="20" w:firstLine="925"/>
        <w:spacing w:after="0" w:line="265" w:lineRule="auto"/>
        <w:tabs>
          <w:tab w:leader="none" w:pos="826" w:val="left"/>
        </w:tabs>
        <w:numPr>
          <w:ilvl w:val="0"/>
          <w:numId w:val="3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To adopt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rules, or regulations of the relevant non-U.S. jurisdiction).</w:t>
      </w:r>
    </w:p>
    <w:p>
      <w:pPr>
        <w:spacing w:after="0" w:line="133" w:lineRule="exact"/>
        <w:rPr>
          <w:rFonts w:ascii="Times New Roman" w:cs="Times New Roman" w:eastAsia="Times New Roman" w:hAnsi="Times New Roman"/>
          <w:sz w:val="15"/>
          <w:szCs w:val="15"/>
          <w:b w:val="1"/>
          <w:bCs w:val="1"/>
          <w:color w:val="auto"/>
        </w:rPr>
      </w:pPr>
    </w:p>
    <w:p>
      <w:pPr>
        <w:ind w:left="-466" w:right="20" w:firstLine="925"/>
        <w:spacing w:after="0" w:line="261" w:lineRule="auto"/>
        <w:tabs>
          <w:tab w:leader="none" w:pos="893" w:val="left"/>
        </w:tabs>
        <w:numPr>
          <w:ilvl w:val="0"/>
          <w:numId w:val="3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To effect, at any time and from time to time, subject to the consent of any Participant whose Award is Materially Impaired by such action, (1) the reduction of the exercise price (or strike price) of any outstanding Option or Stock Appreciation Right; (2) the cancellation of any outstanding Option or Stock Appreciation Right and the grant in substitution therefor of (A) a new Option, Stock Appreciation Right, Restricted Stock Award, Restricted Stock Unit Award or Other Award, under the Plan or any similar award under another equity plan of the Company, covering the same or a different number of Shares, (B) cash and/or (C) other valuable consideration (as determined by the Board); or (3) any other action that is treated as a repricing under generally accepted accounting principles.</w:t>
      </w:r>
    </w:p>
    <w:p>
      <w:pPr>
        <w:spacing w:after="0" w:line="134" w:lineRule="exact"/>
        <w:rPr>
          <w:sz w:val="20"/>
          <w:szCs w:val="20"/>
          <w:color w:val="auto"/>
        </w:rPr>
      </w:pPr>
    </w:p>
    <w:p>
      <w:pPr>
        <w:ind w:left="334" w:hanging="334"/>
        <w:spacing w:after="0"/>
        <w:tabs>
          <w:tab w:leader="none" w:pos="334" w:val="left"/>
        </w:tabs>
        <w:numPr>
          <w:ilvl w:val="0"/>
          <w:numId w:val="3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Delegation to Committee.</w:t>
      </w:r>
    </w:p>
    <w:p>
      <w:pPr>
        <w:spacing w:after="0" w:line="152" w:lineRule="exact"/>
        <w:rPr>
          <w:sz w:val="20"/>
          <w:szCs w:val="20"/>
          <w:color w:val="auto"/>
        </w:rPr>
      </w:pPr>
    </w:p>
    <w:p>
      <w:pPr>
        <w:jc w:val="both"/>
        <w:ind w:left="-466" w:firstLine="925"/>
        <w:spacing w:after="0" w:line="259" w:lineRule="auto"/>
        <w:tabs>
          <w:tab w:leader="none" w:pos="528" w:val="left"/>
        </w:tabs>
        <w:numPr>
          <w:ilvl w:val="0"/>
          <w:numId w:val="37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i ) </w:t>
      </w:r>
      <w:r>
        <w:rPr>
          <w:rFonts w:ascii="Times New Roman" w:cs="Times New Roman" w:eastAsia="Times New Roman" w:hAnsi="Times New Roman"/>
          <w:sz w:val="14"/>
          <w:szCs w:val="14"/>
          <w:b w:val="1"/>
          <w:bCs w:val="1"/>
          <w:color w:val="auto"/>
        </w:rPr>
        <w:t>General.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The Board may delegate some or all of the administration of the Plan to a Committee or Committees. If administration of the Plan is delegated to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38" w:lineRule="exact"/>
        <w:rPr>
          <w:sz w:val="20"/>
          <w:szCs w:val="20"/>
          <w:color w:val="auto"/>
        </w:rPr>
      </w:pPr>
    </w:p>
    <w:p>
      <w:pPr>
        <w:jc w:val="both"/>
        <w:ind w:left="-466" w:right="40" w:firstLine="925"/>
        <w:spacing w:after="0" w:line="263" w:lineRule="auto"/>
        <w:tabs>
          <w:tab w:leader="none" w:pos="826" w:val="left"/>
        </w:tabs>
        <w:numPr>
          <w:ilvl w:val="1"/>
          <w:numId w:val="37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Rule 16b-3 Compliance. </w:t>
      </w:r>
      <w:r>
        <w:rPr>
          <w:rFonts w:ascii="Times New Roman" w:cs="Times New Roman" w:eastAsia="Times New Roman" w:hAnsi="Times New Roman"/>
          <w:sz w:val="14"/>
          <w:szCs w:val="14"/>
          <w:color w:val="auto"/>
        </w:rPr>
        <w:t>To the extent an Award is intended to qualify for the exemption from Section 16(b) of the Exchange Act that is available under Rule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33" w:lineRule="exact"/>
        <w:rPr>
          <w:rFonts w:ascii="Times New Roman" w:cs="Times New Roman" w:eastAsia="Times New Roman" w:hAnsi="Times New Roman"/>
          <w:sz w:val="15"/>
          <w:szCs w:val="15"/>
          <w:b w:val="1"/>
          <w:bCs w:val="1"/>
          <w:color w:val="auto"/>
        </w:rPr>
      </w:pPr>
    </w:p>
    <w:p>
      <w:pPr>
        <w:ind w:left="-466" w:right="20" w:firstLine="466"/>
        <w:spacing w:after="0" w:line="279" w:lineRule="auto"/>
        <w:tabs>
          <w:tab w:leader="none" w:pos="338" w:val="left"/>
        </w:tabs>
        <w:numPr>
          <w:ilvl w:val="0"/>
          <w:numId w:val="37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Effect of Board’s Decision. </w:t>
      </w:r>
      <w:r>
        <w:rPr>
          <w:rFonts w:ascii="Times New Roman" w:cs="Times New Roman" w:eastAsia="Times New Roman" w:hAnsi="Times New Roman"/>
          <w:sz w:val="14"/>
          <w:szCs w:val="14"/>
          <w:color w:val="auto"/>
        </w:rPr>
        <w:t>All determinations, interpretations and constructions made by the Board or any Committee in good faith will not be subject to review by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person and will be final, binding, and conclusive on all persons.</w:t>
      </w:r>
    </w:p>
    <w:p>
      <w:pPr>
        <w:sectPr>
          <w:pgSz w:w="11900" w:h="16840" w:orient="portrait"/>
          <w:cols w:equalWidth="0" w:num="1">
            <w:col w:w="10154"/>
          </w:cols>
          <w:pgMar w:left="1106" w:top="1440" w:right="640" w:bottom="1440" w:gutter="0" w:footer="0" w:header="0"/>
        </w:sectPr>
      </w:pPr>
    </w:p>
    <w:bookmarkStart w:id="325" w:name="page326"/>
    <w:bookmarkEnd w:id="325"/>
    <w:p>
      <w:pPr>
        <w:spacing w:after="0" w:line="46" w:lineRule="exact"/>
        <w:rPr>
          <w:sz w:val="20"/>
          <w:szCs w:val="20"/>
          <w:color w:val="auto"/>
        </w:rPr>
      </w:pPr>
    </w:p>
    <w:p>
      <w:pPr>
        <w:ind w:left="-7" w:right="20" w:firstLine="466"/>
        <w:spacing w:after="0" w:line="279" w:lineRule="auto"/>
        <w:tabs>
          <w:tab w:leader="none" w:pos="797" w:val="left"/>
        </w:tabs>
        <w:numPr>
          <w:ilvl w:val="0"/>
          <w:numId w:val="3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Delegation to Other Person or Body. </w:t>
      </w:r>
      <w:r>
        <w:rPr>
          <w:rFonts w:ascii="Times New Roman" w:cs="Times New Roman" w:eastAsia="Times New Roman" w:hAnsi="Times New Roman"/>
          <w:sz w:val="14"/>
          <w:szCs w:val="14"/>
          <w:color w:val="auto"/>
        </w:rPr>
        <w:t>The Board or any Committee may delegate to one or more persons or bodies the authority to administer the Plan as permitted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Applicable Law, including, without limitation, Sections 152 and 157 of the Delaware General Corporation Law.</w:t>
      </w:r>
    </w:p>
    <w:p>
      <w:pPr>
        <w:spacing w:after="0" w:line="109" w:lineRule="exact"/>
        <w:rPr>
          <w:sz w:val="20"/>
          <w:szCs w:val="20"/>
          <w:color w:val="auto"/>
        </w:rPr>
      </w:pPr>
    </w:p>
    <w:p>
      <w:pPr>
        <w:ind w:left="-7" w:right="40" w:firstLine="466"/>
        <w:spacing w:after="0" w:line="275" w:lineRule="auto"/>
        <w:tabs>
          <w:tab w:leader="none" w:pos="542" w:val="left"/>
        </w:tabs>
        <w:numPr>
          <w:ilvl w:val="1"/>
          <w:numId w:val="3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f ) </w:t>
      </w:r>
      <w:r>
        <w:rPr>
          <w:rFonts w:ascii="Times New Roman" w:cs="Times New Roman" w:eastAsia="Times New Roman" w:hAnsi="Times New Roman"/>
          <w:sz w:val="14"/>
          <w:szCs w:val="14"/>
          <w:b w:val="1"/>
          <w:bCs w:val="1"/>
          <w:color w:val="auto"/>
        </w:rPr>
        <w:t>Delegation of Authority for Day-to-Day Administration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 Except to the extent prohibited by Applicable Law, the Plan Administrator is delegated the day-to-day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administration of the Plan and the functions assigned to Plan Administrator by the Board or Committees. Any delegation to the Plan Administrator may be revoked at any time.</w:t>
      </w:r>
    </w:p>
    <w:p>
      <w:pPr>
        <w:spacing w:after="0" w:line="122" w:lineRule="exact"/>
        <w:rPr>
          <w:rFonts w:ascii="Times New Roman" w:cs="Times New Roman" w:eastAsia="Times New Roman" w:hAnsi="Times New Roman"/>
          <w:sz w:val="15"/>
          <w:szCs w:val="15"/>
          <w:b w:val="1"/>
          <w:bCs w:val="1"/>
          <w:color w:val="auto"/>
        </w:rPr>
      </w:pPr>
    </w:p>
    <w:p>
      <w:pPr>
        <w:ind w:left="273" w:hanging="273"/>
        <w:spacing w:after="0"/>
        <w:tabs>
          <w:tab w:leader="none" w:pos="273" w:val="left"/>
        </w:tabs>
        <w:numPr>
          <w:ilvl w:val="0"/>
          <w:numId w:val="3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TAX WITHHOLDING</w:t>
      </w:r>
    </w:p>
    <w:p>
      <w:pPr>
        <w:spacing w:after="0" w:line="162" w:lineRule="exact"/>
        <w:rPr>
          <w:sz w:val="20"/>
          <w:szCs w:val="20"/>
          <w:color w:val="auto"/>
        </w:rPr>
      </w:pPr>
    </w:p>
    <w:p>
      <w:pPr>
        <w:jc w:val="both"/>
        <w:ind w:left="-7" w:firstLine="466"/>
        <w:spacing w:after="0" w:line="263" w:lineRule="auto"/>
        <w:tabs>
          <w:tab w:leader="none" w:pos="788" w:val="left"/>
        </w:tabs>
        <w:numPr>
          <w:ilvl w:val="0"/>
          <w:numId w:val="38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Withholding Authorization. </w:t>
      </w:r>
      <w:r>
        <w:rPr>
          <w:rFonts w:ascii="Times New Roman" w:cs="Times New Roman" w:eastAsia="Times New Roman" w:hAnsi="Times New Roman"/>
          <w:sz w:val="14"/>
          <w:szCs w:val="14"/>
          <w:color w:val="auto"/>
        </w:rPr>
        <w:t>As a condition to acceptance of any Award under the Plan, a Participant authorizes withholding from payroll and any other amounts payable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such Participant, and otherwise agrees to make adequate arrangements to satisfy the Tax-Related Items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subject to an Award, unless and until such obligations are satisfied.</w:t>
      </w:r>
    </w:p>
    <w:p>
      <w:pPr>
        <w:spacing w:after="0" w:line="133" w:lineRule="exact"/>
        <w:rPr>
          <w:rFonts w:ascii="Times New Roman" w:cs="Times New Roman" w:eastAsia="Times New Roman" w:hAnsi="Times New Roman"/>
          <w:sz w:val="15"/>
          <w:szCs w:val="15"/>
          <w:b w:val="1"/>
          <w:bCs w:val="1"/>
          <w:color w:val="auto"/>
        </w:rPr>
      </w:pPr>
    </w:p>
    <w:p>
      <w:pPr>
        <w:jc w:val="both"/>
        <w:ind w:left="-7" w:right="20" w:firstLine="466"/>
        <w:spacing w:after="0" w:line="262" w:lineRule="auto"/>
        <w:tabs>
          <w:tab w:leader="none" w:pos="797" w:val="left"/>
        </w:tabs>
        <w:numPr>
          <w:ilvl w:val="0"/>
          <w:numId w:val="38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Satisfaction of Withholding Obligation. </w:t>
      </w:r>
      <w:r>
        <w:rPr>
          <w:rFonts w:ascii="Times New Roman" w:cs="Times New Roman" w:eastAsia="Times New Roman" w:hAnsi="Times New Roman"/>
          <w:sz w:val="14"/>
          <w:szCs w:val="14"/>
          <w:color w:val="auto"/>
        </w:rPr>
        <w:t>To the extent permitted by the terms of an Award Agreement, the Company may, in its sole discretion, satisfy any Tax-Related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Items withholding obligation relating to an Award by any of the following means or by a combination of such means: (i) causing the Participant to tender a cash payment; (ii) withholding Shares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adopted by the Company in connection with the Plan; or (vi) by such other method as may be set forth in the Award Agreement and otherwise permitted by Applicable Law.</w:t>
      </w:r>
    </w:p>
    <w:p>
      <w:pPr>
        <w:spacing w:after="0" w:line="132" w:lineRule="exact"/>
        <w:rPr>
          <w:rFonts w:ascii="Times New Roman" w:cs="Times New Roman" w:eastAsia="Times New Roman" w:hAnsi="Times New Roman"/>
          <w:sz w:val="15"/>
          <w:szCs w:val="15"/>
          <w:b w:val="1"/>
          <w:bCs w:val="1"/>
          <w:color w:val="auto"/>
        </w:rPr>
      </w:pPr>
    </w:p>
    <w:p>
      <w:pPr>
        <w:ind w:left="-7" w:firstLine="466"/>
        <w:spacing w:after="0" w:line="258" w:lineRule="auto"/>
        <w:tabs>
          <w:tab w:leader="none" w:pos="797" w:val="left"/>
        </w:tabs>
        <w:numPr>
          <w:ilvl w:val="0"/>
          <w:numId w:val="38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No Obligation to Notify or Minimize Losses or Taxes; No Liability to Claims. </w:t>
      </w:r>
      <w:r>
        <w:rPr>
          <w:rFonts w:ascii="Times New Roman" w:cs="Times New Roman" w:eastAsia="Times New Roman" w:hAnsi="Times New Roman"/>
          <w:sz w:val="14"/>
          <w:szCs w:val="14"/>
          <w:color w:val="auto"/>
        </w:rPr>
        <w:t>Except as required by Applicable Law, the Company has no duty or obligation to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Participant to advise the holder of an Award as to the time or manner of exercising the Award. Furthermore, the Company has no duty or obligation to warn or otherwise advise the holder of an Award of a pending termination or expiration of the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the Participant’s own personal tax, financial and other legal advisors regarding the tax consequences of the Award and has either done so or knowingly and voluntarily declined to do so. Additionally, each Participant acknowledges any Option or Stock Appreciation Right granted under the Plan is exempt from Section 409A only if the exercise or strike price is at least equal to the “fair market value” of the underlying Shares on the date of grant as determined by the U.S. Internal Revenue Service and there is no other impermissible deferral of compensation associated with the Award. Additionally, as a condition to accepting an Option or Stock Appreciation Right granted under the Plan, each Participant agrees to not make any claim against the Company, or any of its Officers, Directors, Employees or Affiliates in the event that the U.S. Internal</w:t>
      </w:r>
    </w:p>
    <w:p>
      <w:pPr>
        <w:sectPr>
          <w:pgSz w:w="11900" w:h="16840" w:orient="portrait"/>
          <w:cols w:equalWidth="0" w:num="1">
            <w:col w:w="10613"/>
          </w:cols>
          <w:pgMar w:left="647" w:top="1440" w:right="640" w:bottom="1440" w:gutter="0" w:footer="0" w:header="0"/>
        </w:sectPr>
      </w:pPr>
    </w:p>
    <w:bookmarkStart w:id="326" w:name="page327"/>
    <w:bookmarkEnd w:id="326"/>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Service asserts that the exercise price or strike price is less than the “fair market value” of the underlying Shares on the date of grant as subsequently determined by the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Internal Revenue Service.</w:t>
      </w:r>
    </w:p>
    <w:p>
      <w:pPr>
        <w:spacing w:after="0" w:line="148" w:lineRule="exact"/>
        <w:rPr>
          <w:sz w:val="20"/>
          <w:szCs w:val="20"/>
          <w:color w:val="auto"/>
        </w:rPr>
      </w:pPr>
    </w:p>
    <w:p>
      <w:pPr>
        <w:ind w:firstLine="466"/>
        <w:spacing w:after="0" w:line="262" w:lineRule="auto"/>
        <w:tabs>
          <w:tab w:leader="none" w:pos="544" w:val="left"/>
        </w:tabs>
        <w:numPr>
          <w:ilvl w:val="1"/>
          <w:numId w:val="38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d ) </w:t>
      </w:r>
      <w:r>
        <w:rPr>
          <w:rFonts w:ascii="Times New Roman" w:cs="Times New Roman" w:eastAsia="Times New Roman" w:hAnsi="Times New Roman"/>
          <w:sz w:val="14"/>
          <w:szCs w:val="14"/>
          <w:b w:val="1"/>
          <w:bCs w:val="1"/>
          <w:color w:val="auto"/>
        </w:rPr>
        <w:t>Withholding Indemnification.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The Company and its Affiliate may withhold or account for Tax-Related Items by considering statutory or other withholding rates,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including minimum or maximum rates applicable in a Participant’s jurisdiction. In the event of over-withholding, the Participant may receive a refund of any over-withheld amount in cash (with no entitlement to the equivalent in Shares)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for tax purposes, the Participant will be deemed to have been issued the full number of Shares subject to the Award, notwithstanding that a number of the Shares is held back solely for the purpose of paying the Tax-Related Items.</w:t>
      </w:r>
    </w:p>
    <w:p>
      <w:pPr>
        <w:spacing w:after="0" w:line="132" w:lineRule="exact"/>
        <w:rPr>
          <w:rFonts w:ascii="Times New Roman" w:cs="Times New Roman" w:eastAsia="Times New Roman" w:hAnsi="Times New Roman"/>
          <w:sz w:val="15"/>
          <w:szCs w:val="15"/>
          <w:b w:val="1"/>
          <w:bCs w:val="1"/>
          <w:color w:val="auto"/>
        </w:rPr>
      </w:pPr>
    </w:p>
    <w:p>
      <w:pPr>
        <w:ind w:left="280" w:hanging="273"/>
        <w:spacing w:after="0"/>
        <w:tabs>
          <w:tab w:leader="none" w:pos="280" w:val="left"/>
        </w:tabs>
        <w:numPr>
          <w:ilvl w:val="0"/>
          <w:numId w:val="38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MISCELLANEOUS.</w:t>
      </w:r>
    </w:p>
    <w:p>
      <w:pPr>
        <w:spacing w:after="0" w:line="152" w:lineRule="exact"/>
        <w:rPr>
          <w:sz w:val="20"/>
          <w:szCs w:val="20"/>
          <w:color w:val="auto"/>
        </w:rPr>
      </w:pPr>
    </w:p>
    <w:p>
      <w:pPr>
        <w:ind w:right="20" w:firstLine="466"/>
        <w:spacing w:after="0" w:line="295" w:lineRule="auto"/>
        <w:tabs>
          <w:tab w:leader="none" w:pos="539" w:val="left"/>
        </w:tabs>
        <w:numPr>
          <w:ilvl w:val="0"/>
          <w:numId w:val="38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a ) </w:t>
      </w:r>
      <w:r>
        <w:rPr>
          <w:rFonts w:ascii="Times New Roman" w:cs="Times New Roman" w:eastAsia="Times New Roman" w:hAnsi="Times New Roman"/>
          <w:sz w:val="14"/>
          <w:szCs w:val="14"/>
          <w:b w:val="1"/>
          <w:bCs w:val="1"/>
          <w:color w:val="auto"/>
        </w:rPr>
        <w:t>Source of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The Shares issuable under the Plan will be Shares of authorized but unissued or reacquired Common Stock, including Shares repurchased by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Company on the open market or otherwise.</w:t>
      </w:r>
    </w:p>
    <w:p>
      <w:pPr>
        <w:spacing w:after="0" w:line="108" w:lineRule="exact"/>
        <w:rPr>
          <w:sz w:val="20"/>
          <w:szCs w:val="20"/>
          <w:color w:val="auto"/>
        </w:rPr>
      </w:pPr>
    </w:p>
    <w:p>
      <w:pPr>
        <w:jc w:val="both"/>
        <w:ind w:firstLine="466"/>
        <w:spacing w:after="0" w:line="261" w:lineRule="auto"/>
        <w:tabs>
          <w:tab w:leader="none" w:pos="804" w:val="left"/>
        </w:tabs>
        <w:numPr>
          <w:ilvl w:val="0"/>
          <w:numId w:val="38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Corporate Action Constituting Grant of Awards. </w:t>
      </w:r>
      <w:r>
        <w:rPr>
          <w:rFonts w:ascii="Times New Roman" w:cs="Times New Roman" w:eastAsia="Times New Roman" w:hAnsi="Times New Roman"/>
          <w:sz w:val="14"/>
          <w:szCs w:val="14"/>
          <w:color w:val="auto"/>
        </w:rPr>
        <w:t>Corporate action constituting a grant by the Company of an Award to any Participant will be deemed completed as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33" w:lineRule="exact"/>
        <w:rPr>
          <w:rFonts w:ascii="Times New Roman" w:cs="Times New Roman" w:eastAsia="Times New Roman" w:hAnsi="Times New Roman"/>
          <w:sz w:val="15"/>
          <w:szCs w:val="15"/>
          <w:b w:val="1"/>
          <w:bCs w:val="1"/>
          <w:color w:val="auto"/>
        </w:rPr>
      </w:pPr>
    </w:p>
    <w:p>
      <w:pPr>
        <w:jc w:val="both"/>
        <w:ind w:right="20" w:firstLine="466"/>
        <w:spacing w:after="0" w:line="267" w:lineRule="auto"/>
        <w:tabs>
          <w:tab w:leader="none" w:pos="804" w:val="left"/>
        </w:tabs>
        <w:numPr>
          <w:ilvl w:val="0"/>
          <w:numId w:val="38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Stockholder Rights. </w:t>
      </w:r>
      <w:r>
        <w:rPr>
          <w:rFonts w:ascii="Times New Roman" w:cs="Times New Roman" w:eastAsia="Times New Roman" w:hAnsi="Times New Roman"/>
          <w:sz w:val="14"/>
          <w:szCs w:val="14"/>
          <w:color w:val="auto"/>
        </w:rPr>
        <w:t>No Participant will be deemed to be the holder of, or to have any of the rights of a holder with respect to, any Shares subject to such Award unless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until (i) the Participant has satisfied all requirements for exercise of the Award pursuant to its terms, if applicable, and (ii) the issuance of the Shares subject to the Award is reflected in the records of the Company.</w:t>
      </w:r>
    </w:p>
    <w:p>
      <w:pPr>
        <w:spacing w:after="0" w:line="129" w:lineRule="exact"/>
        <w:rPr>
          <w:rFonts w:ascii="Times New Roman" w:cs="Times New Roman" w:eastAsia="Times New Roman" w:hAnsi="Times New Roman"/>
          <w:sz w:val="15"/>
          <w:szCs w:val="15"/>
          <w:b w:val="1"/>
          <w:bCs w:val="1"/>
          <w:color w:val="auto"/>
        </w:rPr>
      </w:pPr>
    </w:p>
    <w:p>
      <w:pPr>
        <w:jc w:val="both"/>
        <w:ind w:right="20" w:firstLine="466"/>
        <w:spacing w:after="0" w:line="262" w:lineRule="auto"/>
        <w:tabs>
          <w:tab w:leader="none" w:pos="832" w:val="left"/>
        </w:tabs>
        <w:numPr>
          <w:ilvl w:val="0"/>
          <w:numId w:val="38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No Employment or Other Service Rights. </w:t>
      </w:r>
      <w:r>
        <w:rPr>
          <w:rFonts w:ascii="Times New Roman" w:cs="Times New Roman" w:eastAsia="Times New Roman" w:hAnsi="Times New Roman"/>
          <w:sz w:val="14"/>
          <w:szCs w:val="14"/>
          <w:color w:val="auto"/>
        </w:rPr>
        <w:t>Nothing in the Plan, any Award Agreement or any other instrument executed thereunder or in connection with any Award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granted pursuant thereto will confer upon any Participant any right to continue to serve the Company or an Affiliate in the capacity in effect at the time the Award was granted or affect the right of the 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w:t>
      </w:r>
    </w:p>
    <w:p>
      <w:pPr>
        <w:sectPr>
          <w:pgSz w:w="11900" w:h="16840" w:orient="portrait"/>
          <w:cols w:equalWidth="0" w:num="1">
            <w:col w:w="10620"/>
          </w:cols>
          <w:pgMar w:left="640" w:top="1440" w:right="640" w:bottom="1440" w:gutter="0" w:footer="0" w:header="0"/>
        </w:sectPr>
      </w:pPr>
    </w:p>
    <w:bookmarkStart w:id="327" w:name="page328"/>
    <w:bookmarkEnd w:id="327"/>
    <w:p>
      <w:pPr>
        <w:spacing w:after="0" w:line="3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4"/>
          <w:szCs w:val="14"/>
          <w:color w:val="auto"/>
        </w:rPr>
        <w:t>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305" w:lineRule="exact"/>
        <w:rPr>
          <w:sz w:val="20"/>
          <w:szCs w:val="20"/>
          <w:color w:val="auto"/>
        </w:rPr>
      </w:pPr>
    </w:p>
    <w:p>
      <w:pPr>
        <w:jc w:val="both"/>
        <w:ind w:firstLine="466"/>
        <w:spacing w:after="0" w:line="260" w:lineRule="auto"/>
        <w:tabs>
          <w:tab w:leader="none" w:pos="804" w:val="left"/>
        </w:tabs>
        <w:numPr>
          <w:ilvl w:val="0"/>
          <w:numId w:val="38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Change in Time Commitment. </w:t>
      </w:r>
      <w:r>
        <w:rPr>
          <w:rFonts w:ascii="Times New Roman" w:cs="Times New Roman" w:eastAsia="Times New Roman" w:hAnsi="Times New Roman"/>
          <w:sz w:val="14"/>
          <w:szCs w:val="14"/>
          <w:color w:val="auto"/>
        </w:rPr>
        <w:t>In the event a Participant’s regular level of time commitment in the performance of the Participant’s services for the Company and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a reduction, extend the vesting or payment schedule applicable to the Award. In the event of any extension or reduction, the Participant will not be deemed to be Materially Impaired, no consent from the Participant will be required, and the Participant will have no right with respect to any portion of the Award that is so reduced.</w:t>
      </w:r>
    </w:p>
    <w:p>
      <w:pPr>
        <w:spacing w:after="0" w:line="135" w:lineRule="exact"/>
        <w:rPr>
          <w:rFonts w:ascii="Times New Roman" w:cs="Times New Roman" w:eastAsia="Times New Roman" w:hAnsi="Times New Roman"/>
          <w:sz w:val="15"/>
          <w:szCs w:val="15"/>
          <w:b w:val="1"/>
          <w:bCs w:val="1"/>
          <w:color w:val="auto"/>
        </w:rPr>
      </w:pPr>
    </w:p>
    <w:p>
      <w:pPr>
        <w:jc w:val="both"/>
        <w:ind w:right="40" w:firstLine="466"/>
        <w:spacing w:after="0" w:line="267" w:lineRule="auto"/>
        <w:tabs>
          <w:tab w:leader="none" w:pos="804" w:val="left"/>
        </w:tabs>
        <w:numPr>
          <w:ilvl w:val="0"/>
          <w:numId w:val="38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Execution of Additional Documents. </w:t>
      </w:r>
      <w:r>
        <w:rPr>
          <w:rFonts w:ascii="Times New Roman" w:cs="Times New Roman" w:eastAsia="Times New Roman" w:hAnsi="Times New Roman"/>
          <w:sz w:val="14"/>
          <w:szCs w:val="14"/>
          <w:color w:val="auto"/>
        </w:rPr>
        <w:t>As a condition to accepting an Award under the Plan, the Participant agrees to execute any additional documents or instruments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29" w:lineRule="exact"/>
        <w:rPr>
          <w:rFonts w:ascii="Times New Roman" w:cs="Times New Roman" w:eastAsia="Times New Roman" w:hAnsi="Times New Roman"/>
          <w:sz w:val="15"/>
          <w:szCs w:val="15"/>
          <w:b w:val="1"/>
          <w:bCs w:val="1"/>
          <w:color w:val="auto"/>
        </w:rPr>
      </w:pPr>
    </w:p>
    <w:p>
      <w:pPr>
        <w:jc w:val="both"/>
        <w:ind w:right="20" w:firstLine="466"/>
        <w:spacing w:after="0" w:line="262" w:lineRule="auto"/>
        <w:tabs>
          <w:tab w:leader="none" w:pos="804" w:val="left"/>
        </w:tabs>
        <w:numPr>
          <w:ilvl w:val="0"/>
          <w:numId w:val="38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Electronic Delivery and Participation. </w:t>
      </w:r>
      <w:r>
        <w:rPr>
          <w:rFonts w:ascii="Times New Roman" w:cs="Times New Roman" w:eastAsia="Times New Roman" w:hAnsi="Times New Roman"/>
          <w:sz w:val="14"/>
          <w:szCs w:val="14"/>
          <w:color w:val="auto"/>
        </w:rPr>
        <w:t>Any reference herein or in an Award Agreement to a “written” agreement or document will include any agreement or document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Shares (e.g., a stock certificate or electronic entry evidencing such shares) shall be determined by the Company.</w:t>
      </w:r>
    </w:p>
    <w:p>
      <w:pPr>
        <w:spacing w:after="0" w:line="132" w:lineRule="exact"/>
        <w:rPr>
          <w:rFonts w:ascii="Times New Roman" w:cs="Times New Roman" w:eastAsia="Times New Roman" w:hAnsi="Times New Roman"/>
          <w:sz w:val="15"/>
          <w:szCs w:val="15"/>
          <w:b w:val="1"/>
          <w:bCs w:val="1"/>
          <w:color w:val="auto"/>
        </w:rPr>
      </w:pPr>
    </w:p>
    <w:p>
      <w:pPr>
        <w:jc w:val="both"/>
        <w:ind w:firstLine="466"/>
        <w:spacing w:after="0" w:line="261" w:lineRule="auto"/>
        <w:tabs>
          <w:tab w:leader="none" w:pos="813" w:val="left"/>
        </w:tabs>
        <w:numPr>
          <w:ilvl w:val="0"/>
          <w:numId w:val="38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Clawback/Recovery. </w:t>
      </w:r>
      <w:r>
        <w:rPr>
          <w:rFonts w:ascii="Times New Roman" w:cs="Times New Roman" w:eastAsia="Times New Roman" w:hAnsi="Times New Roman"/>
          <w:sz w:val="14"/>
          <w:szCs w:val="14"/>
          <w:color w:val="auto"/>
        </w:rPr>
        <w:t>Each Award granted under the Plan will be subject to reduction, cancellation, forfeiture, or recoupment in accordance with any clawback policy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that is in effect as of the date the Award is granted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or cash upon the occurrence of Cause. No recovery of compensation under a clawback policy will be an event giving rise to a Participant’s right to voluntarily terminate employment upon a “resignation for good</w:t>
      </w:r>
    </w:p>
    <w:p>
      <w:pPr>
        <w:sectPr>
          <w:pgSz w:w="11900" w:h="16840" w:orient="portrait"/>
          <w:cols w:equalWidth="0" w:num="1">
            <w:col w:w="10620"/>
          </w:cols>
          <w:pgMar w:left="640" w:top="1440" w:right="640" w:bottom="1440" w:gutter="0" w:footer="0" w:header="0"/>
        </w:sectPr>
      </w:pPr>
    </w:p>
    <w:bookmarkStart w:id="328" w:name="page329"/>
    <w:bookmarkEnd w:id="328"/>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reason,” or for a “constructive termination” or any similar term under any plan of or agreement with the Company.</w:t>
      </w:r>
    </w:p>
    <w:p>
      <w:pPr>
        <w:spacing w:after="0" w:line="172" w:lineRule="exact"/>
        <w:rPr>
          <w:sz w:val="20"/>
          <w:szCs w:val="20"/>
          <w:color w:val="auto"/>
        </w:rPr>
      </w:pPr>
    </w:p>
    <w:p>
      <w:pPr>
        <w:jc w:val="both"/>
        <w:ind w:firstLine="466"/>
        <w:spacing w:after="0" w:line="259" w:lineRule="auto"/>
        <w:tabs>
          <w:tab w:leader="none" w:pos="765" w:val="left"/>
        </w:tabs>
        <w:numPr>
          <w:ilvl w:val="0"/>
          <w:numId w:val="38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Securities Law Compliance. </w:t>
      </w:r>
      <w:r>
        <w:rPr>
          <w:rFonts w:ascii="Times New Roman" w:cs="Times New Roman" w:eastAsia="Times New Roman" w:hAnsi="Times New Roman"/>
          <w:sz w:val="14"/>
          <w:szCs w:val="14"/>
          <w:color w:val="auto"/>
        </w:rPr>
        <w:t>A Participant will not be issued any Shares in respect of an Award unless either (i) the Shares are registered under the Securities Act or (ii)</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has determined that such issuance would be exempt from the registration requirements of the Securities Act. Each Award also must comply with other Applicable Law governing the Award, and a Participant will not receive Shares if the Company determines that the receipt of Shares would not be in compliance with Applicable Law. If required by the Company, issuance will be further subject to the approval of counsel for the Company with respect to such compliance. If the Company determines it to be impossible or impractical to obtain authority from any regulatory body having jurisdiction or to complete or comply with the requirements of any Applicable Laws, registration or other qualification of the Shares under any state, federal or foreign law or under the rules and regulations of the U.S. Securities and Exchange Commission, the stock or share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regarding the failure to issue or sell such Shares as to which such authority, registration, qualification or rule compliance was not obtained and the Board reserves the authority, without the consent of a Participant, to terminate or cancel Awards with or without consideration in such a situation.</w:t>
      </w:r>
    </w:p>
    <w:p>
      <w:pPr>
        <w:spacing w:after="0" w:line="301" w:lineRule="exact"/>
        <w:rPr>
          <w:sz w:val="20"/>
          <w:szCs w:val="20"/>
          <w:color w:val="auto"/>
        </w:rPr>
      </w:pPr>
    </w:p>
    <w:p>
      <w:pPr>
        <w:jc w:val="both"/>
        <w:ind w:right="20" w:firstLine="919"/>
        <w:spacing w:after="0" w:line="287" w:lineRule="auto"/>
        <w:rPr>
          <w:sz w:val="20"/>
          <w:szCs w:val="20"/>
          <w:color w:val="auto"/>
        </w:rPr>
      </w:pPr>
      <w:r>
        <w:rPr>
          <w:rFonts w:ascii="Times New Roman" w:cs="Times New Roman" w:eastAsia="Times New Roman" w:hAnsi="Times New Roman"/>
          <w:sz w:val="14"/>
          <w:szCs w:val="14"/>
          <w:color w:val="auto"/>
        </w:rPr>
        <w:t>As a condition to the exercise of an Award, the Company may require the person exercising such Award to represent and warrant at the time of any exercise that the Shares are being purchased only for investment and without any present intention to sell or distribute such Shares if, in the opinion of counsel for the Company, such a representation is required.</w:t>
      </w:r>
    </w:p>
    <w:p>
      <w:pPr>
        <w:spacing w:after="0" w:line="285" w:lineRule="exact"/>
        <w:rPr>
          <w:sz w:val="20"/>
          <w:szCs w:val="20"/>
          <w:color w:val="auto"/>
        </w:rPr>
      </w:pPr>
    </w:p>
    <w:p>
      <w:pPr>
        <w:jc w:val="both"/>
        <w:ind w:firstLine="919"/>
        <w:spacing w:after="0" w:line="266" w:lineRule="auto"/>
        <w:rPr>
          <w:sz w:val="20"/>
          <w:szCs w:val="20"/>
          <w:color w:val="auto"/>
        </w:rPr>
      </w:pPr>
      <w:r>
        <w:rPr>
          <w:rFonts w:ascii="Times New Roman" w:cs="Times New Roman" w:eastAsia="Times New Roman" w:hAnsi="Times New Roman"/>
          <w:sz w:val="14"/>
          <w:szCs w:val="14"/>
          <w:color w:val="auto"/>
        </w:rPr>
        <w:t>The inability of the Company to obtain authority from any regulatory body having jurisdiction or to complete or comply with the requirements of any registration or other qualification of the Shares under any U.S. state or federal law or non-U.S.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30" w:lineRule="exact"/>
        <w:rPr>
          <w:sz w:val="20"/>
          <w:szCs w:val="20"/>
          <w:color w:val="auto"/>
        </w:rPr>
      </w:pPr>
    </w:p>
    <w:p>
      <w:pPr>
        <w:jc w:val="both"/>
        <w:ind w:right="20" w:firstLine="466"/>
        <w:spacing w:after="0" w:line="263" w:lineRule="auto"/>
        <w:tabs>
          <w:tab w:leader="none" w:pos="785" w:val="left"/>
        </w:tabs>
        <w:numPr>
          <w:ilvl w:val="0"/>
          <w:numId w:val="38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Transfer or Assignment of Awards; Issued Shares. </w:t>
      </w:r>
      <w:r>
        <w:rPr>
          <w:rFonts w:ascii="Times New Roman" w:cs="Times New Roman" w:eastAsia="Times New Roman" w:hAnsi="Times New Roman"/>
          <w:sz w:val="14"/>
          <w:szCs w:val="14"/>
          <w:color w:val="auto"/>
        </w:rPr>
        <w:t>Except as expressly provided in the Plan or the applicable Award Agreement, Awards granted under the Plan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 be transferred or assigned by the Participant. After the vested Shares subject to an Award have been issued, or in the case of a Restricted Stock Award and similar Awards, after the issued Shares have vested, the holder of the Shares is free to assign, hypothecate, donate, encumber or otherwise dispose of any interest in those Shares provided that any such actions are in compliance with the provisions herein, the terms of the Trading Policy and Applicable Law.</w:t>
      </w:r>
    </w:p>
    <w:p>
      <w:pPr>
        <w:spacing w:after="0" w:line="133" w:lineRule="exact"/>
        <w:rPr>
          <w:rFonts w:ascii="Times New Roman" w:cs="Times New Roman" w:eastAsia="Times New Roman" w:hAnsi="Times New Roman"/>
          <w:sz w:val="15"/>
          <w:szCs w:val="15"/>
          <w:b w:val="1"/>
          <w:bCs w:val="1"/>
          <w:color w:val="auto"/>
        </w:rPr>
      </w:pPr>
    </w:p>
    <w:p>
      <w:pPr>
        <w:jc w:val="both"/>
        <w:ind w:right="20" w:firstLine="466"/>
        <w:spacing w:after="0" w:line="267" w:lineRule="auto"/>
        <w:tabs>
          <w:tab w:leader="none" w:pos="842" w:val="left"/>
        </w:tabs>
        <w:numPr>
          <w:ilvl w:val="0"/>
          <w:numId w:val="38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Effect on Other Employee Benefit Plans. </w:t>
      </w:r>
      <w:r>
        <w:rPr>
          <w:rFonts w:ascii="Times New Roman" w:cs="Times New Roman" w:eastAsia="Times New Roman" w:hAnsi="Times New Roman"/>
          <w:sz w:val="14"/>
          <w:szCs w:val="14"/>
          <w:color w:val="auto"/>
        </w:rPr>
        <w:t>The value of any Award granted under the Plan, as determined upon grant, vesting or settlement, shall not be included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compensation, earnings, salaries, or other similar terms used when calculating any Participant’s benefits under any employee benefit plan sponsored by the Company or any Affiliate, except as such plan otherwise expressly</w:t>
      </w:r>
    </w:p>
    <w:p>
      <w:pPr>
        <w:sectPr>
          <w:pgSz w:w="11900" w:h="16840" w:orient="portrait"/>
          <w:cols w:equalWidth="0" w:num="1">
            <w:col w:w="10620"/>
          </w:cols>
          <w:pgMar w:left="640" w:top="1440" w:right="640" w:bottom="1440" w:gutter="0" w:footer="0" w:header="0"/>
        </w:sectPr>
      </w:pPr>
    </w:p>
    <w:bookmarkStart w:id="329" w:name="page330"/>
    <w:bookmarkEnd w:id="329"/>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provides. The Company expressly reserves its rights to amend, modify, or terminate any of the Company’s or any Affiliate’s employee benefit plans.</w:t>
      </w:r>
    </w:p>
    <w:p>
      <w:pPr>
        <w:spacing w:after="0" w:line="161" w:lineRule="exact"/>
        <w:rPr>
          <w:sz w:val="20"/>
          <w:szCs w:val="20"/>
          <w:color w:val="auto"/>
        </w:rPr>
      </w:pPr>
    </w:p>
    <w:p>
      <w:pPr>
        <w:ind w:right="40" w:firstLine="466"/>
        <w:spacing w:after="0" w:line="295" w:lineRule="auto"/>
        <w:tabs>
          <w:tab w:leader="none" w:pos="539" w:val="left"/>
        </w:tabs>
        <w:numPr>
          <w:ilvl w:val="0"/>
          <w:numId w:val="38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l ) </w:t>
      </w:r>
      <w:r>
        <w:rPr>
          <w:rFonts w:ascii="Times New Roman" w:cs="Times New Roman" w:eastAsia="Times New Roman" w:hAnsi="Times New Roman"/>
          <w:sz w:val="14"/>
          <w:szCs w:val="14"/>
          <w:b w:val="1"/>
          <w:bCs w:val="1"/>
          <w:color w:val="auto"/>
        </w:rPr>
        <w:t>Deferrals.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To the extent permitted by Applicable Law, the Board, in its sole discretion, may determine that the delivery of Shares or the payment of cash, upon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exercise, vesting or settlement of all or a portion of an Award may be deferred and may also establish programs and procedures for deferral elections to be made by Participants.</w:t>
      </w:r>
    </w:p>
    <w:p>
      <w:pPr>
        <w:spacing w:after="0" w:line="108" w:lineRule="exact"/>
        <w:rPr>
          <w:sz w:val="20"/>
          <w:szCs w:val="20"/>
          <w:color w:val="auto"/>
        </w:rPr>
      </w:pPr>
    </w:p>
    <w:p>
      <w:pPr>
        <w:ind w:firstLine="466"/>
        <w:spacing w:after="0" w:line="259" w:lineRule="auto"/>
        <w:tabs>
          <w:tab w:leader="none" w:pos="861" w:val="left"/>
        </w:tabs>
        <w:numPr>
          <w:ilvl w:val="0"/>
          <w:numId w:val="38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Section 409A. </w:t>
      </w:r>
      <w:r>
        <w:rPr>
          <w:rFonts w:ascii="Times New Roman" w:cs="Times New Roman" w:eastAsia="Times New Roman" w:hAnsi="Times New Roman"/>
          <w:sz w:val="14"/>
          <w:szCs w:val="14"/>
          <w:color w:val="auto"/>
        </w:rPr>
        <w:t>Unless otherwise expressly provided for in an Award Agreement, the Plan and Award Agreements will be interpreted to the greatest extent possible in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the Participant’s “separation from service” or, if earlier, the date of the Participant’s death, unless the distribution or payment can be made in a manner that complies with Section 409A, and any amounts so deferred will be paid in a lump sum on the day after the six month period elapses, with the balance paid thereafter on the original schedule.</w:t>
      </w:r>
    </w:p>
    <w:p>
      <w:pPr>
        <w:spacing w:after="0" w:line="135" w:lineRule="exact"/>
        <w:rPr>
          <w:rFonts w:ascii="Times New Roman" w:cs="Times New Roman" w:eastAsia="Times New Roman" w:hAnsi="Times New Roman"/>
          <w:sz w:val="15"/>
          <w:szCs w:val="15"/>
          <w:b w:val="1"/>
          <w:bCs w:val="1"/>
          <w:color w:val="auto"/>
        </w:rPr>
      </w:pPr>
    </w:p>
    <w:p>
      <w:pPr>
        <w:ind w:right="20" w:firstLine="466"/>
        <w:spacing w:after="0" w:line="279" w:lineRule="auto"/>
        <w:tabs>
          <w:tab w:leader="none" w:pos="804" w:val="left"/>
        </w:tabs>
        <w:numPr>
          <w:ilvl w:val="0"/>
          <w:numId w:val="38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 xml:space="preserve">Choice of Law. </w:t>
      </w:r>
      <w:r>
        <w:rPr>
          <w:rFonts w:ascii="Times New Roman" w:cs="Times New Roman" w:eastAsia="Times New Roman" w:hAnsi="Times New Roman"/>
          <w:sz w:val="14"/>
          <w:szCs w:val="14"/>
          <w:color w:val="auto"/>
        </w:rPr>
        <w:t>This Plan and any controversy arising out of or relating to this Plan shall be governed by, and construed in accordance with, the internal laws of the State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Delaware, without regard to conflict of law principles that would result in any application of any law other than the law of the State of Delaware.</w:t>
      </w:r>
    </w:p>
    <w:p>
      <w:pPr>
        <w:spacing w:after="0" w:line="119" w:lineRule="exact"/>
        <w:rPr>
          <w:sz w:val="20"/>
          <w:szCs w:val="20"/>
          <w:color w:val="auto"/>
        </w:rPr>
      </w:pPr>
    </w:p>
    <w:p>
      <w:pPr>
        <w:ind w:left="360" w:hanging="353"/>
        <w:spacing w:after="0"/>
        <w:tabs>
          <w:tab w:leader="none" w:pos="360" w:val="left"/>
        </w:tabs>
        <w:numPr>
          <w:ilvl w:val="0"/>
          <w:numId w:val="38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SEVERABILITY.</w:t>
      </w:r>
    </w:p>
    <w:p>
      <w:pPr>
        <w:spacing w:after="0" w:line="155" w:lineRule="exact"/>
        <w:rPr>
          <w:sz w:val="20"/>
          <w:szCs w:val="20"/>
          <w:color w:val="auto"/>
        </w:rPr>
      </w:pPr>
    </w:p>
    <w:p>
      <w:pPr>
        <w:jc w:val="both"/>
        <w:ind w:right="20" w:firstLine="459"/>
        <w:spacing w:after="0" w:line="266" w:lineRule="auto"/>
        <w:rPr>
          <w:sz w:val="20"/>
          <w:szCs w:val="20"/>
          <w:color w:val="auto"/>
        </w:rPr>
      </w:pPr>
      <w:r>
        <w:rPr>
          <w:rFonts w:ascii="Times New Roman" w:cs="Times New Roman" w:eastAsia="Times New Roman" w:hAnsi="Times New Roman"/>
          <w:sz w:val="14"/>
          <w:szCs w:val="14"/>
          <w:color w:val="auto"/>
        </w:rPr>
        <w:t>If all or any part of the Plan, any Award Agreement, or any written agreement between a Participant and the Company or any Affiliate of the Company that is approved by the Board (to the extent such written agreement relates to an Award) is declared by any court or governmental authority to be unlawful or invalid, such unlawfulness or invalidity shall not invalidate any portion of the Plan or such Award Agreement or written agreement not declared to be unlawful or invalid. Any Section of the Plan or any Award Agreement or such written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30" w:lineRule="exact"/>
        <w:rPr>
          <w:sz w:val="20"/>
          <w:szCs w:val="20"/>
          <w:color w:val="auto"/>
        </w:rPr>
      </w:pPr>
    </w:p>
    <w:p>
      <w:pPr>
        <w:ind w:left="360" w:hanging="353"/>
        <w:spacing w:after="0"/>
        <w:tabs>
          <w:tab w:leader="none" w:pos="360" w:val="left"/>
        </w:tabs>
        <w:numPr>
          <w:ilvl w:val="0"/>
          <w:numId w:val="39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TERMINATION OF THE PLAN.</w:t>
      </w:r>
    </w:p>
    <w:p>
      <w:pPr>
        <w:spacing w:after="0" w:line="155" w:lineRule="exact"/>
        <w:rPr>
          <w:sz w:val="20"/>
          <w:szCs w:val="20"/>
          <w:color w:val="auto"/>
        </w:rPr>
      </w:pPr>
    </w:p>
    <w:p>
      <w:pPr>
        <w:ind w:right="20" w:firstLine="459"/>
        <w:spacing w:after="0" w:line="293" w:lineRule="auto"/>
        <w:rPr>
          <w:sz w:val="20"/>
          <w:szCs w:val="20"/>
          <w:color w:val="auto"/>
        </w:rPr>
      </w:pPr>
      <w:r>
        <w:rPr>
          <w:rFonts w:ascii="Times New Roman" w:cs="Times New Roman" w:eastAsia="Times New Roman" w:hAnsi="Times New Roman"/>
          <w:sz w:val="14"/>
          <w:szCs w:val="14"/>
          <w:color w:val="auto"/>
        </w:rPr>
        <w:t>The Board may suspend or terminate the Plan at any time. No Incentive Stock Options may be granted after the tenth anniversary of the Effective Date. No Awards may be granted under the Plan while the Plan is suspended or after it is terminated.</w:t>
      </w:r>
    </w:p>
    <w:p>
      <w:pPr>
        <w:sectPr>
          <w:pgSz w:w="11900" w:h="16840" w:orient="portrait"/>
          <w:cols w:equalWidth="0" w:num="1">
            <w:col w:w="10620"/>
          </w:cols>
          <w:pgMar w:left="640" w:top="1440" w:right="640" w:bottom="1440" w:gutter="0" w:footer="0" w:header="0"/>
        </w:sectPr>
      </w:pPr>
    </w:p>
    <w:bookmarkStart w:id="330" w:name="page331"/>
    <w:bookmarkEnd w:id="330"/>
    <w:p>
      <w:pPr>
        <w:spacing w:after="0" w:line="46" w:lineRule="exact"/>
        <w:rPr>
          <w:sz w:val="20"/>
          <w:szCs w:val="20"/>
          <w:color w:val="auto"/>
        </w:rPr>
      </w:pPr>
    </w:p>
    <w:p>
      <w:pPr>
        <w:ind w:left="353" w:hanging="353"/>
        <w:spacing w:after="0"/>
        <w:tabs>
          <w:tab w:leader="none" w:pos="353" w:val="left"/>
        </w:tabs>
        <w:numPr>
          <w:ilvl w:val="0"/>
          <w:numId w:val="39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b w:val="1"/>
          <w:bCs w:val="1"/>
          <w:color w:val="auto"/>
        </w:rPr>
        <w:t>DEFINITIONS.</w:t>
      </w:r>
    </w:p>
    <w:p>
      <w:pPr>
        <w:spacing w:after="0" w:line="155" w:lineRule="exact"/>
        <w:rPr>
          <w:sz w:val="20"/>
          <w:szCs w:val="20"/>
          <w:color w:val="auto"/>
        </w:rPr>
      </w:pPr>
    </w:p>
    <w:p>
      <w:pPr>
        <w:ind w:left="453"/>
        <w:spacing w:after="0"/>
        <w:rPr>
          <w:sz w:val="20"/>
          <w:szCs w:val="20"/>
          <w:color w:val="auto"/>
        </w:rPr>
      </w:pPr>
      <w:r>
        <w:rPr>
          <w:rFonts w:ascii="Times New Roman" w:cs="Times New Roman" w:eastAsia="Times New Roman" w:hAnsi="Times New Roman"/>
          <w:sz w:val="14"/>
          <w:szCs w:val="14"/>
          <w:color w:val="auto"/>
        </w:rPr>
        <w:t>As used in the Plan, the following definitions apply to the capitalized terms indicated below:</w:t>
      </w:r>
    </w:p>
    <w:p>
      <w:pPr>
        <w:spacing w:after="0" w:line="170" w:lineRule="exact"/>
        <w:rPr>
          <w:sz w:val="20"/>
          <w:szCs w:val="20"/>
          <w:color w:val="auto"/>
        </w:rPr>
      </w:pPr>
    </w:p>
    <w:p>
      <w:pPr>
        <w:ind w:left="793" w:hanging="334"/>
        <w:spacing w:after="0"/>
        <w:tabs>
          <w:tab w:leader="none" w:pos="793" w:val="left"/>
        </w:tabs>
        <w:numPr>
          <w:ilvl w:val="0"/>
          <w:numId w:val="39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Acquiring Entity</w:t>
      </w:r>
      <w:r>
        <w:rPr>
          <w:rFonts w:ascii="Times New Roman" w:cs="Times New Roman" w:eastAsia="Times New Roman" w:hAnsi="Times New Roman"/>
          <w:sz w:val="14"/>
          <w:szCs w:val="14"/>
          <w:color w:val="auto"/>
        </w:rPr>
        <w:t>” means the surviving or acquiring corporation (or its parent company) in connection with a Corporate Transaction.</w:t>
      </w:r>
    </w:p>
    <w:p>
      <w:pPr>
        <w:spacing w:after="0" w:line="162" w:lineRule="exact"/>
        <w:rPr>
          <w:rFonts w:ascii="Times New Roman" w:cs="Times New Roman" w:eastAsia="Times New Roman" w:hAnsi="Times New Roman"/>
          <w:sz w:val="15"/>
          <w:szCs w:val="15"/>
          <w:b w:val="1"/>
          <w:bCs w:val="1"/>
          <w:color w:val="auto"/>
        </w:rPr>
      </w:pPr>
    </w:p>
    <w:p>
      <w:pPr>
        <w:ind w:left="-7" w:right="40" w:firstLine="466"/>
        <w:spacing w:after="0" w:line="282" w:lineRule="auto"/>
        <w:tabs>
          <w:tab w:leader="none" w:pos="797" w:val="left"/>
        </w:tabs>
        <w:numPr>
          <w:ilvl w:val="0"/>
          <w:numId w:val="39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Affiliate</w:t>
      </w:r>
      <w:r>
        <w:rPr>
          <w:rFonts w:ascii="Times New Roman" w:cs="Times New Roman" w:eastAsia="Times New Roman" w:hAnsi="Times New Roman"/>
          <w:sz w:val="14"/>
          <w:szCs w:val="14"/>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15" w:lineRule="exact"/>
        <w:rPr>
          <w:rFonts w:ascii="Times New Roman" w:cs="Times New Roman" w:eastAsia="Times New Roman" w:hAnsi="Times New Roman"/>
          <w:sz w:val="15"/>
          <w:szCs w:val="15"/>
          <w:b w:val="1"/>
          <w:bCs w:val="1"/>
          <w:color w:val="auto"/>
        </w:rPr>
      </w:pPr>
    </w:p>
    <w:p>
      <w:pPr>
        <w:jc w:val="both"/>
        <w:ind w:left="-7" w:right="40" w:firstLine="466"/>
        <w:spacing w:after="0" w:line="264" w:lineRule="auto"/>
        <w:tabs>
          <w:tab w:leader="none" w:pos="788" w:val="left"/>
        </w:tabs>
        <w:numPr>
          <w:ilvl w:val="0"/>
          <w:numId w:val="39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Applicable Law</w:t>
      </w:r>
      <w:r>
        <w:rPr>
          <w:rFonts w:ascii="Times New Roman" w:cs="Times New Roman" w:eastAsia="Times New Roman" w:hAnsi="Times New Roman"/>
          <w:sz w:val="14"/>
          <w:szCs w:val="14"/>
          <w:color w:val="auto"/>
        </w:rPr>
        <w:t>”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30" w:lineRule="exact"/>
        <w:rPr>
          <w:rFonts w:ascii="Times New Roman" w:cs="Times New Roman" w:eastAsia="Times New Roman" w:hAnsi="Times New Roman"/>
          <w:sz w:val="15"/>
          <w:szCs w:val="15"/>
          <w:b w:val="1"/>
          <w:bCs w:val="1"/>
          <w:color w:val="auto"/>
        </w:rPr>
      </w:pPr>
    </w:p>
    <w:p>
      <w:pPr>
        <w:ind w:left="-7" w:right="40" w:firstLine="466"/>
        <w:spacing w:after="0" w:line="282" w:lineRule="auto"/>
        <w:tabs>
          <w:tab w:leader="none" w:pos="807" w:val="left"/>
        </w:tabs>
        <w:numPr>
          <w:ilvl w:val="0"/>
          <w:numId w:val="39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Award</w:t>
      </w:r>
      <w:r>
        <w:rPr>
          <w:rFonts w:ascii="Times New Roman" w:cs="Times New Roman" w:eastAsia="Times New Roman" w:hAnsi="Times New Roman"/>
          <w:sz w:val="14"/>
          <w:szCs w:val="14"/>
          <w:color w:val="auto"/>
        </w:rPr>
        <w:t>” means any right to receive Shares or cash granted under the Plan (including an Incentive Stock Option, a Nonstatutory Stock Option, a Restricted Stock Award, an Restricted Stock Unit Award, a Stock Appreciation Right, a Performance Award or any Other Award).</w:t>
      </w:r>
    </w:p>
    <w:p>
      <w:pPr>
        <w:spacing w:after="0" w:line="107" w:lineRule="exact"/>
        <w:rPr>
          <w:sz w:val="20"/>
          <w:szCs w:val="20"/>
          <w:color w:val="auto"/>
        </w:rPr>
      </w:pPr>
    </w:p>
    <w:p>
      <w:pPr>
        <w:jc w:val="both"/>
        <w:ind w:left="-7" w:right="40" w:firstLine="466"/>
        <w:spacing w:after="0" w:line="266" w:lineRule="auto"/>
        <w:tabs>
          <w:tab w:leader="none" w:pos="528" w:val="left"/>
        </w:tabs>
        <w:numPr>
          <w:ilvl w:val="0"/>
          <w:numId w:val="39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e )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Award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 means a written or electronic agreement between the Company and a Participant evidencing the terms and conditions of an Award. The Award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127" w:lineRule="exact"/>
        <w:rPr>
          <w:sz w:val="20"/>
          <w:szCs w:val="20"/>
          <w:color w:val="auto"/>
        </w:rPr>
      </w:pPr>
    </w:p>
    <w:p>
      <w:pPr>
        <w:ind w:left="-7" w:right="20" w:firstLine="466"/>
        <w:spacing w:after="0" w:line="282" w:lineRule="auto"/>
        <w:tabs>
          <w:tab w:leader="none" w:pos="797" w:val="left"/>
        </w:tabs>
        <w:numPr>
          <w:ilvl w:val="0"/>
          <w:numId w:val="39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15" w:lineRule="exact"/>
        <w:rPr>
          <w:rFonts w:ascii="Times New Roman" w:cs="Times New Roman" w:eastAsia="Times New Roman" w:hAnsi="Times New Roman"/>
          <w:sz w:val="15"/>
          <w:szCs w:val="15"/>
          <w:b w:val="1"/>
          <w:bCs w:val="1"/>
          <w:color w:val="auto"/>
        </w:rPr>
      </w:pPr>
    </w:p>
    <w:p>
      <w:pPr>
        <w:ind w:left="793" w:hanging="334"/>
        <w:spacing w:after="0"/>
        <w:tabs>
          <w:tab w:leader="none" w:pos="793" w:val="left"/>
        </w:tabs>
        <w:numPr>
          <w:ilvl w:val="0"/>
          <w:numId w:val="39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Capital Stock</w:t>
      </w:r>
      <w:r>
        <w:rPr>
          <w:rFonts w:ascii="Times New Roman" w:cs="Times New Roman" w:eastAsia="Times New Roman" w:hAnsi="Times New Roman"/>
          <w:sz w:val="14"/>
          <w:szCs w:val="14"/>
          <w:color w:val="auto"/>
        </w:rPr>
        <w:t>” means each and every class of common stock of the Company, regardless of the number of votes per share.</w:t>
      </w:r>
    </w:p>
    <w:p>
      <w:pPr>
        <w:spacing w:after="0" w:line="162" w:lineRule="exact"/>
        <w:rPr>
          <w:rFonts w:ascii="Times New Roman" w:cs="Times New Roman" w:eastAsia="Times New Roman" w:hAnsi="Times New Roman"/>
          <w:sz w:val="15"/>
          <w:szCs w:val="15"/>
          <w:b w:val="1"/>
          <w:bCs w:val="1"/>
          <w:color w:val="auto"/>
        </w:rPr>
      </w:pPr>
    </w:p>
    <w:p>
      <w:pPr>
        <w:jc w:val="both"/>
        <w:ind w:left="-7" w:firstLine="466"/>
        <w:spacing w:after="0" w:line="261" w:lineRule="auto"/>
        <w:tabs>
          <w:tab w:leader="none" w:pos="797" w:val="left"/>
        </w:tabs>
        <w:numPr>
          <w:ilvl w:val="0"/>
          <w:numId w:val="39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Capitalization Adjustment</w:t>
      </w:r>
      <w:r>
        <w:rPr>
          <w:rFonts w:ascii="Times New Roman" w:cs="Times New Roman" w:eastAsia="Times New Roman" w:hAnsi="Times New Roman"/>
          <w:sz w:val="14"/>
          <w:szCs w:val="14"/>
          <w:color w:val="auto"/>
        </w:rPr>
        <w:t>” means any change that is made in, or other events that occur with respect to, the Common Stock subject to the Plan or subject to any Award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split-up, spin-off, combination of shares or other securities of the Company, reclassification, repurchase or exchange of shares or other securities of the Company,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ectPr>
          <w:pgSz w:w="11900" w:h="16840" w:orient="portrait"/>
          <w:cols w:equalWidth="0" w:num="1">
            <w:col w:w="10633"/>
          </w:cols>
          <w:pgMar w:left="647" w:top="1440" w:right="620" w:bottom="1440" w:gutter="0" w:footer="0" w:header="0"/>
        </w:sectPr>
      </w:pPr>
    </w:p>
    <w:bookmarkStart w:id="331" w:name="page332"/>
    <w:bookmarkEnd w:id="331"/>
    <w:p>
      <w:pPr>
        <w:spacing w:after="0" w:line="44" w:lineRule="exact"/>
        <w:rPr>
          <w:sz w:val="20"/>
          <w:szCs w:val="20"/>
          <w:color w:val="auto"/>
        </w:rPr>
      </w:pPr>
    </w:p>
    <w:p>
      <w:pPr>
        <w:jc w:val="both"/>
        <w:ind w:firstLine="466"/>
        <w:spacing w:after="0" w:line="259" w:lineRule="auto"/>
        <w:tabs>
          <w:tab w:leader="none" w:pos="765" w:val="left"/>
        </w:tabs>
        <w:numPr>
          <w:ilvl w:val="0"/>
          <w:numId w:val="39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Cause</w:t>
      </w:r>
      <w:r>
        <w:rPr>
          <w:rFonts w:ascii="Times New Roman" w:cs="Times New Roman" w:eastAsia="Times New Roman" w:hAnsi="Times New Roman"/>
          <w:sz w:val="14"/>
          <w:szCs w:val="14"/>
          <w:color w:val="auto"/>
        </w:rPr>
        <w:t>” has the meaning ascribed to such term in any written agreement between a Participant and the Company or any Affiliate of the Company that is approved by the Board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or in each case the equivalent in any relevant jurisdiction; (iii) the Participant’s failure to perform the Participant’s assigned duties and responsibilities to the reasonable satisfaction of the Company or any Affiliate of the Company which failure continues, in the reasonable judgment of the Company, after written notice given to the Participant by the Company or any Affiliate of the Company; (iv) the Participant’s gross negligence, willful misconduct or insubordination with respect to the Company or any Affiliate of the Company; or (v) the Participant’s material violation of any provision of any agreement(s) between the Participant and the Company or any Affiliate of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any Affiliate of the Company or such Participant for any other purpose.</w:t>
      </w:r>
    </w:p>
    <w:p>
      <w:pPr>
        <w:spacing w:after="0" w:line="124" w:lineRule="exact"/>
        <w:rPr>
          <w:sz w:val="20"/>
          <w:szCs w:val="20"/>
          <w:color w:val="auto"/>
        </w:rPr>
      </w:pPr>
    </w:p>
    <w:p>
      <w:pPr>
        <w:ind w:left="540" w:hanging="74"/>
        <w:spacing w:after="0"/>
        <w:tabs>
          <w:tab w:leader="none" w:pos="540" w:val="left"/>
        </w:tabs>
        <w:numPr>
          <w:ilvl w:val="0"/>
          <w:numId w:val="39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j )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Change in Control</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i w:val="1"/>
          <w:iCs w:val="1"/>
          <w:color w:val="auto"/>
        </w:rPr>
        <w:t>Change of Control</w:t>
      </w:r>
      <w:r>
        <w:rPr>
          <w:rFonts w:ascii="Times New Roman" w:cs="Times New Roman" w:eastAsia="Times New Roman" w:hAnsi="Times New Roman"/>
          <w:sz w:val="14"/>
          <w:szCs w:val="14"/>
          <w:color w:val="auto"/>
        </w:rPr>
        <w:t>” means the occurrence, in a single transaction or in a series of related transactions, of any one or more of the following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events:</w:t>
      </w:r>
    </w:p>
    <w:p>
      <w:pPr>
        <w:spacing w:after="0" w:line="158" w:lineRule="exact"/>
        <w:rPr>
          <w:sz w:val="20"/>
          <w:szCs w:val="20"/>
          <w:color w:val="auto"/>
        </w:rPr>
      </w:pPr>
    </w:p>
    <w:p>
      <w:pPr>
        <w:jc w:val="both"/>
        <w:ind w:firstLine="925"/>
        <w:spacing w:after="0" w:line="259" w:lineRule="auto"/>
        <w:tabs>
          <w:tab w:leader="none" w:pos="1234" w:val="left"/>
        </w:tabs>
        <w:numPr>
          <w:ilvl w:val="0"/>
          <w:numId w:val="39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4"/>
          <w:szCs w:val="14"/>
          <w:b w:val="1"/>
          <w:bCs w:val="1"/>
          <w:i w:val="1"/>
          <w:iCs w:val="1"/>
          <w:color w:val="auto"/>
        </w:rPr>
        <w:t>Subject Person</w:t>
      </w:r>
      <w:r>
        <w:rPr>
          <w:rFonts w:ascii="Times New Roman" w:cs="Times New Roman" w:eastAsia="Times New Roman" w:hAnsi="Times New Roman"/>
          <w:sz w:val="14"/>
          <w:szCs w:val="14"/>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36" w:lineRule="exact"/>
        <w:rPr>
          <w:rFonts w:ascii="Times New Roman" w:cs="Times New Roman" w:eastAsia="Times New Roman" w:hAnsi="Times New Roman"/>
          <w:sz w:val="15"/>
          <w:szCs w:val="15"/>
          <w:b w:val="1"/>
          <w:bCs w:val="1"/>
          <w:color w:val="auto"/>
        </w:rPr>
      </w:pPr>
    </w:p>
    <w:p>
      <w:pPr>
        <w:jc w:val="both"/>
        <w:ind w:right="20" w:firstLine="925"/>
        <w:spacing w:after="0" w:line="262" w:lineRule="auto"/>
        <w:tabs>
          <w:tab w:leader="none" w:pos="1292" w:val="left"/>
        </w:tabs>
        <w:numPr>
          <w:ilvl w:val="0"/>
          <w:numId w:val="39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w:t>
      </w:r>
    </w:p>
    <w:p>
      <w:pPr>
        <w:sectPr>
          <w:pgSz w:w="11900" w:h="16840" w:orient="portrait"/>
          <w:cols w:equalWidth="0" w:num="1">
            <w:col w:w="10620"/>
          </w:cols>
          <w:pgMar w:left="640" w:top="1440" w:right="640" w:bottom="1440" w:gutter="0" w:footer="0" w:header="0"/>
        </w:sectPr>
      </w:pPr>
    </w:p>
    <w:bookmarkStart w:id="332" w:name="page333"/>
    <w:bookmarkEnd w:id="332"/>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same proportions as their Ownership of the outstanding voting securities of the Company immediately prior to such transaction;</w:t>
      </w:r>
    </w:p>
    <w:p>
      <w:pPr>
        <w:spacing w:after="0" w:line="174" w:lineRule="exact"/>
        <w:rPr>
          <w:sz w:val="20"/>
          <w:szCs w:val="20"/>
          <w:color w:val="auto"/>
        </w:rPr>
      </w:pPr>
    </w:p>
    <w:p>
      <w:pPr>
        <w:jc w:val="both"/>
        <w:ind w:firstLine="925"/>
        <w:spacing w:after="0" w:line="262" w:lineRule="auto"/>
        <w:tabs>
          <w:tab w:leader="none" w:pos="1301" w:val="left"/>
        </w:tabs>
        <w:numPr>
          <w:ilvl w:val="0"/>
          <w:numId w:val="39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32" w:lineRule="exact"/>
        <w:rPr>
          <w:rFonts w:ascii="Times New Roman" w:cs="Times New Roman" w:eastAsia="Times New Roman" w:hAnsi="Times New Roman"/>
          <w:sz w:val="15"/>
          <w:szCs w:val="15"/>
          <w:b w:val="1"/>
          <w:bCs w:val="1"/>
          <w:color w:val="auto"/>
        </w:rPr>
      </w:pPr>
    </w:p>
    <w:p>
      <w:pPr>
        <w:jc w:val="both"/>
        <w:ind w:firstLine="925"/>
        <w:spacing w:after="0" w:line="268" w:lineRule="auto"/>
        <w:tabs>
          <w:tab w:leader="none" w:pos="1292" w:val="left"/>
        </w:tabs>
        <w:numPr>
          <w:ilvl w:val="0"/>
          <w:numId w:val="39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 xml:space="preserve">individuals who, on the Effective Date, are members of the Board (the “ </w:t>
      </w:r>
      <w:r>
        <w:rPr>
          <w:rFonts w:ascii="Times New Roman" w:cs="Times New Roman" w:eastAsia="Times New Roman" w:hAnsi="Times New Roman"/>
          <w:sz w:val="14"/>
          <w:szCs w:val="14"/>
          <w:b w:val="1"/>
          <w:bCs w:val="1"/>
          <w:i w:val="1"/>
          <w:iCs w:val="1"/>
          <w:color w:val="auto"/>
        </w:rPr>
        <w:t>Incumbent Board</w:t>
      </w:r>
      <w:r>
        <w:rPr>
          <w:rFonts w:ascii="Times New Roman" w:cs="Times New Roman" w:eastAsia="Times New Roman" w:hAnsi="Times New Roman"/>
          <w:sz w:val="14"/>
          <w:szCs w:val="14"/>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22"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4"/>
          <w:szCs w:val="14"/>
          <w:color w:val="auto"/>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that is approved by the Board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must constitute a Section 409A Change in Control if required in order for the payment not to violate Section 409A of the Code.</w:t>
      </w:r>
    </w:p>
    <w:p>
      <w:pPr>
        <w:spacing w:after="0" w:line="130" w:lineRule="exact"/>
        <w:rPr>
          <w:sz w:val="20"/>
          <w:szCs w:val="20"/>
          <w:color w:val="auto"/>
        </w:rPr>
      </w:pPr>
    </w:p>
    <w:p>
      <w:pPr>
        <w:ind w:left="820" w:hanging="354"/>
        <w:spacing w:after="0"/>
        <w:tabs>
          <w:tab w:leader="none" w:pos="820" w:val="left"/>
        </w:tabs>
        <w:numPr>
          <w:ilvl w:val="0"/>
          <w:numId w:val="39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Code</w:t>
      </w:r>
      <w:r>
        <w:rPr>
          <w:rFonts w:ascii="Times New Roman" w:cs="Times New Roman" w:eastAsia="Times New Roman" w:hAnsi="Times New Roman"/>
          <w:sz w:val="14"/>
          <w:szCs w:val="14"/>
          <w:color w:val="auto"/>
        </w:rPr>
        <w:t>” means the U.S. Internal Revenue Code of 1986, as amended, including any applicable regulations and guidance thereunder.</w:t>
      </w:r>
    </w:p>
    <w:p>
      <w:pPr>
        <w:spacing w:after="0" w:line="162" w:lineRule="exact"/>
        <w:rPr>
          <w:rFonts w:ascii="Times New Roman" w:cs="Times New Roman" w:eastAsia="Times New Roman" w:hAnsi="Times New Roman"/>
          <w:sz w:val="15"/>
          <w:szCs w:val="15"/>
          <w:b w:val="1"/>
          <w:bCs w:val="1"/>
          <w:color w:val="auto"/>
        </w:rPr>
      </w:pPr>
    </w:p>
    <w:p>
      <w:pPr>
        <w:ind w:right="20" w:firstLine="466"/>
        <w:spacing w:after="0" w:line="282" w:lineRule="auto"/>
        <w:tabs>
          <w:tab w:leader="none" w:pos="756" w:val="left"/>
        </w:tabs>
        <w:numPr>
          <w:ilvl w:val="0"/>
          <w:numId w:val="39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Committee</w:t>
      </w:r>
      <w:r>
        <w:rPr>
          <w:rFonts w:ascii="Times New Roman" w:cs="Times New Roman" w:eastAsia="Times New Roman" w:hAnsi="Times New Roman"/>
          <w:sz w:val="14"/>
          <w:szCs w:val="14"/>
          <w:color w:val="auto"/>
        </w:rPr>
        <w:t>” means the Compensation Committee and any other committee of one or more Directors to whom authority has been delegated by the Board or Compensation Committee in accordance with the Plan.</w:t>
      </w:r>
    </w:p>
    <w:p>
      <w:pPr>
        <w:spacing w:after="0" w:line="115" w:lineRule="exact"/>
        <w:rPr>
          <w:rFonts w:ascii="Times New Roman" w:cs="Times New Roman" w:eastAsia="Times New Roman" w:hAnsi="Times New Roman"/>
          <w:sz w:val="15"/>
          <w:szCs w:val="15"/>
          <w:b w:val="1"/>
          <w:bCs w:val="1"/>
          <w:color w:val="auto"/>
        </w:rPr>
      </w:pPr>
    </w:p>
    <w:p>
      <w:pPr>
        <w:ind w:left="840" w:hanging="374"/>
        <w:spacing w:after="0"/>
        <w:tabs>
          <w:tab w:leader="none" w:pos="840" w:val="left"/>
        </w:tabs>
        <w:numPr>
          <w:ilvl w:val="0"/>
          <w:numId w:val="39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means the Class A common stock of the Company.</w:t>
      </w:r>
    </w:p>
    <w:p>
      <w:pPr>
        <w:spacing w:after="0" w:line="162" w:lineRule="exact"/>
        <w:rPr>
          <w:rFonts w:ascii="Times New Roman" w:cs="Times New Roman" w:eastAsia="Times New Roman" w:hAnsi="Times New Roman"/>
          <w:sz w:val="15"/>
          <w:szCs w:val="15"/>
          <w:b w:val="1"/>
          <w:bCs w:val="1"/>
          <w:color w:val="auto"/>
        </w:rPr>
      </w:pPr>
    </w:p>
    <w:p>
      <w:pPr>
        <w:ind w:left="820" w:hanging="354"/>
        <w:spacing w:after="0"/>
        <w:tabs>
          <w:tab w:leader="none" w:pos="820" w:val="left"/>
        </w:tabs>
        <w:numPr>
          <w:ilvl w:val="0"/>
          <w:numId w:val="39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means Navan, Inc., a Delaware corporation, and any successor corporation thereto.</w:t>
      </w:r>
    </w:p>
    <w:p>
      <w:pPr>
        <w:spacing w:after="0" w:line="162" w:lineRule="exact"/>
        <w:rPr>
          <w:rFonts w:ascii="Times New Roman" w:cs="Times New Roman" w:eastAsia="Times New Roman" w:hAnsi="Times New Roman"/>
          <w:sz w:val="15"/>
          <w:szCs w:val="15"/>
          <w:b w:val="1"/>
          <w:bCs w:val="1"/>
          <w:color w:val="auto"/>
        </w:rPr>
      </w:pPr>
    </w:p>
    <w:p>
      <w:pPr>
        <w:ind w:left="800" w:hanging="334"/>
        <w:spacing w:after="0"/>
        <w:tabs>
          <w:tab w:leader="none" w:pos="800" w:val="left"/>
        </w:tabs>
        <w:numPr>
          <w:ilvl w:val="0"/>
          <w:numId w:val="39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Compensation Committee</w:t>
      </w:r>
      <w:r>
        <w:rPr>
          <w:rFonts w:ascii="Times New Roman" w:cs="Times New Roman" w:eastAsia="Times New Roman" w:hAnsi="Times New Roman"/>
          <w:sz w:val="14"/>
          <w:szCs w:val="14"/>
          <w:color w:val="auto"/>
        </w:rPr>
        <w:t>” means the Compensation Committee of the Board.</w:t>
      </w:r>
    </w:p>
    <w:p>
      <w:pPr>
        <w:spacing w:after="0" w:line="162" w:lineRule="exact"/>
        <w:rPr>
          <w:rFonts w:ascii="Times New Roman" w:cs="Times New Roman" w:eastAsia="Times New Roman" w:hAnsi="Times New Roman"/>
          <w:sz w:val="15"/>
          <w:szCs w:val="15"/>
          <w:b w:val="1"/>
          <w:bCs w:val="1"/>
          <w:color w:val="auto"/>
        </w:rPr>
      </w:pPr>
    </w:p>
    <w:p>
      <w:pPr>
        <w:jc w:val="both"/>
        <w:ind w:right="40" w:firstLine="466"/>
        <w:spacing w:after="0" w:line="268" w:lineRule="auto"/>
        <w:tabs>
          <w:tab w:leader="none" w:pos="804" w:val="left"/>
        </w:tabs>
        <w:numPr>
          <w:ilvl w:val="0"/>
          <w:numId w:val="39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Consultant</w:t>
      </w:r>
      <w:r>
        <w:rPr>
          <w:rFonts w:ascii="Times New Roman" w:cs="Times New Roman" w:eastAsia="Times New Roman" w:hAnsi="Times New Roman"/>
          <w:sz w:val="14"/>
          <w:szCs w:val="14"/>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w:t>
      </w:r>
    </w:p>
    <w:p>
      <w:pPr>
        <w:sectPr>
          <w:pgSz w:w="11900" w:h="16840" w:orient="portrait"/>
          <w:cols w:equalWidth="0" w:num="1">
            <w:col w:w="10620"/>
          </w:cols>
          <w:pgMar w:left="640" w:top="1440" w:right="640" w:bottom="1440" w:gutter="0" w:footer="0" w:header="0"/>
        </w:sectPr>
      </w:pPr>
    </w:p>
    <w:bookmarkStart w:id="333" w:name="page334"/>
    <w:bookmarkEnd w:id="333"/>
    <w:p>
      <w:pPr>
        <w:spacing w:after="0" w:line="3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4"/>
          <w:szCs w:val="14"/>
          <w:color w:val="auto"/>
        </w:rPr>
        <w:t>a Consultant under this Plan only if a Form S-8 Registration Statement under the Securities Act is available to register either the offer or the sale of the Company’s securities to such person.</w:t>
      </w:r>
    </w:p>
    <w:p>
      <w:pPr>
        <w:spacing w:after="0" w:line="316" w:lineRule="exact"/>
        <w:rPr>
          <w:sz w:val="20"/>
          <w:szCs w:val="20"/>
          <w:color w:val="auto"/>
        </w:rPr>
      </w:pPr>
    </w:p>
    <w:p>
      <w:pPr>
        <w:jc w:val="both"/>
        <w:ind w:firstLine="466"/>
        <w:spacing w:after="0" w:line="260" w:lineRule="auto"/>
        <w:tabs>
          <w:tab w:leader="none" w:pos="539" w:val="left"/>
        </w:tabs>
        <w:numPr>
          <w:ilvl w:val="0"/>
          <w:numId w:val="40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q )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Continuous Service</w:t>
      </w:r>
      <w:r>
        <w:rPr>
          <w:rFonts w:ascii="Times New Roman" w:cs="Times New Roman" w:eastAsia="Times New Roman" w:hAnsi="Times New Roman"/>
          <w:sz w:val="14"/>
          <w:szCs w:val="14"/>
          <w:color w:val="auto"/>
        </w:rPr>
        <w:t>” means that the Participant’s service with the Company or an Affiliate, whether as an Employee, Director, or Consultant, is not interrupted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of (i) any leave of absence approved by the Company or an Affiliate,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in Section 409A (without regard to any alternative definition thereunder).</w:t>
      </w:r>
    </w:p>
    <w:p>
      <w:pPr>
        <w:spacing w:after="0" w:line="133" w:lineRule="exact"/>
        <w:rPr>
          <w:sz w:val="20"/>
          <w:szCs w:val="20"/>
          <w:color w:val="auto"/>
        </w:rPr>
      </w:pPr>
    </w:p>
    <w:p>
      <w:pPr>
        <w:ind w:left="800" w:hanging="334"/>
        <w:spacing w:after="0"/>
        <w:tabs>
          <w:tab w:leader="none" w:pos="800" w:val="left"/>
        </w:tabs>
        <w:numPr>
          <w:ilvl w:val="0"/>
          <w:numId w:val="40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Corporate Transaction</w:t>
      </w:r>
      <w:r>
        <w:rPr>
          <w:rFonts w:ascii="Times New Roman" w:cs="Times New Roman" w:eastAsia="Times New Roman" w:hAnsi="Times New Roman"/>
          <w:sz w:val="14"/>
          <w:szCs w:val="14"/>
          <w:color w:val="auto"/>
        </w:rPr>
        <w:t>” means the consummation, in a single transaction or in a series of related transactions, of any one or more of the following events:</w:t>
      </w:r>
    </w:p>
    <w:p>
      <w:pPr>
        <w:spacing w:after="0" w:line="166" w:lineRule="exact"/>
        <w:rPr>
          <w:rFonts w:ascii="Times New Roman" w:cs="Times New Roman" w:eastAsia="Times New Roman" w:hAnsi="Times New Roman"/>
          <w:sz w:val="15"/>
          <w:szCs w:val="15"/>
          <w:b w:val="1"/>
          <w:bCs w:val="1"/>
          <w:color w:val="auto"/>
        </w:rPr>
      </w:pPr>
    </w:p>
    <w:p>
      <w:pPr>
        <w:ind w:left="1220" w:hanging="295"/>
        <w:spacing w:after="0"/>
        <w:tabs>
          <w:tab w:leader="none" w:pos="1220" w:val="left"/>
        </w:tabs>
        <w:numPr>
          <w:ilvl w:val="1"/>
          <w:numId w:val="40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a sale or other disposition of all or substantially all, as determined by the Board, of the consolidated assets of the Company and its Subsidiaries;</w:t>
      </w:r>
    </w:p>
    <w:p>
      <w:pPr>
        <w:spacing w:after="0" w:line="162" w:lineRule="exact"/>
        <w:rPr>
          <w:rFonts w:ascii="Times New Roman" w:cs="Times New Roman" w:eastAsia="Times New Roman" w:hAnsi="Times New Roman"/>
          <w:sz w:val="15"/>
          <w:szCs w:val="15"/>
          <w:b w:val="1"/>
          <w:bCs w:val="1"/>
          <w:color w:val="auto"/>
        </w:rPr>
      </w:pPr>
    </w:p>
    <w:p>
      <w:pPr>
        <w:ind w:left="1260" w:hanging="335"/>
        <w:spacing w:after="0"/>
        <w:tabs>
          <w:tab w:leader="none" w:pos="1260" w:val="left"/>
        </w:tabs>
        <w:numPr>
          <w:ilvl w:val="1"/>
          <w:numId w:val="40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a sale or other disposition of at least 50% of the outstanding securities of the Company;</w:t>
      </w:r>
    </w:p>
    <w:p>
      <w:pPr>
        <w:spacing w:after="0" w:line="162" w:lineRule="exact"/>
        <w:rPr>
          <w:rFonts w:ascii="Times New Roman" w:cs="Times New Roman" w:eastAsia="Times New Roman" w:hAnsi="Times New Roman"/>
          <w:sz w:val="15"/>
          <w:szCs w:val="15"/>
          <w:b w:val="1"/>
          <w:bCs w:val="1"/>
          <w:color w:val="auto"/>
        </w:rPr>
      </w:pPr>
    </w:p>
    <w:p>
      <w:pPr>
        <w:ind w:left="1300" w:hanging="375"/>
        <w:spacing w:after="0"/>
        <w:tabs>
          <w:tab w:leader="none" w:pos="1300" w:val="left"/>
        </w:tabs>
        <w:numPr>
          <w:ilvl w:val="1"/>
          <w:numId w:val="40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a merger, consolidation or similar transaction following which the Company is not the surviving corporation; or</w:t>
      </w:r>
    </w:p>
    <w:p>
      <w:pPr>
        <w:spacing w:after="0" w:line="150" w:lineRule="exact"/>
        <w:rPr>
          <w:sz w:val="20"/>
          <w:szCs w:val="20"/>
          <w:color w:val="auto"/>
        </w:rPr>
      </w:pPr>
    </w:p>
    <w:p>
      <w:pPr>
        <w:jc w:val="both"/>
        <w:ind w:right="20" w:firstLine="925"/>
        <w:spacing w:after="0" w:line="274" w:lineRule="auto"/>
        <w:tabs>
          <w:tab w:leader="none" w:pos="1008" w:val="left"/>
        </w:tabs>
        <w:numPr>
          <w:ilvl w:val="1"/>
          <w:numId w:val="40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i v ) </w:t>
      </w:r>
      <w:r>
        <w:rPr>
          <w:rFonts w:ascii="Times New Roman" w:cs="Times New Roman" w:eastAsia="Times New Roman" w:hAnsi="Times New Roman"/>
          <w:sz w:val="14"/>
          <w:szCs w:val="14"/>
          <w:color w:val="auto"/>
        </w:rPr>
        <w:t>a merger, consolidation or similar transaction following which the Company is the surviving corporation but the shares of Common Stock outstanding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immediately preceding the merger, consolidation or similar transaction are converted or exchanged by virtue of the merger, consolidation, or similar transaction into other property, whether in the form of securities, cash or otherwise.</w:t>
      </w:r>
    </w:p>
    <w:p>
      <w:pPr>
        <w:spacing w:after="0" w:line="123" w:lineRule="exact"/>
        <w:rPr>
          <w:rFonts w:ascii="Times New Roman" w:cs="Times New Roman" w:eastAsia="Times New Roman" w:hAnsi="Times New Roman"/>
          <w:sz w:val="15"/>
          <w:szCs w:val="15"/>
          <w:b w:val="1"/>
          <w:bCs w:val="1"/>
          <w:color w:val="auto"/>
        </w:rPr>
      </w:pPr>
    </w:p>
    <w:p>
      <w:pPr>
        <w:ind w:left="780" w:hanging="314"/>
        <w:spacing w:after="0"/>
        <w:tabs>
          <w:tab w:leader="none" w:pos="780" w:val="left"/>
        </w:tabs>
        <w:numPr>
          <w:ilvl w:val="0"/>
          <w:numId w:val="40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Director</w:t>
      </w:r>
      <w:r>
        <w:rPr>
          <w:rFonts w:ascii="Times New Roman" w:cs="Times New Roman" w:eastAsia="Times New Roman" w:hAnsi="Times New Roman"/>
          <w:sz w:val="14"/>
          <w:szCs w:val="14"/>
          <w:color w:val="auto"/>
        </w:rPr>
        <w:t>” means a member of the Board.</w:t>
      </w:r>
    </w:p>
    <w:p>
      <w:pPr>
        <w:spacing w:after="0" w:line="162" w:lineRule="exact"/>
        <w:rPr>
          <w:rFonts w:ascii="Times New Roman" w:cs="Times New Roman" w:eastAsia="Times New Roman" w:hAnsi="Times New Roman"/>
          <w:sz w:val="15"/>
          <w:szCs w:val="15"/>
          <w:b w:val="1"/>
          <w:bCs w:val="1"/>
          <w:color w:val="auto"/>
        </w:rPr>
      </w:pPr>
    </w:p>
    <w:p>
      <w:pPr>
        <w:ind w:right="20" w:firstLine="466"/>
        <w:spacing w:after="0" w:line="282" w:lineRule="auto"/>
        <w:tabs>
          <w:tab w:leader="none" w:pos="775" w:val="left"/>
        </w:tabs>
        <w:numPr>
          <w:ilvl w:val="0"/>
          <w:numId w:val="40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Disability</w:t>
      </w:r>
      <w:r>
        <w:rPr>
          <w:rFonts w:ascii="Times New Roman" w:cs="Times New Roman" w:eastAsia="Times New Roman" w:hAnsi="Times New Roman"/>
          <w:sz w:val="14"/>
          <w:szCs w:val="14"/>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w:t>
      </w:r>
    </w:p>
    <w:p>
      <w:pPr>
        <w:sectPr>
          <w:pgSz w:w="11900" w:h="16840" w:orient="portrait"/>
          <w:cols w:equalWidth="0" w:num="1">
            <w:col w:w="10620"/>
          </w:cols>
          <w:pgMar w:left="640" w:top="1440" w:right="640" w:bottom="1440" w:gutter="0" w:footer="0" w:header="0"/>
        </w:sectPr>
      </w:pPr>
    </w:p>
    <w:bookmarkStart w:id="334" w:name="page335"/>
    <w:bookmarkEnd w:id="334"/>
    <w:p>
      <w:pPr>
        <w:spacing w:after="0" w:line="3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period of not less than 12 months, as provided in Section 22(e)(3) of the Code, and will be determined by the Board on the basis of such medical evidence as the Board deems warranted under the circumstances.</w:t>
      </w:r>
    </w:p>
    <w:p>
      <w:pPr>
        <w:spacing w:after="0" w:line="110" w:lineRule="exact"/>
        <w:rPr>
          <w:sz w:val="20"/>
          <w:szCs w:val="20"/>
          <w:color w:val="auto"/>
        </w:rPr>
      </w:pPr>
    </w:p>
    <w:p>
      <w:pPr>
        <w:ind w:left="820" w:hanging="354"/>
        <w:spacing w:after="0"/>
        <w:tabs>
          <w:tab w:leader="none" w:pos="820" w:val="left"/>
        </w:tabs>
        <w:numPr>
          <w:ilvl w:val="0"/>
          <w:numId w:val="40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Effective Date</w:t>
      </w:r>
      <w:r>
        <w:rPr>
          <w:rFonts w:ascii="Times New Roman" w:cs="Times New Roman" w:eastAsia="Times New Roman" w:hAnsi="Times New Roman"/>
          <w:sz w:val="14"/>
          <w:szCs w:val="14"/>
          <w:color w:val="auto"/>
        </w:rPr>
        <w:t>” means the effective date of the Registration Statement.</w:t>
      </w:r>
    </w:p>
    <w:p>
      <w:pPr>
        <w:spacing w:after="0" w:line="162" w:lineRule="exact"/>
        <w:rPr>
          <w:rFonts w:ascii="Times New Roman" w:cs="Times New Roman" w:eastAsia="Times New Roman" w:hAnsi="Times New Roman"/>
          <w:sz w:val="15"/>
          <w:szCs w:val="15"/>
          <w:b w:val="1"/>
          <w:bCs w:val="1"/>
          <w:color w:val="auto"/>
        </w:rPr>
      </w:pPr>
    </w:p>
    <w:p>
      <w:pPr>
        <w:ind w:right="20" w:firstLine="466"/>
        <w:spacing w:after="0" w:line="282" w:lineRule="auto"/>
        <w:tabs>
          <w:tab w:leader="none" w:pos="813" w:val="left"/>
        </w:tabs>
        <w:numPr>
          <w:ilvl w:val="0"/>
          <w:numId w:val="40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Employee</w:t>
      </w:r>
      <w:r>
        <w:rPr>
          <w:rFonts w:ascii="Times New Roman" w:cs="Times New Roman" w:eastAsia="Times New Roman" w:hAnsi="Times New Roman"/>
          <w:sz w:val="14"/>
          <w:szCs w:val="14"/>
          <w:color w:val="auto"/>
        </w:rPr>
        <w:t>” means any person employed by the Company or an Affiliate. However, service solely as a Director, or payment of a fee for such services, will not cause a Director to be considered an “Employee” for purposes of the Plan.</w:t>
      </w:r>
    </w:p>
    <w:p>
      <w:pPr>
        <w:spacing w:after="0" w:line="115" w:lineRule="exact"/>
        <w:rPr>
          <w:rFonts w:ascii="Times New Roman" w:cs="Times New Roman" w:eastAsia="Times New Roman" w:hAnsi="Times New Roman"/>
          <w:sz w:val="15"/>
          <w:szCs w:val="15"/>
          <w:b w:val="1"/>
          <w:bCs w:val="1"/>
          <w:color w:val="auto"/>
        </w:rPr>
      </w:pPr>
    </w:p>
    <w:p>
      <w:pPr>
        <w:ind w:left="820" w:hanging="354"/>
        <w:spacing w:after="0"/>
        <w:tabs>
          <w:tab w:leader="none" w:pos="820" w:val="left"/>
        </w:tabs>
        <w:numPr>
          <w:ilvl w:val="0"/>
          <w:numId w:val="40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Employer</w:t>
      </w:r>
      <w:r>
        <w:rPr>
          <w:rFonts w:ascii="Times New Roman" w:cs="Times New Roman" w:eastAsia="Times New Roman" w:hAnsi="Times New Roman"/>
          <w:sz w:val="14"/>
          <w:szCs w:val="14"/>
          <w:color w:val="auto"/>
        </w:rPr>
        <w:t>” means the Company or the Affiliate that employs the Participant.</w:t>
      </w:r>
    </w:p>
    <w:p>
      <w:pPr>
        <w:spacing w:after="0" w:line="162" w:lineRule="exact"/>
        <w:rPr>
          <w:rFonts w:ascii="Times New Roman" w:cs="Times New Roman" w:eastAsia="Times New Roman" w:hAnsi="Times New Roman"/>
          <w:sz w:val="15"/>
          <w:szCs w:val="15"/>
          <w:b w:val="1"/>
          <w:bCs w:val="1"/>
          <w:color w:val="auto"/>
        </w:rPr>
      </w:pPr>
    </w:p>
    <w:p>
      <w:pPr>
        <w:ind w:left="800" w:hanging="334"/>
        <w:spacing w:after="0"/>
        <w:tabs>
          <w:tab w:leader="none" w:pos="800" w:val="left"/>
        </w:tabs>
        <w:numPr>
          <w:ilvl w:val="0"/>
          <w:numId w:val="40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Entity</w:t>
      </w:r>
      <w:r>
        <w:rPr>
          <w:rFonts w:ascii="Times New Roman" w:cs="Times New Roman" w:eastAsia="Times New Roman" w:hAnsi="Times New Roman"/>
          <w:sz w:val="14"/>
          <w:szCs w:val="14"/>
          <w:color w:val="auto"/>
        </w:rPr>
        <w:t>” means a corporation, partnership, limited liability company or other entity.</w:t>
      </w:r>
    </w:p>
    <w:p>
      <w:pPr>
        <w:spacing w:after="0" w:line="162" w:lineRule="exact"/>
        <w:rPr>
          <w:rFonts w:ascii="Times New Roman" w:cs="Times New Roman" w:eastAsia="Times New Roman" w:hAnsi="Times New Roman"/>
          <w:sz w:val="15"/>
          <w:szCs w:val="15"/>
          <w:b w:val="1"/>
          <w:bCs w:val="1"/>
          <w:color w:val="auto"/>
        </w:rPr>
      </w:pPr>
    </w:p>
    <w:p>
      <w:pPr>
        <w:ind w:left="800" w:hanging="334"/>
        <w:spacing w:after="0"/>
        <w:tabs>
          <w:tab w:leader="none" w:pos="800" w:val="left"/>
        </w:tabs>
        <w:numPr>
          <w:ilvl w:val="0"/>
          <w:numId w:val="40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Exchange Act</w:t>
      </w:r>
      <w:r>
        <w:rPr>
          <w:rFonts w:ascii="Times New Roman" w:cs="Times New Roman" w:eastAsia="Times New Roman" w:hAnsi="Times New Roman"/>
          <w:sz w:val="14"/>
          <w:szCs w:val="14"/>
          <w:color w:val="auto"/>
        </w:rPr>
        <w:t>” means the U.S. Securities Exchange Act of 1934, as amended, and the rules and regulations promulgated thereunder.</w:t>
      </w:r>
    </w:p>
    <w:p>
      <w:pPr>
        <w:spacing w:after="0" w:line="162" w:lineRule="exact"/>
        <w:rPr>
          <w:rFonts w:ascii="Times New Roman" w:cs="Times New Roman" w:eastAsia="Times New Roman" w:hAnsi="Times New Roman"/>
          <w:sz w:val="15"/>
          <w:szCs w:val="15"/>
          <w:b w:val="1"/>
          <w:bCs w:val="1"/>
          <w:color w:val="auto"/>
        </w:rPr>
      </w:pPr>
    </w:p>
    <w:p>
      <w:pPr>
        <w:jc w:val="both"/>
        <w:ind w:right="20" w:firstLine="466"/>
        <w:spacing w:after="0" w:line="261" w:lineRule="auto"/>
        <w:tabs>
          <w:tab w:leader="none" w:pos="823" w:val="left"/>
        </w:tabs>
        <w:numPr>
          <w:ilvl w:val="0"/>
          <w:numId w:val="40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Exchange Act Person</w:t>
      </w:r>
      <w:r>
        <w:rPr>
          <w:rFonts w:ascii="Times New Roman" w:cs="Times New Roman" w:eastAsia="Times New Roman" w:hAnsi="Times New Roman"/>
          <w:sz w:val="14"/>
          <w:szCs w:val="14"/>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33" w:lineRule="exact"/>
        <w:rPr>
          <w:sz w:val="20"/>
          <w:szCs w:val="20"/>
          <w:color w:val="auto"/>
        </w:rPr>
      </w:pPr>
    </w:p>
    <w:p>
      <w:pPr>
        <w:ind w:right="20" w:firstLine="466"/>
        <w:spacing w:after="0" w:line="282" w:lineRule="auto"/>
        <w:tabs>
          <w:tab w:leader="none" w:pos="871" w:val="left"/>
        </w:tabs>
        <w:numPr>
          <w:ilvl w:val="0"/>
          <w:numId w:val="40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Fair Market Value</w:t>
      </w:r>
      <w:r>
        <w:rPr>
          <w:rFonts w:ascii="Times New Roman" w:cs="Times New Roman" w:eastAsia="Times New Roman" w:hAnsi="Times New Roman"/>
          <w:sz w:val="14"/>
          <w:szCs w:val="14"/>
          <w:color w:val="auto"/>
        </w:rPr>
        <w:t>” means, as of any date, unless otherwise determined by the Board, the value of the Common Stock (as determined on a per share or aggregate basis, as applicable) determined as follows:</w:t>
      </w:r>
    </w:p>
    <w:p>
      <w:pPr>
        <w:spacing w:after="0" w:line="119" w:lineRule="exact"/>
        <w:rPr>
          <w:rFonts w:ascii="Times New Roman" w:cs="Times New Roman" w:eastAsia="Times New Roman" w:hAnsi="Times New Roman"/>
          <w:sz w:val="15"/>
          <w:szCs w:val="15"/>
          <w:b w:val="1"/>
          <w:bCs w:val="1"/>
          <w:color w:val="auto"/>
        </w:rPr>
      </w:pPr>
    </w:p>
    <w:p>
      <w:pPr>
        <w:jc w:val="both"/>
        <w:ind w:right="20" w:firstLine="925"/>
        <w:spacing w:after="0" w:line="265" w:lineRule="auto"/>
        <w:tabs>
          <w:tab w:leader="none" w:pos="1215" w:val="left"/>
        </w:tabs>
        <w:numPr>
          <w:ilvl w:val="1"/>
          <w:numId w:val="40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33" w:lineRule="exact"/>
        <w:rPr>
          <w:rFonts w:ascii="Times New Roman" w:cs="Times New Roman" w:eastAsia="Times New Roman" w:hAnsi="Times New Roman"/>
          <w:sz w:val="15"/>
          <w:szCs w:val="15"/>
          <w:b w:val="1"/>
          <w:bCs w:val="1"/>
          <w:color w:val="auto"/>
        </w:rPr>
      </w:pPr>
    </w:p>
    <w:p>
      <w:pPr>
        <w:ind w:right="40" w:firstLine="925"/>
        <w:spacing w:after="0" w:line="276" w:lineRule="auto"/>
        <w:tabs>
          <w:tab w:leader="none" w:pos="1311" w:val="left"/>
        </w:tabs>
        <w:numPr>
          <w:ilvl w:val="1"/>
          <w:numId w:val="40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If there is no closing sales price for the Common Stock on the date of determination, then the Fair Market Value will be the closing selling price on the last preceding date for which such quotation exists.</w:t>
      </w:r>
    </w:p>
    <w:p>
      <w:pPr>
        <w:spacing w:after="0" w:line="123" w:lineRule="exact"/>
        <w:rPr>
          <w:rFonts w:ascii="Times New Roman" w:cs="Times New Roman" w:eastAsia="Times New Roman" w:hAnsi="Times New Roman"/>
          <w:sz w:val="15"/>
          <w:szCs w:val="15"/>
          <w:b w:val="1"/>
          <w:bCs w:val="1"/>
          <w:color w:val="auto"/>
        </w:rPr>
      </w:pPr>
    </w:p>
    <w:p>
      <w:pPr>
        <w:ind w:right="60" w:firstLine="925"/>
        <w:spacing w:after="0" w:line="276" w:lineRule="auto"/>
        <w:tabs>
          <w:tab w:leader="none" w:pos="1301" w:val="left"/>
        </w:tabs>
        <w:numPr>
          <w:ilvl w:val="1"/>
          <w:numId w:val="40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For purposes of any Awards granted on the Effective Date, the Fair Market Value will be the initial price to the public as set forth in the final prospectus included within the Registration Statement.</w:t>
      </w:r>
    </w:p>
    <w:p>
      <w:pPr>
        <w:spacing w:after="0" w:line="123" w:lineRule="exact"/>
        <w:rPr>
          <w:rFonts w:ascii="Times New Roman" w:cs="Times New Roman" w:eastAsia="Times New Roman" w:hAnsi="Times New Roman"/>
          <w:sz w:val="15"/>
          <w:szCs w:val="15"/>
          <w:b w:val="1"/>
          <w:bCs w:val="1"/>
          <w:color w:val="auto"/>
        </w:rPr>
      </w:pPr>
    </w:p>
    <w:p>
      <w:pPr>
        <w:ind w:right="20" w:firstLine="925"/>
        <w:spacing w:after="0" w:line="276" w:lineRule="auto"/>
        <w:tabs>
          <w:tab w:leader="none" w:pos="1301" w:val="left"/>
        </w:tabs>
        <w:numPr>
          <w:ilvl w:val="1"/>
          <w:numId w:val="40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In the absence of such markets for the Common Stock, or if otherwise determined by the Board, the Fair Market Value will be determined by the Board in good faith and in a manner that complies with Sections 409A and 422 of the Code.</w:t>
      </w:r>
    </w:p>
    <w:p>
      <w:pPr>
        <w:sectPr>
          <w:pgSz w:w="11900" w:h="16840" w:orient="portrait"/>
          <w:cols w:equalWidth="0" w:num="1">
            <w:col w:w="10620"/>
          </w:cols>
          <w:pgMar w:left="640" w:top="1440" w:right="640" w:bottom="1440" w:gutter="0" w:footer="0" w:header="0"/>
        </w:sectPr>
      </w:pPr>
    </w:p>
    <w:bookmarkStart w:id="335" w:name="page336"/>
    <w:bookmarkEnd w:id="335"/>
    <w:p>
      <w:pPr>
        <w:spacing w:after="0" w:line="44" w:lineRule="exact"/>
        <w:rPr>
          <w:sz w:val="20"/>
          <w:szCs w:val="20"/>
          <w:color w:val="auto"/>
        </w:rPr>
      </w:pPr>
    </w:p>
    <w:p>
      <w:pPr>
        <w:ind w:left="414" w:hanging="414"/>
        <w:spacing w:after="0"/>
        <w:tabs>
          <w:tab w:leader="none" w:pos="414" w:val="left"/>
        </w:tabs>
        <w:numPr>
          <w:ilvl w:val="0"/>
          <w:numId w:val="40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Fiscal Year</w:t>
      </w:r>
      <w:r>
        <w:rPr>
          <w:rFonts w:ascii="Times New Roman" w:cs="Times New Roman" w:eastAsia="Times New Roman" w:hAnsi="Times New Roman"/>
          <w:sz w:val="14"/>
          <w:szCs w:val="14"/>
          <w:color w:val="auto"/>
        </w:rPr>
        <w:t>” means a fiscal year of the Company.</w:t>
      </w:r>
    </w:p>
    <w:p>
      <w:pPr>
        <w:spacing w:after="0" w:line="162" w:lineRule="exact"/>
        <w:rPr>
          <w:rFonts w:ascii="Times New Roman" w:cs="Times New Roman" w:eastAsia="Times New Roman" w:hAnsi="Times New Roman"/>
          <w:sz w:val="15"/>
          <w:szCs w:val="15"/>
          <w:b w:val="1"/>
          <w:bCs w:val="1"/>
          <w:color w:val="auto"/>
        </w:rPr>
      </w:pPr>
    </w:p>
    <w:p>
      <w:pPr>
        <w:jc w:val="both"/>
        <w:ind w:left="-466" w:firstLine="466"/>
        <w:spacing w:after="0" w:line="262" w:lineRule="auto"/>
        <w:tabs>
          <w:tab w:leader="none" w:pos="395" w:val="left"/>
        </w:tabs>
        <w:numPr>
          <w:ilvl w:val="0"/>
          <w:numId w:val="40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Governmental Body</w:t>
      </w:r>
      <w:r>
        <w:rPr>
          <w:rFonts w:ascii="Times New Roman" w:cs="Times New Roman" w:eastAsia="Times New Roman" w:hAnsi="Times New Roman"/>
          <w:sz w:val="14"/>
          <w:szCs w:val="14"/>
          <w:color w:val="auto"/>
        </w:rPr>
        <w:t>” 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132" w:lineRule="exact"/>
        <w:rPr>
          <w:rFonts w:ascii="Times New Roman" w:cs="Times New Roman" w:eastAsia="Times New Roman" w:hAnsi="Times New Roman"/>
          <w:sz w:val="15"/>
          <w:szCs w:val="15"/>
          <w:b w:val="1"/>
          <w:bCs w:val="1"/>
          <w:color w:val="auto"/>
        </w:rPr>
      </w:pPr>
    </w:p>
    <w:p>
      <w:pPr>
        <w:ind w:left="-466" w:right="40" w:firstLine="466"/>
        <w:spacing w:after="0" w:line="268" w:lineRule="auto"/>
        <w:tabs>
          <w:tab w:leader="none" w:pos="434" w:val="left"/>
        </w:tabs>
        <w:numPr>
          <w:ilvl w:val="0"/>
          <w:numId w:val="40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Grant Notice</w:t>
      </w:r>
      <w:r>
        <w:rPr>
          <w:rFonts w:ascii="Times New Roman" w:cs="Times New Roman" w:eastAsia="Times New Roman" w:hAnsi="Times New Roman"/>
          <w:sz w:val="14"/>
          <w:szCs w:val="14"/>
          <w:color w:val="auto"/>
        </w:rPr>
        <w:t>” means the notice provided to a Participant that the Participant has been granted an Award under the Plan and that includes the name of the Participant, the type of Award, the date of grant of the Award, number of Shares subject to the Award or potential cash payment right, (if any), the vesting schedule for the Award (if any) and other key terms applicable to the Award.</w:t>
      </w:r>
    </w:p>
    <w:p>
      <w:pPr>
        <w:spacing w:after="0" w:line="127" w:lineRule="exact"/>
        <w:rPr>
          <w:rFonts w:ascii="Times New Roman" w:cs="Times New Roman" w:eastAsia="Times New Roman" w:hAnsi="Times New Roman"/>
          <w:sz w:val="15"/>
          <w:szCs w:val="15"/>
          <w:b w:val="1"/>
          <w:bCs w:val="1"/>
          <w:color w:val="auto"/>
        </w:rPr>
      </w:pPr>
    </w:p>
    <w:p>
      <w:pPr>
        <w:ind w:left="-466" w:right="20" w:firstLine="466"/>
        <w:spacing w:after="0" w:line="282" w:lineRule="auto"/>
        <w:tabs>
          <w:tab w:leader="none" w:pos="443" w:val="left"/>
        </w:tabs>
        <w:numPr>
          <w:ilvl w:val="0"/>
          <w:numId w:val="40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Incentive Stock Option</w:t>
      </w:r>
      <w:r>
        <w:rPr>
          <w:rFonts w:ascii="Times New Roman" w:cs="Times New Roman" w:eastAsia="Times New Roman" w:hAnsi="Times New Roman"/>
          <w:sz w:val="14"/>
          <w:szCs w:val="14"/>
          <w:color w:val="auto"/>
        </w:rPr>
        <w:t>” means an option granted pursuant to Section 4 of the Plan that is intended to be, and qualifies as, an “incentive stock option” within the meaning of Section 422 of the Code.</w:t>
      </w:r>
    </w:p>
    <w:p>
      <w:pPr>
        <w:spacing w:after="0" w:line="115" w:lineRule="exact"/>
        <w:rPr>
          <w:rFonts w:ascii="Times New Roman" w:cs="Times New Roman" w:eastAsia="Times New Roman" w:hAnsi="Times New Roman"/>
          <w:sz w:val="15"/>
          <w:szCs w:val="15"/>
          <w:b w:val="1"/>
          <w:bCs w:val="1"/>
          <w:color w:val="auto"/>
        </w:rPr>
      </w:pPr>
    </w:p>
    <w:p>
      <w:pPr>
        <w:jc w:val="both"/>
        <w:ind w:left="-466" w:right="40" w:firstLine="466"/>
        <w:spacing w:after="0" w:line="260" w:lineRule="auto"/>
        <w:tabs>
          <w:tab w:leader="none" w:pos="376" w:val="left"/>
        </w:tabs>
        <w:numPr>
          <w:ilvl w:val="0"/>
          <w:numId w:val="40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Materially Impair</w:t>
      </w:r>
      <w:r>
        <w:rPr>
          <w:rFonts w:ascii="Times New Roman" w:cs="Times New Roman" w:eastAsia="Times New Roman" w:hAnsi="Times New Roman"/>
          <w:sz w:val="14"/>
          <w:szCs w:val="14"/>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Stock Appreciation Right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35" w:lineRule="exact"/>
        <w:rPr>
          <w:rFonts w:ascii="Times New Roman" w:cs="Times New Roman" w:eastAsia="Times New Roman" w:hAnsi="Times New Roman"/>
          <w:sz w:val="15"/>
          <w:szCs w:val="15"/>
          <w:b w:val="1"/>
          <w:bCs w:val="1"/>
          <w:color w:val="auto"/>
        </w:rPr>
      </w:pPr>
    </w:p>
    <w:p>
      <w:pPr>
        <w:jc w:val="both"/>
        <w:ind w:left="-466" w:right="40" w:firstLine="466"/>
        <w:spacing w:after="0" w:line="262" w:lineRule="auto"/>
        <w:tabs>
          <w:tab w:leader="none" w:pos="434" w:val="left"/>
        </w:tabs>
        <w:numPr>
          <w:ilvl w:val="0"/>
          <w:numId w:val="40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Non-Employee Director</w:t>
      </w:r>
      <w:r>
        <w:rPr>
          <w:rFonts w:ascii="Times New Roman" w:cs="Times New Roman" w:eastAsia="Times New Roman" w:hAnsi="Times New Roman"/>
          <w:sz w:val="14"/>
          <w:szCs w:val="14"/>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4"/>
          <w:szCs w:val="14"/>
          <w:b w:val="1"/>
          <w:bCs w:val="1"/>
          <w:i w:val="1"/>
          <w:iCs w:val="1"/>
          <w:color w:val="auto"/>
        </w:rPr>
        <w:t>Regulation S-K</w:t>
      </w:r>
      <w:r>
        <w:rPr>
          <w:rFonts w:ascii="Times New Roman" w:cs="Times New Roman" w:eastAsia="Times New Roman" w:hAnsi="Times New Roman"/>
          <w:sz w:val="14"/>
          <w:szCs w:val="14"/>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32" w:lineRule="exact"/>
        <w:rPr>
          <w:rFonts w:ascii="Times New Roman" w:cs="Times New Roman" w:eastAsia="Times New Roman" w:hAnsi="Times New Roman"/>
          <w:sz w:val="15"/>
          <w:szCs w:val="15"/>
          <w:b w:val="1"/>
          <w:bCs w:val="1"/>
          <w:color w:val="auto"/>
        </w:rPr>
      </w:pPr>
    </w:p>
    <w:p>
      <w:pPr>
        <w:ind w:left="414" w:hanging="414"/>
        <w:spacing w:after="0"/>
        <w:tabs>
          <w:tab w:leader="none" w:pos="414" w:val="left"/>
        </w:tabs>
        <w:numPr>
          <w:ilvl w:val="0"/>
          <w:numId w:val="40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Nonstatutory Stock Option</w:t>
      </w:r>
      <w:r>
        <w:rPr>
          <w:rFonts w:ascii="Times New Roman" w:cs="Times New Roman" w:eastAsia="Times New Roman" w:hAnsi="Times New Roman"/>
          <w:sz w:val="14"/>
          <w:szCs w:val="14"/>
          <w:color w:val="auto"/>
        </w:rPr>
        <w:t>” means any option granted pursuant to Section 4 of the Plan that does not qualify as an Incentive Stock Option.</w:t>
      </w:r>
    </w:p>
    <w:p>
      <w:pPr>
        <w:spacing w:after="0" w:line="162" w:lineRule="exact"/>
        <w:rPr>
          <w:rFonts w:ascii="Times New Roman" w:cs="Times New Roman" w:eastAsia="Times New Roman" w:hAnsi="Times New Roman"/>
          <w:sz w:val="15"/>
          <w:szCs w:val="15"/>
          <w:b w:val="1"/>
          <w:bCs w:val="1"/>
          <w:color w:val="auto"/>
        </w:rPr>
      </w:pPr>
    </w:p>
    <w:p>
      <w:pPr>
        <w:ind w:left="354" w:hanging="354"/>
        <w:spacing w:after="0"/>
        <w:tabs>
          <w:tab w:leader="none" w:pos="354" w:val="left"/>
        </w:tabs>
        <w:numPr>
          <w:ilvl w:val="0"/>
          <w:numId w:val="40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Officer</w:t>
      </w:r>
      <w:r>
        <w:rPr>
          <w:rFonts w:ascii="Times New Roman" w:cs="Times New Roman" w:eastAsia="Times New Roman" w:hAnsi="Times New Roman"/>
          <w:sz w:val="14"/>
          <w:szCs w:val="14"/>
          <w:color w:val="auto"/>
        </w:rPr>
        <w:t>” means a person who is an officer of the Company within the meaning of Section 16 of the Exchange Act.</w:t>
      </w:r>
    </w:p>
    <w:p>
      <w:pPr>
        <w:sectPr>
          <w:pgSz w:w="11900" w:h="16840" w:orient="portrait"/>
          <w:cols w:equalWidth="0" w:num="1">
            <w:col w:w="10174"/>
          </w:cols>
          <w:pgMar w:left="1106" w:top="1440" w:right="620" w:bottom="1440" w:gutter="0" w:footer="0" w:header="0"/>
        </w:sectPr>
      </w:pPr>
    </w:p>
    <w:bookmarkStart w:id="336" w:name="page337"/>
    <w:bookmarkEnd w:id="336"/>
    <w:p>
      <w:pPr>
        <w:spacing w:after="0" w:line="44" w:lineRule="exact"/>
        <w:rPr>
          <w:sz w:val="20"/>
          <w:szCs w:val="20"/>
          <w:color w:val="auto"/>
        </w:rPr>
      </w:pPr>
    </w:p>
    <w:p>
      <w:pPr>
        <w:ind w:left="354" w:hanging="354"/>
        <w:spacing w:after="0"/>
        <w:tabs>
          <w:tab w:leader="none" w:pos="354" w:val="left"/>
        </w:tabs>
        <w:numPr>
          <w:ilvl w:val="0"/>
          <w:numId w:val="40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Option</w:t>
      </w:r>
      <w:r>
        <w:rPr>
          <w:rFonts w:ascii="Times New Roman" w:cs="Times New Roman" w:eastAsia="Times New Roman" w:hAnsi="Times New Roman"/>
          <w:sz w:val="14"/>
          <w:szCs w:val="14"/>
          <w:color w:val="auto"/>
        </w:rPr>
        <w:t>” means an Incentive Stock Option or a Nonstatutory Stock Option to purchase shares of Common Stock granted pursuant to the Plan.</w:t>
      </w:r>
    </w:p>
    <w:p>
      <w:pPr>
        <w:spacing w:after="0" w:line="162" w:lineRule="exact"/>
        <w:rPr>
          <w:rFonts w:ascii="Times New Roman" w:cs="Times New Roman" w:eastAsia="Times New Roman" w:hAnsi="Times New Roman"/>
          <w:sz w:val="15"/>
          <w:szCs w:val="15"/>
          <w:b w:val="1"/>
          <w:bCs w:val="1"/>
          <w:color w:val="auto"/>
        </w:rPr>
      </w:pPr>
    </w:p>
    <w:p>
      <w:pPr>
        <w:jc w:val="both"/>
        <w:ind w:left="-466" w:right="20" w:firstLine="466"/>
        <w:spacing w:after="0" w:line="268" w:lineRule="auto"/>
        <w:tabs>
          <w:tab w:leader="none" w:pos="434" w:val="left"/>
        </w:tabs>
        <w:numPr>
          <w:ilvl w:val="0"/>
          <w:numId w:val="40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Other Award</w:t>
      </w:r>
      <w:r>
        <w:rPr>
          <w:rFonts w:ascii="Times New Roman" w:cs="Times New Roman" w:eastAsia="Times New Roman" w:hAnsi="Times New Roman"/>
          <w:sz w:val="14"/>
          <w:szCs w:val="14"/>
          <w:color w:val="auto"/>
        </w:rPr>
        <w:t>” means an award valued in whole or in part by reference to, or otherwise based on, Shares, including the appreciation in value thereof (e.g., options or stock rights with an exercise price or strike price less than 100% of the Fair Market Value at the time of grant) that is not an Incentive Stock Option, Nonstatutory Stock Option, Stock Appreciation Right, Restricted Stock Award, Restricted Stock Unit Award or Performance Award.</w:t>
      </w:r>
    </w:p>
    <w:p>
      <w:pPr>
        <w:spacing w:after="0" w:line="127" w:lineRule="exact"/>
        <w:rPr>
          <w:rFonts w:ascii="Times New Roman" w:cs="Times New Roman" w:eastAsia="Times New Roman" w:hAnsi="Times New Roman"/>
          <w:sz w:val="15"/>
          <w:szCs w:val="15"/>
          <w:b w:val="1"/>
          <w:bCs w:val="1"/>
          <w:color w:val="auto"/>
        </w:rPr>
      </w:pPr>
    </w:p>
    <w:p>
      <w:pPr>
        <w:jc w:val="both"/>
        <w:ind w:left="-466" w:right="20" w:firstLine="466"/>
        <w:spacing w:after="0" w:line="268" w:lineRule="auto"/>
        <w:tabs>
          <w:tab w:leader="none" w:pos="386" w:val="left"/>
        </w:tabs>
        <w:numPr>
          <w:ilvl w:val="0"/>
          <w:numId w:val="40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Own,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Owned,</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Owner,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i w:val="1"/>
          <w:iCs w:val="1"/>
          <w:color w:val="auto"/>
        </w:rPr>
        <w:t>Ownership</w:t>
      </w:r>
      <w:r>
        <w:rPr>
          <w:rFonts w:ascii="Times New Roman" w:cs="Times New Roman" w:eastAsia="Times New Roman" w:hAnsi="Times New Roman"/>
          <w:sz w:val="14"/>
          <w:szCs w:val="14"/>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19" w:lineRule="exact"/>
        <w:rPr>
          <w:sz w:val="20"/>
          <w:szCs w:val="20"/>
          <w:color w:val="auto"/>
        </w:rPr>
      </w:pPr>
    </w:p>
    <w:p>
      <w:pPr>
        <w:ind w:left="-466" w:right="40" w:firstLine="466"/>
        <w:spacing w:after="0" w:line="295" w:lineRule="auto"/>
        <w:tabs>
          <w:tab w:leader="none" w:pos="67" w:val="left"/>
        </w:tabs>
        <w:numPr>
          <w:ilvl w:val="0"/>
          <w:numId w:val="40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m m )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Participant</w:t>
      </w:r>
      <w:r>
        <w:rPr>
          <w:rFonts w:ascii="Times New Roman" w:cs="Times New Roman" w:eastAsia="Times New Roman" w:hAnsi="Times New Roman"/>
          <w:sz w:val="14"/>
          <w:szCs w:val="14"/>
          <w:color w:val="auto"/>
        </w:rPr>
        <w:t>” means an Employee, Director, or Consultant to whom an Award is granted pursuant to the Plan or, if applicable, such other person who holds 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outstanding Award.</w:t>
      </w:r>
    </w:p>
    <w:p>
      <w:pPr>
        <w:spacing w:after="0" w:line="106" w:lineRule="exact"/>
        <w:rPr>
          <w:sz w:val="20"/>
          <w:szCs w:val="20"/>
          <w:color w:val="auto"/>
        </w:rPr>
      </w:pPr>
    </w:p>
    <w:p>
      <w:pPr>
        <w:jc w:val="both"/>
        <w:ind w:left="-466" w:firstLine="466"/>
        <w:spacing w:after="0" w:line="264" w:lineRule="auto"/>
        <w:tabs>
          <w:tab w:leader="none" w:pos="443" w:val="left"/>
        </w:tabs>
        <w:numPr>
          <w:ilvl w:val="0"/>
          <w:numId w:val="40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Performance Award</w:t>
      </w:r>
      <w:r>
        <w:rPr>
          <w:rFonts w:ascii="Times New Roman" w:cs="Times New Roman" w:eastAsia="Times New Roman" w:hAnsi="Times New Roman"/>
          <w:sz w:val="14"/>
          <w:szCs w:val="14"/>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may be used in payment of Performance Awards. Performance Awards that are settled in cash are not required to be valued in whole or in part by reference to, or otherwise based on, Shares.</w:t>
      </w:r>
    </w:p>
    <w:p>
      <w:pPr>
        <w:spacing w:after="0" w:line="122" w:lineRule="exact"/>
        <w:rPr>
          <w:sz w:val="20"/>
          <w:szCs w:val="20"/>
          <w:color w:val="auto"/>
        </w:rPr>
      </w:pPr>
    </w:p>
    <w:p>
      <w:pPr>
        <w:jc w:val="both"/>
        <w:ind w:left="-466" w:firstLine="466"/>
        <w:spacing w:after="0" w:line="259" w:lineRule="auto"/>
        <w:tabs>
          <w:tab w:leader="none" w:pos="70" w:val="left"/>
        </w:tabs>
        <w:numPr>
          <w:ilvl w:val="0"/>
          <w:numId w:val="40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o o )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Performance Criteria</w:t>
      </w:r>
      <w:r>
        <w:rPr>
          <w:rFonts w:ascii="Times New Roman" w:cs="Times New Roman" w:eastAsia="Times New Roman" w:hAnsi="Times New Roman"/>
          <w:sz w:val="14"/>
          <w:szCs w:val="14"/>
          <w:color w:val="auto"/>
        </w:rPr>
        <w:t>” means one or more criteria that the Board will select for purposes of establishing the Performance Goals for a Performance Period.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U.S.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ectPr>
          <w:pgSz w:w="11900" w:h="16840" w:orient="portrait"/>
          <w:cols w:equalWidth="0" w:num="1">
            <w:col w:w="10154"/>
          </w:cols>
          <w:pgMar w:left="1106" w:top="1440" w:right="640" w:bottom="1440" w:gutter="0" w:footer="0" w:header="0"/>
        </w:sectPr>
      </w:pPr>
    </w:p>
    <w:bookmarkStart w:id="337" w:name="page338"/>
    <w:bookmarkEnd w:id="337"/>
    <w:p>
      <w:pPr>
        <w:spacing w:after="0" w:line="44" w:lineRule="exact"/>
        <w:rPr>
          <w:sz w:val="20"/>
          <w:szCs w:val="20"/>
          <w:color w:val="auto"/>
        </w:rPr>
      </w:pPr>
    </w:p>
    <w:p>
      <w:pPr>
        <w:jc w:val="both"/>
        <w:ind w:left="-7" w:firstLine="466"/>
        <w:spacing w:after="0" w:line="257" w:lineRule="auto"/>
        <w:tabs>
          <w:tab w:leader="none" w:pos="893" w:val="left"/>
        </w:tabs>
        <w:numPr>
          <w:ilvl w:val="1"/>
          <w:numId w:val="41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Performance Goals</w:t>
      </w:r>
      <w:r>
        <w:rPr>
          <w:rFonts w:ascii="Times New Roman" w:cs="Times New Roman" w:eastAsia="Times New Roman" w:hAnsi="Times New Roman"/>
          <w:sz w:val="14"/>
          <w:szCs w:val="14"/>
          <w:color w:val="auto"/>
        </w:rPr>
        <w:t>”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w:t>
      </w:r>
    </w:p>
    <w:p>
      <w:pPr>
        <w:spacing w:after="0" w:line="4" w:lineRule="exact"/>
        <w:rPr>
          <w:rFonts w:ascii="Times New Roman" w:cs="Times New Roman" w:eastAsia="Times New Roman" w:hAnsi="Times New Roman"/>
          <w:sz w:val="15"/>
          <w:szCs w:val="15"/>
          <w:b w:val="1"/>
          <w:bCs w:val="1"/>
          <w:color w:val="auto"/>
        </w:rPr>
      </w:pPr>
    </w:p>
    <w:p>
      <w:pPr>
        <w:ind w:left="-7" w:firstLine="7"/>
        <w:spacing w:after="0" w:line="258" w:lineRule="auto"/>
        <w:tabs>
          <w:tab w:leader="none" w:pos="202" w:val="left"/>
        </w:tabs>
        <w:numPr>
          <w:ilvl w:val="0"/>
          <w:numId w:val="4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w:t>
      </w:r>
    </w:p>
    <w:p>
      <w:pPr>
        <w:spacing w:after="0" w:line="136" w:lineRule="exact"/>
        <w:rPr>
          <w:rFonts w:ascii="Times New Roman" w:cs="Times New Roman" w:eastAsia="Times New Roman" w:hAnsi="Times New Roman"/>
          <w:sz w:val="14"/>
          <w:szCs w:val="14"/>
          <w:color w:val="auto"/>
        </w:rPr>
      </w:pPr>
    </w:p>
    <w:p>
      <w:pPr>
        <w:ind w:left="-7" w:right="20" w:firstLine="466"/>
        <w:spacing w:after="0" w:line="282" w:lineRule="auto"/>
        <w:tabs>
          <w:tab w:leader="none" w:pos="874" w:val="left"/>
        </w:tabs>
        <w:numPr>
          <w:ilvl w:val="1"/>
          <w:numId w:val="41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Performance Period</w:t>
      </w:r>
      <w:r>
        <w:rPr>
          <w:rFonts w:ascii="Times New Roman" w:cs="Times New Roman" w:eastAsia="Times New Roman" w:hAnsi="Times New Roman"/>
          <w:sz w:val="14"/>
          <w:szCs w:val="14"/>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15" w:lineRule="exact"/>
        <w:rPr>
          <w:rFonts w:ascii="Times New Roman" w:cs="Times New Roman" w:eastAsia="Times New Roman" w:hAnsi="Times New Roman"/>
          <w:sz w:val="15"/>
          <w:szCs w:val="15"/>
          <w:b w:val="1"/>
          <w:bCs w:val="1"/>
          <w:color w:val="auto"/>
        </w:rPr>
      </w:pPr>
    </w:p>
    <w:p>
      <w:pPr>
        <w:ind w:left="853" w:hanging="394"/>
        <w:spacing w:after="0"/>
        <w:tabs>
          <w:tab w:leader="none" w:pos="853" w:val="left"/>
        </w:tabs>
        <w:numPr>
          <w:ilvl w:val="1"/>
          <w:numId w:val="41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Plan</w:t>
      </w:r>
      <w:r>
        <w:rPr>
          <w:rFonts w:ascii="Times New Roman" w:cs="Times New Roman" w:eastAsia="Times New Roman" w:hAnsi="Times New Roman"/>
          <w:sz w:val="14"/>
          <w:szCs w:val="14"/>
          <w:color w:val="auto"/>
        </w:rPr>
        <w:t>” means this Navan, Inc. 2025 Equity Incentive Plan, as amended from time to time.</w:t>
      </w:r>
    </w:p>
    <w:p>
      <w:pPr>
        <w:spacing w:after="0" w:line="162" w:lineRule="exact"/>
        <w:rPr>
          <w:rFonts w:ascii="Times New Roman" w:cs="Times New Roman" w:eastAsia="Times New Roman" w:hAnsi="Times New Roman"/>
          <w:sz w:val="15"/>
          <w:szCs w:val="15"/>
          <w:b w:val="1"/>
          <w:bCs w:val="1"/>
          <w:color w:val="auto"/>
        </w:rPr>
      </w:pPr>
    </w:p>
    <w:p>
      <w:pPr>
        <w:ind w:left="-7" w:firstLine="466"/>
        <w:spacing w:after="0" w:line="282" w:lineRule="auto"/>
        <w:tabs>
          <w:tab w:leader="none" w:pos="864" w:val="left"/>
        </w:tabs>
        <w:numPr>
          <w:ilvl w:val="1"/>
          <w:numId w:val="41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Plan Administrator</w:t>
      </w:r>
      <w:r>
        <w:rPr>
          <w:rFonts w:ascii="Times New Roman" w:cs="Times New Roman" w:eastAsia="Times New Roman" w:hAnsi="Times New Roman"/>
          <w:sz w:val="14"/>
          <w:szCs w:val="14"/>
          <w:color w:val="auto"/>
        </w:rPr>
        <w:t>” means the person, persons, or third-party administrator designated by the Company to administer the day-to-day operations of the Plan and the Company’s other equity incentive programs.</w:t>
      </w:r>
    </w:p>
    <w:p>
      <w:pPr>
        <w:spacing w:after="0" w:line="115" w:lineRule="exact"/>
        <w:rPr>
          <w:rFonts w:ascii="Times New Roman" w:cs="Times New Roman" w:eastAsia="Times New Roman" w:hAnsi="Times New Roman"/>
          <w:sz w:val="15"/>
          <w:szCs w:val="15"/>
          <w:b w:val="1"/>
          <w:bCs w:val="1"/>
          <w:color w:val="auto"/>
        </w:rPr>
      </w:pPr>
    </w:p>
    <w:p>
      <w:pPr>
        <w:ind w:left="-7" w:right="20" w:firstLine="466"/>
        <w:spacing w:after="0" w:line="282" w:lineRule="auto"/>
        <w:tabs>
          <w:tab w:leader="none" w:pos="816" w:val="left"/>
        </w:tabs>
        <w:numPr>
          <w:ilvl w:val="1"/>
          <w:numId w:val="41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Post-Termination Exercise Period</w:t>
      </w:r>
      <w:r>
        <w:rPr>
          <w:rFonts w:ascii="Times New Roman" w:cs="Times New Roman" w:eastAsia="Times New Roman" w:hAnsi="Times New Roman"/>
          <w:sz w:val="14"/>
          <w:szCs w:val="14"/>
          <w:color w:val="auto"/>
        </w:rPr>
        <w:t>” means the period following termination of a Participant’s Continuous Service within which an Option or Stock Appreciation Right is exercisable, as specified in Section 4(h).</w:t>
      </w:r>
    </w:p>
    <w:p>
      <w:pPr>
        <w:spacing w:after="0" w:line="115" w:lineRule="exact"/>
        <w:rPr>
          <w:rFonts w:ascii="Times New Roman" w:cs="Times New Roman" w:eastAsia="Times New Roman" w:hAnsi="Times New Roman"/>
          <w:sz w:val="15"/>
          <w:szCs w:val="15"/>
          <w:b w:val="1"/>
          <w:bCs w:val="1"/>
          <w:color w:val="auto"/>
        </w:rPr>
      </w:pPr>
    </w:p>
    <w:p>
      <w:pPr>
        <w:ind w:left="873" w:hanging="414"/>
        <w:spacing w:after="0"/>
        <w:tabs>
          <w:tab w:leader="none" w:pos="873" w:val="left"/>
        </w:tabs>
        <w:numPr>
          <w:ilvl w:val="1"/>
          <w:numId w:val="41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Prior Plan</w:t>
      </w:r>
      <w:r>
        <w:rPr>
          <w:rFonts w:ascii="Times New Roman" w:cs="Times New Roman" w:eastAsia="Times New Roman" w:hAnsi="Times New Roman"/>
          <w:sz w:val="14"/>
          <w:szCs w:val="14"/>
          <w:color w:val="auto"/>
        </w:rPr>
        <w:t>” means the Navan, Inc. 2015 Equity Incentive Plan, as amended from time to time.</w:t>
      </w:r>
    </w:p>
    <w:p>
      <w:pPr>
        <w:sectPr>
          <w:pgSz w:w="11900" w:h="16840" w:orient="portrait"/>
          <w:cols w:equalWidth="0" w:num="1">
            <w:col w:w="10613"/>
          </w:cols>
          <w:pgMar w:left="647" w:top="1440" w:right="640" w:bottom="1440" w:gutter="0" w:footer="0" w:header="0"/>
        </w:sectPr>
      </w:pPr>
    </w:p>
    <w:bookmarkStart w:id="338" w:name="page339"/>
    <w:bookmarkEnd w:id="338"/>
    <w:p>
      <w:pPr>
        <w:spacing w:after="0" w:line="36" w:lineRule="exact"/>
        <w:rPr>
          <w:sz w:val="20"/>
          <w:szCs w:val="20"/>
          <w:color w:val="auto"/>
        </w:rPr>
      </w:pPr>
    </w:p>
    <w:p>
      <w:pPr>
        <w:ind w:left="-466" w:firstLine="466"/>
        <w:spacing w:after="0" w:line="295" w:lineRule="auto"/>
        <w:tabs>
          <w:tab w:leader="none" w:pos="70" w:val="left"/>
        </w:tabs>
        <w:numPr>
          <w:ilvl w:val="0"/>
          <w:numId w:val="41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v v )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means the registration statement on Form S-1 filed with the Securities and Exchange Commission for the initial public offering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4"/>
          <w:szCs w:val="14"/>
          <w:color w:val="auto"/>
        </w:rPr>
        <w:t>Common Stock.</w:t>
      </w:r>
    </w:p>
    <w:p>
      <w:pPr>
        <w:spacing w:after="0" w:line="106" w:lineRule="exact"/>
        <w:rPr>
          <w:sz w:val="20"/>
          <w:szCs w:val="20"/>
          <w:color w:val="auto"/>
        </w:rPr>
      </w:pPr>
    </w:p>
    <w:p>
      <w:pPr>
        <w:ind w:left="474" w:hanging="474"/>
        <w:spacing w:after="0"/>
        <w:tabs>
          <w:tab w:leader="none" w:pos="474" w:val="left"/>
        </w:tabs>
        <w:numPr>
          <w:ilvl w:val="0"/>
          <w:numId w:val="41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Restricted Stock Award</w:t>
      </w:r>
      <w:r>
        <w:rPr>
          <w:rFonts w:ascii="Times New Roman" w:cs="Times New Roman" w:eastAsia="Times New Roman" w:hAnsi="Times New Roman"/>
          <w:sz w:val="14"/>
          <w:szCs w:val="14"/>
          <w:color w:val="auto"/>
        </w:rPr>
        <w:t>” means an Award of shares of Common Stock which is granted pursuant to the terms and conditions of Section 5(a).</w:t>
      </w:r>
    </w:p>
    <w:p>
      <w:pPr>
        <w:spacing w:after="0" w:line="162" w:lineRule="exact"/>
        <w:rPr>
          <w:rFonts w:ascii="Times New Roman" w:cs="Times New Roman" w:eastAsia="Times New Roman" w:hAnsi="Times New Roman"/>
          <w:sz w:val="15"/>
          <w:szCs w:val="15"/>
          <w:b w:val="1"/>
          <w:bCs w:val="1"/>
          <w:color w:val="auto"/>
        </w:rPr>
      </w:pPr>
    </w:p>
    <w:p>
      <w:pPr>
        <w:jc w:val="both"/>
        <w:ind w:left="-466" w:firstLine="466"/>
        <w:spacing w:after="0" w:line="262" w:lineRule="auto"/>
        <w:tabs>
          <w:tab w:leader="none" w:pos="424" w:val="left"/>
        </w:tabs>
        <w:numPr>
          <w:ilvl w:val="0"/>
          <w:numId w:val="41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Returning Shares</w:t>
      </w:r>
      <w:r>
        <w:rPr>
          <w:rFonts w:ascii="Times New Roman" w:cs="Times New Roman" w:eastAsia="Times New Roman" w:hAnsi="Times New Roman"/>
          <w:sz w:val="14"/>
          <w:szCs w:val="14"/>
          <w:color w:val="auto"/>
        </w:rPr>
        <w:t>” means a number of Shares equal to the number of Shares subject to outstanding awards granted under the Prior Plan or issued pursuant to awards granted under the Prior Plan (or any other shares of Capital Stock into which such issued Shares are converted) that following the Effective Date: (A) are not issued because such award or any portion thereof expires or otherwise terminates without all of the Shares covered by such award having been issued; (B) are not issued because such award or any portion thereof is settled in cash; (C) are forfeited back to or repurchased by the Company because of the failure to meet a contingency or condition required for the vesting of such award; (D) are withheld or reacquired to satisfy the exercise, strike or purchase price related to the award; or (E) are withheld or reacquired to satisfy a tax withholding obligation related to the award.</w:t>
      </w:r>
    </w:p>
    <w:p>
      <w:pPr>
        <w:spacing w:after="0" w:line="132" w:lineRule="exact"/>
        <w:rPr>
          <w:rFonts w:ascii="Times New Roman" w:cs="Times New Roman" w:eastAsia="Times New Roman" w:hAnsi="Times New Roman"/>
          <w:sz w:val="15"/>
          <w:szCs w:val="15"/>
          <w:b w:val="1"/>
          <w:bCs w:val="1"/>
          <w:color w:val="auto"/>
        </w:rPr>
      </w:pPr>
    </w:p>
    <w:p>
      <w:pPr>
        <w:ind w:left="-466" w:right="40" w:firstLine="466"/>
        <w:spacing w:after="0" w:line="282" w:lineRule="auto"/>
        <w:tabs>
          <w:tab w:leader="none" w:pos="443" w:val="left"/>
        </w:tabs>
        <w:numPr>
          <w:ilvl w:val="0"/>
          <w:numId w:val="41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Restricted Stock Unit Award</w:t>
      </w:r>
      <w:r>
        <w:rPr>
          <w:rFonts w:ascii="Times New Roman" w:cs="Times New Roman" w:eastAsia="Times New Roman" w:hAnsi="Times New Roman"/>
          <w:sz w:val="14"/>
          <w:szCs w:val="14"/>
          <w:color w:val="auto"/>
        </w:rPr>
        <w:t xml:space="preserve"> ” means an Award of restricted stock units representing the right to receive an issuance of Shares (an amount of cash equal to the Fair Market Value of such Shares) which is granted pursuant to the terms and conditions of Section 5(a).</w:t>
      </w:r>
    </w:p>
    <w:p>
      <w:pPr>
        <w:spacing w:after="0" w:line="115" w:lineRule="exact"/>
        <w:rPr>
          <w:rFonts w:ascii="Times New Roman" w:cs="Times New Roman" w:eastAsia="Times New Roman" w:hAnsi="Times New Roman"/>
          <w:sz w:val="15"/>
          <w:szCs w:val="15"/>
          <w:b w:val="1"/>
          <w:bCs w:val="1"/>
          <w:color w:val="auto"/>
        </w:rPr>
      </w:pPr>
    </w:p>
    <w:p>
      <w:pPr>
        <w:ind w:left="394" w:hanging="394"/>
        <w:spacing w:after="0"/>
        <w:tabs>
          <w:tab w:leader="none" w:pos="394" w:val="left"/>
        </w:tabs>
        <w:numPr>
          <w:ilvl w:val="0"/>
          <w:numId w:val="41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Rule 16b-3</w:t>
      </w:r>
      <w:r>
        <w:rPr>
          <w:rFonts w:ascii="Times New Roman" w:cs="Times New Roman" w:eastAsia="Times New Roman" w:hAnsi="Times New Roman"/>
          <w:sz w:val="14"/>
          <w:szCs w:val="14"/>
          <w:color w:val="auto"/>
        </w:rPr>
        <w:t>” means Rule 16b-3 promulgated under the Exchange Act or any successor to Rule 16b-3, as in effect from time to time.</w:t>
      </w:r>
    </w:p>
    <w:p>
      <w:pPr>
        <w:spacing w:after="0" w:line="162" w:lineRule="exact"/>
        <w:rPr>
          <w:sz w:val="20"/>
          <w:szCs w:val="20"/>
          <w:color w:val="auto"/>
        </w:rPr>
      </w:pPr>
    </w:p>
    <w:p>
      <w:pPr>
        <w:ind w:left="494" w:hanging="494"/>
        <w:spacing w:after="0"/>
        <w:tabs>
          <w:tab w:leader="none" w:pos="494" w:val="left"/>
        </w:tabs>
        <w:numPr>
          <w:ilvl w:val="0"/>
          <w:numId w:val="4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Rule 405</w:t>
      </w:r>
      <w:r>
        <w:rPr>
          <w:rFonts w:ascii="Times New Roman" w:cs="Times New Roman" w:eastAsia="Times New Roman" w:hAnsi="Times New Roman"/>
          <w:sz w:val="14"/>
          <w:szCs w:val="14"/>
          <w:color w:val="auto"/>
        </w:rPr>
        <w:t>” means Rule 405 promulgated under the Securities Act.</w:t>
      </w:r>
    </w:p>
    <w:p>
      <w:pPr>
        <w:spacing w:after="0" w:line="162" w:lineRule="exact"/>
        <w:rPr>
          <w:rFonts w:ascii="Times New Roman" w:cs="Times New Roman" w:eastAsia="Times New Roman" w:hAnsi="Times New Roman"/>
          <w:sz w:val="15"/>
          <w:szCs w:val="15"/>
          <w:b w:val="1"/>
          <w:bCs w:val="1"/>
          <w:color w:val="auto"/>
        </w:rPr>
      </w:pPr>
    </w:p>
    <w:p>
      <w:pPr>
        <w:ind w:left="514" w:hanging="514"/>
        <w:spacing w:after="0"/>
        <w:tabs>
          <w:tab w:leader="none" w:pos="514" w:val="left"/>
        </w:tabs>
        <w:numPr>
          <w:ilvl w:val="0"/>
          <w:numId w:val="4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Section 409A</w:t>
      </w:r>
      <w:r>
        <w:rPr>
          <w:rFonts w:ascii="Times New Roman" w:cs="Times New Roman" w:eastAsia="Times New Roman" w:hAnsi="Times New Roman"/>
          <w:sz w:val="14"/>
          <w:szCs w:val="14"/>
          <w:color w:val="auto"/>
        </w:rPr>
        <w:t>” means Section 409A of the Code and the regulations and other guidance thereunder.</w:t>
      </w:r>
    </w:p>
    <w:p>
      <w:pPr>
        <w:spacing w:after="0" w:line="162" w:lineRule="exact"/>
        <w:rPr>
          <w:rFonts w:ascii="Times New Roman" w:cs="Times New Roman" w:eastAsia="Times New Roman" w:hAnsi="Times New Roman"/>
          <w:sz w:val="15"/>
          <w:szCs w:val="15"/>
          <w:b w:val="1"/>
          <w:bCs w:val="1"/>
          <w:color w:val="auto"/>
        </w:rPr>
      </w:pPr>
    </w:p>
    <w:p>
      <w:pPr>
        <w:ind w:left="-466" w:firstLine="466"/>
        <w:spacing w:after="0" w:line="282" w:lineRule="auto"/>
        <w:tabs>
          <w:tab w:leader="none" w:pos="453" w:val="left"/>
        </w:tabs>
        <w:numPr>
          <w:ilvl w:val="0"/>
          <w:numId w:val="4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Section 409A Change in Control</w:t>
      </w:r>
      <w:r>
        <w:rPr>
          <w:rFonts w:ascii="Times New Roman" w:cs="Times New Roman" w:eastAsia="Times New Roman" w:hAnsi="Times New Roman"/>
          <w:sz w:val="14"/>
          <w:szCs w:val="14"/>
          <w:color w:val="auto"/>
        </w:rPr>
        <w:t>” means a change in the ownership or effective control of the Company, or in the ownership of a substantial portion of the Company’s assets, as provided in Section 409A(a)(2)(A)(v) of the Code and U.S. Treasury Regulations Section 1.409A-3(i)(5) (without regard to any alternative definition thereunder).</w:t>
      </w:r>
    </w:p>
    <w:p>
      <w:pPr>
        <w:spacing w:after="0" w:line="115" w:lineRule="exact"/>
        <w:rPr>
          <w:rFonts w:ascii="Times New Roman" w:cs="Times New Roman" w:eastAsia="Times New Roman" w:hAnsi="Times New Roman"/>
          <w:sz w:val="15"/>
          <w:szCs w:val="15"/>
          <w:b w:val="1"/>
          <w:bCs w:val="1"/>
          <w:color w:val="auto"/>
        </w:rPr>
      </w:pPr>
    </w:p>
    <w:p>
      <w:pPr>
        <w:ind w:left="514" w:hanging="514"/>
        <w:spacing w:after="0"/>
        <w:tabs>
          <w:tab w:leader="none" w:pos="514" w:val="left"/>
        </w:tabs>
        <w:numPr>
          <w:ilvl w:val="0"/>
          <w:numId w:val="4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means the U.S. Securities Act of 1933, as amended.</w:t>
      </w:r>
    </w:p>
    <w:p>
      <w:pPr>
        <w:spacing w:after="0" w:line="162" w:lineRule="exact"/>
        <w:rPr>
          <w:rFonts w:ascii="Times New Roman" w:cs="Times New Roman" w:eastAsia="Times New Roman" w:hAnsi="Times New Roman"/>
          <w:sz w:val="15"/>
          <w:szCs w:val="15"/>
          <w:b w:val="1"/>
          <w:bCs w:val="1"/>
          <w:color w:val="auto"/>
        </w:rPr>
      </w:pPr>
    </w:p>
    <w:p>
      <w:pPr>
        <w:ind w:left="454" w:hanging="454"/>
        <w:spacing w:after="0"/>
        <w:tabs>
          <w:tab w:leader="none" w:pos="454" w:val="left"/>
        </w:tabs>
        <w:numPr>
          <w:ilvl w:val="0"/>
          <w:numId w:val="4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Share</w:t>
      </w:r>
      <w:r>
        <w:rPr>
          <w:rFonts w:ascii="Times New Roman" w:cs="Times New Roman" w:eastAsia="Times New Roman" w:hAnsi="Times New Roman"/>
          <w:sz w:val="14"/>
          <w:szCs w:val="14"/>
          <w:color w:val="auto"/>
        </w:rPr>
        <w:t>” means a share of the Common Stock, as adjusted for a Capitalization Adjustment.</w:t>
      </w:r>
    </w:p>
    <w:p>
      <w:pPr>
        <w:spacing w:after="0" w:line="162" w:lineRule="exact"/>
        <w:rPr>
          <w:rFonts w:ascii="Times New Roman" w:cs="Times New Roman" w:eastAsia="Times New Roman" w:hAnsi="Times New Roman"/>
          <w:sz w:val="15"/>
          <w:szCs w:val="15"/>
          <w:b w:val="1"/>
          <w:bCs w:val="1"/>
          <w:color w:val="auto"/>
        </w:rPr>
      </w:pPr>
    </w:p>
    <w:p>
      <w:pPr>
        <w:ind w:left="414" w:hanging="414"/>
        <w:spacing w:after="0"/>
        <w:tabs>
          <w:tab w:leader="none" w:pos="414" w:val="left"/>
        </w:tabs>
        <w:numPr>
          <w:ilvl w:val="0"/>
          <w:numId w:val="4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Share Reserve</w:t>
      </w:r>
      <w:r>
        <w:rPr>
          <w:rFonts w:ascii="Times New Roman" w:cs="Times New Roman" w:eastAsia="Times New Roman" w:hAnsi="Times New Roman"/>
          <w:sz w:val="14"/>
          <w:szCs w:val="14"/>
          <w:color w:val="auto"/>
        </w:rPr>
        <w:t>” means the number of shares available for issuance under the Plan as set forth in Section 2(a).</w:t>
      </w:r>
    </w:p>
    <w:p>
      <w:pPr>
        <w:spacing w:after="0" w:line="162" w:lineRule="exact"/>
        <w:rPr>
          <w:rFonts w:ascii="Times New Roman" w:cs="Times New Roman" w:eastAsia="Times New Roman" w:hAnsi="Times New Roman"/>
          <w:sz w:val="15"/>
          <w:szCs w:val="15"/>
          <w:b w:val="1"/>
          <w:bCs w:val="1"/>
          <w:color w:val="auto"/>
        </w:rPr>
      </w:pPr>
    </w:p>
    <w:p>
      <w:pPr>
        <w:ind w:left="494" w:hanging="494"/>
        <w:spacing w:after="0"/>
        <w:tabs>
          <w:tab w:leader="none" w:pos="494" w:val="left"/>
        </w:tabs>
        <w:numPr>
          <w:ilvl w:val="0"/>
          <w:numId w:val="4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Stock Appreciation Right</w:t>
      </w:r>
      <w:r>
        <w:rPr>
          <w:rFonts w:ascii="Times New Roman" w:cs="Times New Roman" w:eastAsia="Times New Roman" w:hAnsi="Times New Roman"/>
          <w:sz w:val="14"/>
          <w:szCs w:val="14"/>
          <w:color w:val="auto"/>
        </w:rPr>
        <w:t>” means a right to receive the appreciation on Shares that is granted pursuant to the terms and conditions of Section 4.</w:t>
      </w:r>
    </w:p>
    <w:p>
      <w:pPr>
        <w:spacing w:after="0" w:line="162" w:lineRule="exact"/>
        <w:rPr>
          <w:rFonts w:ascii="Times New Roman" w:cs="Times New Roman" w:eastAsia="Times New Roman" w:hAnsi="Times New Roman"/>
          <w:sz w:val="15"/>
          <w:szCs w:val="15"/>
          <w:b w:val="1"/>
          <w:bCs w:val="1"/>
          <w:color w:val="auto"/>
        </w:rPr>
      </w:pPr>
    </w:p>
    <w:p>
      <w:pPr>
        <w:jc w:val="both"/>
        <w:ind w:left="-466" w:right="20" w:firstLine="466"/>
        <w:spacing w:after="0" w:line="268" w:lineRule="auto"/>
        <w:tabs>
          <w:tab w:leader="none" w:pos="501" w:val="left"/>
        </w:tabs>
        <w:numPr>
          <w:ilvl w:val="0"/>
          <w:numId w:val="4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Subsidiary</w:t>
      </w:r>
      <w:r>
        <w:rPr>
          <w:rFonts w:ascii="Times New Roman" w:cs="Times New Roman" w:eastAsia="Times New Roman" w:hAnsi="Times New Roman"/>
          <w:sz w:val="14"/>
          <w:szCs w:val="14"/>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w:t>
      </w:r>
    </w:p>
    <w:p>
      <w:pPr>
        <w:sectPr>
          <w:pgSz w:w="11900" w:h="16840" w:orient="portrait"/>
          <w:cols w:equalWidth="0" w:num="1">
            <w:col w:w="10154"/>
          </w:cols>
          <w:pgMar w:left="1106" w:top="1440" w:right="640" w:bottom="1440" w:gutter="0" w:footer="0" w:header="0"/>
        </w:sectPr>
      </w:pPr>
    </w:p>
    <w:bookmarkStart w:id="339" w:name="page340"/>
    <w:bookmarkEnd w:id="339"/>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or other entity in which the Company has a direct or indirect interest (whether in the form of voting or participation in profits or capital contribution) of more than 50%.</w:t>
      </w:r>
    </w:p>
    <w:p>
      <w:pPr>
        <w:spacing w:after="0" w:line="170" w:lineRule="exact"/>
        <w:rPr>
          <w:sz w:val="20"/>
          <w:szCs w:val="20"/>
          <w:color w:val="auto"/>
        </w:rPr>
      </w:pPr>
    </w:p>
    <w:p>
      <w:pPr>
        <w:ind w:firstLine="466"/>
        <w:spacing w:after="0" w:line="282" w:lineRule="auto"/>
        <w:tabs>
          <w:tab w:leader="none" w:pos="842" w:val="left"/>
        </w:tabs>
        <w:numPr>
          <w:ilvl w:val="0"/>
          <w:numId w:val="41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Tax-Related Items</w:t>
      </w:r>
      <w:r>
        <w:rPr>
          <w:rFonts w:ascii="Times New Roman" w:cs="Times New Roman" w:eastAsia="Times New Roman" w:hAnsi="Times New Roman"/>
          <w:sz w:val="14"/>
          <w:szCs w:val="14"/>
          <w:color w:val="auto"/>
        </w:rPr>
        <w:t>” means any income tax, social insurance, payroll tax, fringe benefit tax, payment on account or other tax-related items arising out of or in relation to a Participant’s participation in the Plan and legally applicable or deemed applicable to the Participant.</w:t>
      </w:r>
    </w:p>
    <w:p>
      <w:pPr>
        <w:spacing w:after="0" w:line="115" w:lineRule="exact"/>
        <w:rPr>
          <w:rFonts w:ascii="Times New Roman" w:cs="Times New Roman" w:eastAsia="Times New Roman" w:hAnsi="Times New Roman"/>
          <w:sz w:val="15"/>
          <w:szCs w:val="15"/>
          <w:b w:val="1"/>
          <w:bCs w:val="1"/>
          <w:color w:val="auto"/>
        </w:rPr>
      </w:pPr>
    </w:p>
    <w:p>
      <w:pPr>
        <w:jc w:val="both"/>
        <w:ind w:firstLine="466"/>
        <w:spacing w:after="0" w:line="268" w:lineRule="auto"/>
        <w:tabs>
          <w:tab w:leader="none" w:pos="919" w:val="left"/>
        </w:tabs>
        <w:numPr>
          <w:ilvl w:val="0"/>
          <w:numId w:val="41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Ten Percent Stockholder</w:t>
      </w:r>
      <w:r>
        <w:rPr>
          <w:rFonts w:ascii="Times New Roman" w:cs="Times New Roman" w:eastAsia="Times New Roman" w:hAnsi="Times New Roman"/>
          <w:sz w:val="14"/>
          <w:szCs w:val="14"/>
          <w:color w:val="auto"/>
        </w:rPr>
        <w:t>” means a person who Owns (or is deemed to Own pursuant to Section 424(d) of the Code) stock possessing more than 10% of the total combined voting power of all classes of stock of the Company or any “parent corporation” or “subsidiary corporation” thereof (as such terms are defined in Sections 424(e) and (f) of the Code).</w:t>
      </w:r>
    </w:p>
    <w:p>
      <w:pPr>
        <w:spacing w:after="0" w:line="127" w:lineRule="exact"/>
        <w:rPr>
          <w:rFonts w:ascii="Times New Roman" w:cs="Times New Roman" w:eastAsia="Times New Roman" w:hAnsi="Times New Roman"/>
          <w:sz w:val="15"/>
          <w:szCs w:val="15"/>
          <w:b w:val="1"/>
          <w:bCs w:val="1"/>
          <w:color w:val="auto"/>
        </w:rPr>
      </w:pPr>
    </w:p>
    <w:p>
      <w:pPr>
        <w:ind w:firstLine="466"/>
        <w:spacing w:after="0" w:line="282" w:lineRule="auto"/>
        <w:tabs>
          <w:tab w:leader="none" w:pos="986" w:val="left"/>
        </w:tabs>
        <w:numPr>
          <w:ilvl w:val="0"/>
          <w:numId w:val="41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Trading Policy</w:t>
      </w:r>
      <w:r>
        <w:rPr>
          <w:rFonts w:ascii="Times New Roman" w:cs="Times New Roman" w:eastAsia="Times New Roman" w:hAnsi="Times New Roman"/>
          <w:sz w:val="14"/>
          <w:szCs w:val="14"/>
          <w:color w:val="auto"/>
        </w:rPr>
        <w:t>” means the Company’s policy permitting certain individuals to sell Company shares only during certain “window” periods or otherwise restricts the ability of certain individuals to transfer or encumber Shares, as in effect from time to time.</w:t>
      </w:r>
    </w:p>
    <w:p>
      <w:pPr>
        <w:sectPr>
          <w:pgSz w:w="11900" w:h="16840" w:orient="portrait"/>
          <w:cols w:equalWidth="0" w:num="1">
            <w:col w:w="10600"/>
          </w:cols>
          <w:pgMar w:left="640" w:top="1440" w:right="660" w:bottom="1440" w:gutter="0" w:footer="0" w:header="0"/>
        </w:sectPr>
      </w:pPr>
    </w:p>
    <w:bookmarkStart w:id="340" w:name="page341"/>
    <w:bookmarkEnd w:id="340"/>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NAVAN, INC.</w:t>
      </w:r>
    </w:p>
    <w:p>
      <w:pPr>
        <w:spacing w:after="0" w:line="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STOCK OPTION GRANT NOTICE</w:t>
      </w:r>
    </w:p>
    <w:p>
      <w:pPr>
        <w:spacing w:after="0" w:line="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2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5"/>
          <w:szCs w:val="15"/>
          <w:color w:val="auto"/>
        </w:rPr>
        <w:t>Navan, Inc.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pursuant to the Company’s 2025 Equity Incentive Plan (the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has granted to you (“</w:t>
      </w:r>
      <w:r>
        <w:rPr>
          <w:rFonts w:ascii="Times New Roman" w:cs="Times New Roman" w:eastAsia="Times New Roman" w:hAnsi="Times New Roman"/>
          <w:sz w:val="15"/>
          <w:szCs w:val="15"/>
          <w:b w:val="1"/>
          <w:bCs w:val="1"/>
          <w:i w:val="1"/>
          <w:iCs w:val="1"/>
          <w:color w:val="auto"/>
        </w:rPr>
        <w:t>Optionholder</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color w:val="auto"/>
        </w:rPr>
        <w:t xml:space="preserve"> an option to purchase the number of Shares set forth below (the “</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will have the meanings set forth in the Plan or the Stock Option Agreement, as applicable.</w:t>
      </w:r>
    </w:p>
    <w:p>
      <w:pPr>
        <w:spacing w:after="0" w:line="30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11430</wp:posOffset>
            </wp:positionV>
            <wp:extent cx="1865630"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1865630" cy="6350"/>
                    </a:xfrm>
                    <a:prstGeom prst="rect">
                      <a:avLst/>
                    </a:prstGeom>
                    <a:noFill/>
                  </pic:spPr>
                </pic:pic>
              </a:graphicData>
            </a:graphic>
          </wp:anchor>
        </w:drawing>
      </w:r>
    </w:p>
    <w:p>
      <w:pPr>
        <w:spacing w:after="0" w:line="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6985</wp:posOffset>
            </wp:positionV>
            <wp:extent cx="1865630"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1865630" cy="635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5"/>
          <w:szCs w:val="15"/>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6985</wp:posOffset>
            </wp:positionV>
            <wp:extent cx="1865630"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1865630" cy="635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5"/>
          <w:szCs w:val="15"/>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6985</wp:posOffset>
            </wp:positionV>
            <wp:extent cx="1865630"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1865630" cy="635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5"/>
          <w:szCs w:val="15"/>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6985</wp:posOffset>
            </wp:positionV>
            <wp:extent cx="1865630"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1865630" cy="635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5"/>
          <w:szCs w:val="15"/>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6985</wp:posOffset>
            </wp:positionV>
            <wp:extent cx="1865630"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1865630" cy="635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5"/>
          <w:szCs w:val="15"/>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6985</wp:posOffset>
            </wp:positionV>
            <wp:extent cx="1865630"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1865630" cy="6350"/>
                    </a:xfrm>
                    <a:prstGeom prst="rect">
                      <a:avLst/>
                    </a:prstGeom>
                    <a:noFill/>
                  </pic:spPr>
                </pic:pic>
              </a:graphicData>
            </a:graphic>
          </wp:anchor>
        </w:drawing>
      </w:r>
    </w:p>
    <w:p>
      <w:pPr>
        <w:spacing w:after="0" w:line="27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5"/>
          <w:szCs w:val="15"/>
          <w:b w:val="1"/>
          <w:bCs w:val="1"/>
          <w:color w:val="auto"/>
        </w:rPr>
        <w:t>Type of Grant:</w:t>
        <w:tab/>
        <w:t>[</w:t>
      </w:r>
      <w:r>
        <w:rPr>
          <w:rFonts w:ascii="Times New Roman" w:cs="Times New Roman" w:eastAsia="Times New Roman" w:hAnsi="Times New Roman"/>
          <w:sz w:val="15"/>
          <w:szCs w:val="15"/>
          <w:color w:val="auto"/>
        </w:rPr>
        <w:t>Incentive Stock Option]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[Nonstatutory Stock Option]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Exercise and</w:t>
      </w:r>
    </w:p>
    <w:p>
      <w:pPr>
        <w:spacing w:after="0" w:line="29"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5"/>
          <w:szCs w:val="15"/>
          <w:b w:val="1"/>
          <w:bCs w:val="1"/>
          <w:color w:val="auto"/>
        </w:rPr>
        <w:t>Vesting Schedule:</w:t>
      </w:r>
      <w:r>
        <w:rPr>
          <w:sz w:val="20"/>
          <w:szCs w:val="20"/>
          <w:color w:val="auto"/>
        </w:rPr>
        <w:tab/>
      </w:r>
      <w:r>
        <w:rPr>
          <w:rFonts w:ascii="Times New Roman" w:cs="Times New Roman" w:eastAsia="Times New Roman" w:hAnsi="Times New Roman"/>
          <w:sz w:val="15"/>
          <w:szCs w:val="15"/>
          <w:color w:val="auto"/>
        </w:rPr>
        <w:t>Subject to the Optionholder’s Continuous Service through each applicable vesting date, the Option will vest as follows:</w:t>
      </w:r>
    </w:p>
    <w:p>
      <w:pPr>
        <w:spacing w:after="0" w:line="1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__________________________________________________________]</w:t>
      </w:r>
    </w:p>
    <w:p>
      <w:pPr>
        <w:spacing w:after="0" w:line="13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5"/>
          <w:szCs w:val="15"/>
          <w:b w:val="1"/>
          <w:bCs w:val="1"/>
          <w:color w:val="auto"/>
        </w:rPr>
        <w:t xml:space="preserve">Additional Terms/Acknowledgements: </w:t>
      </w:r>
      <w:r>
        <w:rPr>
          <w:rFonts w:ascii="Times New Roman" w:cs="Times New Roman" w:eastAsia="Times New Roman" w:hAnsi="Times New Roman"/>
          <w:sz w:val="15"/>
          <w:szCs w:val="15"/>
          <w:color w:val="auto"/>
        </w:rPr>
        <w:t>By your signature below or by electronic acceptance or authentication in a form authorized by the Company, you understand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 that:</w:t>
      </w:r>
    </w:p>
    <w:p>
      <w:pPr>
        <w:spacing w:after="0" w:line="65" w:lineRule="exact"/>
        <w:rPr>
          <w:sz w:val="20"/>
          <w:szCs w:val="20"/>
          <w:color w:val="auto"/>
        </w:rPr>
      </w:pPr>
    </w:p>
    <w:p>
      <w:pPr>
        <w:jc w:val="both"/>
        <w:ind w:left="460" w:right="20" w:hanging="224"/>
        <w:spacing w:after="0" w:line="273" w:lineRule="auto"/>
        <w:tabs>
          <w:tab w:leader="none" w:pos="460" w:val="left"/>
        </w:tabs>
        <w:numPr>
          <w:ilvl w:val="0"/>
          <w:numId w:val="4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Option is governed by this Stock Option Grant Notice (this “</w:t>
      </w:r>
      <w:r>
        <w:rPr>
          <w:rFonts w:ascii="Times New Roman" w:cs="Times New Roman" w:eastAsia="Times New Roman" w:hAnsi="Times New Roman"/>
          <w:sz w:val="15"/>
          <w:szCs w:val="15"/>
          <w:b w:val="1"/>
          <w:bCs w:val="1"/>
          <w:i w:val="1"/>
          <w:iCs w:val="1"/>
          <w:color w:val="auto"/>
        </w:rPr>
        <w:t>Grant Notice</w:t>
      </w:r>
      <w:r>
        <w:rPr>
          <w:rFonts w:ascii="Times New Roman" w:cs="Times New Roman" w:eastAsia="Times New Roman" w:hAnsi="Times New Roman"/>
          <w:sz w:val="15"/>
          <w:szCs w:val="15"/>
          <w:color w:val="auto"/>
        </w:rPr>
        <w:t>”), and the provisions of the Plan and the Stock Option Agreement, and the Notice of Exercise, all of which are made a part of this document. Unless otherwise provided in the Plan, this Grant Notice and the Stock Option Agreement (together, the “</w:t>
      </w:r>
      <w:r>
        <w:rPr>
          <w:rFonts w:ascii="Times New Roman" w:cs="Times New Roman" w:eastAsia="Times New Roman" w:hAnsi="Times New Roman"/>
          <w:sz w:val="15"/>
          <w:szCs w:val="15"/>
          <w:b w:val="1"/>
          <w:bCs w:val="1"/>
          <w:i w:val="1"/>
          <w:iCs w:val="1"/>
          <w:color w:val="auto"/>
        </w:rPr>
        <w:t>Option Agreement</w:t>
      </w:r>
      <w:r>
        <w:rPr>
          <w:rFonts w:ascii="Times New Roman" w:cs="Times New Roman" w:eastAsia="Times New Roman" w:hAnsi="Times New Roman"/>
          <w:sz w:val="15"/>
          <w:szCs w:val="15"/>
          <w:color w:val="auto"/>
        </w:rPr>
        <w:t>”) may not be modified, amended or revised except in a writing signed by you and a duly authorized officer of the Company.</w:t>
      </w:r>
    </w:p>
    <w:p>
      <w:pPr>
        <w:spacing w:after="0" w:line="81" w:lineRule="exact"/>
        <w:rPr>
          <w:rFonts w:ascii="Times New Roman" w:cs="Times New Roman" w:eastAsia="Times New Roman" w:hAnsi="Times New Roman"/>
          <w:sz w:val="15"/>
          <w:szCs w:val="15"/>
          <w:color w:val="auto"/>
        </w:rPr>
      </w:pPr>
    </w:p>
    <w:p>
      <w:pPr>
        <w:jc w:val="both"/>
        <w:ind w:left="460" w:hanging="224"/>
        <w:spacing w:after="0" w:line="273" w:lineRule="auto"/>
        <w:tabs>
          <w:tab w:leader="none" w:pos="460" w:val="left"/>
        </w:tabs>
        <w:numPr>
          <w:ilvl w:val="0"/>
          <w:numId w:val="4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Option is an Incentive Stock Option, it (plus other outstanding Incentive Stock Options granted to you) cannot be first </w:t>
      </w:r>
      <w:r>
        <w:rPr>
          <w:rFonts w:ascii="Times New Roman" w:cs="Times New Roman" w:eastAsia="Times New Roman" w:hAnsi="Times New Roman"/>
          <w:sz w:val="15"/>
          <w:szCs w:val="15"/>
          <w:i w:val="1"/>
          <w:iCs w:val="1"/>
          <w:color w:val="auto"/>
        </w:rPr>
        <w:t>exercisable</w:t>
      </w:r>
      <w:r>
        <w:rPr>
          <w:rFonts w:ascii="Times New Roman" w:cs="Times New Roman" w:eastAsia="Times New Roman" w:hAnsi="Times New Roman"/>
          <w:sz w:val="15"/>
          <w:szCs w:val="15"/>
          <w:color w:val="auto"/>
        </w:rPr>
        <w:t xml:space="preserve"> for more than $100,000 in value (in each case, measured by the fair market value of the shares underlying Shares on the date the Incentive Stock Option is granted) in any calendar year. Any excess over $100,000 is a Nonstatutory Stock Option.</w:t>
      </w:r>
    </w:p>
    <w:p>
      <w:pPr>
        <w:sectPr>
          <w:pgSz w:w="11900" w:h="16840" w:orient="portrait"/>
          <w:cols w:equalWidth="0" w:num="1">
            <w:col w:w="10620"/>
          </w:cols>
          <w:pgMar w:left="640" w:top="1440" w:right="640" w:bottom="1440" w:gutter="0" w:footer="0" w:header="0"/>
        </w:sectPr>
      </w:pPr>
    </w:p>
    <w:bookmarkStart w:id="341" w:name="page342"/>
    <w:bookmarkEnd w:id="341"/>
    <w:p>
      <w:pPr>
        <w:spacing w:after="0" w:line="40" w:lineRule="exact"/>
        <w:rPr>
          <w:sz w:val="20"/>
          <w:szCs w:val="20"/>
          <w:color w:val="auto"/>
        </w:rPr>
      </w:pPr>
    </w:p>
    <w:p>
      <w:pPr>
        <w:jc w:val="both"/>
        <w:ind w:left="460" w:right="20" w:hanging="224"/>
        <w:spacing w:after="0" w:line="270" w:lineRule="auto"/>
        <w:tabs>
          <w:tab w:leader="none" w:pos="460" w:val="left"/>
        </w:tabs>
        <w:numPr>
          <w:ilvl w:val="0"/>
          <w:numId w:val="4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consent to receive this Grant Notice, the Stock Option Agreement, the Plan, the document containing the Plan information specified in Section 10(a) of the Securities Act (the “</w:t>
      </w:r>
      <w:r>
        <w:rPr>
          <w:rFonts w:ascii="Times New Roman" w:cs="Times New Roman" w:eastAsia="Times New Roman" w:hAnsi="Times New Roman"/>
          <w:sz w:val="15"/>
          <w:szCs w:val="15"/>
          <w:b w:val="1"/>
          <w:bCs w:val="1"/>
          <w:i w:val="1"/>
          <w:iCs w:val="1"/>
          <w:color w:val="auto"/>
        </w:rPr>
        <w:t>Prospectus</w:t>
      </w:r>
      <w:r>
        <w:rPr>
          <w:rFonts w:ascii="Times New Roman" w:cs="Times New Roman" w:eastAsia="Times New Roman" w:hAnsi="Times New Roman"/>
          <w:sz w:val="15"/>
          <w:szCs w:val="15"/>
          <w:color w:val="auto"/>
        </w:rPr>
        <w:t>”), and any other Plan-related documents by electronic delivery and to participate in the Plan through an on-line or electronic system established and maintained by the Company or another third party designated by the Company.</w:t>
      </w:r>
    </w:p>
    <w:p>
      <w:pPr>
        <w:spacing w:after="0" w:line="87" w:lineRule="exact"/>
        <w:rPr>
          <w:rFonts w:ascii="Times New Roman" w:cs="Times New Roman" w:eastAsia="Times New Roman" w:hAnsi="Times New Roman"/>
          <w:sz w:val="15"/>
          <w:szCs w:val="15"/>
          <w:color w:val="auto"/>
        </w:rPr>
      </w:pPr>
    </w:p>
    <w:p>
      <w:pPr>
        <w:jc w:val="both"/>
        <w:ind w:left="460" w:right="20" w:hanging="224"/>
        <w:spacing w:after="0" w:line="270" w:lineRule="auto"/>
        <w:tabs>
          <w:tab w:leader="none" w:pos="460" w:val="left"/>
        </w:tabs>
        <w:numPr>
          <w:ilvl w:val="0"/>
          <w:numId w:val="4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will control.</w:t>
      </w:r>
    </w:p>
    <w:p>
      <w:pPr>
        <w:spacing w:after="0" w:line="87" w:lineRule="exact"/>
        <w:rPr>
          <w:rFonts w:ascii="Times New Roman" w:cs="Times New Roman" w:eastAsia="Times New Roman" w:hAnsi="Times New Roman"/>
          <w:sz w:val="15"/>
          <w:szCs w:val="15"/>
          <w:color w:val="auto"/>
        </w:rPr>
      </w:pPr>
    </w:p>
    <w:p>
      <w:pPr>
        <w:jc w:val="both"/>
        <w:ind w:left="460" w:hanging="224"/>
        <w:spacing w:after="0" w:line="264" w:lineRule="auto"/>
        <w:tabs>
          <w:tab w:leader="none" w:pos="460" w:val="left"/>
        </w:tabs>
        <w:numPr>
          <w:ilvl w:val="0"/>
          <w:numId w:val="4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Option Agreement sets forth the entire understanding between you and the Company regarding the acquisition of Shares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(or any Affiliate or Subsidiary) and you that, in each case, is approved by the Board and specifies terms that should govern this Option.</w:t>
      </w:r>
    </w:p>
    <w:p>
      <w:pPr>
        <w:spacing w:after="0" w:line="92" w:lineRule="exact"/>
        <w:rPr>
          <w:rFonts w:ascii="Times New Roman" w:cs="Times New Roman" w:eastAsia="Times New Roman" w:hAnsi="Times New Roman"/>
          <w:sz w:val="15"/>
          <w:szCs w:val="15"/>
          <w:color w:val="auto"/>
        </w:rPr>
      </w:pPr>
    </w:p>
    <w:p>
      <w:pPr>
        <w:jc w:val="both"/>
        <w:ind w:left="460" w:right="20" w:hanging="224"/>
        <w:spacing w:after="0" w:line="270" w:lineRule="auto"/>
        <w:tabs>
          <w:tab w:leader="none" w:pos="460" w:val="left"/>
        </w:tabs>
        <w:numPr>
          <w:ilvl w:val="0"/>
          <w:numId w:val="4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NAVAN, INC.</w:t>
            </w:r>
          </w:p>
        </w:tc>
        <w:tc>
          <w:tcPr>
            <w:tcW w:w="620" w:type="dxa"/>
            <w:vAlign w:val="bottom"/>
          </w:tcPr>
          <w:p>
            <w:pPr>
              <w:spacing w:after="0"/>
              <w:rPr>
                <w:sz w:val="17"/>
                <w:szCs w:val="17"/>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OPTIONHOLDER:</w:t>
            </w:r>
          </w:p>
        </w:tc>
      </w:tr>
      <w:tr>
        <w:trPr>
          <w:trHeight w:val="375"/>
        </w:trPr>
        <w:tc>
          <w:tcPr>
            <w:tcW w:w="4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By:</w:t>
            </w:r>
          </w:p>
        </w:tc>
        <w:tc>
          <w:tcPr>
            <w:tcW w:w="6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r>
        <w:trPr>
          <w:trHeight w:val="189"/>
        </w:trPr>
        <w:tc>
          <w:tcPr>
            <w:tcW w:w="900" w:type="dxa"/>
            <w:vAlign w:val="bottom"/>
          </w:tcPr>
          <w:p>
            <w:pPr>
              <w:spacing w:after="0"/>
              <w:rPr>
                <w:sz w:val="16"/>
                <w:szCs w:val="16"/>
                <w:color w:val="auto"/>
              </w:rPr>
            </w:pPr>
          </w:p>
        </w:tc>
        <w:tc>
          <w:tcPr>
            <w:tcW w:w="376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Signature</w:t>
            </w:r>
          </w:p>
        </w:tc>
        <w:tc>
          <w:tcPr>
            <w:tcW w:w="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Signature</w:t>
            </w:r>
          </w:p>
        </w:tc>
      </w:tr>
      <w:tr>
        <w:trPr>
          <w:trHeight w:val="375"/>
        </w:trPr>
        <w:tc>
          <w:tcPr>
            <w:tcW w:w="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Title:</w:t>
            </w:r>
          </w:p>
        </w:tc>
        <w:tc>
          <w:tcPr>
            <w:tcW w:w="376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Date:</w:t>
            </w:r>
          </w:p>
        </w:tc>
        <w:tc>
          <w:tcPr>
            <w:tcW w:w="3800" w:type="dxa"/>
            <w:vAlign w:val="bottom"/>
            <w:tcBorders>
              <w:bottom w:val="single" w:sz="8" w:color="auto"/>
            </w:tcBorders>
          </w:tcPr>
          <w:p>
            <w:pPr>
              <w:spacing w:after="0"/>
              <w:rPr>
                <w:sz w:val="24"/>
                <w:szCs w:val="24"/>
                <w:color w:val="auto"/>
              </w:rPr>
            </w:pPr>
          </w:p>
        </w:tc>
      </w:tr>
      <w:tr>
        <w:trPr>
          <w:trHeight w:val="286"/>
        </w:trPr>
        <w:tc>
          <w:tcPr>
            <w:tcW w:w="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Date:</w:t>
            </w:r>
          </w:p>
        </w:tc>
        <w:tc>
          <w:tcPr>
            <w:tcW w:w="376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0" w:type="dxa"/>
            <w:vAlign w:val="bottom"/>
          </w:tcPr>
          <w:p>
            <w:pPr>
              <w:spacing w:after="0"/>
              <w:rPr>
                <w:sz w:val="24"/>
                <w:szCs w:val="24"/>
                <w:color w:val="auto"/>
              </w:rPr>
            </w:pPr>
          </w:p>
        </w:tc>
      </w:tr>
    </w:tbl>
    <w:p>
      <w:pPr>
        <w:spacing w:after="0" w:line="16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5"/>
          <w:szCs w:val="15"/>
          <w:b w:val="1"/>
          <w:bCs w:val="1"/>
          <w:color w:val="auto"/>
        </w:rPr>
        <w:t>ATTACHMENTS</w:t>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Stock Option Agreement, 2025 Equity Incentive Plan, Notice of Exercise, Prospectus</w:t>
      </w:r>
    </w:p>
    <w:p>
      <w:pPr>
        <w:sectPr>
          <w:pgSz w:w="11900" w:h="16840" w:orient="portrait"/>
          <w:cols w:equalWidth="0" w:num="1">
            <w:col w:w="10620"/>
          </w:cols>
          <w:pgMar w:left="640" w:top="1440" w:right="640" w:bottom="1440" w:gutter="0" w:footer="0" w:header="0"/>
        </w:sectPr>
      </w:pPr>
    </w:p>
    <w:bookmarkStart w:id="342" w:name="page343"/>
    <w:bookmarkEnd w:id="342"/>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ATTACHMENT I</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NAVAN,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296"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5"/>
          <w:szCs w:val="15"/>
          <w:color w:val="auto"/>
        </w:rPr>
        <w:t>As reflected by your Stock Option Grant Notice (“</w:t>
      </w:r>
      <w:r>
        <w:rPr>
          <w:rFonts w:ascii="Times New Roman" w:cs="Times New Roman" w:eastAsia="Times New Roman" w:hAnsi="Times New Roman"/>
          <w:sz w:val="15"/>
          <w:szCs w:val="15"/>
          <w:b w:val="1"/>
          <w:bCs w:val="1"/>
          <w:i w:val="1"/>
          <w:iCs w:val="1"/>
          <w:color w:val="auto"/>
        </w:rPr>
        <w:t>Grant Notice</w:t>
      </w:r>
      <w:r>
        <w:rPr>
          <w:rFonts w:ascii="Times New Roman" w:cs="Times New Roman" w:eastAsia="Times New Roman" w:hAnsi="Times New Roman"/>
          <w:sz w:val="15"/>
          <w:szCs w:val="15"/>
          <w:color w:val="auto"/>
        </w:rPr>
        <w:t>”), Navan, Inc.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has granted you an option under the Company’s 2025 Equity Incentive Plan (the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to purchase a number of Shares at the exercise price indicated in your Grant Notice (the “</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color w:val="auto"/>
        </w:rPr>
        <w:t>”). Capitalized terms not explicitly defined in this Agreement but defined in the Grant Notice or the Plan will have the meanings set forth in the Grant Notice or Plan, as applicable. The terms of your Option as specified in the Grant Notice and this Stock Option Agreement constitute your Option Agreement.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The general terms and conditions applicable to your Option are as follows:</w:t>
      </w:r>
    </w:p>
    <w:p>
      <w:pPr>
        <w:spacing w:after="0" w:line="158" w:lineRule="exact"/>
        <w:rPr>
          <w:sz w:val="20"/>
          <w:szCs w:val="20"/>
          <w:color w:val="auto"/>
        </w:rPr>
      </w:pPr>
    </w:p>
    <w:p>
      <w:pPr>
        <w:ind w:left="740" w:hanging="274"/>
        <w:spacing w:after="0"/>
        <w:tabs>
          <w:tab w:leader="none" w:pos="740" w:val="left"/>
        </w:tabs>
        <w:numPr>
          <w:ilvl w:val="0"/>
          <w:numId w:val="41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Governing Plan Document. </w:t>
      </w:r>
      <w:r>
        <w:rPr>
          <w:rFonts w:ascii="Times New Roman" w:cs="Times New Roman" w:eastAsia="Times New Roman" w:hAnsi="Times New Roman"/>
          <w:sz w:val="15"/>
          <w:szCs w:val="15"/>
          <w:color w:val="auto"/>
        </w:rPr>
        <w:t>Your Option is subject to all the provisions of the Plan, including but not limited to the provisions in:</w:t>
      </w:r>
    </w:p>
    <w:p>
      <w:pPr>
        <w:spacing w:after="0" w:line="166" w:lineRule="exact"/>
        <w:rPr>
          <w:rFonts w:ascii="Times New Roman" w:cs="Times New Roman" w:eastAsia="Times New Roman" w:hAnsi="Times New Roman"/>
          <w:sz w:val="15"/>
          <w:szCs w:val="15"/>
          <w:b w:val="1"/>
          <w:bCs w:val="1"/>
          <w:color w:val="auto"/>
        </w:rPr>
      </w:pPr>
    </w:p>
    <w:p>
      <w:pPr>
        <w:ind w:left="1260" w:hanging="335"/>
        <w:spacing w:after="0"/>
        <w:tabs>
          <w:tab w:leader="none" w:pos="1260" w:val="left"/>
        </w:tabs>
        <w:numPr>
          <w:ilvl w:val="1"/>
          <w:numId w:val="41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Section 6 regarding the impact of a Capitalization Adjustment, dissolution, liquidation, or Corporate Transaction on your Option;</w:t>
      </w:r>
    </w:p>
    <w:p>
      <w:pPr>
        <w:spacing w:after="0" w:line="162" w:lineRule="exact"/>
        <w:rPr>
          <w:rFonts w:ascii="Times New Roman" w:cs="Times New Roman" w:eastAsia="Times New Roman" w:hAnsi="Times New Roman"/>
          <w:sz w:val="15"/>
          <w:szCs w:val="15"/>
          <w:b w:val="1"/>
          <w:bCs w:val="1"/>
          <w:color w:val="auto"/>
        </w:rPr>
      </w:pPr>
    </w:p>
    <w:p>
      <w:pPr>
        <w:ind w:left="1260" w:hanging="335"/>
        <w:spacing w:after="0"/>
        <w:tabs>
          <w:tab w:leader="none" w:pos="1260" w:val="left"/>
        </w:tabs>
        <w:numPr>
          <w:ilvl w:val="1"/>
          <w:numId w:val="41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Section 9(d) regarding the Company’s retained rights to terminate your Continuous Service notwithstanding the grant of the Option; and</w:t>
      </w:r>
    </w:p>
    <w:p>
      <w:pPr>
        <w:spacing w:after="0" w:line="162" w:lineRule="exact"/>
        <w:rPr>
          <w:rFonts w:ascii="Times New Roman" w:cs="Times New Roman" w:eastAsia="Times New Roman" w:hAnsi="Times New Roman"/>
          <w:sz w:val="15"/>
          <w:szCs w:val="15"/>
          <w:b w:val="1"/>
          <w:bCs w:val="1"/>
          <w:color w:val="auto"/>
        </w:rPr>
      </w:pPr>
    </w:p>
    <w:p>
      <w:pPr>
        <w:ind w:left="1260" w:hanging="335"/>
        <w:spacing w:after="0"/>
        <w:tabs>
          <w:tab w:leader="none" w:pos="1260" w:val="left"/>
        </w:tabs>
        <w:numPr>
          <w:ilvl w:val="1"/>
          <w:numId w:val="41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Section 8 regarding certain tax consequences of your Option.</w:t>
      </w:r>
    </w:p>
    <w:p>
      <w:pPr>
        <w:spacing w:after="0" w:line="16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5"/>
          <w:szCs w:val="15"/>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will control.</w:t>
      </w:r>
    </w:p>
    <w:p>
      <w:pPr>
        <w:spacing w:after="0" w:line="97" w:lineRule="exact"/>
        <w:rPr>
          <w:sz w:val="20"/>
          <w:szCs w:val="20"/>
          <w:color w:val="auto"/>
        </w:rPr>
      </w:pPr>
    </w:p>
    <w:p>
      <w:pPr>
        <w:ind w:left="740" w:hanging="274"/>
        <w:spacing w:after="0"/>
        <w:tabs>
          <w:tab w:leader="none" w:pos="740" w:val="left"/>
        </w:tabs>
        <w:numPr>
          <w:ilvl w:val="0"/>
          <w:numId w:val="41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Exercise.</w:t>
      </w:r>
    </w:p>
    <w:p>
      <w:pPr>
        <w:spacing w:after="0" w:line="166" w:lineRule="exact"/>
        <w:rPr>
          <w:rFonts w:ascii="Times New Roman" w:cs="Times New Roman" w:eastAsia="Times New Roman" w:hAnsi="Times New Roman"/>
          <w:sz w:val="15"/>
          <w:szCs w:val="15"/>
          <w:b w:val="1"/>
          <w:bCs w:val="1"/>
          <w:color w:val="auto"/>
        </w:rPr>
      </w:pPr>
    </w:p>
    <w:p>
      <w:pPr>
        <w:jc w:val="both"/>
        <w:ind w:right="20" w:firstLine="925"/>
        <w:spacing w:after="0" w:line="264" w:lineRule="auto"/>
        <w:tabs>
          <w:tab w:leader="none" w:pos="1263" w:val="left"/>
        </w:tabs>
        <w:numPr>
          <w:ilvl w:val="1"/>
          <w:numId w:val="41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You may generally exercise the vested portion of your Option for whole Shares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and 7(b)(v) of the Plan, which may restrict or prohibit your ability to exercise your Option during certain periods.</w:t>
      </w:r>
    </w:p>
    <w:p>
      <w:pPr>
        <w:spacing w:after="0" w:line="121" w:lineRule="exact"/>
        <w:rPr>
          <w:rFonts w:ascii="Times New Roman" w:cs="Times New Roman" w:eastAsia="Times New Roman" w:hAnsi="Times New Roman"/>
          <w:sz w:val="15"/>
          <w:szCs w:val="15"/>
          <w:b w:val="1"/>
          <w:bCs w:val="1"/>
          <w:color w:val="auto"/>
        </w:rPr>
      </w:pPr>
    </w:p>
    <w:p>
      <w:pPr>
        <w:ind w:left="1260" w:hanging="335"/>
        <w:spacing w:after="0"/>
        <w:tabs>
          <w:tab w:leader="none" w:pos="1260" w:val="left"/>
        </w:tabs>
        <w:numPr>
          <w:ilvl w:val="1"/>
          <w:numId w:val="41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the extent permitted by Applicable Law, you may pay your Option exercise price as follows:</w:t>
      </w:r>
    </w:p>
    <w:p>
      <w:pPr>
        <w:spacing w:after="0" w:line="162" w:lineRule="exact"/>
        <w:rPr>
          <w:rFonts w:ascii="Times New Roman" w:cs="Times New Roman" w:eastAsia="Times New Roman" w:hAnsi="Times New Roman"/>
          <w:sz w:val="15"/>
          <w:szCs w:val="15"/>
          <w:b w:val="1"/>
          <w:bCs w:val="1"/>
          <w:color w:val="auto"/>
        </w:rPr>
      </w:pPr>
    </w:p>
    <w:p>
      <w:pPr>
        <w:ind w:left="1680" w:hanging="296"/>
        <w:spacing w:after="0"/>
        <w:tabs>
          <w:tab w:leader="none" w:pos="1680" w:val="left"/>
        </w:tabs>
        <w:numPr>
          <w:ilvl w:val="2"/>
          <w:numId w:val="41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cash, check, bank draft or money order;</w:t>
      </w:r>
    </w:p>
    <w:p>
      <w:pPr>
        <w:sectPr>
          <w:pgSz w:w="11900" w:h="16840" w:orient="portrait"/>
          <w:cols w:equalWidth="0" w:num="1">
            <w:col w:w="10620"/>
          </w:cols>
          <w:pgMar w:left="640" w:top="1440" w:right="640" w:bottom="1440" w:gutter="0" w:footer="0" w:header="0"/>
        </w:sectPr>
      </w:pPr>
    </w:p>
    <w:bookmarkStart w:id="343" w:name="page344"/>
    <w:bookmarkEnd w:id="343"/>
    <w:p>
      <w:pPr>
        <w:spacing w:after="0" w:line="40" w:lineRule="exact"/>
        <w:rPr>
          <w:sz w:val="20"/>
          <w:szCs w:val="20"/>
          <w:color w:val="auto"/>
        </w:rPr>
      </w:pPr>
    </w:p>
    <w:p>
      <w:pPr>
        <w:ind w:left="1720" w:hanging="336"/>
        <w:spacing w:after="0"/>
        <w:tabs>
          <w:tab w:leader="none" w:pos="1720" w:val="left"/>
        </w:tabs>
        <w:numPr>
          <w:ilvl w:val="0"/>
          <w:numId w:val="42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consideration received by the Company under a formal cashless exercise program adopted by the Company in connection with the Plan; or</w:t>
      </w:r>
    </w:p>
    <w:p>
      <w:pPr>
        <w:spacing w:after="0" w:line="162" w:lineRule="exact"/>
        <w:rPr>
          <w:rFonts w:ascii="Times New Roman" w:cs="Times New Roman" w:eastAsia="Times New Roman" w:hAnsi="Times New Roman"/>
          <w:sz w:val="15"/>
          <w:szCs w:val="15"/>
          <w:b w:val="1"/>
          <w:bCs w:val="1"/>
          <w:color w:val="auto"/>
        </w:rPr>
      </w:pPr>
    </w:p>
    <w:p>
      <w:pPr>
        <w:jc w:val="both"/>
        <w:ind w:firstLine="1384"/>
        <w:spacing w:after="0" w:line="270" w:lineRule="auto"/>
        <w:tabs>
          <w:tab w:leader="none" w:pos="1761" w:val="left"/>
        </w:tabs>
        <w:numPr>
          <w:ilvl w:val="0"/>
          <w:numId w:val="42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you are a U.S. Employee, surrender of other Shares which (i) shall be valued at their Fair Market Value on the date of surrender, and (ii) must be owned free and clear of any liens, claims, encumbrances, or security interests, if accepting such Shares, in the sole discretion of the Company, shall not result in any adverse accounting consequences to the Company.</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If you are or become a non-U.S. resident, your methods of exercise may be restricted by the terms and conditions of any appendix to this Option Agreement for your country (including the Country Addendum, as defined below). The Company from time to time may engage a stock plan service provider to assist the Company with the implementation, administration, and management of the Plan and Awards granted thereunder. For clarity, the Board may establish procedures that require any exercise of your Option, including without limitation the method of payment of the applicable exercise price and the amount required to satisfy any applicable Withholding Obligation (as defined below), to be satisfied through such stock plan service provider.</w:t>
      </w:r>
    </w:p>
    <w:p>
      <w:pPr>
        <w:spacing w:after="0" w:line="124" w:lineRule="exact"/>
        <w:rPr>
          <w:sz w:val="20"/>
          <w:szCs w:val="20"/>
          <w:color w:val="auto"/>
        </w:rPr>
      </w:pPr>
    </w:p>
    <w:p>
      <w:pPr>
        <w:jc w:val="both"/>
        <w:ind w:firstLine="925"/>
        <w:spacing w:after="0" w:line="257" w:lineRule="auto"/>
        <w:tabs>
          <w:tab w:leader="none" w:pos="1244" w:val="left"/>
        </w:tabs>
        <w:numPr>
          <w:ilvl w:val="1"/>
          <w:numId w:val="42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By accepting your Option, you agree that you will not sell, dispose of, transfer, make any short sale of, grant any option for the purchase of, or enter into any hedging or similar transaction with the same economic effect as a sale with respect to any Shares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15"/>
          <w:szCs w:val="15"/>
          <w:b w:val="1"/>
          <w:bCs w:val="1"/>
          <w:i w:val="1"/>
          <w:iCs w:val="1"/>
          <w:color w:val="auto"/>
        </w:rPr>
        <w:t>Lock-Up Period</w:t>
      </w:r>
      <w:r>
        <w:rPr>
          <w:rFonts w:ascii="Times New Roman" w:cs="Times New Roman" w:eastAsia="Times New Roman" w:hAnsi="Times New Roman"/>
          <w:sz w:val="15"/>
          <w:szCs w:val="15"/>
          <w:color w:val="auto"/>
        </w:rPr>
        <w:t>”),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until the end of such period. You also agree that any transferee of any Shares (or other securities) of the Company held by you will be bound by this Section 2(c). The underwriters of the Company’s stock are intended third party beneficiaries of this Section 2(c) and will have the right, power and authority to enforce the provisions hereof as though they were a party hereto.</w:t>
      </w:r>
    </w:p>
    <w:p>
      <w:pPr>
        <w:spacing w:after="0" w:line="122" w:lineRule="exact"/>
        <w:rPr>
          <w:rFonts w:ascii="Times New Roman" w:cs="Times New Roman" w:eastAsia="Times New Roman" w:hAnsi="Times New Roman"/>
          <w:sz w:val="15"/>
          <w:szCs w:val="15"/>
          <w:b w:val="1"/>
          <w:bCs w:val="1"/>
          <w:color w:val="auto"/>
        </w:rPr>
      </w:pPr>
    </w:p>
    <w:p>
      <w:pPr>
        <w:ind w:firstLine="466"/>
        <w:spacing w:after="0" w:line="294" w:lineRule="auto"/>
        <w:tabs>
          <w:tab w:leader="none" w:pos="756" w:val="left"/>
        </w:tabs>
        <w:numPr>
          <w:ilvl w:val="0"/>
          <w:numId w:val="42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Term. </w:t>
      </w:r>
      <w:r>
        <w:rPr>
          <w:rFonts w:ascii="Times New Roman" w:cs="Times New Roman" w:eastAsia="Times New Roman" w:hAnsi="Times New Roman"/>
          <w:sz w:val="15"/>
          <w:szCs w:val="15"/>
          <w:color w:val="auto"/>
        </w:rPr>
        <w:t>You may not exercise your Option before the commencement of its term or after its term expires. The term of your Option commences on the Date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Grant and expires upon the earliest of the following:</w:t>
      </w:r>
    </w:p>
    <w:p>
      <w:pPr>
        <w:spacing w:after="0" w:line="98" w:lineRule="exact"/>
        <w:rPr>
          <w:rFonts w:ascii="Times New Roman" w:cs="Times New Roman" w:eastAsia="Times New Roman" w:hAnsi="Times New Roman"/>
          <w:sz w:val="15"/>
          <w:szCs w:val="15"/>
          <w:b w:val="1"/>
          <w:bCs w:val="1"/>
          <w:color w:val="auto"/>
        </w:rPr>
      </w:pPr>
    </w:p>
    <w:p>
      <w:pPr>
        <w:ind w:left="1260" w:hanging="335"/>
        <w:spacing w:after="0"/>
        <w:tabs>
          <w:tab w:leader="none" w:pos="1260" w:val="left"/>
        </w:tabs>
        <w:numPr>
          <w:ilvl w:val="1"/>
          <w:numId w:val="42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immediately upon the termination of your Continuous Service for Cause;</w:t>
      </w:r>
    </w:p>
    <w:p>
      <w:pPr>
        <w:spacing w:after="0" w:line="162" w:lineRule="exact"/>
        <w:rPr>
          <w:rFonts w:ascii="Times New Roman" w:cs="Times New Roman" w:eastAsia="Times New Roman" w:hAnsi="Times New Roman"/>
          <w:sz w:val="15"/>
          <w:szCs w:val="15"/>
          <w:b w:val="1"/>
          <w:bCs w:val="1"/>
          <w:color w:val="auto"/>
        </w:rPr>
      </w:pPr>
    </w:p>
    <w:p>
      <w:pPr>
        <w:ind w:left="1260" w:hanging="335"/>
        <w:spacing w:after="0"/>
        <w:tabs>
          <w:tab w:leader="none" w:pos="1260" w:val="left"/>
        </w:tabs>
        <w:numPr>
          <w:ilvl w:val="1"/>
          <w:numId w:val="42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three months after the termination of your Continuous Service for any reason other than Cause, Disability or death;</w:t>
      </w:r>
    </w:p>
    <w:p>
      <w:pPr>
        <w:sectPr>
          <w:pgSz w:w="11900" w:h="16840" w:orient="portrait"/>
          <w:cols w:equalWidth="0" w:num="1">
            <w:col w:w="10600"/>
          </w:cols>
          <w:pgMar w:left="640" w:top="1440" w:right="660" w:bottom="1440" w:gutter="0" w:footer="0" w:header="0"/>
        </w:sectPr>
      </w:pPr>
    </w:p>
    <w:bookmarkStart w:id="344" w:name="page345"/>
    <w:bookmarkEnd w:id="344"/>
    <w:p>
      <w:pPr>
        <w:spacing w:after="0" w:line="40" w:lineRule="exact"/>
        <w:rPr>
          <w:sz w:val="20"/>
          <w:szCs w:val="20"/>
          <w:color w:val="auto"/>
        </w:rPr>
      </w:pPr>
    </w:p>
    <w:p>
      <w:pPr>
        <w:ind w:left="1260" w:hanging="335"/>
        <w:spacing w:after="0"/>
        <w:tabs>
          <w:tab w:leader="none" w:pos="1260" w:val="left"/>
        </w:tabs>
        <w:numPr>
          <w:ilvl w:val="0"/>
          <w:numId w:val="42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12 months after the termination of your Continuous Service due to your Disability;</w:t>
      </w:r>
    </w:p>
    <w:p>
      <w:pPr>
        <w:spacing w:after="0" w:line="162" w:lineRule="exact"/>
        <w:rPr>
          <w:rFonts w:ascii="Times New Roman" w:cs="Times New Roman" w:eastAsia="Times New Roman" w:hAnsi="Times New Roman"/>
          <w:sz w:val="15"/>
          <w:szCs w:val="15"/>
          <w:b w:val="1"/>
          <w:bCs w:val="1"/>
          <w:color w:val="auto"/>
        </w:rPr>
      </w:pPr>
    </w:p>
    <w:p>
      <w:pPr>
        <w:ind w:left="1260" w:hanging="335"/>
        <w:spacing w:after="0"/>
        <w:tabs>
          <w:tab w:leader="none" w:pos="1260" w:val="left"/>
        </w:tabs>
        <w:numPr>
          <w:ilvl w:val="0"/>
          <w:numId w:val="42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18 months after your death if you die during your Continuous Service;</w:t>
      </w:r>
    </w:p>
    <w:p>
      <w:pPr>
        <w:spacing w:after="0" w:line="162" w:lineRule="exact"/>
        <w:rPr>
          <w:rFonts w:ascii="Times New Roman" w:cs="Times New Roman" w:eastAsia="Times New Roman" w:hAnsi="Times New Roman"/>
          <w:sz w:val="15"/>
          <w:szCs w:val="15"/>
          <w:b w:val="1"/>
          <w:bCs w:val="1"/>
          <w:color w:val="auto"/>
        </w:rPr>
      </w:pPr>
    </w:p>
    <w:p>
      <w:pPr>
        <w:ind w:left="1260" w:hanging="335"/>
        <w:spacing w:after="0"/>
        <w:tabs>
          <w:tab w:leader="none" w:pos="1260" w:val="left"/>
        </w:tabs>
        <w:numPr>
          <w:ilvl w:val="0"/>
          <w:numId w:val="42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immediately upon a Corporate Transaction if the Board has determined that the Option will terminate in connection with a Corporate Transaction;</w:t>
      </w:r>
    </w:p>
    <w:p>
      <w:pPr>
        <w:spacing w:after="0" w:line="162" w:lineRule="exact"/>
        <w:rPr>
          <w:rFonts w:ascii="Times New Roman" w:cs="Times New Roman" w:eastAsia="Times New Roman" w:hAnsi="Times New Roman"/>
          <w:sz w:val="15"/>
          <w:szCs w:val="15"/>
          <w:b w:val="1"/>
          <w:bCs w:val="1"/>
          <w:color w:val="auto"/>
        </w:rPr>
      </w:pPr>
    </w:p>
    <w:p>
      <w:pPr>
        <w:ind w:left="1240" w:hanging="315"/>
        <w:spacing w:after="0"/>
        <w:tabs>
          <w:tab w:leader="none" w:pos="1240" w:val="left"/>
        </w:tabs>
        <w:numPr>
          <w:ilvl w:val="0"/>
          <w:numId w:val="42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Expiration Date indicated in your Grant Notice; or</w:t>
      </w:r>
    </w:p>
    <w:p>
      <w:pPr>
        <w:spacing w:after="0" w:line="162" w:lineRule="exact"/>
        <w:rPr>
          <w:rFonts w:ascii="Times New Roman" w:cs="Times New Roman" w:eastAsia="Times New Roman" w:hAnsi="Times New Roman"/>
          <w:sz w:val="15"/>
          <w:szCs w:val="15"/>
          <w:b w:val="1"/>
          <w:bCs w:val="1"/>
          <w:color w:val="auto"/>
        </w:rPr>
      </w:pPr>
    </w:p>
    <w:p>
      <w:pPr>
        <w:ind w:left="1260" w:hanging="335"/>
        <w:spacing w:after="0"/>
        <w:tabs>
          <w:tab w:leader="none" w:pos="1260" w:val="left"/>
        </w:tabs>
        <w:numPr>
          <w:ilvl w:val="0"/>
          <w:numId w:val="42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day before the 10th anniversary of the Date of Grant.</w:t>
      </w:r>
    </w:p>
    <w:p>
      <w:pPr>
        <w:spacing w:after="0" w:line="1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Notwithstanding the foregoing, if you die during the period provided in Section 3(b) or 3(c) above, the term of your Option will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302" w:lineRule="exact"/>
        <w:rPr>
          <w:sz w:val="20"/>
          <w:szCs w:val="20"/>
          <w:color w:val="auto"/>
        </w:rPr>
      </w:pPr>
    </w:p>
    <w:p>
      <w:pPr>
        <w:jc w:val="both"/>
        <w:ind w:right="20" w:firstLine="459"/>
        <w:spacing w:after="0" w:line="264" w:lineRule="auto"/>
        <w:rPr>
          <w:sz w:val="20"/>
          <w:szCs w:val="20"/>
          <w:color w:val="auto"/>
        </w:rPr>
      </w:pPr>
      <w:r>
        <w:rPr>
          <w:rFonts w:ascii="Times New Roman" w:cs="Times New Roman" w:eastAsia="Times New Roman" w:hAnsi="Times New Roman"/>
          <w:sz w:val="15"/>
          <w:szCs w:val="15"/>
          <w:color w:val="auto"/>
        </w:rPr>
        <w:t>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spacing w:after="0" w:line="117" w:lineRule="exact"/>
        <w:rPr>
          <w:sz w:val="20"/>
          <w:szCs w:val="20"/>
          <w:color w:val="auto"/>
        </w:rPr>
      </w:pPr>
    </w:p>
    <w:p>
      <w:pPr>
        <w:jc w:val="both"/>
        <w:ind w:firstLine="466"/>
        <w:spacing w:after="0" w:line="257" w:lineRule="auto"/>
        <w:tabs>
          <w:tab w:leader="none" w:pos="742" w:val="left"/>
        </w:tabs>
        <w:numPr>
          <w:ilvl w:val="0"/>
          <w:numId w:val="42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Withholding Obligations. </w:t>
      </w:r>
      <w:r>
        <w:rPr>
          <w:rFonts w:ascii="Times New Roman" w:cs="Times New Roman" w:eastAsia="Times New Roman" w:hAnsi="Times New Roman"/>
          <w:sz w:val="15"/>
          <w:szCs w:val="15"/>
          <w:color w:val="auto"/>
        </w:rPr>
        <w:t>As further provided in Section 8 of the Plan: (a) you may not exercise your Option unless the applicable tax withholding obligations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are satisfied; and (b) at the time you exercise your Option, in whole or in part, or at any time thereafter as requested by the Company, you hereby authorize withholding from payroll and any other amounts payable to you, and otherwise agree to make adequate arrangements for (including by means of a formal cashless exercise program to the extent permitted by the Company), any sums required to satisfy the withholding obligation for Tax-Related Items, if any, which arise in connection with the exercise of your Option </w:t>
      </w: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i w:val="1"/>
          <w:iCs w:val="1"/>
          <w:color w:val="auto"/>
        </w:rPr>
        <w:t>Withholding Obligation</w:t>
      </w:r>
      <w:r>
        <w:rPr>
          <w:rFonts w:ascii="Times New Roman" w:cs="Times New Roman" w:eastAsia="Times New Roman" w:hAnsi="Times New Roman"/>
          <w:sz w:val="14"/>
          <w:szCs w:val="14"/>
          <w:color w:val="auto"/>
        </w:rPr>
        <w:t>”)</w:t>
      </w:r>
      <w:r>
        <w:rPr>
          <w:rFonts w:ascii="Times New Roman" w:cs="Times New Roman" w:eastAsia="Times New Roman" w:hAnsi="Times New Roman"/>
          <w:sz w:val="15"/>
          <w:szCs w:val="15"/>
          <w:color w:val="auto"/>
        </w:rPr>
        <w:t xml:space="preserve"> in accordance with the withholding procedures established by the Company. Accordingly, you may not be able to exercise your Option even though the Option is vested, and the Company will have no obligation to issue Shares subject to your Option, unless and until such obligations are satisfied. In the event that the amount of the Withholding Obligation of the Company or, if different, your employer or any Affiliate or Subsidiary to which you are providing services (together, the “</w:t>
      </w:r>
      <w:r>
        <w:rPr>
          <w:rFonts w:ascii="Times New Roman" w:cs="Times New Roman" w:eastAsia="Times New Roman" w:hAnsi="Times New Roman"/>
          <w:sz w:val="15"/>
          <w:szCs w:val="15"/>
          <w:b w:val="1"/>
          <w:bCs w:val="1"/>
          <w:i w:val="1"/>
          <w:iCs w:val="1"/>
          <w:color w:val="auto"/>
        </w:rPr>
        <w:t>Service Recipients</w:t>
      </w:r>
      <w:r>
        <w:rPr>
          <w:rFonts w:ascii="Times New Roman" w:cs="Times New Roman" w:eastAsia="Times New Roman" w:hAnsi="Times New Roman"/>
          <w:sz w:val="15"/>
          <w:szCs w:val="15"/>
          <w:color w:val="auto"/>
        </w:rPr>
        <w:t>”) in connection with your Option was greater than the amount actually withheld by the Company, you agree to indemnify and hold the Company harmless from any failure by the Company to withhold the proper amount. If you fail to make satisfactory arrangements for the satisfaction of any Withholding Obligation hereunder at the time of the applicable taxable event, you acknowledge and agree that the Company may refuse to issue or deliver the Shares.</w:t>
      </w:r>
    </w:p>
    <w:p>
      <w:pPr>
        <w:sectPr>
          <w:pgSz w:w="11900" w:h="16840" w:orient="portrait"/>
          <w:cols w:equalWidth="0" w:num="1">
            <w:col w:w="10620"/>
          </w:cols>
          <w:pgMar w:left="640" w:top="1440" w:right="640" w:bottom="1440" w:gutter="0" w:footer="0" w:header="0"/>
        </w:sectPr>
      </w:pPr>
    </w:p>
    <w:bookmarkStart w:id="345" w:name="page346"/>
    <w:bookmarkEnd w:id="345"/>
    <w:p>
      <w:pPr>
        <w:spacing w:after="0" w:line="36" w:lineRule="exact"/>
        <w:rPr>
          <w:sz w:val="20"/>
          <w:szCs w:val="20"/>
          <w:color w:val="auto"/>
        </w:rPr>
      </w:pPr>
    </w:p>
    <w:p>
      <w:pPr>
        <w:jc w:val="both"/>
        <w:ind w:left="-466" w:right="20" w:firstLine="466"/>
        <w:spacing w:after="0" w:line="273" w:lineRule="auto"/>
        <w:tabs>
          <w:tab w:leader="none" w:pos="285" w:val="left"/>
        </w:tabs>
        <w:numPr>
          <w:ilvl w:val="0"/>
          <w:numId w:val="4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Incentive Stock Option Disposition Requirement. </w:t>
      </w:r>
      <w:r>
        <w:rPr>
          <w:rFonts w:ascii="Times New Roman" w:cs="Times New Roman" w:eastAsia="Times New Roman" w:hAnsi="Times New Roman"/>
          <w:sz w:val="15"/>
          <w:szCs w:val="15"/>
          <w:color w:val="auto"/>
        </w:rPr>
        <w:t>If your Option is an Incentive Stock Option, you must notify the Company in writing within 15 days after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date of any disposition of any of the Shares issued upon exercise of your Option that occurs within two years after the date of your Option grant or within one year after such Shares are transferred upon exercise of your Option.</w:t>
      </w:r>
    </w:p>
    <w:p>
      <w:pPr>
        <w:spacing w:after="0" w:line="109" w:lineRule="exact"/>
        <w:rPr>
          <w:rFonts w:ascii="Times New Roman" w:cs="Times New Roman" w:eastAsia="Times New Roman" w:hAnsi="Times New Roman"/>
          <w:sz w:val="15"/>
          <w:szCs w:val="15"/>
          <w:b w:val="1"/>
          <w:bCs w:val="1"/>
          <w:color w:val="auto"/>
        </w:rPr>
      </w:pPr>
    </w:p>
    <w:p>
      <w:pPr>
        <w:ind w:left="-466" w:right="20" w:firstLine="466"/>
        <w:spacing w:after="0" w:line="294" w:lineRule="auto"/>
        <w:tabs>
          <w:tab w:leader="none" w:pos="290" w:val="left"/>
        </w:tabs>
        <w:numPr>
          <w:ilvl w:val="0"/>
          <w:numId w:val="4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Transferability. </w:t>
      </w:r>
      <w:r>
        <w:rPr>
          <w:rFonts w:ascii="Times New Roman" w:cs="Times New Roman" w:eastAsia="Times New Roman" w:hAnsi="Times New Roman"/>
          <w:sz w:val="15"/>
          <w:szCs w:val="15"/>
          <w:color w:val="auto"/>
        </w:rPr>
        <w:t>Except as otherwise provided in Section 4(e) of the Plan, your Option is not transferable, except by will or by the applicable laws of descent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distribution, and is exercisable during your life only by you.</w:t>
      </w:r>
    </w:p>
    <w:p>
      <w:pPr>
        <w:spacing w:after="0" w:line="94" w:lineRule="exact"/>
        <w:rPr>
          <w:rFonts w:ascii="Times New Roman" w:cs="Times New Roman" w:eastAsia="Times New Roman" w:hAnsi="Times New Roman"/>
          <w:sz w:val="15"/>
          <w:szCs w:val="15"/>
          <w:b w:val="1"/>
          <w:bCs w:val="1"/>
          <w:color w:val="auto"/>
        </w:rPr>
      </w:pPr>
    </w:p>
    <w:p>
      <w:pPr>
        <w:jc w:val="both"/>
        <w:ind w:left="-466" w:right="20" w:firstLine="466"/>
        <w:spacing w:after="0" w:line="273" w:lineRule="auto"/>
        <w:tabs>
          <w:tab w:leader="none" w:pos="284" w:val="left"/>
        </w:tabs>
        <w:numPr>
          <w:ilvl w:val="0"/>
          <w:numId w:val="4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Corporate Transaction. </w:t>
      </w:r>
      <w:r>
        <w:rPr>
          <w:rFonts w:ascii="Times New Roman" w:cs="Times New Roman" w:eastAsia="Times New Roman" w:hAnsi="Times New Roman"/>
          <w:sz w:val="15"/>
          <w:szCs w:val="15"/>
          <w:color w:val="auto"/>
        </w:rPr>
        <w:t>Your Option is subject to the terms of any agreement governing a Corporate Transaction involving the Company, including, without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limitation, a provision for the appointment of a stockholder representative that is authorized to act on your behalf with respect to any escrow, indemnities and any contingent consideration.</w:t>
      </w:r>
    </w:p>
    <w:p>
      <w:pPr>
        <w:spacing w:after="0" w:line="109" w:lineRule="exact"/>
        <w:rPr>
          <w:rFonts w:ascii="Times New Roman" w:cs="Times New Roman" w:eastAsia="Times New Roman" w:hAnsi="Times New Roman"/>
          <w:sz w:val="15"/>
          <w:szCs w:val="15"/>
          <w:b w:val="1"/>
          <w:bCs w:val="1"/>
          <w:color w:val="auto"/>
        </w:rPr>
      </w:pPr>
    </w:p>
    <w:p>
      <w:pPr>
        <w:jc w:val="both"/>
        <w:ind w:left="-466" w:right="20" w:firstLine="466"/>
        <w:spacing w:after="0" w:line="258" w:lineRule="auto"/>
        <w:tabs>
          <w:tab w:leader="none" w:pos="327" w:val="left"/>
        </w:tabs>
        <w:numPr>
          <w:ilvl w:val="0"/>
          <w:numId w:val="4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No Liability for Taxes. </w:t>
      </w:r>
      <w:r>
        <w:rPr>
          <w:rFonts w:ascii="Times New Roman" w:cs="Times New Roman" w:eastAsia="Times New Roman" w:hAnsi="Times New Roman"/>
          <w:sz w:val="15"/>
          <w:szCs w:val="15"/>
          <w:color w:val="auto"/>
        </w:rPr>
        <w:t>As a condition to accepting the Option, you hereby (a) agree to not make any claim against the Company, or any of its Officers,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Directors, Employees or Affiliates or Subsidiaries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underlying Shares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price is less than the “fair market value” of the underlying Shares on the date of grant as subsequently determined by the Internal Revenue Service.</w:t>
      </w:r>
    </w:p>
    <w:p>
      <w:pPr>
        <w:spacing w:after="0" w:line="124" w:lineRule="exact"/>
        <w:rPr>
          <w:rFonts w:ascii="Times New Roman" w:cs="Times New Roman" w:eastAsia="Times New Roman" w:hAnsi="Times New Roman"/>
          <w:sz w:val="15"/>
          <w:szCs w:val="15"/>
          <w:b w:val="1"/>
          <w:bCs w:val="1"/>
          <w:color w:val="auto"/>
        </w:rPr>
      </w:pPr>
    </w:p>
    <w:p>
      <w:pPr>
        <w:ind w:left="274" w:hanging="274"/>
        <w:spacing w:after="0"/>
        <w:tabs>
          <w:tab w:leader="none" w:pos="274" w:val="left"/>
        </w:tabs>
        <w:numPr>
          <w:ilvl w:val="0"/>
          <w:numId w:val="4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Nature of Grant. </w:t>
      </w:r>
      <w:r>
        <w:rPr>
          <w:rFonts w:ascii="Times New Roman" w:cs="Times New Roman" w:eastAsia="Times New Roman" w:hAnsi="Times New Roman"/>
          <w:sz w:val="15"/>
          <w:szCs w:val="15"/>
          <w:color w:val="auto"/>
        </w:rPr>
        <w:t>In accepting your Option, you acknowledge, understand, and agree that:</w:t>
      </w:r>
    </w:p>
    <w:p>
      <w:pPr>
        <w:spacing w:after="0" w:line="166" w:lineRule="exact"/>
        <w:rPr>
          <w:rFonts w:ascii="Times New Roman" w:cs="Times New Roman" w:eastAsia="Times New Roman" w:hAnsi="Times New Roman"/>
          <w:sz w:val="15"/>
          <w:szCs w:val="15"/>
          <w:b w:val="1"/>
          <w:bCs w:val="1"/>
          <w:color w:val="auto"/>
        </w:rPr>
      </w:pPr>
    </w:p>
    <w:p>
      <w:pPr>
        <w:ind w:left="-466" w:firstLine="925"/>
        <w:spacing w:after="0" w:line="289" w:lineRule="auto"/>
        <w:tabs>
          <w:tab w:leader="none" w:pos="816" w:val="left"/>
        </w:tabs>
        <w:numPr>
          <w:ilvl w:val="1"/>
          <w:numId w:val="4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grant of the Option is voluntary and occasional and does not create any contractual or other right to receive future grants of options, or benefits in lieu of options, even if options have been granted in the past;</w:t>
      </w:r>
    </w:p>
    <w:p>
      <w:pPr>
        <w:spacing w:after="0" w:line="101" w:lineRule="exact"/>
        <w:rPr>
          <w:rFonts w:ascii="Times New Roman" w:cs="Times New Roman" w:eastAsia="Times New Roman" w:hAnsi="Times New Roman"/>
          <w:sz w:val="15"/>
          <w:szCs w:val="15"/>
          <w:b w:val="1"/>
          <w:bCs w:val="1"/>
          <w:color w:val="auto"/>
        </w:rPr>
      </w:pPr>
    </w:p>
    <w:p>
      <w:pPr>
        <w:ind w:left="794" w:hanging="335"/>
        <w:spacing w:after="0"/>
        <w:tabs>
          <w:tab w:leader="none" w:pos="794" w:val="left"/>
        </w:tabs>
        <w:numPr>
          <w:ilvl w:val="1"/>
          <w:numId w:val="4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all decisions with respect to future option or other grants, if any, will be at the sole discretion of the Board;</w:t>
      </w:r>
    </w:p>
    <w:p>
      <w:pPr>
        <w:spacing w:after="0" w:line="162" w:lineRule="exact"/>
        <w:rPr>
          <w:rFonts w:ascii="Times New Roman" w:cs="Times New Roman" w:eastAsia="Times New Roman" w:hAnsi="Times New Roman"/>
          <w:sz w:val="15"/>
          <w:szCs w:val="15"/>
          <w:b w:val="1"/>
          <w:bCs w:val="1"/>
          <w:color w:val="auto"/>
        </w:rPr>
      </w:pPr>
    </w:p>
    <w:p>
      <w:pPr>
        <w:ind w:left="794" w:hanging="335"/>
        <w:spacing w:after="0"/>
        <w:tabs>
          <w:tab w:leader="none" w:pos="794" w:val="left"/>
        </w:tabs>
        <w:numPr>
          <w:ilvl w:val="1"/>
          <w:numId w:val="4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you are voluntarily participating in the Plan;</w:t>
      </w:r>
    </w:p>
    <w:p>
      <w:pPr>
        <w:spacing w:after="0" w:line="162" w:lineRule="exact"/>
        <w:rPr>
          <w:rFonts w:ascii="Times New Roman" w:cs="Times New Roman" w:eastAsia="Times New Roman" w:hAnsi="Times New Roman"/>
          <w:sz w:val="15"/>
          <w:szCs w:val="15"/>
          <w:b w:val="1"/>
          <w:bCs w:val="1"/>
          <w:color w:val="auto"/>
        </w:rPr>
      </w:pPr>
    </w:p>
    <w:p>
      <w:pPr>
        <w:ind w:left="794" w:hanging="335"/>
        <w:spacing w:after="0"/>
        <w:tabs>
          <w:tab w:leader="none" w:pos="794" w:val="left"/>
        </w:tabs>
        <w:numPr>
          <w:ilvl w:val="1"/>
          <w:numId w:val="4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Option and any Shares acquired under the Plan are not intended to replace any pension rights or compensation;</w:t>
      </w:r>
    </w:p>
    <w:p>
      <w:pPr>
        <w:sectPr>
          <w:pgSz w:w="11900" w:h="16840" w:orient="portrait"/>
          <w:cols w:equalWidth="0" w:num="1">
            <w:col w:w="10154"/>
          </w:cols>
          <w:pgMar w:left="1106" w:top="1440" w:right="640" w:bottom="1440" w:gutter="0" w:footer="0" w:header="0"/>
        </w:sectPr>
      </w:pPr>
    </w:p>
    <w:bookmarkStart w:id="346" w:name="page347"/>
    <w:bookmarkEnd w:id="346"/>
    <w:p>
      <w:pPr>
        <w:spacing w:after="0" w:line="36" w:lineRule="exact"/>
        <w:rPr>
          <w:sz w:val="20"/>
          <w:szCs w:val="20"/>
          <w:color w:val="auto"/>
        </w:rPr>
      </w:pPr>
    </w:p>
    <w:p>
      <w:pPr>
        <w:jc w:val="both"/>
        <w:ind w:left="-466" w:right="20" w:firstLine="925"/>
        <w:spacing w:after="0" w:line="273" w:lineRule="auto"/>
        <w:tabs>
          <w:tab w:leader="none" w:pos="528" w:val="left"/>
        </w:tabs>
        <w:numPr>
          <w:ilvl w:val="0"/>
          <w:numId w:val="42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e ) </w:t>
      </w:r>
      <w:r>
        <w:rPr>
          <w:rFonts w:ascii="Times New Roman" w:cs="Times New Roman" w:eastAsia="Times New Roman" w:hAnsi="Times New Roman"/>
          <w:sz w:val="15"/>
          <w:szCs w:val="15"/>
          <w:color w:val="auto"/>
        </w:rPr>
        <w:t>the Option and Shares acquired under the Plan and the income and value of same, are not part of normal or expected compensation for purposes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calculating any severance, resignation, termination, redundancy, dismissal, end-of-service payments, bonuses, long-service awards, pension or retirement or welfare benefits or similar payments;</w:t>
      </w:r>
    </w:p>
    <w:p>
      <w:pPr>
        <w:spacing w:after="0" w:line="114" w:lineRule="exact"/>
        <w:rPr>
          <w:sz w:val="20"/>
          <w:szCs w:val="20"/>
          <w:color w:val="auto"/>
        </w:rPr>
      </w:pPr>
    </w:p>
    <w:p>
      <w:pPr>
        <w:ind w:left="774" w:hanging="315"/>
        <w:spacing w:after="0"/>
        <w:tabs>
          <w:tab w:leader="none" w:pos="774" w:val="left"/>
        </w:tabs>
        <w:numPr>
          <w:ilvl w:val="1"/>
          <w:numId w:val="42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future value of the Shares underlying the Option is unknown, indeterminable, and cannot be predicted;</w:t>
      </w:r>
    </w:p>
    <w:p>
      <w:pPr>
        <w:spacing w:after="0" w:line="162" w:lineRule="exact"/>
        <w:rPr>
          <w:rFonts w:ascii="Times New Roman" w:cs="Times New Roman" w:eastAsia="Times New Roman" w:hAnsi="Times New Roman"/>
          <w:sz w:val="15"/>
          <w:szCs w:val="15"/>
          <w:b w:val="1"/>
          <w:bCs w:val="1"/>
          <w:color w:val="auto"/>
        </w:rPr>
      </w:pPr>
    </w:p>
    <w:p>
      <w:pPr>
        <w:ind w:left="794" w:hanging="335"/>
        <w:spacing w:after="0"/>
        <w:tabs>
          <w:tab w:leader="none" w:pos="794" w:val="left"/>
        </w:tabs>
        <w:numPr>
          <w:ilvl w:val="1"/>
          <w:numId w:val="42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the underlying Shares do not increase in value, the Option will have no value;</w:t>
      </w:r>
    </w:p>
    <w:p>
      <w:pPr>
        <w:spacing w:after="0" w:line="162" w:lineRule="exact"/>
        <w:rPr>
          <w:rFonts w:ascii="Times New Roman" w:cs="Times New Roman" w:eastAsia="Times New Roman" w:hAnsi="Times New Roman"/>
          <w:sz w:val="15"/>
          <w:szCs w:val="15"/>
          <w:b w:val="1"/>
          <w:bCs w:val="1"/>
          <w:color w:val="auto"/>
        </w:rPr>
      </w:pPr>
    </w:p>
    <w:p>
      <w:pPr>
        <w:ind w:left="794" w:hanging="335"/>
        <w:spacing w:after="0"/>
        <w:tabs>
          <w:tab w:leader="none" w:pos="794" w:val="left"/>
        </w:tabs>
        <w:numPr>
          <w:ilvl w:val="1"/>
          <w:numId w:val="42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you exercise the Option and acquire Shares, the value of such Shares may increase or decrease in value, even below the exercise price of the Option;</w:t>
      </w:r>
    </w:p>
    <w:p>
      <w:pPr>
        <w:spacing w:after="0" w:line="162" w:lineRule="exact"/>
        <w:rPr>
          <w:rFonts w:ascii="Times New Roman" w:cs="Times New Roman" w:eastAsia="Times New Roman" w:hAnsi="Times New Roman"/>
          <w:sz w:val="15"/>
          <w:szCs w:val="15"/>
          <w:b w:val="1"/>
          <w:bCs w:val="1"/>
          <w:color w:val="auto"/>
        </w:rPr>
      </w:pPr>
    </w:p>
    <w:p>
      <w:pPr>
        <w:jc w:val="both"/>
        <w:ind w:left="-466" w:firstLine="925"/>
        <w:spacing w:after="0" w:line="256" w:lineRule="auto"/>
        <w:tabs>
          <w:tab w:leader="none" w:pos="788" w:val="left"/>
        </w:tabs>
        <w:numPr>
          <w:ilvl w:val="1"/>
          <w:numId w:val="42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for purposes of the Option, your Continuous Service will be considered terminated as of the date you are no longer actively providing services to the Company or any Affiliate or Subsidiary (regardless of the reason for the termination and whether or not later found to be invalid or in breach of employment laws in the jurisdiction where you are providing Continuous Service or the terms of your employment or service agreement, if any), and unless otherwise expressly provided in this Option Agreement (including by reference in the Grant Notice to other arrangements or contracts) or determined by the Board, your right to vest in the Option under the Plan, if any, will terminate as of that date and will not be extended by any notice period (e.g., your period of service would not include any contractual notice period or any period of “garden leave” or similar period mandated under employment laws in the jurisdiction where you are providing Continuous Service or the terms of your employment or service agreement, if any, unless you are providing bona fide services during that time); and (ii) the period (if any) during which you may exercise the Option after such termination of your Continuous Service will commence on the date you cease to actively provide services and will not be extended by any notice period mandated under employment laws in the jurisdiction where you are employed or terms of your engagement agreement, if any; the Board will have the exclusive discretion to determine when you are no longer actively providing services for purposes of this Option (including whether you may still be considered to be providing services while on a leave of absence and consistent with local law); and</w:t>
      </w:r>
    </w:p>
    <w:p>
      <w:pPr>
        <w:spacing w:after="0" w:line="129" w:lineRule="exact"/>
        <w:rPr>
          <w:rFonts w:ascii="Times New Roman" w:cs="Times New Roman" w:eastAsia="Times New Roman" w:hAnsi="Times New Roman"/>
          <w:sz w:val="15"/>
          <w:szCs w:val="15"/>
          <w:b w:val="1"/>
          <w:bCs w:val="1"/>
          <w:color w:val="auto"/>
        </w:rPr>
      </w:pPr>
    </w:p>
    <w:p>
      <w:pPr>
        <w:jc w:val="both"/>
        <w:ind w:left="-466" w:right="20" w:firstLine="925"/>
        <w:spacing w:after="0" w:line="270" w:lineRule="auto"/>
        <w:tabs>
          <w:tab w:leader="none" w:pos="759" w:val="left"/>
        </w:tabs>
        <w:numPr>
          <w:ilvl w:val="1"/>
          <w:numId w:val="42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unless otherwise provided in the Plan or by the Board in its discretion, the Option and the benefits evidenced by this Option Agreement do not create any entitlement to have the Option or any of the benefits transferred to, or assumed by, another company nor be exchanged, cashed out or substituted for, in connection with any corporate transaction affecting the Shares.</w:t>
      </w:r>
    </w:p>
    <w:p>
      <w:pPr>
        <w:spacing w:after="0" w:line="112" w:lineRule="exact"/>
        <w:rPr>
          <w:rFonts w:ascii="Times New Roman" w:cs="Times New Roman" w:eastAsia="Times New Roman" w:hAnsi="Times New Roman"/>
          <w:sz w:val="15"/>
          <w:szCs w:val="15"/>
          <w:b w:val="1"/>
          <w:bCs w:val="1"/>
          <w:color w:val="auto"/>
        </w:rPr>
      </w:pPr>
    </w:p>
    <w:p>
      <w:pPr>
        <w:jc w:val="both"/>
        <w:ind w:left="-466" w:right="20" w:firstLine="466"/>
        <w:spacing w:after="0" w:line="266" w:lineRule="auto"/>
        <w:tabs>
          <w:tab w:leader="none" w:pos="346" w:val="left"/>
        </w:tabs>
        <w:numPr>
          <w:ilvl w:val="0"/>
          <w:numId w:val="42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Country Addendum</w:t>
      </w:r>
      <w:r>
        <w:rPr>
          <w:rFonts w:ascii="Times New Roman" w:cs="Times New Roman" w:eastAsia="Times New Roman" w:hAnsi="Times New Roman"/>
          <w:sz w:val="15"/>
          <w:szCs w:val="15"/>
          <w:color w:val="auto"/>
        </w:rPr>
        <w:t>. Notwithstanding any provisions in this Option Agreement, this Option will be subject to any special terms and conditions set forth in 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appendix (if any) to this Option Agreement for any country whose laws are applicable to you and this Option (as determined by the Board in its sole discretion) (the “</w:t>
      </w:r>
      <w:r>
        <w:rPr>
          <w:rFonts w:ascii="Times New Roman" w:cs="Times New Roman" w:eastAsia="Times New Roman" w:hAnsi="Times New Roman"/>
          <w:sz w:val="15"/>
          <w:szCs w:val="15"/>
          <w:b w:val="1"/>
          <w:bCs w:val="1"/>
          <w:i w:val="1"/>
          <w:iCs w:val="1"/>
          <w:color w:val="auto"/>
        </w:rPr>
        <w:t>Country Addendum</w:t>
      </w:r>
      <w:r>
        <w:rPr>
          <w:rFonts w:ascii="Times New Roman" w:cs="Times New Roman" w:eastAsia="Times New Roman" w:hAnsi="Times New Roman"/>
          <w:sz w:val="15"/>
          <w:szCs w:val="15"/>
          <w:color w:val="auto"/>
        </w:rPr>
        <w:t>”). Moreover, if you relocate to one of the countries included in the Country Addendum (if any), the special terms and conditions for that country will apply to you, to the extent the Company determines that the</w:t>
      </w:r>
    </w:p>
    <w:p>
      <w:pPr>
        <w:sectPr>
          <w:pgSz w:w="11900" w:h="16840" w:orient="portrait"/>
          <w:cols w:equalWidth="0" w:num="1">
            <w:col w:w="10154"/>
          </w:cols>
          <w:pgMar w:left="1106" w:top="1440" w:right="640" w:bottom="1440" w:gutter="0" w:footer="0" w:header="0"/>
        </w:sectPr>
      </w:pPr>
    </w:p>
    <w:bookmarkStart w:id="347" w:name="page348"/>
    <w:bookmarkEnd w:id="347"/>
    <w:p>
      <w:pPr>
        <w:spacing w:after="0" w:line="40"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5"/>
          <w:szCs w:val="15"/>
          <w:color w:val="auto"/>
        </w:rPr>
        <w:t>application of those terms and conditions is necessary or advisable for legal or administrative reasons. The Country Addendum (if any) constitutes a part of this Option Agreement.</w:t>
      </w:r>
    </w:p>
    <w:p>
      <w:pPr>
        <w:spacing w:after="0" w:line="97" w:lineRule="exact"/>
        <w:rPr>
          <w:sz w:val="20"/>
          <w:szCs w:val="20"/>
          <w:color w:val="auto"/>
        </w:rPr>
      </w:pPr>
    </w:p>
    <w:p>
      <w:pPr>
        <w:jc w:val="both"/>
        <w:ind w:firstLine="466"/>
        <w:spacing w:after="0" w:line="266" w:lineRule="auto"/>
        <w:tabs>
          <w:tab w:leader="none" w:pos="804" w:val="left"/>
        </w:tabs>
        <w:numPr>
          <w:ilvl w:val="0"/>
          <w:numId w:val="42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Severability. </w:t>
      </w:r>
      <w:r>
        <w:rPr>
          <w:rFonts w:ascii="Times New Roman" w:cs="Times New Roman" w:eastAsia="Times New Roman" w:hAnsi="Times New Roman"/>
          <w:sz w:val="15"/>
          <w:szCs w:val="15"/>
          <w:color w:val="auto"/>
        </w:rPr>
        <w:t>If any part of this Option Agreement or the Plan is declared by any court or governmental authority to be unlawful or invalid, such unlawfulness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15" w:lineRule="exact"/>
        <w:rPr>
          <w:rFonts w:ascii="Times New Roman" w:cs="Times New Roman" w:eastAsia="Times New Roman" w:hAnsi="Times New Roman"/>
          <w:sz w:val="15"/>
          <w:szCs w:val="15"/>
          <w:b w:val="1"/>
          <w:bCs w:val="1"/>
          <w:color w:val="auto"/>
        </w:rPr>
      </w:pPr>
    </w:p>
    <w:p>
      <w:pPr>
        <w:ind w:right="40" w:firstLine="466"/>
        <w:spacing w:after="0" w:line="294" w:lineRule="auto"/>
        <w:tabs>
          <w:tab w:leader="none" w:pos="819" w:val="left"/>
        </w:tabs>
        <w:numPr>
          <w:ilvl w:val="0"/>
          <w:numId w:val="42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Other Documents. </w:t>
      </w:r>
      <w:r>
        <w:rPr>
          <w:rFonts w:ascii="Times New Roman" w:cs="Times New Roman" w:eastAsia="Times New Roman" w:hAnsi="Times New Roman"/>
          <w:sz w:val="15"/>
          <w:szCs w:val="15"/>
          <w:color w:val="auto"/>
        </w:rPr>
        <w:t>You hereby acknowledge receipt of or the right to receive a document providing the information required by Rule 428(b)(1) promulgated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under the Securities Act, which includes the Prospectus. In addition, you acknowledge receipt of the Trading Policy.</w:t>
      </w:r>
    </w:p>
    <w:p>
      <w:pPr>
        <w:spacing w:after="0" w:line="94" w:lineRule="exact"/>
        <w:rPr>
          <w:rFonts w:ascii="Times New Roman" w:cs="Times New Roman" w:eastAsia="Times New Roman" w:hAnsi="Times New Roman"/>
          <w:sz w:val="15"/>
          <w:szCs w:val="15"/>
          <w:b w:val="1"/>
          <w:bCs w:val="1"/>
          <w:color w:val="auto"/>
        </w:rPr>
      </w:pPr>
    </w:p>
    <w:p>
      <w:pPr>
        <w:ind w:right="20" w:firstLine="466"/>
        <w:spacing w:after="0" w:line="294" w:lineRule="auto"/>
        <w:tabs>
          <w:tab w:leader="none" w:pos="832" w:val="left"/>
        </w:tabs>
        <w:numPr>
          <w:ilvl w:val="0"/>
          <w:numId w:val="42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Questions. </w:t>
      </w:r>
      <w:r>
        <w:rPr>
          <w:rFonts w:ascii="Times New Roman" w:cs="Times New Roman" w:eastAsia="Times New Roman" w:hAnsi="Times New Roman"/>
          <w:sz w:val="15"/>
          <w:szCs w:val="15"/>
          <w:color w:val="auto"/>
        </w:rPr>
        <w:t>If you have questions regarding these or any other terms and conditions applicable to your Option, including a summary of the applicable federal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income tax consequences please see the Prospectus.</w:t>
      </w:r>
    </w:p>
    <w:p>
      <w:pPr>
        <w:spacing w:after="0" w:line="94" w:lineRule="exact"/>
        <w:rPr>
          <w:rFonts w:ascii="Times New Roman" w:cs="Times New Roman" w:eastAsia="Times New Roman" w:hAnsi="Times New Roman"/>
          <w:sz w:val="15"/>
          <w:szCs w:val="15"/>
          <w:b w:val="1"/>
          <w:bCs w:val="1"/>
          <w:color w:val="auto"/>
        </w:rPr>
      </w:pPr>
    </w:p>
    <w:p>
      <w:pPr>
        <w:ind w:left="510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 * *</w:t>
      </w:r>
    </w:p>
    <w:p>
      <w:pPr>
        <w:sectPr>
          <w:pgSz w:w="11900" w:h="16840" w:orient="portrait"/>
          <w:cols w:equalWidth="0" w:num="1">
            <w:col w:w="10620"/>
          </w:cols>
          <w:pgMar w:left="640" w:top="1440" w:right="640" w:bottom="1440" w:gutter="0" w:footer="0" w:header="0"/>
        </w:sectPr>
      </w:pPr>
    </w:p>
    <w:bookmarkStart w:id="348" w:name="page349"/>
    <w:bookmarkEnd w:id="348"/>
    <w:p>
      <w:pPr>
        <w:spacing w:after="0" w:line="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APPENDIX A</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NAVAN,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2025 EQUITY INCENTIVE PLAN</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COUNTRY ADDENDUM TO STOCK OPTION AGREEMENT</w:t>
      </w:r>
    </w:p>
    <w:p>
      <w:pPr>
        <w:spacing w:after="0" w:line="147" w:lineRule="exact"/>
        <w:rPr>
          <w:sz w:val="20"/>
          <w:szCs w:val="20"/>
          <w:color w:val="auto"/>
        </w:rPr>
      </w:pPr>
    </w:p>
    <w:p>
      <w:pPr>
        <w:jc w:val="both"/>
        <w:ind w:right="20" w:firstLine="459"/>
        <w:spacing w:after="0" w:line="299" w:lineRule="auto"/>
        <w:rPr>
          <w:sz w:val="20"/>
          <w:szCs w:val="20"/>
          <w:color w:val="auto"/>
        </w:rPr>
      </w:pPr>
      <w:r>
        <w:rPr>
          <w:rFonts w:ascii="Times New Roman" w:cs="Times New Roman" w:eastAsia="Times New Roman" w:hAnsi="Times New Roman"/>
          <w:sz w:val="14"/>
          <w:szCs w:val="14"/>
          <w:color w:val="auto"/>
        </w:rPr>
        <w:t xml:space="preserve">Unless otherwise defined herein, capitalized terms used in this Country Addendum to Stock Option Agreement (this “ </w:t>
      </w:r>
      <w:r>
        <w:rPr>
          <w:rFonts w:ascii="Times New Roman" w:cs="Times New Roman" w:eastAsia="Times New Roman" w:hAnsi="Times New Roman"/>
          <w:sz w:val="14"/>
          <w:szCs w:val="14"/>
          <w:b w:val="1"/>
          <w:bCs w:val="1"/>
          <w:i w:val="1"/>
          <w:iCs w:val="1"/>
          <w:color w:val="auto"/>
        </w:rPr>
        <w:t>Country Addendum</w:t>
      </w:r>
      <w:r>
        <w:rPr>
          <w:rFonts w:ascii="Times New Roman" w:cs="Times New Roman" w:eastAsia="Times New Roman" w:hAnsi="Times New Roman"/>
          <w:sz w:val="14"/>
          <w:szCs w:val="14"/>
          <w:color w:val="auto"/>
        </w:rPr>
        <w:t>”) will be ascribed the same defined meanings as set forth in the Option Agreement of which this Country Addendum forms a part (or the Plan or other written agreement as specified in the Option Agreement).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and Conditions</w:t>
      </w:r>
    </w:p>
    <w:p>
      <w:pPr>
        <w:spacing w:after="0" w:line="168" w:lineRule="exact"/>
        <w:rPr>
          <w:sz w:val="20"/>
          <w:szCs w:val="20"/>
          <w:color w:val="auto"/>
        </w:rPr>
      </w:pPr>
    </w:p>
    <w:p>
      <w:pPr>
        <w:jc w:val="both"/>
        <w:ind w:right="20" w:firstLine="459"/>
        <w:spacing w:after="0" w:line="269" w:lineRule="auto"/>
        <w:rPr>
          <w:sz w:val="20"/>
          <w:szCs w:val="20"/>
          <w:color w:val="auto"/>
        </w:rPr>
      </w:pPr>
      <w:r>
        <w:rPr>
          <w:rFonts w:ascii="Times New Roman" w:cs="Times New Roman" w:eastAsia="Times New Roman" w:hAnsi="Times New Roman"/>
          <w:sz w:val="14"/>
          <w:szCs w:val="14"/>
          <w:color w:val="auto"/>
        </w:rPr>
        <w:t>This Country Addendum includes additional terms and conditions that govern this Option granted pursuant to the terms and conditions of the Plan and the Option Agreement to the extent you reside and/or work in one of the countries listed below. If you are a citizen or resident (or are considered a citizen or resident for local law purposes) of a country other than the country in which you are currently residing and/or working, or if you relocate to another country after the Option is granted, the Company, in its discretion, will determine to what extent the terms and conditions contained herein will apply to you.</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Notifications</w:t>
      </w:r>
    </w:p>
    <w:p>
      <w:pPr>
        <w:spacing w:after="0" w:line="168" w:lineRule="exact"/>
        <w:rPr>
          <w:sz w:val="20"/>
          <w:szCs w:val="20"/>
          <w:color w:val="auto"/>
        </w:rPr>
      </w:pPr>
    </w:p>
    <w:p>
      <w:pPr>
        <w:jc w:val="both"/>
        <w:ind w:right="20" w:firstLine="459"/>
        <w:spacing w:after="0" w:line="266" w:lineRule="auto"/>
        <w:rPr>
          <w:sz w:val="20"/>
          <w:szCs w:val="20"/>
          <w:color w:val="auto"/>
        </w:rPr>
      </w:pPr>
      <w:r>
        <w:rPr>
          <w:rFonts w:ascii="Times New Roman" w:cs="Times New Roman" w:eastAsia="Times New Roman" w:hAnsi="Times New Roman"/>
          <w:sz w:val="14"/>
          <w:szCs w:val="14"/>
          <w:color w:val="auto"/>
        </w:rPr>
        <w:t>This Country Addendum also may include information regarding exchange controls and certain other issues of which you should be aware with respect to your participation in the Plan. The information is based on the securities, exchange control, and other Applicable Laws in effect in the respective countries as of [________], 2025. The Applicable Laws</w:t>
      </w:r>
    </w:p>
    <w:p>
      <w:pPr>
        <w:spacing w:after="0" w:line="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often are complex and change frequently. As a result, the Company strongly recommends that you not rely on the information in this Country Addendum as the only source of information relating to the consequences of your participation in the Plan because the information may be out of date at the time you vest in or exercise the Option or sell Shares acquired under the Option.</w:t>
      </w:r>
    </w:p>
    <w:p>
      <w:pPr>
        <w:spacing w:after="0" w:line="123" w:lineRule="exact"/>
        <w:rPr>
          <w:sz w:val="20"/>
          <w:szCs w:val="20"/>
          <w:color w:val="auto"/>
        </w:rPr>
      </w:pPr>
    </w:p>
    <w:p>
      <w:pPr>
        <w:jc w:val="both"/>
        <w:ind w:right="20" w:firstLine="459"/>
        <w:spacing w:after="0" w:line="293" w:lineRule="auto"/>
        <w:rPr>
          <w:sz w:val="20"/>
          <w:szCs w:val="20"/>
          <w:color w:val="auto"/>
        </w:rPr>
      </w:pPr>
      <w:r>
        <w:rPr>
          <w:rFonts w:ascii="Times New Roman" w:cs="Times New Roman" w:eastAsia="Times New Roman" w:hAnsi="Times New Roman"/>
          <w:sz w:val="14"/>
          <w:szCs w:val="14"/>
          <w:color w:val="auto"/>
        </w:rPr>
        <w:t>In addition, the information contained in this Country Addendum is general in nature and may not apply to your particular situation, and the Company is not in a position to assure you of any particular result. You should seek appropriate professional advice as to how the Applicable Laws in your country may apply to your situation.</w:t>
      </w:r>
    </w:p>
    <w:p>
      <w:pPr>
        <w:spacing w:after="0" w:line="104" w:lineRule="exact"/>
        <w:rPr>
          <w:sz w:val="20"/>
          <w:szCs w:val="20"/>
          <w:color w:val="auto"/>
        </w:rPr>
      </w:pPr>
    </w:p>
    <w:p>
      <w:pPr>
        <w:jc w:val="both"/>
        <w:ind w:right="20" w:firstLine="459"/>
        <w:spacing w:after="0" w:line="287" w:lineRule="auto"/>
        <w:rPr>
          <w:sz w:val="20"/>
          <w:szCs w:val="20"/>
          <w:color w:val="auto"/>
        </w:rPr>
      </w:pPr>
      <w:r>
        <w:rPr>
          <w:rFonts w:ascii="Times New Roman" w:cs="Times New Roman" w:eastAsia="Times New Roman" w:hAnsi="Times New Roman"/>
          <w:sz w:val="14"/>
          <w:szCs w:val="14"/>
          <w:color w:val="auto"/>
        </w:rPr>
        <w:t>Finally, if you are a citizen or resident of a country other than the one in which you currently are residing and/or working, transfer residence and/or employment to another country after the grant of this Option, or are considered a resident of another country for local law purposes, the information in this Country Addendum may not apply to you in the same manner.</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 GLOBAL PROVISIONS APPLICABLE IN ALL COUNTRIES OTHER THAN THE UNITED STATES</w:t>
      </w:r>
    </w:p>
    <w:p>
      <w:pPr>
        <w:spacing w:after="0" w:line="164" w:lineRule="exact"/>
        <w:rPr>
          <w:sz w:val="20"/>
          <w:szCs w:val="20"/>
          <w:color w:val="auto"/>
        </w:rPr>
      </w:pPr>
    </w:p>
    <w:p>
      <w:pPr>
        <w:ind w:left="720" w:hanging="254"/>
        <w:spacing w:after="0"/>
        <w:tabs>
          <w:tab w:leader="none" w:pos="720" w:val="left"/>
        </w:tabs>
        <w:numPr>
          <w:ilvl w:val="0"/>
          <w:numId w:val="4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Nature of Grant</w:t>
      </w:r>
      <w:r>
        <w:rPr>
          <w:rFonts w:ascii="Times New Roman" w:cs="Times New Roman" w:eastAsia="Times New Roman" w:hAnsi="Times New Roman"/>
          <w:sz w:val="14"/>
          <w:szCs w:val="14"/>
          <w:color w:val="auto"/>
        </w:rPr>
        <w:t>. The following provisions supplement Section 9 of the Option Agreement:</w:t>
      </w:r>
    </w:p>
    <w:p>
      <w:pPr>
        <w:spacing w:after="0" w:line="166" w:lineRule="exact"/>
        <w:rPr>
          <w:rFonts w:ascii="Times New Roman" w:cs="Times New Roman" w:eastAsia="Times New Roman" w:hAnsi="Times New Roman"/>
          <w:sz w:val="14"/>
          <w:szCs w:val="14"/>
          <w:b w:val="1"/>
          <w:bCs w:val="1"/>
          <w:color w:val="auto"/>
        </w:rPr>
      </w:pPr>
    </w:p>
    <w:p>
      <w:pPr>
        <w:ind w:left="1240" w:hanging="315"/>
        <w:spacing w:after="0"/>
        <w:tabs>
          <w:tab w:leader="none" w:pos="1240" w:val="left"/>
        </w:tabs>
        <w:numPr>
          <w:ilvl w:val="1"/>
          <w:numId w:val="4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Option and the Shares subject to the Option are not part of normal or expected compensation or salary for any purpose;</w:t>
      </w:r>
    </w:p>
    <w:p>
      <w:pPr>
        <w:sectPr>
          <w:pgSz w:w="11900" w:h="16840" w:orient="portrait"/>
          <w:cols w:equalWidth="0" w:num="1">
            <w:col w:w="10620"/>
          </w:cols>
          <w:pgMar w:left="640" w:top="1440" w:right="640" w:bottom="1440" w:gutter="0" w:footer="0" w:header="0"/>
        </w:sectPr>
      </w:pPr>
    </w:p>
    <w:bookmarkStart w:id="349" w:name="page350"/>
    <w:bookmarkEnd w:id="349"/>
    <w:p>
      <w:pPr>
        <w:spacing w:after="0" w:line="39" w:lineRule="exact"/>
        <w:rPr>
          <w:sz w:val="20"/>
          <w:szCs w:val="20"/>
          <w:color w:val="auto"/>
        </w:rPr>
      </w:pPr>
    </w:p>
    <w:p>
      <w:pPr>
        <w:ind w:right="20" w:firstLine="925"/>
        <w:spacing w:after="0" w:line="293" w:lineRule="auto"/>
        <w:tabs>
          <w:tab w:leader="none" w:pos="1244" w:val="left"/>
        </w:tabs>
        <w:numPr>
          <w:ilvl w:val="1"/>
          <w:numId w:val="4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you acknowledge and agree that no Service Recipient will be liable for any foreign exchange rate fluctuation between your local currency and the U.S. dollar that may affect the value of the Option or of any amounts due to you pursuant to the exercise of the Option or the subsequent sale of any Shares acquired upon exercise; and</w:t>
      </w:r>
    </w:p>
    <w:p>
      <w:pPr>
        <w:spacing w:after="0" w:line="104" w:lineRule="exact"/>
        <w:rPr>
          <w:rFonts w:ascii="Times New Roman" w:cs="Times New Roman" w:eastAsia="Times New Roman" w:hAnsi="Times New Roman"/>
          <w:sz w:val="14"/>
          <w:szCs w:val="14"/>
          <w:b w:val="1"/>
          <w:bCs w:val="1"/>
          <w:color w:val="auto"/>
        </w:rPr>
      </w:pPr>
    </w:p>
    <w:p>
      <w:pPr>
        <w:jc w:val="both"/>
        <w:ind w:right="20" w:firstLine="925"/>
        <w:spacing w:after="0" w:line="264" w:lineRule="auto"/>
        <w:tabs>
          <w:tab w:leader="none" w:pos="1253" w:val="left"/>
        </w:tabs>
        <w:numPr>
          <w:ilvl w:val="1"/>
          <w:numId w:val="4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claim or entitlement to compensation or damages will arise from forfeiture of the Option resulting from the termination of your Continuous Service (for any reason whatsoever whether or not later found to be invalid or in breach of employment laws in the jurisdiction where you are providing Continuous Service or the terms of your employment or service agreement, if any), and in consideration of the grant of the Option to which you are otherwise not entitled, you irrevocably agree never to institute any claim against any Service Recipient, waive your ability, if any, to bring any such claim, and release each Service Recipient from any such claim; if, notwithstanding the foregoing, any such claim is allowed by a court of competent jurisdiction, then, by participating in the Plan, you will be deemed irrevocably to have agreed not to pursue such claim and agrees to execute any and all documents necessary to request dismissal or withdrawal of such claim.</w:t>
      </w:r>
    </w:p>
    <w:p>
      <w:pPr>
        <w:spacing w:after="0" w:line="119" w:lineRule="exact"/>
        <w:rPr>
          <w:rFonts w:ascii="Times New Roman" w:cs="Times New Roman" w:eastAsia="Times New Roman" w:hAnsi="Times New Roman"/>
          <w:sz w:val="14"/>
          <w:szCs w:val="14"/>
          <w:b w:val="1"/>
          <w:bCs w:val="1"/>
          <w:color w:val="auto"/>
        </w:rPr>
      </w:pPr>
    </w:p>
    <w:p>
      <w:pPr>
        <w:ind w:firstLine="466"/>
        <w:spacing w:after="0" w:line="278" w:lineRule="auto"/>
        <w:tabs>
          <w:tab w:leader="none" w:pos="726" w:val="left"/>
        </w:tabs>
        <w:numPr>
          <w:ilvl w:val="0"/>
          <w:numId w:val="4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Data Privacy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You hereby acknowledge the collection, use, and transfer, in electronic or other form, of your personal data as described in this Option Agreement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any other Option grant materials by and among, as applicable, the Service Recipients for the exclusive purpose of implementing, administering, and managing your participation in the Plan.</w:t>
      </w:r>
    </w:p>
    <w:p>
      <w:pPr>
        <w:spacing w:after="0" w:line="110" w:lineRule="exact"/>
        <w:rPr>
          <w:sz w:val="20"/>
          <w:szCs w:val="20"/>
          <w:color w:val="auto"/>
        </w:rPr>
      </w:pPr>
    </w:p>
    <w:p>
      <w:pPr>
        <w:jc w:val="both"/>
        <w:ind w:right="20" w:firstLine="45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You understand that the Company and the Service Recipient may hold certain personal information about you, including, but not limited to, your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your favor (“Data”), for the exclusive purpose of implementing, administering, and managing the Plan.</w:t>
      </w:r>
    </w:p>
    <w:p>
      <w:pPr>
        <w:spacing w:after="0" w:line="115" w:lineRule="exact"/>
        <w:rPr>
          <w:sz w:val="20"/>
          <w:szCs w:val="20"/>
          <w:color w:val="auto"/>
        </w:rPr>
      </w:pPr>
    </w:p>
    <w:p>
      <w:pPr>
        <w:jc w:val="both"/>
        <w:ind w:right="20" w:firstLine="45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You understand that Data may be transferred to a stock plan service provider, as may be selected by the Company in the future, assisting the Company with the implementation, administration and management of the Plan. You understand that the recipients of the Data may be located in the United States or elsewhere, and that the recipients’ country of operation (e.g., the United States) may have different data privacy laws and protections than your country. You understand that you may request information about sharing, processing, and storage of Data and may exercise your rights with respect to the Data, which may include the right to terminate sharing, processing, and storage, by following instructions in the Company’s Personnel Privacy Notice or by contacting your local human resources representative. You authorize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your participation in the Plan. You understand that Data will be held only as long as is necessary to implement, administer, and manage your participation in the Plan.</w:t>
      </w:r>
    </w:p>
    <w:p>
      <w:pPr>
        <w:spacing w:after="0" w:line="127" w:lineRule="exact"/>
        <w:rPr>
          <w:sz w:val="20"/>
          <w:szCs w:val="20"/>
          <w:color w:val="auto"/>
        </w:rPr>
      </w:pPr>
    </w:p>
    <w:p>
      <w:pPr>
        <w:ind w:right="20" w:firstLine="466"/>
        <w:spacing w:after="0" w:line="296" w:lineRule="auto"/>
        <w:tabs>
          <w:tab w:leader="none" w:pos="739" w:val="left"/>
        </w:tabs>
        <w:numPr>
          <w:ilvl w:val="0"/>
          <w:numId w:val="4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Language</w:t>
      </w:r>
      <w:r>
        <w:rPr>
          <w:rFonts w:ascii="Times New Roman" w:cs="Times New Roman" w:eastAsia="Times New Roman" w:hAnsi="Times New Roman"/>
          <w:sz w:val="14"/>
          <w:szCs w:val="14"/>
          <w:color w:val="auto"/>
        </w:rPr>
        <w:t>. If you have received the Option Agreement or any other document related to the Plan translated into a language other than English and if the meaning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translated version is different than the English version, the English version will control.</w:t>
      </w:r>
    </w:p>
    <w:p>
      <w:pPr>
        <w:sectPr>
          <w:pgSz w:w="11900" w:h="16840" w:orient="portrait"/>
          <w:cols w:equalWidth="0" w:num="1">
            <w:col w:w="10620"/>
          </w:cols>
          <w:pgMar w:left="640" w:top="1440" w:right="640" w:bottom="1440" w:gutter="0" w:footer="0" w:header="0"/>
        </w:sectPr>
      </w:pPr>
    </w:p>
    <w:bookmarkStart w:id="350" w:name="page351"/>
    <w:bookmarkEnd w:id="350"/>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II. COUNTRY-SPECIFIC PROVISIONS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AUSTRALIA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Notifications</w:t>
      </w:r>
    </w:p>
    <w:p>
      <w:pPr>
        <w:spacing w:after="0" w:line="168"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4"/>
          <w:szCs w:val="14"/>
          <w:u w:val="single" w:color="auto"/>
          <w:color w:val="auto"/>
        </w:rPr>
        <w:t>Securities Law Information</w:t>
      </w:r>
      <w:r>
        <w:rPr>
          <w:rFonts w:ascii="Times New Roman" w:cs="Times New Roman" w:eastAsia="Times New Roman" w:hAnsi="Times New Roman"/>
          <w:sz w:val="14"/>
          <w:szCs w:val="14"/>
          <w:color w:val="auto"/>
        </w:rPr>
        <w:t>. If you acquire Shares pursuant to your Option and offer the Shares for sale to a person or entity resident in Australia, the offer may be subject to disclosure requirements under Australian law. You should obtain legal advice on applicable disclosure obligations prior to making any such offer.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Tax Information</w:t>
      </w:r>
      <w:r>
        <w:rPr>
          <w:rFonts w:ascii="Times New Roman" w:cs="Times New Roman" w:eastAsia="Times New Roman" w:hAnsi="Times New Roman"/>
          <w:sz w:val="14"/>
          <w:szCs w:val="14"/>
          <w:color w:val="auto"/>
        </w:rPr>
        <w:t>. The Plan is a plan to which Subdivision 83A-C of the Income Tax Assessment Act 1997 (Cth) (the “</w:t>
      </w:r>
      <w:r>
        <w:rPr>
          <w:rFonts w:ascii="Times New Roman" w:cs="Times New Roman" w:eastAsia="Times New Roman" w:hAnsi="Times New Roman"/>
          <w:sz w:val="14"/>
          <w:szCs w:val="14"/>
          <w:b w:val="1"/>
          <w:bCs w:val="1"/>
          <w:i w:val="1"/>
          <w:iCs w:val="1"/>
          <w:color w:val="auto"/>
        </w:rPr>
        <w:t>Act</w:t>
      </w:r>
      <w:r>
        <w:rPr>
          <w:rFonts w:ascii="Times New Roman" w:cs="Times New Roman" w:eastAsia="Times New Roman" w:hAnsi="Times New Roman"/>
          <w:sz w:val="14"/>
          <w:szCs w:val="14"/>
          <w:color w:val="auto"/>
        </w:rPr>
        <w:t>”) applies (subject to the conditions in the Act).</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CANADA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and Conditions</w:t>
      </w:r>
    </w:p>
    <w:p>
      <w:pPr>
        <w:spacing w:after="0" w:line="168"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4"/>
          <w:szCs w:val="14"/>
          <w:u w:val="single" w:color="auto"/>
          <w:color w:val="auto"/>
        </w:rPr>
        <w:t>Method of Exercise</w:t>
      </w:r>
      <w:r>
        <w:rPr>
          <w:rFonts w:ascii="Times New Roman" w:cs="Times New Roman" w:eastAsia="Times New Roman" w:hAnsi="Times New Roman"/>
          <w:sz w:val="14"/>
          <w:szCs w:val="14"/>
          <w:color w:val="auto"/>
        </w:rPr>
        <w:t>. Due to regulatory considerations in Canada, notwithstanding Section 4(c) of the Plan, you are not permitted to pay your Option exercise price with previously-owned Shares or with Shares to be issued upon exercise of your Option.</w:t>
      </w:r>
    </w:p>
    <w:p>
      <w:pPr>
        <w:spacing w:after="0" w:line="1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u w:val="single" w:color="auto"/>
          <w:color w:val="auto"/>
        </w:rPr>
        <w:t>Non-Qualified Securities</w:t>
      </w:r>
      <w:r>
        <w:rPr>
          <w:rFonts w:ascii="Times New Roman" w:cs="Times New Roman" w:eastAsia="Times New Roman" w:hAnsi="Times New Roman"/>
          <w:sz w:val="14"/>
          <w:szCs w:val="14"/>
          <w:color w:val="auto"/>
        </w:rPr>
        <w:t xml:space="preserve">. All or a portion of the Shares subject to your Option may be “non-qualified securities” within the meaning of the </w:t>
      </w:r>
      <w:r>
        <w:rPr>
          <w:rFonts w:ascii="Times New Roman" w:cs="Times New Roman" w:eastAsia="Times New Roman" w:hAnsi="Times New Roman"/>
          <w:sz w:val="14"/>
          <w:szCs w:val="14"/>
          <w:i w:val="1"/>
          <w:iCs w:val="1"/>
          <w:color w:val="auto"/>
        </w:rPr>
        <w:t>Income Tax Act</w:t>
      </w:r>
      <w:r>
        <w:rPr>
          <w:rFonts w:ascii="Times New Roman" w:cs="Times New Roman" w:eastAsia="Times New Roman" w:hAnsi="Times New Roman"/>
          <w:sz w:val="14"/>
          <w:szCs w:val="14"/>
          <w:color w:val="auto"/>
        </w:rPr>
        <w:t xml:space="preserve"> (Canada). The Company will provide you with additional information and/or appropriate notification regarding the characterization of your Option for Canadian income tax purposes as may be required by the </w:t>
      </w:r>
      <w:r>
        <w:rPr>
          <w:rFonts w:ascii="Times New Roman" w:cs="Times New Roman" w:eastAsia="Times New Roman" w:hAnsi="Times New Roman"/>
          <w:sz w:val="14"/>
          <w:szCs w:val="14"/>
          <w:i w:val="1"/>
          <w:iCs w:val="1"/>
          <w:color w:val="auto"/>
        </w:rPr>
        <w:t xml:space="preserve">Income Tax Act </w:t>
      </w:r>
      <w:r>
        <w:rPr>
          <w:rFonts w:ascii="Times New Roman" w:cs="Times New Roman" w:eastAsia="Times New Roman" w:hAnsi="Times New Roman"/>
          <w:sz w:val="14"/>
          <w:szCs w:val="14"/>
          <w:color w:val="auto"/>
        </w:rPr>
        <w:t>(Canada) and the regulations thereunder.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Award Not In Lieu of Other Compensation</w:t>
      </w:r>
      <w:r>
        <w:rPr>
          <w:rFonts w:ascii="Times New Roman" w:cs="Times New Roman" w:eastAsia="Times New Roman" w:hAnsi="Times New Roman"/>
          <w:sz w:val="14"/>
          <w:szCs w:val="14"/>
          <w:color w:val="auto"/>
        </w:rPr>
        <w:t>. The following provision replaces Section 9(h) of the Option Agreement:</w:t>
      </w:r>
    </w:p>
    <w:p>
      <w:pPr>
        <w:spacing w:after="0" w:line="16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4"/>
          <w:szCs w:val="14"/>
          <w:color w:val="auto"/>
        </w:rPr>
        <w:t>except as explicitly and minimally required under applicable legislation, your Option and the Shares acquired subject to your Option, and the income from and value of same, are not part of normal or expected compensation for any purpose, including, but not limited to, calculating any severance, resignation, termination, redundancy, dismissal, end-of-service payments, bonuses, holiday pay, long-service awards, pension or retirement or welfare benefits or similar payments;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Termination of Continuous Service</w:t>
      </w:r>
      <w:r>
        <w:rPr>
          <w:rFonts w:ascii="Times New Roman" w:cs="Times New Roman" w:eastAsia="Times New Roman" w:hAnsi="Times New Roman"/>
          <w:sz w:val="14"/>
          <w:szCs w:val="14"/>
          <w:color w:val="auto"/>
        </w:rPr>
        <w:t>. The following provision replaces Section 9(m) of the Option Agreement:</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purposes of your Option, your Continuous Service will be considered terminated (regardless of the reason for such termination and whether or not the termination is later found to be invalid, unlawful or in breach of Applicable Laws in the jurisdiction where you are providing services or the terms of your employment agreement, if any) and (i) your right to vest in or otherwise benefit from your Option will terminate and (ii) the period (if any) during which you may exercise the Option after such termination of your Continuous Service will commence, in either case as of the date you are no longer actually providing Continuous Service (the “</w:t>
      </w:r>
      <w:r>
        <w:rPr>
          <w:rFonts w:ascii="Times New Roman" w:cs="Times New Roman" w:eastAsia="Times New Roman" w:hAnsi="Times New Roman"/>
          <w:sz w:val="14"/>
          <w:szCs w:val="14"/>
          <w:b w:val="1"/>
          <w:bCs w:val="1"/>
          <w:i w:val="1"/>
          <w:iCs w:val="1"/>
          <w:color w:val="auto"/>
        </w:rPr>
        <w:t>Termination Date</w:t>
      </w:r>
      <w:r>
        <w:rPr>
          <w:rFonts w:ascii="Times New Roman" w:cs="Times New Roman" w:eastAsia="Times New Roman" w:hAnsi="Times New Roman"/>
          <w:sz w:val="14"/>
          <w:szCs w:val="14"/>
          <w:color w:val="auto"/>
        </w:rPr>
        <w:t>”). Except as explicitly and minimally required under applicable legislation, the Termination Date shall exclude and shall not be extended by any period during which notice, pay in lieu of notice or related payments or damages are provided or required to be provided under statute, contract, common/civil law or otherwise. For greater certainty, you will not earn</w:t>
      </w:r>
    </w:p>
    <w:p>
      <w:pPr>
        <w:sectPr>
          <w:pgSz w:w="11900" w:h="16840" w:orient="portrait"/>
          <w:cols w:equalWidth="0" w:num="1">
            <w:col w:w="10620"/>
          </w:cols>
          <w:pgMar w:left="640" w:top="1440" w:right="640" w:bottom="1440" w:gutter="0" w:footer="0" w:header="0"/>
        </w:sectPr>
      </w:pPr>
    </w:p>
    <w:bookmarkStart w:id="351" w:name="page352"/>
    <w:bookmarkEnd w:id="351"/>
    <w:p>
      <w:pPr>
        <w:spacing w:after="0" w:line="3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4"/>
          <w:szCs w:val="14"/>
          <w:color w:val="auto"/>
        </w:rPr>
        <w:t>or be entitled to any pro-rated vesting or exercisability for that portion of time before the Termination Date, nor will you be entitled to any compensation for lost vesting or exercisability.</w:t>
      </w:r>
    </w:p>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If, notwithstanding the foregoing, applicable employment standards legislation explicitly requires continued vesting or exercisability during a statutory notice period, your right to vest in, exercise or otherwise benefit from your Option, if any, will terminate effective as of the last date of the minimum statutory notice period, but you will not earn or be entitled to pro-rated vesting or exercisability if the vesting date or exercisability period falls after the end of your statutory notice period, nor will you be entitled to any compensation for lost vesting or exercisability. For further clarity, any reference to a termination or cessation of your Continuous Service or a date of termination under this Agreement or the Plan will be interpreted to mean the Termination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 Entitlement or Claims for Compensation</w:t>
      </w:r>
      <w:r>
        <w:rPr>
          <w:rFonts w:ascii="Times New Roman" w:cs="Times New Roman" w:eastAsia="Times New Roman" w:hAnsi="Times New Roman"/>
          <w:sz w:val="14"/>
          <w:szCs w:val="14"/>
          <w:color w:val="auto"/>
        </w:rPr>
        <w:t>. The following provision replaces Section 9(n) of the Option Agreement:</w:t>
      </w:r>
    </w:p>
    <w:p>
      <w:pPr>
        <w:spacing w:after="0" w:line="16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4"/>
          <w:szCs w:val="14"/>
          <w:color w:val="auto"/>
        </w:rPr>
        <w:t>except as explicitly and minimally required under applicable legislation, no claim or entitlement to compensation or damages shall arise from forfeiture of your Option resulting from (i) the termination of your Continuous Service (for any reason whatsoever, whether or not later found to be invalid or in breach of Applicable Laws in the jurisdiction where you are providing service or the terms of your employment or other service agreement, if any), and/or (ii) the application of any recoupment policy, or any recovery or clawback policy otherwise required by Applicable Laws; and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Notifications</w:t>
      </w:r>
    </w:p>
    <w:p>
      <w:pPr>
        <w:spacing w:after="0" w:line="168"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14"/>
          <w:szCs w:val="14"/>
          <w:u w:val="single" w:color="auto"/>
          <w:color w:val="auto"/>
        </w:rPr>
        <w:t>Securities Law Information</w:t>
      </w:r>
      <w:r>
        <w:rPr>
          <w:rFonts w:ascii="Times New Roman" w:cs="Times New Roman" w:eastAsia="Times New Roman" w:hAnsi="Times New Roman"/>
          <w:sz w:val="14"/>
          <w:szCs w:val="14"/>
          <w:color w:val="auto"/>
        </w:rPr>
        <w:t>. You acknowledge that you are permitted to sell the Shares acquired under the Plan through the designated broker, or other such stock plan service provider as may be selected by the Company in the future, provided the sale of the Shares takes place outside of Canada through facilities of a stock exchange on which the Common Stock is listed. The Shares are currently listed on the Nasdaq Global Select Market.</w:t>
      </w:r>
    </w:p>
    <w:p>
      <w:pPr>
        <w:spacing w:after="0" w:line="11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4"/>
          <w:szCs w:val="14"/>
          <w:u w:val="single" w:color="auto"/>
          <w:color w:val="auto"/>
        </w:rPr>
        <w:t>Foreign Asset/Account Reporting Information</w:t>
      </w:r>
      <w:r>
        <w:rPr>
          <w:rFonts w:ascii="Times New Roman" w:cs="Times New Roman" w:eastAsia="Times New Roman" w:hAnsi="Times New Roman"/>
          <w:sz w:val="14"/>
          <w:szCs w:val="14"/>
          <w:color w:val="auto"/>
        </w:rPr>
        <w:t xml:space="preserve"> . Specified foreign property, including Shares and rights to receive Shares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your Option) of a non-Canadian company held by a Canadian resident must generally be reported annually on a Form T1135 (Foreign Income Verification Statement) if the total cost of the specified foreign property exceeds CAD 100,000 at any time during the year. Thus, your Option must be reported (generally at a nil cost) if the CAD 100,000 cost threshold is exceeded because of other specified foreign property held by you. When Shares are acquired, their cost generally is the adjusted cost base (“</w:t>
      </w:r>
      <w:r>
        <w:rPr>
          <w:rFonts w:ascii="Times New Roman" w:cs="Times New Roman" w:eastAsia="Times New Roman" w:hAnsi="Times New Roman"/>
          <w:sz w:val="14"/>
          <w:szCs w:val="14"/>
          <w:b w:val="1"/>
          <w:bCs w:val="1"/>
          <w:i w:val="1"/>
          <w:iCs w:val="1"/>
          <w:color w:val="auto"/>
        </w:rPr>
        <w:t>ACB</w:t>
      </w:r>
      <w:r>
        <w:rPr>
          <w:rFonts w:ascii="Times New Roman" w:cs="Times New Roman" w:eastAsia="Times New Roman" w:hAnsi="Times New Roman"/>
          <w:sz w:val="14"/>
          <w:szCs w:val="14"/>
          <w:color w:val="auto"/>
        </w:rPr>
        <w:t>”) of the Shares. The ACB would ordinarily equal the fair market value of the Shares at the time of acquisition, but if you own other Shares, whether such Shares are acquired inside and/or outside of the Plan, the ACB of the Shares acquired at exercise of your Option may have to be averaged with the ACB of the other Shares. You should consult with your personal tax advisor to ensure compliance with applicable reporting obligations.</w:t>
      </w:r>
    </w:p>
    <w:p>
      <w:pPr>
        <w:spacing w:after="0" w:line="1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FRANCE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and Conditions</w:t>
      </w:r>
    </w:p>
    <w:p>
      <w:pPr>
        <w:spacing w:after="0" w:line="168" w:lineRule="exact"/>
        <w:rPr>
          <w:sz w:val="20"/>
          <w:szCs w:val="20"/>
          <w:color w:val="auto"/>
        </w:rPr>
      </w:pPr>
    </w:p>
    <w:p>
      <w:pPr>
        <w:jc w:val="both"/>
        <w:ind w:right="40"/>
        <w:spacing w:after="0" w:line="293" w:lineRule="auto"/>
        <w:rPr>
          <w:sz w:val="20"/>
          <w:szCs w:val="20"/>
          <w:color w:val="auto"/>
        </w:rPr>
      </w:pPr>
      <w:r>
        <w:rPr>
          <w:rFonts w:ascii="Times New Roman" w:cs="Times New Roman" w:eastAsia="Times New Roman" w:hAnsi="Times New Roman"/>
          <w:sz w:val="14"/>
          <w:szCs w:val="14"/>
          <w:u w:val="single" w:color="auto"/>
          <w:color w:val="auto"/>
        </w:rPr>
        <w:t>Language Consent</w:t>
      </w:r>
      <w:r>
        <w:rPr>
          <w:rFonts w:ascii="Times New Roman" w:cs="Times New Roman" w:eastAsia="Times New Roman" w:hAnsi="Times New Roman"/>
          <w:sz w:val="14"/>
          <w:szCs w:val="14"/>
          <w:color w:val="auto"/>
        </w:rPr>
        <w:t>. By accepting the grant of your Option, you confirm having read and understood the Agreement and the Plan, both of which have been provided in the English language. You accept the terms of those documents accordingly.</w:t>
      </w:r>
    </w:p>
    <w:p>
      <w:pPr>
        <w:sectPr>
          <w:pgSz w:w="11900" w:h="16840" w:orient="portrait"/>
          <w:cols w:equalWidth="0" w:num="1">
            <w:col w:w="10640"/>
          </w:cols>
          <w:pgMar w:left="640" w:top="1440" w:right="620" w:bottom="1440" w:gutter="0" w:footer="0" w:header="0"/>
        </w:sectPr>
      </w:pPr>
    </w:p>
    <w:bookmarkStart w:id="352" w:name="page353"/>
    <w:bookmarkEnd w:id="352"/>
    <w:p>
      <w:pPr>
        <w:spacing w:after="0" w:line="37"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4"/>
          <w:szCs w:val="14"/>
          <w:i w:val="1"/>
          <w:iCs w:val="1"/>
          <w:u w:val="single" w:color="auto"/>
          <w:color w:val="auto"/>
        </w:rPr>
        <w:t>Consentement Relatif à la Langue Utilisée</w:t>
      </w:r>
      <w:r>
        <w:rPr>
          <w:rFonts w:ascii="Times New Roman" w:cs="Times New Roman" w:eastAsia="Times New Roman" w:hAnsi="Times New Roman"/>
          <w:sz w:val="14"/>
          <w:szCs w:val="14"/>
          <w:i w:val="1"/>
          <w:iCs w:val="1"/>
          <w:color w:val="auto"/>
        </w:rPr>
        <w:t xml:space="preserve"> . En acceptant l'octroi de votre Option, vous confirmez avoir lu et compris le Contrat et le Plan, tous deux rédigés en anglais. Vous acceptez les termes de ces documents en conséquence.</w:t>
      </w:r>
    </w:p>
    <w:p>
      <w:pPr>
        <w:spacing w:after="0" w:line="10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4"/>
          <w:szCs w:val="14"/>
          <w:u w:val="single" w:color="auto"/>
          <w:color w:val="auto"/>
        </w:rPr>
        <w:t>French-Qualified Status</w:t>
      </w:r>
      <w:r>
        <w:rPr>
          <w:rFonts w:ascii="Times New Roman" w:cs="Times New Roman" w:eastAsia="Times New Roman" w:hAnsi="Times New Roman"/>
          <w:sz w:val="14"/>
          <w:szCs w:val="14"/>
          <w:color w:val="auto"/>
        </w:rPr>
        <w:t>. Your Option is granted as a French-Qualified Option and is intended to qualify for the special tax and social security treatment in France under Sections L. 225-177 to L. 225-186 and Sections L. 22-10-56 to L. 22-10-58 of the French Commercial Code, as amended. The French-Qualified Option is granted subject to the French Sub-Plan to the Plan (the “</w:t>
      </w:r>
      <w:r>
        <w:rPr>
          <w:rFonts w:ascii="Times New Roman" w:cs="Times New Roman" w:eastAsia="Times New Roman" w:hAnsi="Times New Roman"/>
          <w:sz w:val="14"/>
          <w:szCs w:val="14"/>
          <w:b w:val="1"/>
          <w:bCs w:val="1"/>
          <w:i w:val="1"/>
          <w:iCs w:val="1"/>
          <w:color w:val="auto"/>
        </w:rPr>
        <w:t>French Sub-Plan</w:t>
      </w:r>
      <w:r>
        <w:rPr>
          <w:rFonts w:ascii="Times New Roman" w:cs="Times New Roman" w:eastAsia="Times New Roman" w:hAnsi="Times New Roman"/>
          <w:sz w:val="14"/>
          <w:szCs w:val="14"/>
          <w:color w:val="auto"/>
        </w:rPr>
        <w:t>”).</w:t>
      </w:r>
    </w:p>
    <w:p>
      <w:pPr>
        <w:spacing w:after="0" w:line="11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4"/>
          <w:szCs w:val="14"/>
          <w:color w:val="auto"/>
        </w:rPr>
        <w:t>Certain events may affect the status of your Option as a French-Qualified Option, and the French-Qualified Option or the underlying Shares may be disqualified in the future. The Company does not make any undertaking or representation to maintain the qualified status of the French-Qualified Option or of the underlying Shares. Capitalized terms not defined herein, in the Agreement or the Plan shall have the meanings ascribed to them in the French Sub-Plan.</w:t>
      </w:r>
    </w:p>
    <w:p>
      <w:pPr>
        <w:spacing w:after="0" w:line="114" w:lineRule="exact"/>
        <w:rPr>
          <w:sz w:val="20"/>
          <w:szCs w:val="20"/>
          <w:color w:val="auto"/>
        </w:rPr>
      </w:pPr>
    </w:p>
    <w:p>
      <w:pPr>
        <w:jc w:val="both"/>
        <w:ind w:right="40"/>
        <w:spacing w:after="0" w:line="276" w:lineRule="auto"/>
        <w:rPr>
          <w:sz w:val="20"/>
          <w:szCs w:val="20"/>
          <w:color w:val="auto"/>
        </w:rPr>
      </w:pPr>
      <w:r>
        <w:rPr>
          <w:rFonts w:ascii="Times New Roman" w:cs="Times New Roman" w:eastAsia="Times New Roman" w:hAnsi="Times New Roman"/>
          <w:sz w:val="14"/>
          <w:szCs w:val="14"/>
          <w:u w:val="single" w:color="auto"/>
          <w:color w:val="auto"/>
        </w:rPr>
        <w:t>Holding Periods for Managing Corporate Officers</w:t>
      </w:r>
      <w:r>
        <w:rPr>
          <w:rFonts w:ascii="Times New Roman" w:cs="Times New Roman" w:eastAsia="Times New Roman" w:hAnsi="Times New Roman"/>
          <w:sz w:val="14"/>
          <w:szCs w:val="14"/>
          <w:color w:val="auto"/>
        </w:rPr>
        <w:t>. If on the Date of Grant you qualify as a managing corporate officer under French law (“</w:t>
      </w:r>
      <w:r>
        <w:rPr>
          <w:rFonts w:ascii="Times New Roman" w:cs="Times New Roman" w:eastAsia="Times New Roman" w:hAnsi="Times New Roman"/>
          <w:sz w:val="14"/>
          <w:szCs w:val="14"/>
          <w:i w:val="1"/>
          <w:iCs w:val="1"/>
          <w:color w:val="auto"/>
        </w:rPr>
        <w:t>mandataires sociaux</w:t>
      </w:r>
      <w:r>
        <w:rPr>
          <w:rFonts w:ascii="Times New Roman" w:cs="Times New Roman" w:eastAsia="Times New Roman" w:hAnsi="Times New Roman"/>
          <w:sz w:val="14"/>
          <w:szCs w:val="14"/>
          <w:color w:val="auto"/>
        </w:rPr>
        <w:t>”) or any similar official capacity of the Company or a Subsidiary, you may not sell 20% of the Shares acquired upon exercise of the French-Qualified Option until the termination of such official capacity, as long as this restriction is applicable to French-Qualified Options.</w:t>
      </w:r>
    </w:p>
    <w:p>
      <w:pPr>
        <w:spacing w:after="0" w:line="97"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14"/>
          <w:szCs w:val="14"/>
          <w:u w:val="single" w:color="auto"/>
          <w:color w:val="auto"/>
        </w:rPr>
        <w:t>No Transfer of French-Qualified Option</w:t>
      </w:r>
      <w:r>
        <w:rPr>
          <w:rFonts w:ascii="Times New Roman" w:cs="Times New Roman" w:eastAsia="Times New Roman" w:hAnsi="Times New Roman"/>
          <w:sz w:val="14"/>
          <w:szCs w:val="14"/>
          <w:color w:val="auto"/>
        </w:rPr>
        <w:t xml:space="preserve"> . The French-Qualified Option may not be sold, assigned, transferred, pledged, hypothecated, or otherwise disposed of in any manner during your lifetime and upon death only in accordance with Section 6 of the French Sub-Plan, and only to the extent required by applicable laws (including the provisions of Sections L. 225-177 to L. 225-186 and Sections L. 22-10-56 to L. 22-10-58 of the French Commercial Code, as amended).</w:t>
      </w:r>
    </w:p>
    <w:p>
      <w:pPr>
        <w:spacing w:after="0" w:line="116" w:lineRule="exact"/>
        <w:rPr>
          <w:sz w:val="20"/>
          <w:szCs w:val="20"/>
          <w:color w:val="auto"/>
        </w:rPr>
      </w:pPr>
    </w:p>
    <w:p>
      <w:pPr>
        <w:jc w:val="both"/>
        <w:ind w:right="40"/>
        <w:spacing w:after="0" w:line="293" w:lineRule="auto"/>
        <w:rPr>
          <w:sz w:val="20"/>
          <w:szCs w:val="20"/>
          <w:color w:val="auto"/>
        </w:rPr>
      </w:pPr>
      <w:r>
        <w:rPr>
          <w:rFonts w:ascii="Times New Roman" w:cs="Times New Roman" w:eastAsia="Times New Roman" w:hAnsi="Times New Roman"/>
          <w:sz w:val="14"/>
          <w:szCs w:val="14"/>
          <w:u w:val="single" w:color="auto"/>
          <w:color w:val="auto"/>
        </w:rPr>
        <w:t>Term of the Option</w:t>
      </w:r>
      <w:r>
        <w:rPr>
          <w:rFonts w:ascii="Times New Roman" w:cs="Times New Roman" w:eastAsia="Times New Roman" w:hAnsi="Times New Roman"/>
          <w:sz w:val="14"/>
          <w:szCs w:val="14"/>
          <w:color w:val="auto"/>
        </w:rPr>
        <w:t>. Notwithstanding anything in the Plan or Agreement, the French-Qualified Option will expire nine years and six months from the Date of Grant, unless sooner terminated, forfeited, or canceled in accordance with the provisions of the Plan or Agreement.</w:t>
      </w:r>
    </w:p>
    <w:p>
      <w:pPr>
        <w:spacing w:after="0" w:line="10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u w:val="single" w:color="auto"/>
          <w:color w:val="auto"/>
        </w:rPr>
        <w:t>Termination of Service Due to Death</w:t>
      </w:r>
      <w:r>
        <w:rPr>
          <w:rFonts w:ascii="Times New Roman" w:cs="Times New Roman" w:eastAsia="Times New Roman" w:hAnsi="Times New Roman"/>
          <w:sz w:val="14"/>
          <w:szCs w:val="14"/>
          <w:color w:val="auto"/>
        </w:rPr>
        <w:t>. Notwithstanding anything in the Plan or Agreement, in the event your Continuous Service is terminated due to death prior to the satisfaction of the vesting conditions set forth in the Vesting Schedule of the Grant Notice, any portion of the French-Qualified Option that has not vested as of such date will immediately vest and your rights under the French-Qualified Option may be exercised by your legal heirs within six months of the date of death. If your heirs do not exercise the unexercised portion of the French-Qualified Option within six months of the date of death, the unexercised portion of the French-Qualified Option will terminate and be forfeited.</w:t>
      </w:r>
    </w:p>
    <w:p>
      <w:pPr>
        <w:spacing w:after="0" w:line="1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GERMANY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Notifications</w:t>
      </w:r>
    </w:p>
    <w:p>
      <w:pPr>
        <w:spacing w:after="0" w:line="16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u w:val="single" w:color="auto"/>
          <w:color w:val="auto"/>
        </w:rPr>
        <w:t>Exchange Control Information</w:t>
      </w:r>
      <w:r>
        <w:rPr>
          <w:rFonts w:ascii="Times New Roman" w:cs="Times New Roman" w:eastAsia="Times New Roman" w:hAnsi="Times New Roman"/>
          <w:sz w:val="14"/>
          <w:szCs w:val="14"/>
          <w:color w:val="auto"/>
        </w:rPr>
        <w:t>. Certain cross-border transactions in excess of a certain threshold (currently EUR 50,000) (the “</w:t>
      </w:r>
      <w:r>
        <w:rPr>
          <w:rFonts w:ascii="Times New Roman" w:cs="Times New Roman" w:eastAsia="Times New Roman" w:hAnsi="Times New Roman"/>
          <w:sz w:val="14"/>
          <w:szCs w:val="14"/>
          <w:b w:val="1"/>
          <w:bCs w:val="1"/>
          <w:i w:val="1"/>
          <w:iCs w:val="1"/>
          <w:color w:val="auto"/>
        </w:rPr>
        <w:t>Threshold</w:t>
      </w:r>
      <w:r>
        <w:rPr>
          <w:rFonts w:ascii="Times New Roman" w:cs="Times New Roman" w:eastAsia="Times New Roman" w:hAnsi="Times New Roman"/>
          <w:sz w:val="14"/>
          <w:szCs w:val="14"/>
          <w:color w:val="auto"/>
        </w:rPr>
        <w:t>”) must be reported to the German Federal Bank. (</w:t>
      </w:r>
      <w:r>
        <w:rPr>
          <w:rFonts w:ascii="Times New Roman" w:cs="Times New Roman" w:eastAsia="Times New Roman" w:hAnsi="Times New Roman"/>
          <w:sz w:val="14"/>
          <w:szCs w:val="14"/>
          <w:i w:val="1"/>
          <w:iCs w:val="1"/>
          <w:color w:val="auto"/>
        </w:rPr>
        <w:t>Bundesbank</w:t>
      </w:r>
      <w:r>
        <w:rPr>
          <w:rFonts w:ascii="Times New Roman" w:cs="Times New Roman" w:eastAsia="Times New Roman" w:hAnsi="Times New Roman"/>
          <w:sz w:val="14"/>
          <w:szCs w:val="14"/>
          <w:color w:val="auto"/>
        </w:rPr>
        <w:t xml:space="preserve">). If you make or receive a payment in excess of the Threshold (including if you acquire Shares under the Plan with a value in excess of the Threshold or sell Shares via a foreign broker, bank or service provider and receives proceeds in excess of the Threshold) and/or if the Company withholds or sells Shares with a value in excess of the Threshold to cover Tax-Related Items, you must report the payment and/or the value of the Shares withheld or sold to the </w:t>
      </w:r>
      <w:r>
        <w:rPr>
          <w:rFonts w:ascii="Times New Roman" w:cs="Times New Roman" w:eastAsia="Times New Roman" w:hAnsi="Times New Roman"/>
          <w:sz w:val="14"/>
          <w:szCs w:val="14"/>
          <w:i w:val="1"/>
          <w:iCs w:val="1"/>
          <w:color w:val="auto"/>
        </w:rPr>
        <w:t>Bundesbank</w:t>
      </w:r>
      <w:r>
        <w:rPr>
          <w:rFonts w:ascii="Times New Roman" w:cs="Times New Roman" w:eastAsia="Times New Roman" w:hAnsi="Times New Roman"/>
          <w:sz w:val="14"/>
          <w:szCs w:val="14"/>
          <w:color w:val="auto"/>
        </w:rPr>
        <w:t>, either electronically using the “General Statistics</w:t>
      </w:r>
    </w:p>
    <w:p>
      <w:pPr>
        <w:sectPr>
          <w:pgSz w:w="11900" w:h="16840" w:orient="portrait"/>
          <w:cols w:equalWidth="0" w:num="1">
            <w:col w:w="10640"/>
          </w:cols>
          <w:pgMar w:left="640" w:top="1440" w:right="620" w:bottom="1440" w:gutter="0" w:footer="0" w:header="0"/>
        </w:sectPr>
      </w:pPr>
    </w:p>
    <w:bookmarkStart w:id="353" w:name="page354"/>
    <w:bookmarkEnd w:id="353"/>
    <w:p>
      <w:pPr>
        <w:spacing w:after="0" w:line="3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4"/>
          <w:szCs w:val="14"/>
          <w:color w:val="auto"/>
        </w:rPr>
        <w:t>Reporting Portal” (“</w:t>
      </w:r>
      <w:r>
        <w:rPr>
          <w:rFonts w:ascii="Times New Roman" w:cs="Times New Roman" w:eastAsia="Times New Roman" w:hAnsi="Times New Roman"/>
          <w:sz w:val="14"/>
          <w:szCs w:val="14"/>
          <w:i w:val="1"/>
          <w:iCs w:val="1"/>
          <w:color w:val="auto"/>
        </w:rPr>
        <w:t>Allgemeine Meldeportal Statistik</w:t>
      </w:r>
      <w:r>
        <w:rPr>
          <w:rFonts w:ascii="Times New Roman" w:cs="Times New Roman" w:eastAsia="Times New Roman" w:hAnsi="Times New Roman"/>
          <w:sz w:val="14"/>
          <w:szCs w:val="14"/>
          <w:color w:val="auto"/>
        </w:rPr>
        <w:t xml:space="preserve">”) available via the </w:t>
      </w:r>
      <w:r>
        <w:rPr>
          <w:rFonts w:ascii="Times New Roman" w:cs="Times New Roman" w:eastAsia="Times New Roman" w:hAnsi="Times New Roman"/>
          <w:sz w:val="14"/>
          <w:szCs w:val="14"/>
          <w:i w:val="1"/>
          <w:iCs w:val="1"/>
          <w:color w:val="auto"/>
        </w:rPr>
        <w:t>Bundesbank’s</w:t>
      </w:r>
      <w:r>
        <w:rPr>
          <w:rFonts w:ascii="Times New Roman" w:cs="Times New Roman" w:eastAsia="Times New Roman" w:hAnsi="Times New Roman"/>
          <w:sz w:val="14"/>
          <w:szCs w:val="14"/>
          <w:color w:val="auto"/>
        </w:rPr>
        <w:t xml:space="preserve"> website (www.bundesbank.de) or via such other method (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xml:space="preserve">, by email or telephone) as is permitted or required by the </w:t>
      </w:r>
      <w:r>
        <w:rPr>
          <w:rFonts w:ascii="Times New Roman" w:cs="Times New Roman" w:eastAsia="Times New Roman" w:hAnsi="Times New Roman"/>
          <w:sz w:val="14"/>
          <w:szCs w:val="14"/>
          <w:i w:val="1"/>
          <w:iCs w:val="1"/>
          <w:color w:val="auto"/>
        </w:rPr>
        <w:t>Bundesbank</w:t>
      </w:r>
      <w:r>
        <w:rPr>
          <w:rFonts w:ascii="Times New Roman" w:cs="Times New Roman" w:eastAsia="Times New Roman" w:hAnsi="Times New Roman"/>
          <w:sz w:val="14"/>
          <w:szCs w:val="14"/>
          <w:color w:val="auto"/>
        </w:rPr>
        <w:t xml:space="preserve">. The report must be submitted monthly or within such other timing as is permitted or required by the </w:t>
      </w:r>
      <w:r>
        <w:rPr>
          <w:rFonts w:ascii="Times New Roman" w:cs="Times New Roman" w:eastAsia="Times New Roman" w:hAnsi="Times New Roman"/>
          <w:sz w:val="14"/>
          <w:szCs w:val="14"/>
          <w:i w:val="1"/>
          <w:iCs w:val="1"/>
          <w:color w:val="auto"/>
        </w:rPr>
        <w:t>Bundesbank</w:t>
      </w:r>
      <w:r>
        <w:rPr>
          <w:rFonts w:ascii="Times New Roman" w:cs="Times New Roman" w:eastAsia="Times New Roman" w:hAnsi="Times New Roman"/>
          <w:sz w:val="14"/>
          <w:szCs w:val="14"/>
          <w:color w:val="auto"/>
        </w:rPr>
        <w:t>. You are responsible for complying with applicable reporting requirements.</w:t>
      </w:r>
    </w:p>
    <w:p>
      <w:pPr>
        <w:spacing w:after="0" w:line="11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4"/>
          <w:szCs w:val="14"/>
          <w:u w:val="single" w:color="auto"/>
          <w:color w:val="auto"/>
        </w:rPr>
        <w:t>Foreign Asset/Account Reporting Information</w:t>
      </w:r>
      <w:r>
        <w:rPr>
          <w:rFonts w:ascii="Times New Roman" w:cs="Times New Roman" w:eastAsia="Times New Roman" w:hAnsi="Times New Roman"/>
          <w:sz w:val="14"/>
          <w:szCs w:val="14"/>
          <w:color w:val="auto"/>
        </w:rPr>
        <w:t xml:space="preserve"> . If your acquisition of Shares under the Plan leads to a so-called qualified participation at any point during the calendar year, you may need to report the acquisition when you file your tax return for the relevant year. A qualified participation occurs only if (i) you own at least 1% of the Company and the value of the Shares acquired exceeds EUR 150,000, or (ii) you hold Shares exceeding 10% of the Company’s total Common Stock.</w:t>
      </w:r>
    </w:p>
    <w:p>
      <w:pPr>
        <w:spacing w:after="0" w:line="1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INDIA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and Conditions</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u w:val="single" w:color="auto"/>
          <w:color w:val="auto"/>
        </w:rPr>
        <w:t>Tax Collection at Source</w:t>
      </w:r>
      <w:r>
        <w:rPr>
          <w:rFonts w:ascii="Times New Roman" w:cs="Times New Roman" w:eastAsia="Times New Roman" w:hAnsi="Times New Roman"/>
          <w:sz w:val="14"/>
          <w:szCs w:val="14"/>
          <w:color w:val="auto"/>
        </w:rPr>
        <w:t xml:space="preserve"> . If you remit funds from India to pay your Option exercise price as described in Section 2(b)(i) of the Agreement, you may be subject to Tax Collection At Source (“</w:t>
      </w:r>
      <w:r>
        <w:rPr>
          <w:rFonts w:ascii="Times New Roman" w:cs="Times New Roman" w:eastAsia="Times New Roman" w:hAnsi="Times New Roman"/>
          <w:sz w:val="14"/>
          <w:szCs w:val="14"/>
          <w:b w:val="1"/>
          <w:bCs w:val="1"/>
          <w:i w:val="1"/>
          <w:iCs w:val="1"/>
          <w:color w:val="auto"/>
        </w:rPr>
        <w:t>TCS</w:t>
      </w:r>
      <w:r>
        <w:rPr>
          <w:rFonts w:ascii="Times New Roman" w:cs="Times New Roman" w:eastAsia="Times New Roman" w:hAnsi="Times New Roman"/>
          <w:sz w:val="14"/>
          <w:szCs w:val="14"/>
          <w:color w:val="auto"/>
        </w:rPr>
        <w:t xml:space="preserve">”) if your annual remittances out of India exceed a certain amount (currently INR 1,000,000) (the “ </w:t>
      </w:r>
      <w:r>
        <w:rPr>
          <w:rFonts w:ascii="Times New Roman" w:cs="Times New Roman" w:eastAsia="Times New Roman" w:hAnsi="Times New Roman"/>
          <w:sz w:val="14"/>
          <w:szCs w:val="14"/>
          <w:b w:val="1"/>
          <w:bCs w:val="1"/>
          <w:i w:val="1"/>
          <w:iCs w:val="1"/>
          <w:color w:val="auto"/>
        </w:rPr>
        <w:t>TCS Threshold</w:t>
      </w:r>
      <w:r>
        <w:rPr>
          <w:rFonts w:ascii="Times New Roman" w:cs="Times New Roman" w:eastAsia="Times New Roman" w:hAnsi="Times New Roman"/>
          <w:sz w:val="14"/>
          <w:szCs w:val="14"/>
          <w:color w:val="auto"/>
        </w:rPr>
        <w:t>”). You may be required to provide a declaration to the bank remitting the funds to determine if the TCS Threshold has been reached. If deemed necessary to comply with Applicable Laws, the Company may require you to exercise your Option, and any pay any Tax-Related Items through a cashless method of exercise as described in Section 2(b)(ii) of the Agreement. The Company reserves the right to prescribe alternative methods of exercise of your Option depending on the development of local laws.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Notifications</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Exchange Control Information</w:t>
      </w:r>
      <w:r>
        <w:rPr>
          <w:rFonts w:ascii="Times New Roman" w:cs="Times New Roman" w:eastAsia="Times New Roman" w:hAnsi="Times New Roman"/>
          <w:sz w:val="14"/>
          <w:szCs w:val="14"/>
          <w:color w:val="auto"/>
        </w:rPr>
        <w:t>. Indian residents must repatriate any funds received from participation in the Plan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proceeds from the sale of Shares) within such time as prescribed under applicable Indian exchange control laws, which may be amended from time to time. Indian residents should obtain a foreign inward remittance certificate (“</w:t>
      </w:r>
      <w:r>
        <w:rPr>
          <w:rFonts w:ascii="Times New Roman" w:cs="Times New Roman" w:eastAsia="Times New Roman" w:hAnsi="Times New Roman"/>
          <w:sz w:val="14"/>
          <w:szCs w:val="14"/>
          <w:b w:val="1"/>
          <w:bCs w:val="1"/>
          <w:i w:val="1"/>
          <w:iCs w:val="1"/>
          <w:color w:val="auto"/>
        </w:rPr>
        <w:t>FIRC</w:t>
      </w:r>
      <w:r>
        <w:rPr>
          <w:rFonts w:ascii="Times New Roman" w:cs="Times New Roman" w:eastAsia="Times New Roman" w:hAnsi="Times New Roman"/>
          <w:sz w:val="14"/>
          <w:szCs w:val="14"/>
          <w:color w:val="auto"/>
        </w:rPr>
        <w:t>”) from the bank where they deposit the foreign currency and maintain the FIRC as evidence of the repatriation of funds in the event the Reserve Bank of India, the Company, or the Service Recipient requests proof of repatriation. You further agree to provide information regarding funds received from participation in the Plan to the Company and/or the Service Recipient to enable them to comply with their filing requirements under exchange control laws in India. You are personally responsible for complying with exchange control laws in India, and neither the Company nor the Service Recipient will be liable for any fines or penalties resulting from your failure to comply with Applicable Law.</w:t>
      </w:r>
    </w:p>
    <w:p>
      <w:pPr>
        <w:spacing w:after="0" w:line="126"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4"/>
          <w:szCs w:val="14"/>
          <w:u w:val="single" w:color="auto"/>
          <w:color w:val="auto"/>
        </w:rPr>
        <w:t>Foreign Asset/Account Reporting Information</w:t>
      </w:r>
      <w:r>
        <w:rPr>
          <w:rFonts w:ascii="Times New Roman" w:cs="Times New Roman" w:eastAsia="Times New Roman" w:hAnsi="Times New Roman"/>
          <w:sz w:val="14"/>
          <w:szCs w:val="14"/>
          <w:color w:val="auto"/>
        </w:rPr>
        <w:t xml:space="preserve"> . You must declare the following items in your annual tax return: (i) any foreign assets held (including Shares acquired under the Plan), and (ii) any foreign bank accounts for which you have signing authority. You should consult with your personal tax advisor to ensure compliance with the applicable requirements.</w:t>
      </w:r>
    </w:p>
    <w:p>
      <w:pPr>
        <w:spacing w:after="0" w:line="1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IRELAND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Notifications</w:t>
      </w:r>
    </w:p>
    <w:p>
      <w:pPr>
        <w:spacing w:after="0" w:line="168"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4"/>
          <w:szCs w:val="14"/>
          <w:u w:val="single" w:color="auto"/>
          <w:color w:val="auto"/>
        </w:rPr>
        <w:t>Director Notification Information</w:t>
      </w:r>
      <w:r>
        <w:rPr>
          <w:rFonts w:ascii="Times New Roman" w:cs="Times New Roman" w:eastAsia="Times New Roman" w:hAnsi="Times New Roman"/>
          <w:sz w:val="14"/>
          <w:szCs w:val="14"/>
          <w:color w:val="auto"/>
        </w:rPr>
        <w:t>. Directors, shadow directors and secretaries of an Irish Affiliate must notify such Affiliate in writing upon (i) receiving or disposing of an interest in the Company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your Option, Shares, etc.), (ii) becoming aware of the event giving rise to the notification requirement, or (iii)</w:t>
      </w:r>
    </w:p>
    <w:p>
      <w:pPr>
        <w:sectPr>
          <w:pgSz w:w="11900" w:h="16840" w:orient="portrait"/>
          <w:cols w:equalWidth="0" w:num="1">
            <w:col w:w="10620"/>
          </w:cols>
          <w:pgMar w:left="640" w:top="1440" w:right="640" w:bottom="1440" w:gutter="0" w:footer="0" w:header="0"/>
        </w:sectPr>
      </w:pPr>
    </w:p>
    <w:bookmarkStart w:id="354" w:name="page355"/>
    <w:bookmarkEnd w:id="354"/>
    <w:p>
      <w:pPr>
        <w:spacing w:after="0" w:line="3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4"/>
          <w:szCs w:val="14"/>
          <w:color w:val="auto"/>
        </w:rPr>
        <w:t>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You should consult with your personal legal advisor as to whether or not this notification requirement applies.</w:t>
      </w:r>
    </w:p>
    <w:p>
      <w:pPr>
        <w:spacing w:after="0" w:line="1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ISRAEL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and Conditions</w:t>
      </w:r>
    </w:p>
    <w:p>
      <w:pPr>
        <w:spacing w:after="0" w:line="166"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4"/>
          <w:szCs w:val="14"/>
          <w:u w:val="single" w:color="auto"/>
          <w:color w:val="auto"/>
        </w:rPr>
        <w:t>Capital Gains Track Requirements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The following provision applies to you only if you are or are deemed to be a resident of the State of Israel for tax purposes or are otherwise subject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to taxation in Israel with respect to the Option on the Date of Grant.</w:t>
      </w:r>
    </w:p>
    <w:p>
      <w:pPr>
        <w:spacing w:after="0" w:line="1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You understand and agree that the Option granted in accordance with the Grant Notice and Agreement is subject to the terms and conditions of the Plan, the Israeli Sub-Plan to the Plan (the “</w:t>
      </w:r>
      <w:r>
        <w:rPr>
          <w:rFonts w:ascii="Times New Roman" w:cs="Times New Roman" w:eastAsia="Times New Roman" w:hAnsi="Times New Roman"/>
          <w:sz w:val="14"/>
          <w:szCs w:val="14"/>
          <w:b w:val="1"/>
          <w:bCs w:val="1"/>
          <w:i w:val="1"/>
          <w:iCs w:val="1"/>
          <w:color w:val="auto"/>
        </w:rPr>
        <w:t>Israeli Sub-Plan</w:t>
      </w:r>
      <w:r>
        <w:rPr>
          <w:rFonts w:ascii="Times New Roman" w:cs="Times New Roman" w:eastAsia="Times New Roman" w:hAnsi="Times New Roman"/>
          <w:sz w:val="14"/>
          <w:szCs w:val="14"/>
          <w:color w:val="auto"/>
        </w:rPr>
        <w:t xml:space="preserve">”), and the Trust Agreement between the Company and the Company’s trustee, ESOP Management and Trust Services Ltd. (the “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or any successor trustee appointed by the Company (or any Subsidiary or Affiliate) (the “</w:t>
      </w:r>
      <w:r>
        <w:rPr>
          <w:rFonts w:ascii="Times New Roman" w:cs="Times New Roman" w:eastAsia="Times New Roman" w:hAnsi="Times New Roman"/>
          <w:sz w:val="14"/>
          <w:szCs w:val="14"/>
          <w:b w:val="1"/>
          <w:bCs w:val="1"/>
          <w:i w:val="1"/>
          <w:iCs w:val="1"/>
          <w:color w:val="auto"/>
        </w:rPr>
        <w:t>Trust Agreement</w:t>
      </w:r>
      <w:r>
        <w:rPr>
          <w:rFonts w:ascii="Times New Roman" w:cs="Times New Roman" w:eastAsia="Times New Roman" w:hAnsi="Times New Roman"/>
          <w:sz w:val="14"/>
          <w:szCs w:val="14"/>
          <w:color w:val="auto"/>
        </w:rPr>
        <w:t>”). Capitalized terms used but not defined in these provisions, the Plan, or the Agreement shall have the meanings ascribed to them in the Israeli Sub-Plan. In the event of any inconsistencies between the Israeli Sub-Plan, the Agreement and/or the Plan, the Israeli Sub-Plan will govern.</w:t>
      </w:r>
    </w:p>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By accepting the Option, you: (i) acknowledge receipt of and represent that you have read and are familiar with the terms and provisions of Section 102, the Plan, the Israeli Sub-Plan, the Grant Notice, and the Agreement; (ii) accept the Option subject to all of the terms and conditions of the Agreement, the Grant Notice, the Plan, the Israeli Sub-Plan and Section 102;</w:t>
      </w:r>
    </w:p>
    <w:p>
      <w:pPr>
        <w:spacing w:after="0" w:line="1" w:lineRule="exact"/>
        <w:rPr>
          <w:sz w:val="20"/>
          <w:szCs w:val="20"/>
          <w:color w:val="auto"/>
        </w:rPr>
      </w:pPr>
    </w:p>
    <w:p>
      <w:pPr>
        <w:jc w:val="both"/>
        <w:ind w:firstLine="7"/>
        <w:spacing w:after="0" w:line="258" w:lineRule="auto"/>
        <w:tabs>
          <w:tab w:leader="none" w:pos="263" w:val="left"/>
        </w:tabs>
        <w:numPr>
          <w:ilvl w:val="0"/>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 that the Option and/or any Shares issued in connection therewith will be registered for the benefit of you in the name of the Trustee as required to qualify under the 102 Capital Gains Track; (iv) agree that the Option, and any Shares that may be derived from such Option, will be held or controlled by the Trustee for at least the duration of the Required Holding Period; (v) acknowledge that any release of the Option or Shares from trust (including any sale) prior to the termination of the Required Holding Period will result in taxation at your marginal tax rate, including social security and health tax contributions; (vi) authorize the Company to provide the Trustee with any information required for the purposes of administering the Option; (vii) acknowledge that if your Continuous Service is terminated, the Option and underlying Shares shall remain subject to Section 102, the Trust Agreement, the Plan, the Israeli Sub-Plan and the Agreement; (viii) understand that the tax treatment applicable to 102 Capital Gains Track Grants is subject to compliance with certain terms and conditions, which if not satisfied may cause the Option to be subject to a different tax arrangement, including taxation at your marginal tax rate, in addition to applicable social security and health tax contributions; and (x) acknowledge that you have had the opportunity to obtain the advice of counsel prior to accepting the Option. You hereby undertake to release the Trustee from any liability in respect of any action or decision duly taken and bona fide executed in relation to the Plan, the Option, or the Shares issued thereunder.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Data Privacy</w:t>
      </w:r>
      <w:r>
        <w:rPr>
          <w:rFonts w:ascii="Times New Roman" w:cs="Times New Roman" w:eastAsia="Times New Roman" w:hAnsi="Times New Roman"/>
          <w:sz w:val="14"/>
          <w:szCs w:val="14"/>
          <w:color w:val="auto"/>
        </w:rPr>
        <w:t>. The following provision supplements Section 1 of this Country Addendum:</w:t>
      </w:r>
    </w:p>
    <w:p>
      <w:pPr>
        <w:spacing w:after="0" w:line="164"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4"/>
          <w:szCs w:val="14"/>
          <w:color w:val="auto"/>
        </w:rPr>
        <w:t>You hereby authorize the Company, the Trustee and their representatives to collect, use and transfer all relevant information regarding you and your Option to all Company personnel and agents and or third</w:t>
      </w:r>
    </w:p>
    <w:p>
      <w:pPr>
        <w:sectPr>
          <w:pgSz w:w="11900" w:h="16840" w:orient="portrait"/>
          <w:cols w:equalWidth="0" w:num="1">
            <w:col w:w="10620"/>
          </w:cols>
          <w:pgMar w:left="640" w:top="1440" w:right="640" w:bottom="1440" w:gutter="0" w:footer="0" w:header="0"/>
        </w:sectPr>
      </w:pPr>
    </w:p>
    <w:bookmarkStart w:id="355" w:name="page356"/>
    <w:bookmarkEnd w:id="355"/>
    <w:p>
      <w:pPr>
        <w:spacing w:after="0" w:line="39"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4"/>
          <w:szCs w:val="14"/>
          <w:color w:val="auto"/>
        </w:rPr>
        <w:t>parties involved in the administration of the Plan and/or in the event of a corporate financing, merger, acquisitions and/or business transfers, including transfers outside of Israel and further transfers thereafter.</w:t>
      </w:r>
    </w:p>
    <w:p>
      <w:pPr>
        <w:spacing w:after="0" w:line="102"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4"/>
          <w:szCs w:val="14"/>
          <w:u w:val="single" w:color="auto"/>
          <w:color w:val="auto"/>
        </w:rPr>
        <w:t>Exercise Procedure; Responsibility for Taxes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The following provision applies to you if you were not a tax resident of Israel on the Date of Grant and your Option does not qualify as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102 Award.</w:t>
      </w:r>
    </w:p>
    <w:p>
      <w:pPr>
        <w:spacing w:after="0" w:line="10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4"/>
          <w:szCs w:val="14"/>
          <w:color w:val="auto"/>
        </w:rPr>
        <w:t>To facilitate compliance with Withholding Obligations in Israel, the Company reserves the right to require you to exercise the Option by means of a “cashless-sell-all” method of exercise, whereby you deliver irrevocable and unconditional instructions to the Company’s designated broker to sell all Shares subject to the Option and deliver promptly to the Company an amount sufficient to pay the exercise price and any Tax-Related Items.</w:t>
      </w:r>
    </w:p>
    <w:p>
      <w:pPr>
        <w:spacing w:after="0" w:line="1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Alternatively, the Company reserves the right to (a) require you to sell all Shares issued under this Agreement upon the termination of your Continuous Service, or (b) maintain the Shares issued under this Agreement in an account with the Company’s designated broker until the Shares are sold. By accepting this Agreement, you authorize the Company to instruct its designated broker to assist with the mandatory sale of such Shares (on your behalf pursuant to this authorization) and you expressly authorize the Company’s designated broker to complete the sale of such Shares. You agree to sign any forms and/or consents required by the Company or its designated broker to effectuate the sale of the Shares. You acknowledge that the designated broker is under no obligation to arrange for the sale of the Shares at any particular price. Upon the sale of the Shares, the cash proceeds from the sale of the Shares, less any brokerage fees or commissions and any Tax-Related Items, will be delivered to you.</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ITALY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and Conditions</w:t>
      </w:r>
    </w:p>
    <w:p>
      <w:pPr>
        <w:spacing w:after="0" w:line="168"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4"/>
          <w:szCs w:val="14"/>
          <w:u w:val="single" w:color="auto"/>
          <w:color w:val="auto"/>
        </w:rPr>
        <w:t>Plan Document Acknowledgment</w:t>
      </w:r>
      <w:r>
        <w:rPr>
          <w:rFonts w:ascii="Times New Roman" w:cs="Times New Roman" w:eastAsia="Times New Roman" w:hAnsi="Times New Roman"/>
          <w:sz w:val="14"/>
          <w:szCs w:val="14"/>
          <w:color w:val="auto"/>
        </w:rPr>
        <w:t xml:space="preserve"> . By accepting your Option, you acknowledge that (i) you have received a copy of the Plan and this Agreement; (ii) you have reviewed such documents in their entirety and fully understand the contents thereof; and (iii) you accept all provisions of the Plan and this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 further acknowledge that you have read and specifically and expressly approve, without limitation, the following sections of the Option Agreement: Section 2: Exercise; Section 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Responsibility for Taxes; Section 9: Nature of Grant; Section 10: Governing Law and Venue; Section 12: Country Addendum; Section 13: Imposition of Other Requirements; and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sections of this Country Addendum: Section 1: Data Privacy Information and Consent; and Section 2: Language.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Notifications</w:t>
      </w:r>
    </w:p>
    <w:p>
      <w:pPr>
        <w:spacing w:after="0" w:line="16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u w:val="single" w:color="auto"/>
          <w:color w:val="auto"/>
        </w:rPr>
        <w:t>Foreign Asset/Account Reporting Information</w:t>
      </w:r>
      <w:r>
        <w:rPr>
          <w:rFonts w:ascii="Times New Roman" w:cs="Times New Roman" w:eastAsia="Times New Roman" w:hAnsi="Times New Roman"/>
          <w:sz w:val="14"/>
          <w:szCs w:val="14"/>
          <w:color w:val="auto"/>
        </w:rPr>
        <w:t xml:space="preserve"> . If, at any time during the fiscal year, you hold foreign financial assets (including your Option and Shares) which may generate income taxable in Italy, you are required to report these assets on your annual tax return (UNICO Form, RW Schedule) for the year during which the assets are held (or on a special form if no tax return is due). These reporting obligations will also apply to Italian residents who are the beneficial owners of foreign financial assets under Italian money laundering provisions. You should consult with your personal tax advisor to ensure compliance with the applicable requirements.</w:t>
      </w:r>
    </w:p>
    <w:p>
      <w:pPr>
        <w:sectPr>
          <w:pgSz w:w="11900" w:h="16840" w:orient="portrait"/>
          <w:cols w:equalWidth="0" w:num="1">
            <w:col w:w="10620"/>
          </w:cols>
          <w:pgMar w:left="640" w:top="1440" w:right="640" w:bottom="1440" w:gutter="0" w:footer="0" w:header="0"/>
        </w:sectPr>
      </w:pPr>
    </w:p>
    <w:bookmarkStart w:id="356" w:name="page357"/>
    <w:bookmarkEnd w:id="356"/>
    <w:p>
      <w:pPr>
        <w:spacing w:after="0" w:line="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NETHERLANDS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no country-specific provisions.</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PORTUGAL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and Conditions</w:t>
      </w:r>
    </w:p>
    <w:p>
      <w:pPr>
        <w:spacing w:after="0" w:line="168"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4"/>
          <w:szCs w:val="14"/>
          <w:u w:val="single" w:color="auto"/>
          <w:color w:val="auto"/>
        </w:rPr>
        <w:t>Language Consent</w:t>
      </w:r>
      <w:r>
        <w:rPr>
          <w:rFonts w:ascii="Times New Roman" w:cs="Times New Roman" w:eastAsia="Times New Roman" w:hAnsi="Times New Roman"/>
          <w:sz w:val="14"/>
          <w:szCs w:val="14"/>
          <w:color w:val="auto"/>
        </w:rPr>
        <w:t>. You hereby expressly declare that you have full knowledge of the English language and have read, understood and fully accepted and agreed with the terms and conditions established in the Plan and the Agreement.</w:t>
      </w:r>
    </w:p>
    <w:p>
      <w:pPr>
        <w:spacing w:after="0" w:line="102"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4"/>
          <w:szCs w:val="14"/>
          <w:i w:val="1"/>
          <w:iCs w:val="1"/>
          <w:u w:val="single" w:color="auto"/>
          <w:color w:val="auto"/>
        </w:rPr>
        <w:t>Conhecimento da Lingua</w:t>
      </w:r>
      <w:r>
        <w:rPr>
          <w:rFonts w:ascii="Times New Roman" w:cs="Times New Roman" w:eastAsia="Times New Roman" w:hAnsi="Times New Roman"/>
          <w:sz w:val="14"/>
          <w:szCs w:val="14"/>
          <w:i w:val="1"/>
          <w:iCs w:val="1"/>
          <w:color w:val="auto"/>
        </w:rPr>
        <w:t>. Declara expressamente que possui pleno conhecimento da língua inglesa e que leu, compreendeu e aceitou e concordou integralmente com os termos e condições estabelecidos no Plano e no Contrato.</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Notifications</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u w:val="single" w:color="auto"/>
          <w:color w:val="auto"/>
        </w:rPr>
        <w:t>Exchange Control Information</w:t>
      </w:r>
      <w:r>
        <w:rPr>
          <w:rFonts w:ascii="Times New Roman" w:cs="Times New Roman" w:eastAsia="Times New Roman" w:hAnsi="Times New Roman"/>
          <w:sz w:val="14"/>
          <w:szCs w:val="14"/>
          <w:color w:val="auto"/>
        </w:rPr>
        <w:t xml:space="preserve">. If you are a Portuguese resident and you hold Shares after exercising your Option, the acquisition of the Shares should be reported to the </w:t>
      </w:r>
      <w:r>
        <w:rPr>
          <w:rFonts w:ascii="Times New Roman" w:cs="Times New Roman" w:eastAsia="Times New Roman" w:hAnsi="Times New Roman"/>
          <w:sz w:val="14"/>
          <w:szCs w:val="14"/>
          <w:i w:val="1"/>
          <w:iCs w:val="1"/>
          <w:color w:val="auto"/>
        </w:rPr>
        <w:t>Banco de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Portugal </w:t>
      </w:r>
      <w:r>
        <w:rPr>
          <w:rFonts w:ascii="Times New Roman" w:cs="Times New Roman" w:eastAsia="Times New Roman" w:hAnsi="Times New Roman"/>
          <w:sz w:val="14"/>
          <w:szCs w:val="14"/>
          <w:color w:val="auto"/>
        </w:rPr>
        <w:t>for statistical purposes. If the Shares are deposited with a commercial bank or financial intermediary in Portugal, such bank or financial intermediary will submit the report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your behalf. If the Shares is not deposited with a commercial bank or financial intermediary in Portugal, you are responsible for submitting the report to the </w:t>
      </w:r>
      <w:r>
        <w:rPr>
          <w:rFonts w:ascii="Times New Roman" w:cs="Times New Roman" w:eastAsia="Times New Roman" w:hAnsi="Times New Roman"/>
          <w:sz w:val="14"/>
          <w:szCs w:val="14"/>
          <w:i w:val="1"/>
          <w:iCs w:val="1"/>
          <w:color w:val="auto"/>
        </w:rPr>
        <w:t>Banco de Portugal</w:t>
      </w:r>
      <w:r>
        <w:rPr>
          <w:rFonts w:ascii="Times New Roman" w:cs="Times New Roman" w:eastAsia="Times New Roman" w:hAnsi="Times New Roman"/>
          <w:sz w:val="14"/>
          <w:szCs w:val="14"/>
          <w:color w:val="auto"/>
        </w:rPr>
        <w:t>, unless you engage a Portuguese financial intermediary to file the reports on your behalf. You should consult with your personal advisor(s) regarding any personal legal, regulatory or foreign exchange obligations you may have in connection with your participation in the Plan.</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SINGAPORE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and Conditions</w:t>
      </w:r>
    </w:p>
    <w:p>
      <w:pPr>
        <w:spacing w:after="0" w:line="1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u w:val="single" w:color="auto"/>
          <w:color w:val="auto"/>
        </w:rPr>
        <w:t>Sale of Shares</w:t>
      </w:r>
      <w:r>
        <w:rPr>
          <w:rFonts w:ascii="Times New Roman" w:cs="Times New Roman" w:eastAsia="Times New Roman" w:hAnsi="Times New Roman"/>
          <w:sz w:val="14"/>
          <w:szCs w:val="14"/>
          <w:color w:val="auto"/>
        </w:rPr>
        <w:t xml:space="preserve">. To the extent your Option vests within six months of the Date of Grant, you agree that you may not sell or offer to sell the Shares acquired prior to the six-month anniversary of the Date of Grant, unless such sale or offer to sell in Singapore is made pursuant to the exemptions under Part XIII Division (1) Subdivision (4) (other than section 280) of the Singapore Securities and Futures Act (Chapter 289, 2006 Ed.) (“ </w:t>
      </w:r>
      <w:r>
        <w:rPr>
          <w:rFonts w:ascii="Times New Roman" w:cs="Times New Roman" w:eastAsia="Times New Roman" w:hAnsi="Times New Roman"/>
          <w:sz w:val="14"/>
          <w:szCs w:val="14"/>
          <w:b w:val="1"/>
          <w:bCs w:val="1"/>
          <w:i w:val="1"/>
          <w:iCs w:val="1"/>
          <w:color w:val="auto"/>
        </w:rPr>
        <w:t>SFA</w:t>
      </w:r>
      <w:r>
        <w:rPr>
          <w:rFonts w:ascii="Times New Roman" w:cs="Times New Roman" w:eastAsia="Times New Roman" w:hAnsi="Times New Roman"/>
          <w:sz w:val="14"/>
          <w:szCs w:val="14"/>
          <w:color w:val="auto"/>
        </w:rPr>
        <w:t>”) or pursuant to, and in according with the conditions of, any other applicable provision of the SFA.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Notifications</w:t>
      </w:r>
    </w:p>
    <w:p>
      <w:pPr>
        <w:spacing w:after="0" w:line="16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4"/>
          <w:szCs w:val="14"/>
          <w:u w:val="single" w:color="auto"/>
          <w:color w:val="auto"/>
        </w:rPr>
        <w:t>Securities Law Information</w:t>
      </w:r>
      <w:r>
        <w:rPr>
          <w:rFonts w:ascii="Times New Roman" w:cs="Times New Roman" w:eastAsia="Times New Roman" w:hAnsi="Times New Roman"/>
          <w:sz w:val="14"/>
          <w:szCs w:val="14"/>
          <w:color w:val="auto"/>
        </w:rPr>
        <w:t>. Your Option is being offered to you in reliance on the “Qualifying Person” exemption under section 273(1)(f) of the SFA, are exempt from the prospectus and registration requirements under the SFA and are not made with a view to the underlying Shares being subsequently offered for sale to any other party. The Plan has not been and will not be lodged or registered as a prospectus with the Monetary Authority of Singapore.</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u w:val="single" w:color="auto"/>
          <w:color w:val="auto"/>
        </w:rPr>
        <w:t>Director Notification Information</w:t>
      </w:r>
      <w:r>
        <w:rPr>
          <w:rFonts w:ascii="Times New Roman" w:cs="Times New Roman" w:eastAsia="Times New Roman" w:hAnsi="Times New Roman"/>
          <w:sz w:val="14"/>
          <w:szCs w:val="14"/>
          <w:color w:val="auto"/>
        </w:rPr>
        <w:t>. Directors (including alternate, substitute, associate and shadow directors) of a Singapore Affiliate are subject to certain notification requirements under the Singapore Companies Act. Among these requirements is an obligation to notify such entity in writing within two business days of any of the following events: (i) the acquisition or disposal of an interest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your</w:t>
      </w:r>
    </w:p>
    <w:p>
      <w:pPr>
        <w:sectPr>
          <w:pgSz w:w="11900" w:h="16840" w:orient="portrait"/>
          <w:cols w:equalWidth="0" w:num="1">
            <w:col w:w="10620"/>
          </w:cols>
          <w:pgMar w:left="640" w:top="1440" w:right="640" w:bottom="1440" w:gutter="0" w:footer="0" w:header="0"/>
        </w:sectPr>
      </w:pPr>
    </w:p>
    <w:bookmarkStart w:id="357" w:name="page358"/>
    <w:bookmarkEnd w:id="357"/>
    <w:p>
      <w:pPr>
        <w:spacing w:after="0" w:line="3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4"/>
          <w:szCs w:val="14"/>
          <w:color w:val="auto"/>
        </w:rPr>
        <w:t xml:space="preserve">Option granted under the Plan) in the Company or any Affiliate, (ii) any change in previously-disclosed interests (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sale of Shares), or (iii) becoming a director, associate director or shadow director of an Affiliate in Singapore, if the individual holds such an interest at that time. These notification requirements apply regardless of whether the directors are residents of or employed in Singapore.</w:t>
      </w:r>
    </w:p>
    <w:p>
      <w:pPr>
        <w:spacing w:after="0" w:line="1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SPAIN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and Conditions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Nature of Grant</w:t>
      </w:r>
      <w:r>
        <w:rPr>
          <w:rFonts w:ascii="Times New Roman" w:cs="Times New Roman" w:eastAsia="Times New Roman" w:hAnsi="Times New Roman"/>
          <w:sz w:val="14"/>
          <w:szCs w:val="14"/>
          <w:color w:val="auto"/>
        </w:rPr>
        <w:t>. The following provision supplements Section 9 of the Option Agreement: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accepting your Option, you consent to participation in the Plan and acknowledge that you have received a copy of the Plan.</w:t>
      </w:r>
    </w:p>
    <w:p>
      <w:pPr>
        <w:spacing w:after="0" w:line="1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You understand that the Company has unilaterally, gratuitously, and in its sole discretion decided to grant Options under the Plan to Employees and Consultants throughout the world. The decision is a limited decision that is entered into upon the express assumption and condition that (i) any grant will not economically or otherwise bind the Company, the Service Recipient, or any Subsidiary or Affiliate on an ongoing basis other than as expressly set forth in the Plan and this Agreement; (ii) your Option and any Shares acquired at exercise of your Option are not part of any employment or other service agreement (either with the Company or any Subsidiary or Affiliate, including the Service Recipient), and shall not be considered a mandatory benefit, salary for any purposes (including severance compensation), or any other right whatsoever; and (iii) your Option shall cease vesting once you experience a termination of Continuous Service, as detailed below. In addition, you understand that this grant of your Option would not be made but for the assumptions and conditions referred to above; thus, you acknowledge and freely accept that, should any or all of the assumptions be mistaken or should any of the conditions not be met for any reason, then any award of or right to your Option shall be null and void.</w:t>
      </w:r>
    </w:p>
    <w:p>
      <w:pPr>
        <w:spacing w:after="0" w:line="1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Additionally, you understand that the vesting of your Option is expressly conditioned on your Continuous Service, such that if your Continuous Service terminates for any reason whatsoever, your Option will cease vesting immediately effective as of the date of termination of your Continuous Service. This will be the case, for example, even if (a) you are considered to be unfairly dismissed without good cause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xml:space="preserve">, subject to a “ </w:t>
      </w:r>
      <w:r>
        <w:rPr>
          <w:rFonts w:ascii="Times New Roman" w:cs="Times New Roman" w:eastAsia="Times New Roman" w:hAnsi="Times New Roman"/>
          <w:sz w:val="14"/>
          <w:szCs w:val="14"/>
          <w:i w:val="1"/>
          <w:iCs w:val="1"/>
          <w:color w:val="auto"/>
        </w:rPr>
        <w:t>despido improcedente</w:t>
      </w:r>
      <w:r>
        <w:rPr>
          <w:rFonts w:ascii="Times New Roman" w:cs="Times New Roman" w:eastAsia="Times New Roman" w:hAnsi="Times New Roman"/>
          <w:sz w:val="14"/>
          <w:szCs w:val="14"/>
          <w:color w:val="auto"/>
        </w:rPr>
        <w:t xml:space="preserve"> ”); (b) you are dismissed for disciplinary or objective reasons or due to a collective dismissal; (c) you terminate employment due to a change of work location, duties or any other employment or contractual condition; (d) you terminate employment due to the Company’s or any Subsidiary’s or Affiliate’s unilateral breach of contract; or (e) you terminate employment for any other reason whatsoever. Consequently, upon termination of your Continuous Service for any of the above reasons, you will automatically lose any rights to your Option granted to you that was unvested on the date of termination of your Continuous Service, as described in the Option Agreement.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Notifications</w:t>
      </w:r>
    </w:p>
    <w:p>
      <w:pPr>
        <w:spacing w:after="0" w:line="1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u w:val="single" w:color="auto"/>
          <w:color w:val="auto"/>
        </w:rPr>
        <w:t>Securities Law Information</w:t>
      </w:r>
      <w:r>
        <w:rPr>
          <w:rFonts w:ascii="Times New Roman" w:cs="Times New Roman" w:eastAsia="Times New Roman" w:hAnsi="Times New Roman"/>
          <w:sz w:val="14"/>
          <w:szCs w:val="14"/>
          <w:color w:val="auto"/>
        </w:rPr>
        <w:t xml:space="preserve">. No “offer to the public,” as defined under Spanish law, has taken place or will take place in the Spanish territory in connection with your Option. The Plan, this Agreement, and any other documents evidencing this grant of your Option have not been, nor will they be, registered with the </w:t>
      </w:r>
      <w:r>
        <w:rPr>
          <w:rFonts w:ascii="Times New Roman" w:cs="Times New Roman" w:eastAsia="Times New Roman" w:hAnsi="Times New Roman"/>
          <w:sz w:val="14"/>
          <w:szCs w:val="14"/>
          <w:i w:val="1"/>
          <w:iCs w:val="1"/>
          <w:color w:val="auto"/>
        </w:rPr>
        <w:t>Comisión Nacional del Mercado de Valores</w:t>
      </w:r>
      <w:r>
        <w:rPr>
          <w:rFonts w:ascii="Times New Roman" w:cs="Times New Roman" w:eastAsia="Times New Roman" w:hAnsi="Times New Roman"/>
          <w:sz w:val="14"/>
          <w:szCs w:val="14"/>
          <w:color w:val="auto"/>
        </w:rPr>
        <w:t xml:space="preserve"> (the Spanish securities regulator), and none of those documents constitutes a public offering prospectus.</w:t>
      </w:r>
    </w:p>
    <w:p>
      <w:pPr>
        <w:spacing w:after="0" w:line="11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u w:val="single" w:color="auto"/>
          <w:color w:val="auto"/>
        </w:rPr>
        <w:t>Exchange Control Information</w:t>
      </w:r>
      <w:r>
        <w:rPr>
          <w:rFonts w:ascii="Times New Roman" w:cs="Times New Roman" w:eastAsia="Times New Roman" w:hAnsi="Times New Roman"/>
          <w:sz w:val="14"/>
          <w:szCs w:val="14"/>
          <w:color w:val="auto"/>
        </w:rPr>
        <w:t>. Any securities accounts (including brokerage accounts held abroad) and any foreign investments (including Shares) held in such accounts may need to be declared electronically</w:t>
      </w:r>
    </w:p>
    <w:p>
      <w:pPr>
        <w:sectPr>
          <w:pgSz w:w="11900" w:h="16840" w:orient="portrait"/>
          <w:cols w:equalWidth="0" w:num="1">
            <w:col w:w="10620"/>
          </w:cols>
          <w:pgMar w:left="640" w:top="1440" w:right="640" w:bottom="1440" w:gutter="0" w:footer="0" w:header="0"/>
        </w:sectPr>
      </w:pPr>
    </w:p>
    <w:bookmarkStart w:id="358" w:name="page359"/>
    <w:bookmarkEnd w:id="358"/>
    <w:p>
      <w:pPr>
        <w:spacing w:after="0" w:line="39"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4"/>
          <w:szCs w:val="14"/>
          <w:color w:val="auto"/>
        </w:rPr>
        <w:t>to the Bank of Spain if the value of the transactions for all such accounts during the prior tax year or the balances in such accounts as of December 31 of the prior tax year exceed EUR 1,000,000.</w:t>
      </w:r>
    </w:p>
    <w:p>
      <w:pPr>
        <w:spacing w:after="0" w:line="10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4"/>
          <w:szCs w:val="14"/>
          <w:color w:val="auto"/>
        </w:rPr>
        <w:t>Different thresholds and deadlines to file this declaration apply. However, if neither such transactions during the immediately preceding year nor the balances or positions as of December 31 exceed EUR 1,000,000, no such declaration must be filed unless expressly required by the Bank of Spain. If any of such thresholds were exceeded during the current year, you may be required to file the relevant declaration corresponding to the prior year; however, a summarized form of declaration may be available. You should consult with your personal tax advisor to ensure compliance with applicable reporting requirements.</w:t>
      </w:r>
    </w:p>
    <w:p>
      <w:pPr>
        <w:spacing w:after="0" w:line="11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u w:val="single" w:color="auto"/>
          <w:color w:val="auto"/>
        </w:rPr>
        <w:t>Foreign Asset/Account Reporting Information</w:t>
      </w:r>
      <w:r>
        <w:rPr>
          <w:rFonts w:ascii="Times New Roman" w:cs="Times New Roman" w:eastAsia="Times New Roman" w:hAnsi="Times New Roman"/>
          <w:sz w:val="14"/>
          <w:szCs w:val="14"/>
          <w:color w:val="auto"/>
        </w:rPr>
        <w:t xml:space="preserve"> . Rights or assets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Shares or cash held in a bank or brokerage account) held outside of Spain with a value in excess of EUR 50,000 per type of right or asset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Shares, cash, etc.) as of December 31, must be reported on your annual tax return. After such rights and/or assets are initially reported, the reporting obligation will only apply for subsequent years if the value of any previously-reported rights or assets increases by more than EUR 20,000 or if the ownership of the assets is transferred or relinquished during the year. The reporting must be completed by the following March 31.</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SWEDEN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and Conditions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Responsibility for Taxes</w:t>
      </w:r>
      <w:r>
        <w:rPr>
          <w:rFonts w:ascii="Times New Roman" w:cs="Times New Roman" w:eastAsia="Times New Roman" w:hAnsi="Times New Roman"/>
          <w:sz w:val="14"/>
          <w:szCs w:val="14"/>
          <w:color w:val="auto"/>
        </w:rPr>
        <w:t>. The following provision supplements Section 4 of the Option Agreement:</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Without limiting the Company’s and the Service Recipient's authority to satisfy any withholding obligations for Tax-Related Items as set forth in Section 4 of the Option Agreement, by accepting the grant of your Option, you authorize the Company and/or the Service Recipient to withhold or sell Shares otherwise deliverable to you upon exercise of your Option in order to satisfy any Tax-Related Items, regardless of whether the Company and/or the Service Recipient have any obligation to withhold such Tax-Related Items.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UNITED ARAB EMIRATES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Notifications</w:t>
      </w:r>
    </w:p>
    <w:p>
      <w:pPr>
        <w:spacing w:after="0" w:line="1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u w:val="single" w:color="auto"/>
          <w:color w:val="auto"/>
        </w:rPr>
        <w:t>Securities Law Information</w:t>
      </w:r>
      <w:r>
        <w:rPr>
          <w:rFonts w:ascii="Times New Roman" w:cs="Times New Roman" w:eastAsia="Times New Roman" w:hAnsi="Times New Roman"/>
          <w:sz w:val="14"/>
          <w:szCs w:val="14"/>
          <w:color w:val="auto"/>
        </w:rPr>
        <w:t>. Participation in the Plan is being offered only to eligible service providers and is in the nature of providing equity incentives to employees in the United Arab Emirates (“</w:t>
      </w:r>
      <w:r>
        <w:rPr>
          <w:rFonts w:ascii="Times New Roman" w:cs="Times New Roman" w:eastAsia="Times New Roman" w:hAnsi="Times New Roman"/>
          <w:sz w:val="14"/>
          <w:szCs w:val="14"/>
          <w:b w:val="1"/>
          <w:bCs w:val="1"/>
          <w:i w:val="1"/>
          <w:iCs w:val="1"/>
          <w:color w:val="auto"/>
        </w:rPr>
        <w:t>UAE</w:t>
      </w:r>
      <w:r>
        <w:rPr>
          <w:rFonts w:ascii="Times New Roman" w:cs="Times New Roman" w:eastAsia="Times New Roman" w:hAnsi="Times New Roman"/>
          <w:sz w:val="14"/>
          <w:szCs w:val="14"/>
          <w:color w:val="auto"/>
        </w:rPr>
        <w:t>”). The Plan and the Agreement are intended for distribution only to such service providers and must not be delivered to, or relied on by, any other person. Prospective purchasers of the securities offered should conduct their own due diligence on the securities. If you do not understand the contents of the Plan or the Agreement, you should consult an authorized financial adviser. The Emirates Securities and Commodities Authority has no responsibility for reviewing or verifying any documents in connection with the Plan. No other UAE authority or governmental agency has approved the Plan or the Agreement or taken steps to verify the information set out therein, nor has any responsibility for such documents.</w:t>
      </w:r>
    </w:p>
    <w:p>
      <w:pPr>
        <w:sectPr>
          <w:pgSz w:w="11900" w:h="16840" w:orient="portrait"/>
          <w:cols w:equalWidth="0" w:num="1">
            <w:col w:w="10620"/>
          </w:cols>
          <w:pgMar w:left="640" w:top="1440" w:right="640" w:bottom="1440" w:gutter="0" w:footer="0" w:header="0"/>
        </w:sectPr>
      </w:pPr>
    </w:p>
    <w:bookmarkStart w:id="359" w:name="page360"/>
    <w:bookmarkEnd w:id="359"/>
    <w:p>
      <w:pPr>
        <w:spacing w:after="0" w:line="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UNITED KINGDOM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and Conditions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Responsibility for Taxes</w:t>
      </w:r>
      <w:r>
        <w:rPr>
          <w:rFonts w:ascii="Times New Roman" w:cs="Times New Roman" w:eastAsia="Times New Roman" w:hAnsi="Times New Roman"/>
          <w:sz w:val="14"/>
          <w:szCs w:val="14"/>
          <w:color w:val="auto"/>
        </w:rPr>
        <w:t>. The following provision supplements Section 4 of the Option Agreement:</w:t>
      </w:r>
    </w:p>
    <w:p>
      <w:pPr>
        <w:spacing w:after="0" w:line="164"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14"/>
          <w:szCs w:val="14"/>
          <w:color w:val="auto"/>
        </w:rPr>
        <w:t>Without limitation to Section 4 of the Option Agreement, you agree that you are liable for all Tax-Related Items and hereby covenant to pay all such Tax-Related Items, as and when requested by the Company or the Service Recipient or by HM Revenue and Customs (“</w:t>
      </w:r>
      <w:r>
        <w:rPr>
          <w:rFonts w:ascii="Times New Roman" w:cs="Times New Roman" w:eastAsia="Times New Roman" w:hAnsi="Times New Roman"/>
          <w:sz w:val="14"/>
          <w:szCs w:val="14"/>
          <w:b w:val="1"/>
          <w:bCs w:val="1"/>
          <w:i w:val="1"/>
          <w:iCs w:val="1"/>
          <w:color w:val="auto"/>
        </w:rPr>
        <w:t>HMRC</w:t>
      </w:r>
      <w:r>
        <w:rPr>
          <w:rFonts w:ascii="Times New Roman" w:cs="Times New Roman" w:eastAsia="Times New Roman" w:hAnsi="Times New Roman"/>
          <w:sz w:val="14"/>
          <w:szCs w:val="14"/>
          <w:color w:val="auto"/>
        </w:rPr>
        <w:t>”) (or any other tax authority or any other relevant authority). You also agree to indemnify and keep indemnified the Company and the Service Recipient against any Tax-Related Items that they are required to pay or withhold or have paid or will pay to HMRC (or any other tax authority or any other relevant authority) on your behalf.</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Notwithstanding the foregoing, if you are a director or an executive officer of the Company (within the meaning of such terms for purposes of Section 13(k) of the Exchange Act), you acknowledge that may not be able to indemnify the Company or the Service Recipient for the amount of any income tax not collected from or paid by you, as it may be considered a loan. In this case, the amount of any income tax not collected may constitute an additional benefit to you on which additional income tax and National Insurance contributions may be payable. You will be responsible for reporting and paying any income tax due on this additional benefit directly to HMRC under the self-assessment regime and for paying the Company or the Service Recipient (as appropriate) for the value of any National Insurance contributions due on this additional benefit, which the Company or the Service Recipient may collect from you by any of the means referred to in the Plan or Section 4 of the Option Agreement.</w:t>
      </w:r>
    </w:p>
    <w:p>
      <w:pPr>
        <w:spacing w:after="0" w:line="120"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4"/>
          <w:szCs w:val="14"/>
          <w:u w:val="single" w:color="auto"/>
          <w:color w:val="auto"/>
        </w:rPr>
        <w:t>Joint Election</w:t>
      </w:r>
      <w:r>
        <w:rPr>
          <w:rFonts w:ascii="Times New Roman" w:cs="Times New Roman" w:eastAsia="Times New Roman" w:hAnsi="Times New Roman"/>
          <w:sz w:val="14"/>
          <w:szCs w:val="14"/>
          <w:color w:val="auto"/>
        </w:rPr>
        <w:t>. As a condition of participation in the Plan, you agree to accept any liability for secondary Class 1 National Insurance contributions (“</w:t>
      </w:r>
      <w:r>
        <w:rPr>
          <w:rFonts w:ascii="Times New Roman" w:cs="Times New Roman" w:eastAsia="Times New Roman" w:hAnsi="Times New Roman"/>
          <w:sz w:val="14"/>
          <w:szCs w:val="14"/>
          <w:b w:val="1"/>
          <w:bCs w:val="1"/>
          <w:i w:val="1"/>
          <w:iCs w:val="1"/>
          <w:color w:val="auto"/>
        </w:rPr>
        <w:t>NICs</w:t>
      </w:r>
      <w:r>
        <w:rPr>
          <w:rFonts w:ascii="Times New Roman" w:cs="Times New Roman" w:eastAsia="Times New Roman" w:hAnsi="Times New Roman"/>
          <w:sz w:val="14"/>
          <w:szCs w:val="14"/>
          <w:color w:val="auto"/>
        </w:rPr>
        <w:t>”) which may be payable by the Company and/or the Service Recipient (or any successor to the Company or the Service Recipient) in connection with your Option granted under this Agreement, any other options granted by the Company in the past and any event giving rise to Tax-Related Items (the “</w:t>
      </w:r>
      <w:r>
        <w:rPr>
          <w:rFonts w:ascii="Times New Roman" w:cs="Times New Roman" w:eastAsia="Times New Roman" w:hAnsi="Times New Roman"/>
          <w:sz w:val="14"/>
          <w:szCs w:val="14"/>
          <w:b w:val="1"/>
          <w:bCs w:val="1"/>
          <w:i w:val="1"/>
          <w:iCs w:val="1"/>
          <w:color w:val="auto"/>
        </w:rPr>
        <w:t>Service Recipient’s NICs</w:t>
      </w:r>
      <w:r>
        <w:rPr>
          <w:rFonts w:ascii="Times New Roman" w:cs="Times New Roman" w:eastAsia="Times New Roman" w:hAnsi="Times New Roman"/>
          <w:sz w:val="14"/>
          <w:szCs w:val="14"/>
          <w:color w:val="auto"/>
        </w:rPr>
        <w:t>”). Without limitation to the foregoing, you agree to enter into a joint election with the Company (the “</w:t>
      </w:r>
      <w:r>
        <w:rPr>
          <w:rFonts w:ascii="Times New Roman" w:cs="Times New Roman" w:eastAsia="Times New Roman" w:hAnsi="Times New Roman"/>
          <w:sz w:val="14"/>
          <w:szCs w:val="14"/>
          <w:b w:val="1"/>
          <w:bCs w:val="1"/>
          <w:i w:val="1"/>
          <w:iCs w:val="1"/>
          <w:color w:val="auto"/>
        </w:rPr>
        <w:t>Joint Election</w:t>
      </w:r>
      <w:r>
        <w:rPr>
          <w:rFonts w:ascii="Times New Roman" w:cs="Times New Roman" w:eastAsia="Times New Roman" w:hAnsi="Times New Roman"/>
          <w:sz w:val="14"/>
          <w:szCs w:val="14"/>
          <w:color w:val="auto"/>
        </w:rPr>
        <w:t>”), the form of such Joint Election being formally approved by HMRC, and to execute any other consents or elections required to accomplish the transfer of the Service Recipient’s NICs to you. You further agree to execute such other joint elections as may be required between you and any successor to the Company and/or the Service Recipient. You further agree that the Company and/or the Service Recipient may collect the Service Recipient’s NICs from you by any of the means set forth in Section 4 of the Option Agreement.</w:t>
      </w:r>
    </w:p>
    <w:p>
      <w:pPr>
        <w:spacing w:after="0" w:line="128" w:lineRule="exact"/>
        <w:rPr>
          <w:sz w:val="20"/>
          <w:szCs w:val="20"/>
          <w:color w:val="auto"/>
        </w:rPr>
      </w:pPr>
    </w:p>
    <w:p>
      <w:pPr>
        <w:jc w:val="both"/>
        <w:ind w:right="40"/>
        <w:spacing w:after="0" w:line="293" w:lineRule="auto"/>
        <w:rPr>
          <w:sz w:val="20"/>
          <w:szCs w:val="20"/>
          <w:color w:val="auto"/>
        </w:rPr>
      </w:pPr>
      <w:r>
        <w:rPr>
          <w:rFonts w:ascii="Times New Roman" w:cs="Times New Roman" w:eastAsia="Times New Roman" w:hAnsi="Times New Roman"/>
          <w:sz w:val="14"/>
          <w:szCs w:val="14"/>
          <w:color w:val="auto"/>
        </w:rPr>
        <w:t>If you do not enter into a Joint Election, or if approval of the Joint Election has been withdrawn by HMRC, the Company, in its sole discretion and without any liability to the Company or the Service Recipient, may choose not to issue or deliver any Shares to you upon exercise of your Option.</w:t>
      </w:r>
    </w:p>
    <w:p>
      <w:pPr>
        <w:sectPr>
          <w:pgSz w:w="11900" w:h="16840" w:orient="portrait"/>
          <w:cols w:equalWidth="0" w:num="1">
            <w:col w:w="10640"/>
          </w:cols>
          <w:pgMar w:left="640" w:top="1440" w:right="620" w:bottom="1440" w:gutter="0" w:footer="0" w:header="0"/>
        </w:sectPr>
      </w:pPr>
    </w:p>
    <w:bookmarkStart w:id="360" w:name="page361"/>
    <w:bookmarkEnd w:id="360"/>
    <w:p>
      <w:pPr>
        <w:spacing w:after="0" w:line="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Navan, Inc.</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Attachment to U.K. Section of Appendix</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Important Note on the Election to Transfer Employer’s National Insurance Liability to the Employee</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 xml:space="preserve">If you are or may be liable for National Insurance contributions (“ </w:t>
      </w:r>
      <w:r>
        <w:rPr>
          <w:rFonts w:ascii="Times New Roman" w:cs="Times New Roman" w:eastAsia="Times New Roman" w:hAnsi="Times New Roman"/>
          <w:sz w:val="14"/>
          <w:szCs w:val="14"/>
          <w:b w:val="1"/>
          <w:bCs w:val="1"/>
          <w:i w:val="1"/>
          <w:iCs w:val="1"/>
          <w:color w:val="auto"/>
        </w:rPr>
        <w:t>NICs</w:t>
      </w:r>
      <w:r>
        <w:rPr>
          <w:rFonts w:ascii="Times New Roman" w:cs="Times New Roman" w:eastAsia="Times New Roman" w:hAnsi="Times New Roman"/>
          <w:sz w:val="14"/>
          <w:szCs w:val="14"/>
          <w:color w:val="auto"/>
        </w:rPr>
        <w:t>”) in the United Kingdom in connection with your participation in the Navan, Inc. 2025 Equity Incentive Plan (the “</w:t>
      </w:r>
      <w:r>
        <w:rPr>
          <w:rFonts w:ascii="Times New Roman" w:cs="Times New Roman" w:eastAsia="Times New Roman" w:hAnsi="Times New Roman"/>
          <w:sz w:val="14"/>
          <w:szCs w:val="14"/>
          <w:b w:val="1"/>
          <w:bCs w:val="1"/>
          <w:i w:val="1"/>
          <w:iCs w:val="1"/>
          <w:color w:val="auto"/>
        </w:rPr>
        <w:t>Plan</w:t>
      </w:r>
      <w:r>
        <w:rPr>
          <w:rFonts w:ascii="Times New Roman" w:cs="Times New Roman" w:eastAsia="Times New Roman" w:hAnsi="Times New Roman"/>
          <w:sz w:val="14"/>
          <w:szCs w:val="14"/>
          <w:color w:val="auto"/>
        </w:rPr>
        <w:t xml:space="preserve">”), you are required to enter into a Joint Election for the Transfer of Liability for National Insurance Contributions (“ </w:t>
      </w:r>
      <w:r>
        <w:rPr>
          <w:rFonts w:ascii="Times New Roman" w:cs="Times New Roman" w:eastAsia="Times New Roman" w:hAnsi="Times New Roman"/>
          <w:sz w:val="14"/>
          <w:szCs w:val="14"/>
          <w:b w:val="1"/>
          <w:bCs w:val="1"/>
          <w:i w:val="1"/>
          <w:iCs w:val="1"/>
          <w:color w:val="auto"/>
        </w:rPr>
        <w:t>Service Recipient NICs</w:t>
      </w:r>
      <w:r>
        <w:rPr>
          <w:rFonts w:ascii="Times New Roman" w:cs="Times New Roman" w:eastAsia="Times New Roman" w:hAnsi="Times New Roman"/>
          <w:sz w:val="14"/>
          <w:szCs w:val="14"/>
          <w:color w:val="auto"/>
        </w:rPr>
        <w:t xml:space="preserve">”) to you (the “ </w:t>
      </w:r>
      <w:r>
        <w:rPr>
          <w:rFonts w:ascii="Times New Roman" w:cs="Times New Roman" w:eastAsia="Times New Roman" w:hAnsi="Times New Roman"/>
          <w:sz w:val="14"/>
          <w:szCs w:val="14"/>
          <w:b w:val="1"/>
          <w:bCs w:val="1"/>
          <w:i w:val="1"/>
          <w:iCs w:val="1"/>
          <w:color w:val="auto"/>
        </w:rPr>
        <w:t>Election</w:t>
      </w:r>
      <w:r>
        <w:rPr>
          <w:rFonts w:ascii="Times New Roman" w:cs="Times New Roman" w:eastAsia="Times New Roman" w:hAnsi="Times New Roman"/>
          <w:sz w:val="14"/>
          <w:szCs w:val="14"/>
          <w:color w:val="auto"/>
        </w:rPr>
        <w:t>”). The Election acts to transfer to you any liability for employer’s NICs that may arise in connection with your participation in the Plan.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entering into the Election:</w:t>
      </w:r>
    </w:p>
    <w:p>
      <w:pPr>
        <w:spacing w:after="0" w:line="164" w:lineRule="exact"/>
        <w:rPr>
          <w:sz w:val="20"/>
          <w:szCs w:val="20"/>
          <w:color w:val="auto"/>
        </w:rPr>
      </w:pPr>
    </w:p>
    <w:p>
      <w:pPr>
        <w:ind w:left="920" w:hanging="416"/>
        <w:spacing w:after="0"/>
        <w:tabs>
          <w:tab w:leader="none" w:pos="920" w:val="left"/>
        </w:tabs>
        <w:numPr>
          <w:ilvl w:val="0"/>
          <w:numId w:val="4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agree that any Service Recipient’s NICs liability that may arise in connection with your participation in the Plan will be transferred to you;</w:t>
      </w:r>
    </w:p>
    <w:p>
      <w:pPr>
        <w:spacing w:after="0" w:line="164" w:lineRule="exact"/>
        <w:rPr>
          <w:rFonts w:ascii="Times New Roman" w:cs="Times New Roman" w:eastAsia="Times New Roman" w:hAnsi="Times New Roman"/>
          <w:sz w:val="14"/>
          <w:szCs w:val="14"/>
          <w:color w:val="auto"/>
        </w:rPr>
      </w:pPr>
    </w:p>
    <w:p>
      <w:pPr>
        <w:ind w:left="920" w:right="120" w:hanging="397"/>
        <w:spacing w:after="0" w:line="293" w:lineRule="auto"/>
        <w:tabs>
          <w:tab w:leader="none" w:pos="910" w:val="left"/>
        </w:tabs>
        <w:numPr>
          <w:ilvl w:val="1"/>
          <w:numId w:val="4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authorise the Service Recipient to recover an amount sufficient to cover this liability by such methods including, but not limited to, deductions from your salary or other payments due or the sale of sufficient shares acquired pursuant to your awards; and</w:t>
      </w:r>
    </w:p>
    <w:p>
      <w:pPr>
        <w:spacing w:after="0" w:line="104" w:lineRule="exact"/>
        <w:rPr>
          <w:rFonts w:ascii="Times New Roman" w:cs="Times New Roman" w:eastAsia="Times New Roman" w:hAnsi="Times New Roman"/>
          <w:sz w:val="14"/>
          <w:szCs w:val="14"/>
          <w:color w:val="auto"/>
        </w:rPr>
      </w:pPr>
    </w:p>
    <w:p>
      <w:pPr>
        <w:ind w:left="920" w:right="140" w:hanging="397"/>
        <w:spacing w:after="0" w:line="293" w:lineRule="auto"/>
        <w:tabs>
          <w:tab w:leader="none" w:pos="910" w:val="left"/>
        </w:tabs>
        <w:numPr>
          <w:ilvl w:val="1"/>
          <w:numId w:val="4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acknowledge that even if you have accepted the Agreement, the Company or the Service Recipient may still require you to sign a paper copy of this Election (or a substantially similar form) if the Company determines such is necessary to give effect to the Election.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Election is attached hereto. Please read the Election carefully.</w:t>
      </w:r>
    </w:p>
    <w:p>
      <w:pPr>
        <w:sectPr>
          <w:pgSz w:w="11900" w:h="16840" w:orient="portrait"/>
          <w:cols w:equalWidth="0" w:num="1">
            <w:col w:w="10620"/>
          </w:cols>
          <w:pgMar w:left="640" w:top="1440" w:right="640" w:bottom="1440" w:gutter="0" w:footer="0" w:header="0"/>
        </w:sectPr>
      </w:pPr>
    </w:p>
    <w:bookmarkStart w:id="361" w:name="page362"/>
    <w:bookmarkEnd w:id="361"/>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Election to Transfer the Employer’s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National Insurance Liability to the Employee</w:t>
      </w:r>
    </w:p>
    <w:p>
      <w:pPr>
        <w:spacing w:after="0" w:line="151" w:lineRule="exact"/>
        <w:rPr>
          <w:sz w:val="20"/>
          <w:szCs w:val="20"/>
          <w:color w:val="auto"/>
        </w:rPr>
      </w:pPr>
    </w:p>
    <w:p>
      <w:pPr>
        <w:ind w:left="460" w:hanging="453"/>
        <w:spacing w:after="0"/>
        <w:tabs>
          <w:tab w:leader="none" w:pos="460" w:val="left"/>
        </w:tabs>
        <w:numPr>
          <w:ilvl w:val="0"/>
          <w:numId w:val="4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u w:val="single" w:color="auto"/>
          <w:color w:val="auto"/>
        </w:rPr>
        <w:t>PARTIES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This Election to Transfer the Employer’s National Insurance Liability to the Employee (this “ </w:t>
      </w:r>
      <w:r>
        <w:rPr>
          <w:rFonts w:ascii="Times New Roman" w:cs="Times New Roman" w:eastAsia="Times New Roman" w:hAnsi="Times New Roman"/>
          <w:sz w:val="14"/>
          <w:szCs w:val="14"/>
          <w:b w:val="1"/>
          <w:bCs w:val="1"/>
          <w:i w:val="1"/>
          <w:iCs w:val="1"/>
          <w:color w:val="auto"/>
        </w:rPr>
        <w:t>Election</w:t>
      </w:r>
      <w:r>
        <w:rPr>
          <w:rFonts w:ascii="Times New Roman" w:cs="Times New Roman" w:eastAsia="Times New Roman" w:hAnsi="Times New Roman"/>
          <w:sz w:val="14"/>
          <w:szCs w:val="14"/>
          <w:color w:val="auto"/>
        </w:rPr>
        <w:t>”) is between:</w:t>
      </w:r>
    </w:p>
    <w:p>
      <w:pPr>
        <w:spacing w:after="0" w:line="164" w:lineRule="exact"/>
        <w:rPr>
          <w:sz w:val="20"/>
          <w:szCs w:val="20"/>
          <w:color w:val="auto"/>
        </w:rPr>
      </w:pPr>
    </w:p>
    <w:p>
      <w:pPr>
        <w:jc w:val="both"/>
        <w:ind w:left="920" w:hanging="454"/>
        <w:spacing w:after="0" w:line="278" w:lineRule="auto"/>
        <w:tabs>
          <w:tab w:leader="none" w:pos="920" w:val="left"/>
        </w:tabs>
        <w:numPr>
          <w:ilvl w:val="1"/>
          <w:numId w:val="4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individual who has gained access to this Election (the “ </w:t>
      </w:r>
      <w:r>
        <w:rPr>
          <w:rFonts w:ascii="Times New Roman" w:cs="Times New Roman" w:eastAsia="Times New Roman" w:hAnsi="Times New Roman"/>
          <w:sz w:val="14"/>
          <w:szCs w:val="14"/>
          <w:b w:val="1"/>
          <w:bCs w:val="1"/>
          <w:i w:val="1"/>
          <w:iCs w:val="1"/>
          <w:color w:val="auto"/>
        </w:rPr>
        <w:t>Employee</w:t>
      </w:r>
      <w:r>
        <w:rPr>
          <w:rFonts w:ascii="Times New Roman" w:cs="Times New Roman" w:eastAsia="Times New Roman" w:hAnsi="Times New Roman"/>
          <w:sz w:val="14"/>
          <w:szCs w:val="14"/>
          <w:color w:val="auto"/>
        </w:rPr>
        <w:t>”), who is employed by one of the employing companies listed in the attached schedule (the “</w:t>
      </w:r>
      <w:r>
        <w:rPr>
          <w:rFonts w:ascii="Times New Roman" w:cs="Times New Roman" w:eastAsia="Times New Roman" w:hAnsi="Times New Roman"/>
          <w:sz w:val="14"/>
          <w:szCs w:val="14"/>
          <w:b w:val="1"/>
          <w:bCs w:val="1"/>
          <w:i w:val="1"/>
          <w:iCs w:val="1"/>
          <w:color w:val="auto"/>
        </w:rPr>
        <w:t>Employer</w:t>
      </w:r>
      <w:r>
        <w:rPr>
          <w:rFonts w:ascii="Times New Roman" w:cs="Times New Roman" w:eastAsia="Times New Roman" w:hAnsi="Times New Roman"/>
          <w:sz w:val="14"/>
          <w:szCs w:val="14"/>
          <w:color w:val="auto"/>
        </w:rPr>
        <w:t xml:space="preserve">”) and who is eligible to receive stock options (“ </w:t>
      </w:r>
      <w:r>
        <w:rPr>
          <w:rFonts w:ascii="Times New Roman" w:cs="Times New Roman" w:eastAsia="Times New Roman" w:hAnsi="Times New Roman"/>
          <w:sz w:val="14"/>
          <w:szCs w:val="14"/>
          <w:b w:val="1"/>
          <w:bCs w:val="1"/>
          <w:i w:val="1"/>
          <w:iCs w:val="1"/>
          <w:color w:val="auto"/>
        </w:rPr>
        <w:t>Options</w:t>
      </w:r>
      <w:r>
        <w:rPr>
          <w:rFonts w:ascii="Times New Roman" w:cs="Times New Roman" w:eastAsia="Times New Roman" w:hAnsi="Times New Roman"/>
          <w:sz w:val="14"/>
          <w:szCs w:val="14"/>
          <w:color w:val="auto"/>
        </w:rPr>
        <w:t xml:space="preserve">”) and/or restricted stock units (“ </w:t>
      </w:r>
      <w:r>
        <w:rPr>
          <w:rFonts w:ascii="Times New Roman" w:cs="Times New Roman" w:eastAsia="Times New Roman" w:hAnsi="Times New Roman"/>
          <w:sz w:val="14"/>
          <w:szCs w:val="14"/>
          <w:b w:val="1"/>
          <w:bCs w:val="1"/>
          <w:i w:val="1"/>
          <w:iCs w:val="1"/>
          <w:color w:val="auto"/>
        </w:rPr>
        <w:t>Restricted Stock Units</w:t>
      </w:r>
      <w:r>
        <w:rPr>
          <w:rFonts w:ascii="Times New Roman" w:cs="Times New Roman" w:eastAsia="Times New Roman" w:hAnsi="Times New Roman"/>
          <w:sz w:val="14"/>
          <w:szCs w:val="14"/>
          <w:color w:val="auto"/>
        </w:rPr>
        <w:t xml:space="preserve">,” and together with Options, “ </w:t>
      </w:r>
      <w:r>
        <w:rPr>
          <w:rFonts w:ascii="Times New Roman" w:cs="Times New Roman" w:eastAsia="Times New Roman" w:hAnsi="Times New Roman"/>
          <w:sz w:val="14"/>
          <w:szCs w:val="14"/>
          <w:b w:val="1"/>
          <w:bCs w:val="1"/>
          <w:i w:val="1"/>
          <w:iCs w:val="1"/>
          <w:color w:val="auto"/>
        </w:rPr>
        <w:t>Awards</w:t>
      </w:r>
      <w:r>
        <w:rPr>
          <w:rFonts w:ascii="Times New Roman" w:cs="Times New Roman" w:eastAsia="Times New Roman" w:hAnsi="Times New Roman"/>
          <w:sz w:val="14"/>
          <w:szCs w:val="14"/>
          <w:color w:val="auto"/>
        </w:rPr>
        <w:t>”) pursuant to the terms and conditions of the Navan, Inc. 2025 Equity Incentive Plan, as may be amended from time to time (the “</w:t>
      </w:r>
      <w:r>
        <w:rPr>
          <w:rFonts w:ascii="Times New Roman" w:cs="Times New Roman" w:eastAsia="Times New Roman" w:hAnsi="Times New Roman"/>
          <w:sz w:val="14"/>
          <w:szCs w:val="14"/>
          <w:b w:val="1"/>
          <w:bCs w:val="1"/>
          <w:i w:val="1"/>
          <w:iCs w:val="1"/>
          <w:color w:val="auto"/>
        </w:rPr>
        <w:t>Plan</w:t>
      </w:r>
      <w:r>
        <w:rPr>
          <w:rFonts w:ascii="Times New Roman" w:cs="Times New Roman" w:eastAsia="Times New Roman" w:hAnsi="Times New Roman"/>
          <w:sz w:val="14"/>
          <w:szCs w:val="14"/>
          <w:color w:val="auto"/>
        </w:rPr>
        <w:t>”), and</w:t>
      </w:r>
    </w:p>
    <w:p>
      <w:pPr>
        <w:spacing w:after="0" w:line="110" w:lineRule="exact"/>
        <w:rPr>
          <w:rFonts w:ascii="Times New Roman" w:cs="Times New Roman" w:eastAsia="Times New Roman" w:hAnsi="Times New Roman"/>
          <w:sz w:val="14"/>
          <w:szCs w:val="14"/>
          <w:color w:val="auto"/>
        </w:rPr>
      </w:pPr>
    </w:p>
    <w:p>
      <w:pPr>
        <w:ind w:left="920" w:right="20" w:hanging="454"/>
        <w:spacing w:after="0" w:line="299" w:lineRule="auto"/>
        <w:tabs>
          <w:tab w:leader="none" w:pos="920" w:val="left"/>
        </w:tabs>
        <w:numPr>
          <w:ilvl w:val="1"/>
          <w:numId w:val="4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Navan, Inc. of 3045 Park Boulevard, Palo Alto, California 94306, U.S.A.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which may grant Awards under the Plan and is entering into this Election on behalf of the Employer.</w:t>
      </w:r>
    </w:p>
    <w:p>
      <w:pPr>
        <w:spacing w:after="0" w:line="100" w:lineRule="exact"/>
        <w:rPr>
          <w:rFonts w:ascii="Times New Roman" w:cs="Times New Roman" w:eastAsia="Times New Roman" w:hAnsi="Times New Roman"/>
          <w:sz w:val="14"/>
          <w:szCs w:val="14"/>
          <w:color w:val="auto"/>
        </w:rPr>
      </w:pPr>
    </w:p>
    <w:p>
      <w:pPr>
        <w:ind w:left="460" w:hanging="453"/>
        <w:spacing w:after="0"/>
        <w:tabs>
          <w:tab w:leader="none" w:pos="460" w:val="left"/>
        </w:tabs>
        <w:numPr>
          <w:ilvl w:val="0"/>
          <w:numId w:val="4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PURPOSE OF ELECTION</w:t>
      </w:r>
    </w:p>
    <w:p>
      <w:pPr>
        <w:spacing w:after="0" w:line="16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color w:val="auto"/>
        </w:rPr>
        <w:t>This Election relates to all Awards granted to the Employee under the Plan up to the termination date of the Plan.</w:t>
      </w:r>
    </w:p>
    <w:p>
      <w:pPr>
        <w:spacing w:after="0" w:line="16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4"/>
          <w:szCs w:val="14"/>
          <w:color w:val="auto"/>
        </w:rPr>
        <w:t>In this Election the following words and phrases have the following meanings:</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ITEPA</w:t>
      </w:r>
      <w:r>
        <w:rPr>
          <w:rFonts w:ascii="Times New Roman" w:cs="Times New Roman" w:eastAsia="Times New Roman" w:hAnsi="Times New Roman"/>
          <w:sz w:val="14"/>
          <w:szCs w:val="14"/>
          <w:color w:val="auto"/>
        </w:rPr>
        <w:t>” means the Income Tax (Earnings and Pensions) Act 2003.</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Relevant Employment Income</w:t>
      </w:r>
      <w:r>
        <w:rPr>
          <w:rFonts w:ascii="Times New Roman" w:cs="Times New Roman" w:eastAsia="Times New Roman" w:hAnsi="Times New Roman"/>
          <w:sz w:val="14"/>
          <w:szCs w:val="14"/>
          <w:color w:val="auto"/>
        </w:rPr>
        <w:t>” from Awards on which the Employer’s National Insurance Contributions becomes due is defined as:</w:t>
      </w:r>
    </w:p>
    <w:p>
      <w:pPr>
        <w:spacing w:after="0" w:line="164" w:lineRule="exact"/>
        <w:rPr>
          <w:sz w:val="20"/>
          <w:szCs w:val="20"/>
          <w:color w:val="auto"/>
        </w:rPr>
      </w:pPr>
    </w:p>
    <w:p>
      <w:pPr>
        <w:ind w:left="1840" w:hanging="226"/>
        <w:spacing w:after="0"/>
        <w:tabs>
          <w:tab w:leader="none" w:pos="1840" w:val="left"/>
        </w:tabs>
        <w:numPr>
          <w:ilvl w:val="0"/>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that counts as employment income of the earner under section 426 ITEPA (restricted securities: charge on certain post-acquisition events);</w:t>
      </w:r>
    </w:p>
    <w:p>
      <w:pPr>
        <w:spacing w:after="0" w:line="164" w:lineRule="exact"/>
        <w:rPr>
          <w:rFonts w:ascii="Times New Roman" w:cs="Times New Roman" w:eastAsia="Times New Roman" w:hAnsi="Times New Roman"/>
          <w:sz w:val="14"/>
          <w:szCs w:val="14"/>
          <w:color w:val="auto"/>
        </w:rPr>
      </w:pPr>
    </w:p>
    <w:p>
      <w:pPr>
        <w:ind w:left="1840" w:hanging="226"/>
        <w:spacing w:after="0" w:line="293" w:lineRule="auto"/>
        <w:tabs>
          <w:tab w:leader="none" w:pos="1840" w:val="left"/>
        </w:tabs>
        <w:numPr>
          <w:ilvl w:val="0"/>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that counts as employment income of the earner under section 438 of ITEPA (convertible securities: charge on certain post-acquisition events); or</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(iii)any gain that is treated as remuneration derived from the earner’s employment by virtue of section 4(4)(a) SSCBA, including without limitation:</w:t>
      </w:r>
    </w:p>
    <w:p>
      <w:pPr>
        <w:spacing w:after="0" w:line="155" w:lineRule="exact"/>
        <w:rPr>
          <w:sz w:val="20"/>
          <w:szCs w:val="20"/>
          <w:color w:val="auto"/>
        </w:rPr>
      </w:pPr>
    </w:p>
    <w:p>
      <w:pPr>
        <w:ind w:left="2300" w:hanging="227"/>
        <w:spacing w:after="0"/>
        <w:tabs>
          <w:tab w:leader="none" w:pos="2300" w:val="left"/>
        </w:tabs>
        <w:numPr>
          <w:ilvl w:val="0"/>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of securities pursuant to the Awards (within the meaning of section 477(3)(a) of ITEPA);</w:t>
      </w:r>
    </w:p>
    <w:p>
      <w:pPr>
        <w:spacing w:after="0" w:line="145" w:lineRule="exact"/>
        <w:rPr>
          <w:rFonts w:ascii="Times New Roman" w:cs="Times New Roman" w:eastAsia="Times New Roman" w:hAnsi="Times New Roman"/>
          <w:sz w:val="14"/>
          <w:szCs w:val="14"/>
          <w:color w:val="auto"/>
        </w:rPr>
      </w:pPr>
    </w:p>
    <w:p>
      <w:pPr>
        <w:ind w:left="2300" w:hanging="227"/>
        <w:spacing w:after="0"/>
        <w:tabs>
          <w:tab w:leader="none" w:pos="2300" w:val="left"/>
        </w:tabs>
        <w:numPr>
          <w:ilvl w:val="0"/>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assignment (if applicable) or release of the Awards in return for consideration (within the meaning of section 477(3)(b) of ITEPA);</w:t>
      </w:r>
    </w:p>
    <w:p>
      <w:pPr>
        <w:sectPr>
          <w:pgSz w:w="11900" w:h="16840" w:orient="portrait"/>
          <w:cols w:equalWidth="0" w:num="1">
            <w:col w:w="10600"/>
          </w:cols>
          <w:pgMar w:left="640" w:top="1440" w:right="660" w:bottom="1440" w:gutter="0" w:footer="0" w:header="0"/>
        </w:sectPr>
      </w:pPr>
    </w:p>
    <w:bookmarkStart w:id="362" w:name="page363"/>
    <w:bookmarkEnd w:id="362"/>
    <w:p>
      <w:pPr>
        <w:spacing w:after="0" w:line="29" w:lineRule="exact"/>
        <w:rPr>
          <w:sz w:val="20"/>
          <w:szCs w:val="20"/>
          <w:color w:val="auto"/>
        </w:rPr>
      </w:pPr>
    </w:p>
    <w:p>
      <w:pPr>
        <w:ind w:left="2293" w:right="40" w:hanging="227"/>
        <w:spacing w:after="0" w:line="265" w:lineRule="auto"/>
        <w:tabs>
          <w:tab w:leader="none" w:pos="2293" w:val="left"/>
        </w:tabs>
        <w:numPr>
          <w:ilvl w:val="0"/>
          <w:numId w:val="4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of a benefit in connection with the Awards, other than a benefit within (i) or (ii) above (within the meaning of section 477(3)(c) of ITEPA).</w:t>
      </w:r>
    </w:p>
    <w:p>
      <w:pPr>
        <w:spacing w:after="0" w:line="113" w:lineRule="exact"/>
        <w:rPr>
          <w:sz w:val="20"/>
          <w:szCs w:val="20"/>
          <w:color w:val="auto"/>
        </w:rPr>
      </w:pPr>
    </w:p>
    <w:p>
      <w:pPr>
        <w:ind w:left="453"/>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SSCBA</w:t>
      </w:r>
      <w:r>
        <w:rPr>
          <w:rFonts w:ascii="Times New Roman" w:cs="Times New Roman" w:eastAsia="Times New Roman" w:hAnsi="Times New Roman"/>
          <w:sz w:val="14"/>
          <w:szCs w:val="14"/>
          <w:color w:val="auto"/>
        </w:rPr>
        <w:t>” means the Social Security Contributions and Benefits Act 1992.</w:t>
      </w:r>
    </w:p>
    <w:p>
      <w:pPr>
        <w:spacing w:after="0" w:line="164" w:lineRule="exact"/>
        <w:rPr>
          <w:sz w:val="20"/>
          <w:szCs w:val="20"/>
          <w:color w:val="auto"/>
        </w:rPr>
      </w:pPr>
    </w:p>
    <w:p>
      <w:pPr>
        <w:ind w:left="453"/>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Taxable Event</w:t>
      </w:r>
      <w:r>
        <w:rPr>
          <w:rFonts w:ascii="Times New Roman" w:cs="Times New Roman" w:eastAsia="Times New Roman" w:hAnsi="Times New Roman"/>
          <w:sz w:val="14"/>
          <w:szCs w:val="14"/>
          <w:color w:val="auto"/>
        </w:rPr>
        <w:t>” means any event giving rise to Relevant Employment Income.</w:t>
      </w:r>
    </w:p>
    <w:p>
      <w:pPr>
        <w:spacing w:after="0" w:line="160" w:lineRule="exact"/>
        <w:rPr>
          <w:sz w:val="20"/>
          <w:szCs w:val="20"/>
          <w:color w:val="auto"/>
        </w:rPr>
      </w:pPr>
    </w:p>
    <w:p>
      <w:pPr>
        <w:ind w:left="453" w:right="40" w:hanging="458"/>
        <w:spacing w:after="0" w:line="299" w:lineRule="auto"/>
        <w:tabs>
          <w:tab w:leader="none" w:pos="433"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4"/>
          <w:szCs w:val="14"/>
          <w:color w:val="auto"/>
        </w:rPr>
        <w:t xml:space="preserve">This Election relates to the Employer’s secondary Class 1 National Insurance Contributions (the “ </w:t>
      </w:r>
      <w:r>
        <w:rPr>
          <w:rFonts w:ascii="Times New Roman" w:cs="Times New Roman" w:eastAsia="Times New Roman" w:hAnsi="Times New Roman"/>
          <w:sz w:val="14"/>
          <w:szCs w:val="14"/>
          <w:b w:val="1"/>
          <w:bCs w:val="1"/>
          <w:i w:val="1"/>
          <w:iCs w:val="1"/>
          <w:color w:val="auto"/>
        </w:rPr>
        <w:t>Employer’s Liability</w:t>
      </w:r>
      <w:r>
        <w:rPr>
          <w:rFonts w:ascii="Times New Roman" w:cs="Times New Roman" w:eastAsia="Times New Roman" w:hAnsi="Times New Roman"/>
          <w:sz w:val="14"/>
          <w:szCs w:val="14"/>
          <w:color w:val="auto"/>
        </w:rPr>
        <w:t>”) which may arise in respect of Relevant Employment Income in respect of the Awards pursuant to section 4(4)(a) and/or paragraph 3B(1A) of Schedule 1 of the SSCBA.</w:t>
      </w:r>
    </w:p>
    <w:p>
      <w:pPr>
        <w:spacing w:after="0" w:line="100" w:lineRule="exact"/>
        <w:rPr>
          <w:sz w:val="20"/>
          <w:szCs w:val="20"/>
          <w:color w:val="auto"/>
        </w:rPr>
      </w:pPr>
    </w:p>
    <w:p>
      <w:pPr>
        <w:ind w:left="453" w:right="60" w:hanging="458"/>
        <w:spacing w:after="0" w:line="293" w:lineRule="auto"/>
        <w:tabs>
          <w:tab w:leader="none" w:pos="433"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4"/>
          <w:szCs w:val="14"/>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04" w:lineRule="exact"/>
        <w:rPr>
          <w:sz w:val="20"/>
          <w:szCs w:val="20"/>
          <w:color w:val="auto"/>
        </w:rPr>
      </w:pPr>
    </w:p>
    <w:p>
      <w:pPr>
        <w:ind w:left="453" w:right="40" w:hanging="458"/>
        <w:spacing w:after="0" w:line="293" w:lineRule="auto"/>
        <w:tabs>
          <w:tab w:leader="none" w:pos="433"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4"/>
          <w:szCs w:val="14"/>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04" w:lineRule="exact"/>
        <w:rPr>
          <w:sz w:val="20"/>
          <w:szCs w:val="20"/>
          <w:color w:val="auto"/>
        </w:rPr>
      </w:pPr>
    </w:p>
    <w:p>
      <w:pPr>
        <w:jc w:val="both"/>
        <w:ind w:left="453" w:hanging="458"/>
        <w:spacing w:after="0" w:line="275" w:lineRule="auto"/>
        <w:tabs>
          <w:tab w:leader="none" w:pos="433" w:val="left"/>
        </w:tabs>
        <w:rPr>
          <w:sz w:val="20"/>
          <w:szCs w:val="20"/>
          <w:color w:val="auto"/>
        </w:rPr>
      </w:pP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4"/>
          <w:szCs w:val="14"/>
          <w:color w:val="auto"/>
        </w:rPr>
        <w:t>Any reference to the Company and/or the Employer shall include that entity’s successors in title and assigns as permitted in accordance with the terms of the Plan and the Award Agreement pursuant to which the Awards were granted. This Election will have effect in respect of the Awards and any awards which replace or replaced the Awards following their grant in circumstances where section 483 of ITEPA applies.</w:t>
      </w:r>
    </w:p>
    <w:p>
      <w:pPr>
        <w:spacing w:after="0" w:line="116" w:lineRule="exact"/>
        <w:rPr>
          <w:sz w:val="20"/>
          <w:szCs w:val="20"/>
          <w:color w:val="auto"/>
        </w:rPr>
      </w:pPr>
    </w:p>
    <w:p>
      <w:pPr>
        <w:ind w:left="453" w:hanging="453"/>
        <w:spacing w:after="0"/>
        <w:tabs>
          <w:tab w:leader="none" w:pos="453" w:val="left"/>
        </w:tabs>
        <w:numPr>
          <w:ilvl w:val="0"/>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ELECTION</w:t>
      </w:r>
    </w:p>
    <w:p>
      <w:pPr>
        <w:spacing w:after="0" w:line="164" w:lineRule="exact"/>
        <w:rPr>
          <w:rFonts w:ascii="Times New Roman" w:cs="Times New Roman" w:eastAsia="Times New Roman" w:hAnsi="Times New Roman"/>
          <w:sz w:val="14"/>
          <w:szCs w:val="14"/>
          <w:color w:val="auto"/>
        </w:rPr>
      </w:pPr>
    </w:p>
    <w:p>
      <w:pPr>
        <w:ind w:left="453" w:right="20"/>
        <w:spacing w:after="0" w:line="26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Employee and the Company jointly elect that the entire liability of the Employer to pay the Employer’s Liability that arises on any Relevant Employment Income is hereby transferred to the Employee. The Employee understands that by accepting the Awards (whether by clicking to ACCEPT the Awards where indicated in the Company’s electronic acceptance procedure or by signing the Grant Notice in hard copy) or by signing this Election (whether electronically or in hard copy), he or she will become personally liable for the Employer’s Liability covered by this Election. This Election is made in accordance with paragraph 3B(1) of Schedule 1 to SSCBA.</w:t>
      </w:r>
    </w:p>
    <w:p>
      <w:pPr>
        <w:spacing w:after="0" w:line="120" w:lineRule="exact"/>
        <w:rPr>
          <w:rFonts w:ascii="Times New Roman" w:cs="Times New Roman" w:eastAsia="Times New Roman" w:hAnsi="Times New Roman"/>
          <w:sz w:val="14"/>
          <w:szCs w:val="14"/>
          <w:color w:val="auto"/>
        </w:rPr>
      </w:pPr>
    </w:p>
    <w:p>
      <w:pPr>
        <w:ind w:left="453" w:hanging="453"/>
        <w:spacing w:after="0"/>
        <w:tabs>
          <w:tab w:leader="none" w:pos="453" w:val="left"/>
        </w:tabs>
        <w:numPr>
          <w:ilvl w:val="0"/>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OF THE EMPLOYER’S LIABILITY</w:t>
      </w:r>
    </w:p>
    <w:p>
      <w:pPr>
        <w:spacing w:after="0" w:line="164" w:lineRule="exact"/>
        <w:rPr>
          <w:sz w:val="20"/>
          <w:szCs w:val="20"/>
          <w:color w:val="auto"/>
        </w:rPr>
      </w:pPr>
    </w:p>
    <w:p>
      <w:pPr>
        <w:ind w:left="453" w:right="20" w:hanging="458"/>
        <w:spacing w:after="0" w:line="293" w:lineRule="auto"/>
        <w:tabs>
          <w:tab w:leader="none" w:pos="433"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color w:val="auto"/>
        </w:rPr>
        <w:t>The Employee hereby authorises the Company and/or the Employer to collect the Employer’s Liability in respect of any Relevant Employment Income from the Employee at any time after the Taxable Event:</w:t>
      </w:r>
    </w:p>
    <w:p>
      <w:pPr>
        <w:spacing w:after="0" w:line="104" w:lineRule="exact"/>
        <w:rPr>
          <w:sz w:val="20"/>
          <w:szCs w:val="20"/>
          <w:color w:val="auto"/>
        </w:rPr>
      </w:pPr>
    </w:p>
    <w:p>
      <w:pPr>
        <w:ind w:left="913" w:hanging="454"/>
        <w:spacing w:after="0"/>
        <w:tabs>
          <w:tab w:leader="none" w:pos="913" w:val="left"/>
        </w:tabs>
        <w:numPr>
          <w:ilvl w:val="0"/>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deduction from salary or any other payment payable to the Employee at any time on or after the date of the Taxable Event; and/or</w:t>
      </w:r>
    </w:p>
    <w:p>
      <w:pPr>
        <w:spacing w:after="0" w:line="164" w:lineRule="exact"/>
        <w:rPr>
          <w:rFonts w:ascii="Times New Roman" w:cs="Times New Roman" w:eastAsia="Times New Roman" w:hAnsi="Times New Roman"/>
          <w:sz w:val="14"/>
          <w:szCs w:val="14"/>
          <w:color w:val="auto"/>
        </w:rPr>
      </w:pPr>
    </w:p>
    <w:p>
      <w:pPr>
        <w:ind w:left="913" w:hanging="454"/>
        <w:spacing w:after="0"/>
        <w:tabs>
          <w:tab w:leader="none" w:pos="913" w:val="left"/>
        </w:tabs>
        <w:numPr>
          <w:ilvl w:val="0"/>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from the Employee by payment in cash or cleared funds; and/or</w:t>
      </w:r>
    </w:p>
    <w:p>
      <w:pPr>
        <w:spacing w:after="0" w:line="164" w:lineRule="exact"/>
        <w:rPr>
          <w:rFonts w:ascii="Times New Roman" w:cs="Times New Roman" w:eastAsia="Times New Roman" w:hAnsi="Times New Roman"/>
          <w:sz w:val="14"/>
          <w:szCs w:val="14"/>
          <w:color w:val="auto"/>
        </w:rPr>
      </w:pPr>
    </w:p>
    <w:p>
      <w:pPr>
        <w:ind w:left="913" w:hanging="454"/>
        <w:spacing w:after="0"/>
        <w:tabs>
          <w:tab w:leader="none" w:pos="913" w:val="left"/>
        </w:tabs>
        <w:numPr>
          <w:ilvl w:val="0"/>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arranging, on behalf of the Employee, for the sale of some of the securities which the Employee is entitled to receive in respect of the Awards; and/or</w:t>
      </w:r>
    </w:p>
    <w:p>
      <w:pPr>
        <w:sectPr>
          <w:pgSz w:w="11900" w:h="16840" w:orient="portrait"/>
          <w:cols w:equalWidth="0" w:num="1">
            <w:col w:w="10633"/>
          </w:cols>
          <w:pgMar w:left="647" w:top="1440" w:right="620" w:bottom="1440" w:gutter="0" w:footer="0" w:header="0"/>
        </w:sectPr>
      </w:pPr>
    </w:p>
    <w:bookmarkStart w:id="363" w:name="page364"/>
    <w:bookmarkEnd w:id="363"/>
    <w:p>
      <w:pPr>
        <w:spacing w:after="0" w:line="39" w:lineRule="exact"/>
        <w:rPr>
          <w:sz w:val="20"/>
          <w:szCs w:val="20"/>
          <w:color w:val="auto"/>
        </w:rPr>
      </w:pPr>
    </w:p>
    <w:p>
      <w:pPr>
        <w:ind w:left="920" w:hanging="454"/>
        <w:spacing w:after="0"/>
        <w:tabs>
          <w:tab w:leader="none" w:pos="920" w:val="left"/>
        </w:tabs>
        <w:numPr>
          <w:ilvl w:val="0"/>
          <w:numId w:val="4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any other means specified in the Award Agreement pursuant to which the Awards were granted.</w:t>
      </w:r>
    </w:p>
    <w:p>
      <w:pPr>
        <w:spacing w:after="0" w:line="164" w:lineRule="exact"/>
        <w:rPr>
          <w:sz w:val="20"/>
          <w:szCs w:val="20"/>
          <w:color w:val="auto"/>
        </w:rPr>
      </w:pPr>
    </w:p>
    <w:p>
      <w:pPr>
        <w:ind w:left="460" w:right="20" w:hanging="458"/>
        <w:spacing w:after="0" w:line="293" w:lineRule="auto"/>
        <w:tabs>
          <w:tab w:leader="none" w:pos="44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The Company hereby reserves for itself and the Employer the right to withhold the transfer of any securities in respect of the Awards to the Employee until full payment of the Employer’s Liability is received.</w:t>
      </w:r>
    </w:p>
    <w:p>
      <w:pPr>
        <w:spacing w:after="0" w:line="104" w:lineRule="exact"/>
        <w:rPr>
          <w:sz w:val="20"/>
          <w:szCs w:val="20"/>
          <w:color w:val="auto"/>
        </w:rPr>
      </w:pPr>
    </w:p>
    <w:p>
      <w:pPr>
        <w:jc w:val="both"/>
        <w:ind w:left="460" w:hanging="458"/>
        <w:spacing w:after="0" w:line="275" w:lineRule="auto"/>
        <w:tabs>
          <w:tab w:leader="none" w:pos="440"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color w:val="auto"/>
        </w:rPr>
        <w:t>The Company agrees to procure the remittance by the Employer of the Employer’s Liability to HM Revenue and Customs on behalf of the Employee within fourteen (14) days after the end of the UK tax month during which the Taxable Event occurs (or within seventeen (17) days after the end of the UK tax month during which the Taxable Event occurs, if payments are made electronically).</w:t>
      </w:r>
    </w:p>
    <w:p>
      <w:pPr>
        <w:spacing w:after="0" w:line="116" w:lineRule="exact"/>
        <w:rPr>
          <w:sz w:val="20"/>
          <w:szCs w:val="20"/>
          <w:color w:val="auto"/>
        </w:rPr>
      </w:pPr>
    </w:p>
    <w:p>
      <w:pPr>
        <w:ind w:left="460" w:hanging="453"/>
        <w:spacing w:after="0"/>
        <w:tabs>
          <w:tab w:leader="none" w:pos="460" w:val="left"/>
        </w:tabs>
        <w:numPr>
          <w:ilvl w:val="0"/>
          <w:numId w:val="4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DURATION OF ELECTION</w:t>
      </w:r>
    </w:p>
    <w:p>
      <w:pPr>
        <w:spacing w:after="0" w:line="164" w:lineRule="exact"/>
        <w:rPr>
          <w:sz w:val="20"/>
          <w:szCs w:val="20"/>
          <w:color w:val="auto"/>
        </w:rPr>
      </w:pPr>
    </w:p>
    <w:p>
      <w:pPr>
        <w:ind w:left="460" w:hanging="458"/>
        <w:spacing w:after="0" w:line="293" w:lineRule="auto"/>
        <w:tabs>
          <w:tab w:leader="none" w:pos="44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4"/>
          <w:szCs w:val="14"/>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5.2</w:t>
      </w:r>
      <w:r>
        <w:rPr>
          <w:sz w:val="20"/>
          <w:szCs w:val="20"/>
          <w:color w:val="auto"/>
        </w:rPr>
        <w:tab/>
      </w:r>
      <w:r>
        <w:rPr>
          <w:rFonts w:ascii="Times New Roman" w:cs="Times New Roman" w:eastAsia="Times New Roman" w:hAnsi="Times New Roman"/>
          <w:sz w:val="14"/>
          <w:szCs w:val="14"/>
          <w:color w:val="auto"/>
        </w:rPr>
        <w:t>This Election will continue in effect until the earliest of the following:</w:t>
      </w:r>
    </w:p>
    <w:p>
      <w:pPr>
        <w:spacing w:after="0" w:line="164" w:lineRule="exact"/>
        <w:rPr>
          <w:sz w:val="20"/>
          <w:szCs w:val="20"/>
          <w:color w:val="auto"/>
        </w:rPr>
      </w:pPr>
    </w:p>
    <w:p>
      <w:pPr>
        <w:ind w:left="920" w:hanging="454"/>
        <w:spacing w:after="0"/>
        <w:tabs>
          <w:tab w:leader="none" w:pos="920" w:val="left"/>
        </w:tabs>
        <w:numPr>
          <w:ilvl w:val="0"/>
          <w:numId w:val="4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Employee and the Company agree in writing that it should cease to have effect;</w:t>
      </w:r>
    </w:p>
    <w:p>
      <w:pPr>
        <w:spacing w:after="0" w:line="164" w:lineRule="exact"/>
        <w:rPr>
          <w:rFonts w:ascii="Times New Roman" w:cs="Times New Roman" w:eastAsia="Times New Roman" w:hAnsi="Times New Roman"/>
          <w:sz w:val="14"/>
          <w:szCs w:val="14"/>
          <w:color w:val="auto"/>
        </w:rPr>
      </w:pPr>
    </w:p>
    <w:p>
      <w:pPr>
        <w:ind w:left="920" w:hanging="454"/>
        <w:spacing w:after="0"/>
        <w:tabs>
          <w:tab w:leader="none" w:pos="920" w:val="left"/>
        </w:tabs>
        <w:numPr>
          <w:ilvl w:val="0"/>
          <w:numId w:val="4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date the Company serves written notice on the Employee terminating its effect;</w:t>
      </w:r>
    </w:p>
    <w:p>
      <w:pPr>
        <w:spacing w:after="0" w:line="164" w:lineRule="exact"/>
        <w:rPr>
          <w:rFonts w:ascii="Times New Roman" w:cs="Times New Roman" w:eastAsia="Times New Roman" w:hAnsi="Times New Roman"/>
          <w:sz w:val="14"/>
          <w:szCs w:val="14"/>
          <w:color w:val="auto"/>
        </w:rPr>
      </w:pPr>
    </w:p>
    <w:p>
      <w:pPr>
        <w:ind w:left="920" w:hanging="454"/>
        <w:spacing w:after="0"/>
        <w:tabs>
          <w:tab w:leader="none" w:pos="920" w:val="left"/>
        </w:tabs>
        <w:numPr>
          <w:ilvl w:val="0"/>
          <w:numId w:val="4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date HM Revenue and Customs withdraws approval of this Election; or</w:t>
      </w:r>
    </w:p>
    <w:p>
      <w:pPr>
        <w:spacing w:after="0" w:line="164" w:lineRule="exact"/>
        <w:rPr>
          <w:rFonts w:ascii="Times New Roman" w:cs="Times New Roman" w:eastAsia="Times New Roman" w:hAnsi="Times New Roman"/>
          <w:sz w:val="14"/>
          <w:szCs w:val="14"/>
          <w:color w:val="auto"/>
        </w:rPr>
      </w:pPr>
    </w:p>
    <w:p>
      <w:pPr>
        <w:ind w:left="920" w:right="20" w:hanging="454"/>
        <w:spacing w:after="0" w:line="293" w:lineRule="auto"/>
        <w:tabs>
          <w:tab w:leader="none" w:pos="920" w:val="left"/>
        </w:tabs>
        <w:numPr>
          <w:ilvl w:val="0"/>
          <w:numId w:val="4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due payment of the Employer’s Liability in respect of the entirety of the Awards to which this Election relates or could relate, such that the Election ceases to have effect in accordance with its terms.</w:t>
      </w:r>
    </w:p>
    <w:p>
      <w:pPr>
        <w:sectPr>
          <w:pgSz w:w="11900" w:h="16840" w:orient="portrait"/>
          <w:cols w:equalWidth="0" w:num="1">
            <w:col w:w="10600"/>
          </w:cols>
          <w:pgMar w:left="640" w:top="1440" w:right="660" w:bottom="1440" w:gutter="0" w:footer="0" w:header="0"/>
        </w:sectPr>
      </w:pPr>
    </w:p>
    <w:bookmarkStart w:id="364" w:name="page365"/>
    <w:bookmarkEnd w:id="364"/>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Acceptance by the Employee</w:t>
      </w:r>
    </w:p>
    <w:p>
      <w:pPr>
        <w:spacing w:after="0" w:line="166"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4"/>
          <w:szCs w:val="14"/>
          <w:color w:val="auto"/>
        </w:rPr>
        <w:t>The Employee acknowledges that by accepting the Awards (whether by clicking on the “ACCEPT” box where indicated in the Company’s electronic acceptance procedure or by signing the Grant Notice in hard copy) or by signing this Election, (whether electronically or in hard copy) the Employee agrees to be bound by the terms of this Election.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Employee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Acceptance by the Company</w:t>
      </w:r>
    </w:p>
    <w:p>
      <w:pPr>
        <w:spacing w:after="0" w:line="166"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The Company acknowledges that, by arranging for the scanned signature of an authorised representative to appear on this Election, the Company agrees to be bound by the terms of this Election.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Signed for and on behalf of the Company</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Howard Baik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 Counsel and Corporate Secretary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 Designee)</w:t>
      </w:r>
    </w:p>
    <w:p>
      <w:pPr>
        <w:sectPr>
          <w:pgSz w:w="11900" w:h="16840" w:orient="portrait"/>
          <w:cols w:equalWidth="0" w:num="1">
            <w:col w:w="10600"/>
          </w:cols>
          <w:pgMar w:left="640" w:top="1440" w:right="660" w:bottom="1440" w:gutter="0" w:footer="0" w:header="0"/>
        </w:sectPr>
      </w:pPr>
    </w:p>
    <w:bookmarkStart w:id="365" w:name="page366"/>
    <w:bookmarkEnd w:id="365"/>
    <w:p>
      <w:pPr>
        <w:spacing w:after="0" w:line="3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SCHEDULE OF SERVICE RECIPIENT COMPANIES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are the employing companies to which this Joint Election may apply: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Navan Labs UK Limited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0" w:type="dxa"/>
            <w:vAlign w:val="bottom"/>
            <w:tcBorders>
              <w:right w:val="single" w:sz="8" w:color="auto"/>
            </w:tcBorders>
          </w:tcPr>
          <w:p>
            <w:pPr>
              <w:spacing w:after="0"/>
              <w:rPr>
                <w:sz w:val="16"/>
                <w:szCs w:val="16"/>
                <w:color w:val="auto"/>
              </w:rPr>
            </w:pPr>
          </w:p>
        </w:tc>
        <w:tc>
          <w:tcPr>
            <w:tcW w:w="44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Registered Office:</w:t>
            </w:r>
          </w:p>
        </w:tc>
        <w:tc>
          <w:tcPr>
            <w:tcW w:w="52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Ground Floor, 26 Hatton Garden, London EC1N 8BR</w:t>
            </w:r>
          </w:p>
        </w:tc>
      </w:tr>
      <w:tr>
        <w:trPr>
          <w:trHeight w:val="171"/>
        </w:trPr>
        <w:tc>
          <w:tcPr>
            <w:tcW w:w="160" w:type="dxa"/>
            <w:vAlign w:val="bottom"/>
            <w:tcBorders>
              <w:right w:val="single" w:sz="8" w:color="auto"/>
            </w:tcBorders>
          </w:tcPr>
          <w:p>
            <w:pPr>
              <w:spacing w:after="0"/>
              <w:rPr>
                <w:sz w:val="14"/>
                <w:szCs w:val="14"/>
                <w:color w:val="auto"/>
              </w:rPr>
            </w:pPr>
          </w:p>
        </w:tc>
        <w:tc>
          <w:tcPr>
            <w:tcW w:w="4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Company Registration Number:</w:t>
            </w:r>
          </w:p>
        </w:tc>
        <w:tc>
          <w:tcPr>
            <w:tcW w:w="5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11250234</w:t>
            </w:r>
          </w:p>
        </w:tc>
      </w:tr>
      <w:tr>
        <w:trPr>
          <w:trHeight w:val="171"/>
        </w:trPr>
        <w:tc>
          <w:tcPr>
            <w:tcW w:w="160" w:type="dxa"/>
            <w:vAlign w:val="bottom"/>
            <w:tcBorders>
              <w:right w:val="single" w:sz="8" w:color="auto"/>
            </w:tcBorders>
          </w:tcPr>
          <w:p>
            <w:pPr>
              <w:spacing w:after="0"/>
              <w:rPr>
                <w:sz w:val="14"/>
                <w:szCs w:val="14"/>
                <w:color w:val="auto"/>
              </w:rPr>
            </w:pPr>
          </w:p>
        </w:tc>
        <w:tc>
          <w:tcPr>
            <w:tcW w:w="4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Corporation Tax Reference:</w:t>
            </w:r>
          </w:p>
        </w:tc>
        <w:tc>
          <w:tcPr>
            <w:tcW w:w="5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7772617558</w:t>
            </w:r>
          </w:p>
        </w:tc>
      </w:tr>
      <w:tr>
        <w:trPr>
          <w:trHeight w:val="171"/>
        </w:trPr>
        <w:tc>
          <w:tcPr>
            <w:tcW w:w="160" w:type="dxa"/>
            <w:vAlign w:val="bottom"/>
            <w:tcBorders>
              <w:right w:val="single" w:sz="8" w:color="auto"/>
            </w:tcBorders>
          </w:tcPr>
          <w:p>
            <w:pPr>
              <w:spacing w:after="0"/>
              <w:rPr>
                <w:sz w:val="14"/>
                <w:szCs w:val="14"/>
                <w:color w:val="auto"/>
              </w:rPr>
            </w:pPr>
          </w:p>
        </w:tc>
        <w:tc>
          <w:tcPr>
            <w:tcW w:w="4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PAYE Reference:</w:t>
            </w:r>
          </w:p>
        </w:tc>
        <w:tc>
          <w:tcPr>
            <w:tcW w:w="5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120/SB77025</w:t>
            </w:r>
          </w:p>
        </w:tc>
      </w:tr>
      <w:tr>
        <w:trPr>
          <w:trHeight w:val="529"/>
        </w:trPr>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Reed &amp; Mackay Travel Limited</w:t>
            </w:r>
          </w:p>
        </w:tc>
        <w:tc>
          <w:tcPr>
            <w:tcW w:w="5240" w:type="dxa"/>
            <w:vAlign w:val="bottom"/>
          </w:tcPr>
          <w:p>
            <w:pPr>
              <w:spacing w:after="0"/>
              <w:rPr>
                <w:sz w:val="24"/>
                <w:szCs w:val="24"/>
                <w:color w:val="auto"/>
              </w:rPr>
            </w:pPr>
          </w:p>
        </w:tc>
      </w:tr>
      <w:tr>
        <w:trPr>
          <w:trHeight w:val="169"/>
        </w:trPr>
        <w:tc>
          <w:tcPr>
            <w:tcW w:w="160" w:type="dxa"/>
            <w:vAlign w:val="bottom"/>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5240" w:type="dxa"/>
            <w:vAlign w:val="bottom"/>
            <w:tcBorders>
              <w:bottom w:val="single" w:sz="8" w:color="auto"/>
            </w:tcBorders>
          </w:tcPr>
          <w:p>
            <w:pPr>
              <w:spacing w:after="0"/>
              <w:rPr>
                <w:sz w:val="14"/>
                <w:szCs w:val="14"/>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4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Registered Office:</w:t>
            </w:r>
          </w:p>
        </w:tc>
        <w:tc>
          <w:tcPr>
            <w:tcW w:w="5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Nexus Place, 25 Farringdon Street, London, EC4A 4AF</w:t>
            </w:r>
          </w:p>
        </w:tc>
      </w:tr>
      <w:tr>
        <w:trPr>
          <w:trHeight w:val="171"/>
        </w:trPr>
        <w:tc>
          <w:tcPr>
            <w:tcW w:w="160" w:type="dxa"/>
            <w:vAlign w:val="bottom"/>
            <w:tcBorders>
              <w:right w:val="single" w:sz="8" w:color="auto"/>
            </w:tcBorders>
          </w:tcPr>
          <w:p>
            <w:pPr>
              <w:spacing w:after="0"/>
              <w:rPr>
                <w:sz w:val="14"/>
                <w:szCs w:val="14"/>
                <w:color w:val="auto"/>
              </w:rPr>
            </w:pPr>
          </w:p>
        </w:tc>
        <w:tc>
          <w:tcPr>
            <w:tcW w:w="4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Company Registration Number:</w:t>
            </w:r>
          </w:p>
        </w:tc>
        <w:tc>
          <w:tcPr>
            <w:tcW w:w="5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00963087</w:t>
            </w:r>
          </w:p>
        </w:tc>
      </w:tr>
      <w:tr>
        <w:trPr>
          <w:trHeight w:val="171"/>
        </w:trPr>
        <w:tc>
          <w:tcPr>
            <w:tcW w:w="160" w:type="dxa"/>
            <w:vAlign w:val="bottom"/>
            <w:tcBorders>
              <w:right w:val="single" w:sz="8" w:color="auto"/>
            </w:tcBorders>
          </w:tcPr>
          <w:p>
            <w:pPr>
              <w:spacing w:after="0"/>
              <w:rPr>
                <w:sz w:val="14"/>
                <w:szCs w:val="14"/>
                <w:color w:val="auto"/>
              </w:rPr>
            </w:pPr>
          </w:p>
        </w:tc>
        <w:tc>
          <w:tcPr>
            <w:tcW w:w="4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Corporation Tax Reference:</w:t>
            </w:r>
          </w:p>
        </w:tc>
        <w:tc>
          <w:tcPr>
            <w:tcW w:w="5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7772617558</w:t>
            </w:r>
          </w:p>
        </w:tc>
      </w:tr>
      <w:tr>
        <w:trPr>
          <w:trHeight w:val="171"/>
        </w:trPr>
        <w:tc>
          <w:tcPr>
            <w:tcW w:w="160" w:type="dxa"/>
            <w:vAlign w:val="bottom"/>
            <w:tcBorders>
              <w:right w:val="single" w:sz="8" w:color="auto"/>
            </w:tcBorders>
          </w:tcPr>
          <w:p>
            <w:pPr>
              <w:spacing w:after="0"/>
              <w:rPr>
                <w:sz w:val="14"/>
                <w:szCs w:val="14"/>
                <w:color w:val="auto"/>
              </w:rPr>
            </w:pPr>
          </w:p>
        </w:tc>
        <w:tc>
          <w:tcPr>
            <w:tcW w:w="4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PAYE Reference:</w:t>
            </w:r>
          </w:p>
        </w:tc>
        <w:tc>
          <w:tcPr>
            <w:tcW w:w="5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120/SB77025</w:t>
            </w:r>
          </w:p>
        </w:tc>
      </w:tr>
    </w:tbl>
    <w:p>
      <w:pPr>
        <w:sectPr>
          <w:pgSz w:w="11900" w:h="16840" w:orient="portrait"/>
          <w:cols w:equalWidth="0" w:num="1">
            <w:col w:w="9840"/>
          </w:cols>
          <w:pgMar w:left="640" w:top="1440" w:right="1420" w:bottom="1440" w:gutter="0" w:footer="0" w:header="0"/>
        </w:sectPr>
      </w:pPr>
    </w:p>
    <w:bookmarkStart w:id="366" w:name="page367"/>
    <w:bookmarkEnd w:id="366"/>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ATTACHMENT II</w:t>
      </w:r>
    </w:p>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ectPr>
          <w:pgSz w:w="11900" w:h="16840" w:orient="portrait"/>
          <w:cols w:equalWidth="0" w:num="1">
            <w:col w:w="9020"/>
          </w:cols>
          <w:pgMar w:left="1440" w:top="1440" w:right="1440" w:bottom="1440" w:gutter="0" w:footer="0" w:header="0"/>
        </w:sectPr>
      </w:pPr>
    </w:p>
    <w:bookmarkStart w:id="367" w:name="page368"/>
    <w:bookmarkEnd w:id="367"/>
    <w:p>
      <w:pPr>
        <w:spacing w:after="0" w:line="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5"/>
          <w:szCs w:val="15"/>
          <w:b w:val="1"/>
          <w:bCs w:val="1"/>
          <w:color w:val="auto"/>
        </w:rPr>
        <w:t>ATTACHMENT III</w:t>
      </w:r>
    </w:p>
    <w:p>
      <w:pPr>
        <w:spacing w:after="0" w:line="16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5"/>
          <w:szCs w:val="15"/>
          <w:b w:val="1"/>
          <w:bCs w:val="1"/>
          <w:color w:val="auto"/>
        </w:rPr>
        <w:t>NAVAN, INC.</w:t>
      </w:r>
    </w:p>
    <w:p>
      <w:pPr>
        <w:spacing w:after="0" w:line="2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5"/>
          <w:szCs w:val="15"/>
          <w:b w:val="1"/>
          <w:bCs w:val="1"/>
          <w:color w:val="auto"/>
        </w:rPr>
        <w:t>NOTICE OF EXERCISE</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b w:val="1"/>
          <w:bCs w:val="1"/>
          <w:color w:val="auto"/>
        </w:rPr>
        <w:t>(2025 EQUITY INCENTIVE PLAN)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NAVAN,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3045 Park Boulevard</w:t>
      </w:r>
    </w:p>
    <w:p>
      <w:pPr>
        <w:spacing w:after="0" w:line="9"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5"/>
          <w:szCs w:val="15"/>
          <w:color w:val="auto"/>
        </w:rPr>
        <w:t>Palo Alto, CA 94306</w:t>
        <w:tab/>
        <w:t>Date of Exercise: _______________</w:t>
      </w:r>
    </w:p>
    <w:p>
      <w:pPr>
        <w:spacing w:after="0" w:line="142" w:lineRule="exact"/>
        <w:rPr>
          <w:sz w:val="20"/>
          <w:szCs w:val="20"/>
          <w:color w:val="auto"/>
        </w:rPr>
      </w:pPr>
    </w:p>
    <w:p>
      <w:pPr>
        <w:jc w:val="both"/>
        <w:ind w:firstLine="459"/>
        <w:spacing w:after="0" w:line="263" w:lineRule="auto"/>
        <w:rPr>
          <w:sz w:val="20"/>
          <w:szCs w:val="20"/>
          <w:color w:val="auto"/>
        </w:rPr>
      </w:pPr>
      <w:r>
        <w:rPr>
          <w:rFonts w:ascii="Times New Roman" w:cs="Times New Roman" w:eastAsia="Times New Roman" w:hAnsi="Times New Roman"/>
          <w:sz w:val="15"/>
          <w:szCs w:val="15"/>
          <w:color w:val="auto"/>
        </w:rPr>
        <w:t>This constitutes notice to Navan, Inc.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that I elect to purchase the below number of shares of Common Stock of the Company (the “</w:t>
      </w:r>
      <w:r>
        <w:rPr>
          <w:rFonts w:ascii="Times New Roman" w:cs="Times New Roman" w:eastAsia="Times New Roman" w:hAnsi="Times New Roman"/>
          <w:sz w:val="15"/>
          <w:szCs w:val="15"/>
          <w:b w:val="1"/>
          <w:bCs w:val="1"/>
          <w:i w:val="1"/>
          <w:iCs w:val="1"/>
          <w:color w:val="auto"/>
        </w:rPr>
        <w:t>Shares</w:t>
      </w:r>
      <w:r>
        <w:rPr>
          <w:rFonts w:ascii="Times New Roman" w:cs="Times New Roman" w:eastAsia="Times New Roman" w:hAnsi="Times New Roman"/>
          <w:sz w:val="15"/>
          <w:szCs w:val="15"/>
          <w:color w:val="auto"/>
        </w:rPr>
        <w:t>”) by exercising my Option for the price set forth below. Capitalized terms not explicitly defined in this Notice of Exercise but defined in the Stock Option Grant Notice, Stock Option Agreement or 2025 Equity Incentive Plan (the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will have the meanings set forth in the Stock Option Grant Notice, Stock Option Agreement or Plan, as applicable. Use of certain payment methods is subject to Company and/or Board consent and certain additional requirements set forth in the Stock Option Agreement and the Plan.</w:t>
      </w:r>
    </w:p>
    <w:p>
      <w:pPr>
        <w:sectPr>
          <w:pgSz w:w="11900" w:h="16840" w:orient="portrait"/>
          <w:cols w:equalWidth="0" w:num="1">
            <w:col w:w="10620"/>
          </w:cols>
          <w:pgMar w:left="640" w:top="1440" w:right="640" w:bottom="1440" w:gutter="0" w:footer="0" w:header="0"/>
        </w:sectPr>
      </w:pPr>
    </w:p>
    <w:p>
      <w:pPr>
        <w:spacing w:after="0" w:line="3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Type of option (check one):</w:t>
      </w:r>
    </w:p>
    <w:p>
      <w:pPr>
        <w:spacing w:after="0" w:line="3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Date of Grant:</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Number of Shares as</w:t>
      </w:r>
    </w:p>
    <w:p>
      <w:pPr>
        <w:ind w:left="640"/>
        <w:spacing w:after="0" w:line="213" w:lineRule="auto"/>
        <w:rPr>
          <w:sz w:val="20"/>
          <w:szCs w:val="20"/>
          <w:color w:val="auto"/>
        </w:rPr>
      </w:pPr>
      <w:r>
        <w:rPr>
          <w:rFonts w:ascii="Times New Roman" w:cs="Times New Roman" w:eastAsia="Times New Roman" w:hAnsi="Times New Roman"/>
          <w:sz w:val="15"/>
          <w:szCs w:val="15"/>
          <w:color w:val="auto"/>
        </w:rPr>
        <w:t>to which Option is</w:t>
      </w:r>
    </w:p>
    <w:p>
      <w:pPr>
        <w:ind w:left="640"/>
        <w:spacing w:after="0"/>
        <w:rPr>
          <w:sz w:val="20"/>
          <w:szCs w:val="20"/>
          <w:color w:val="auto"/>
        </w:rPr>
      </w:pPr>
      <w:r>
        <w:rPr>
          <w:rFonts w:ascii="Times New Roman" w:cs="Times New Roman" w:eastAsia="Times New Roman" w:hAnsi="Times New Roman"/>
          <w:sz w:val="15"/>
          <w:szCs w:val="15"/>
          <w:color w:val="auto"/>
        </w:rPr>
        <w:t>exercised:</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Certificates to be</w:t>
      </w:r>
    </w:p>
    <w:p>
      <w:pPr>
        <w:ind w:left="640"/>
        <w:spacing w:after="0"/>
        <w:rPr>
          <w:sz w:val="20"/>
          <w:szCs w:val="20"/>
          <w:color w:val="auto"/>
        </w:rPr>
      </w:pPr>
      <w:r>
        <w:rPr>
          <w:rFonts w:ascii="Times New Roman" w:cs="Times New Roman" w:eastAsia="Times New Roman" w:hAnsi="Times New Roman"/>
          <w:sz w:val="15"/>
          <w:szCs w:val="15"/>
          <w:color w:val="auto"/>
        </w:rPr>
        <w:t>issued in name of:</w:t>
      </w:r>
    </w:p>
    <w:p>
      <w:pPr>
        <w:spacing w:after="0" w:line="3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Total exercise price:</w:t>
      </w:r>
    </w:p>
    <w:p>
      <w:pPr>
        <w:spacing w:after="0" w:line="201" w:lineRule="exact"/>
        <w:rPr>
          <w:sz w:val="20"/>
          <w:szCs w:val="20"/>
          <w:color w:val="auto"/>
        </w:rPr>
      </w:pPr>
    </w:p>
    <w:p>
      <w:pPr>
        <w:ind w:left="1040" w:right="440"/>
        <w:spacing w:after="0" w:line="249" w:lineRule="auto"/>
        <w:rPr>
          <w:sz w:val="20"/>
          <w:szCs w:val="20"/>
          <w:color w:val="auto"/>
        </w:rPr>
      </w:pPr>
      <w:r>
        <w:rPr>
          <w:rFonts w:ascii="Times New Roman" w:cs="Times New Roman" w:eastAsia="Times New Roman" w:hAnsi="Times New Roman"/>
          <w:sz w:val="15"/>
          <w:szCs w:val="15"/>
          <w:color w:val="auto"/>
        </w:rPr>
        <w:t>Cash, check, bank draft or money order delivered herewith:</w:t>
      </w:r>
    </w:p>
    <w:p>
      <w:pPr>
        <w:spacing w:after="0" w:line="3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5"/>
          <w:szCs w:val="15"/>
          <w:color w:val="auto"/>
        </w:rPr>
        <w:t>Value of ________ Shares delivered herewith:</w:t>
      </w:r>
    </w:p>
    <w:p>
      <w:pPr>
        <w:spacing w:after="0" w:line="35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5"/>
          <w:szCs w:val="15"/>
          <w:color w:val="auto"/>
        </w:rPr>
        <w:t>Cashless Exercise: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tabs>
          <w:tab w:leader="none" w:pos="2920" w:val="left"/>
        </w:tabs>
        <w:rPr>
          <w:sz w:val="20"/>
          <w:szCs w:val="20"/>
          <w:color w:val="auto"/>
        </w:rPr>
      </w:pPr>
      <w:r>
        <w:rPr>
          <w:rFonts w:ascii="Times New Roman" w:cs="Times New Roman" w:eastAsia="Times New Roman" w:hAnsi="Times New Roman"/>
          <w:sz w:val="15"/>
          <w:szCs w:val="15"/>
          <w:color w:val="auto"/>
        </w:rPr>
        <w:t>Incentive</w:t>
      </w:r>
      <w:r>
        <w:rPr>
          <w:sz w:val="20"/>
          <w:szCs w:val="20"/>
          <w:color w:val="auto"/>
        </w:rPr>
        <w:tab/>
      </w:r>
      <w:r>
        <w:rPr>
          <w:rFonts w:ascii="Times New Roman" w:cs="Times New Roman" w:eastAsia="Times New Roman" w:hAnsi="Times New Roman"/>
          <w:sz w:val="15"/>
          <w:szCs w:val="15"/>
          <w:color w:val="auto"/>
        </w:rPr>
        <w:t>Nonstatutory</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w:t>
      </w:r>
    </w:p>
    <w:p>
      <w:pPr>
        <w:spacing w:after="0" w:line="372" w:lineRule="exact"/>
        <w:rPr>
          <w:sz w:val="20"/>
          <w:szCs w:val="20"/>
          <w:color w:val="auto"/>
        </w:rPr>
      </w:pPr>
    </w:p>
    <w:p>
      <w:pPr>
        <w:sectPr>
          <w:pgSz w:w="11900" w:h="16840" w:orient="portrait"/>
          <w:cols w:equalWidth="0" w:num="2">
            <w:col w:w="4520" w:space="720"/>
            <w:col w:w="5380"/>
          </w:cols>
          <w:pgMar w:left="640" w:top="1440" w:right="640" w:bottom="1440" w:gutter="0" w:footer="0" w:header="0"/>
          <w:type w:val="continuous"/>
        </w:sectPr>
      </w:pPr>
    </w:p>
    <w:p>
      <w:pPr>
        <w:spacing w:after="0" w:line="326" w:lineRule="exact"/>
        <w:rPr>
          <w:sz w:val="20"/>
          <w:szCs w:val="20"/>
          <w:color w:val="auto"/>
        </w:rPr>
      </w:pPr>
    </w:p>
    <w:p>
      <w:pPr>
        <w:ind w:right="20" w:firstLine="459"/>
        <w:spacing w:after="0" w:line="289" w:lineRule="auto"/>
        <w:rPr>
          <w:sz w:val="20"/>
          <w:szCs w:val="20"/>
          <w:color w:val="auto"/>
        </w:rPr>
      </w:pPr>
      <w:r>
        <w:rPr>
          <w:rFonts w:ascii="Times New Roman" w:cs="Times New Roman" w:eastAsia="Times New Roman" w:hAnsi="Times New Roman"/>
          <w:sz w:val="15"/>
          <w:szCs w:val="15"/>
          <w:color w:val="auto"/>
        </w:rPr>
        <w:t>By this exercise, I agree (i) to provide such additional documents as you may require pursuant to the terms of the Plan, (ii) to satisfy the Withholding Obligation, if any, relating to the exercise of this Option as set forth in the Stock Option Agreement, and (iii) if this exercise</w:t>
      </w:r>
    </w:p>
    <w:p>
      <w:pPr>
        <w:sectPr>
          <w:pgSz w:w="11900" w:h="16840" w:orient="portrait"/>
          <w:cols w:equalWidth="0" w:num="1">
            <w:col w:w="10620"/>
          </w:cols>
          <w:pgMar w:left="640" w:top="1440" w:right="640" w:bottom="1440" w:gutter="0" w:footer="0" w:header="0"/>
          <w:type w:val="continuous"/>
        </w:sectPr>
      </w:pPr>
    </w:p>
    <w:bookmarkStart w:id="368" w:name="page369"/>
    <w:bookmarkEnd w:id="368"/>
    <w:p>
      <w:pPr>
        <w:spacing w:after="0" w:line="4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5"/>
          <w:szCs w:val="15"/>
          <w:color w:val="auto"/>
        </w:rPr>
        <w:t>relates to an Incentive Stock Option, to notify you in writing within 15 days after the date of any disposition of any of the Shares issued upon exercise of this Option that occurs within two years after the Date of Grant or within one year after such Shares are issued upon exercise of this Option.</w:t>
      </w:r>
    </w:p>
    <w:p>
      <w:pPr>
        <w:spacing w:after="0" w:line="101" w:lineRule="exact"/>
        <w:rPr>
          <w:sz w:val="20"/>
          <w:szCs w:val="20"/>
          <w:color w:val="auto"/>
        </w:rPr>
      </w:pPr>
    </w:p>
    <w:p>
      <w:pPr>
        <w:jc w:val="both"/>
        <w:ind w:firstLine="459"/>
        <w:spacing w:after="0" w:line="258" w:lineRule="auto"/>
        <w:rPr>
          <w:sz w:val="20"/>
          <w:szCs w:val="20"/>
          <w:color w:val="auto"/>
        </w:rPr>
      </w:pPr>
      <w:r>
        <w:rPr>
          <w:rFonts w:ascii="Times New Roman" w:cs="Times New Roman" w:eastAsia="Times New Roman" w:hAnsi="Times New Roman"/>
          <w:sz w:val="15"/>
          <w:szCs w:val="15"/>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or other securities of the Company,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 or regulation) (the “</w:t>
      </w:r>
      <w:r>
        <w:rPr>
          <w:rFonts w:ascii="Times New Roman" w:cs="Times New Roman" w:eastAsia="Times New Roman" w:hAnsi="Times New Roman"/>
          <w:sz w:val="15"/>
          <w:szCs w:val="15"/>
          <w:b w:val="1"/>
          <w:bCs w:val="1"/>
          <w:i w:val="1"/>
          <w:iCs w:val="1"/>
          <w:color w:val="auto"/>
        </w:rPr>
        <w:t>Lock -Up Period</w:t>
      </w:r>
      <w:r>
        <w:rPr>
          <w:rFonts w:ascii="Times New Roman" w:cs="Times New Roman" w:eastAsia="Times New Roman" w:hAnsi="Times New Roman"/>
          <w:sz w:val="15"/>
          <w:szCs w:val="15"/>
          <w:color w:val="auto"/>
        </w:rPr>
        <w:t>”) . I further agree to execute and deliver such other agreements as may be reasonably requested by the Company or the underwriters that are consistent with the foregoing or that are necessary to give further effect thereto. To enforce the foregoing covenant, the Company may impose stop-transfer instructions with respect to securities subject to the foregoing restrictions until the end of such period.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39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5"/>
          <w:szCs w:val="15"/>
          <w:color w:val="auto"/>
        </w:rPr>
        <w:t>____________________________________</w:t>
      </w:r>
    </w:p>
    <w:p>
      <w:pPr>
        <w:sectPr>
          <w:pgSz w:w="11900" w:h="16840" w:orient="portrait"/>
          <w:cols w:equalWidth="0" w:num="1">
            <w:col w:w="10620"/>
          </w:cols>
          <w:pgMar w:left="640" w:top="1440" w:right="640" w:bottom="1440" w:gutter="0" w:footer="0" w:header="0"/>
        </w:sectPr>
      </w:pPr>
    </w:p>
    <w:bookmarkStart w:id="369" w:name="page370"/>
    <w:bookmarkEnd w:id="369"/>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ATTACHMENT IV</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PROSPECTUS</w:t>
      </w:r>
    </w:p>
    <w:p>
      <w:pPr>
        <w:sectPr>
          <w:pgSz w:w="11900" w:h="16840" w:orient="portrait"/>
          <w:cols w:equalWidth="0" w:num="1">
            <w:col w:w="9020"/>
          </w:cols>
          <w:pgMar w:left="1440" w:top="1440" w:right="1440" w:bottom="1440" w:gutter="0" w:footer="0" w:header="0"/>
        </w:sectPr>
      </w:pPr>
    </w:p>
    <w:bookmarkStart w:id="370" w:name="page371"/>
    <w:bookmarkEnd w:id="370"/>
    <w:p>
      <w:pPr>
        <w:spacing w:after="0" w:line="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NAVAN, INC.</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2025 EQUITY INCENTIVE PLAN</w:t>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RESTRICTED STOCK UNIT AWARD GRANT NOTICE</w:t>
      </w:r>
    </w:p>
    <w:p>
      <w:pPr>
        <w:spacing w:after="0" w:line="3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Navan Inc.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xml:space="preserve">”) has awarded to you (the “ </w:t>
      </w:r>
      <w:r>
        <w:rPr>
          <w:rFonts w:ascii="Times New Roman" w:cs="Times New Roman" w:eastAsia="Times New Roman" w:hAnsi="Times New Roman"/>
          <w:sz w:val="14"/>
          <w:szCs w:val="14"/>
          <w:b w:val="1"/>
          <w:bCs w:val="1"/>
          <w:i w:val="1"/>
          <w:iCs w:val="1"/>
          <w:color w:val="auto"/>
        </w:rPr>
        <w:t>Participant</w:t>
      </w:r>
      <w:r>
        <w:rPr>
          <w:rFonts w:ascii="Times New Roman" w:cs="Times New Roman" w:eastAsia="Times New Roman" w:hAnsi="Times New Roman"/>
          <w:sz w:val="14"/>
          <w:szCs w:val="14"/>
          <w:color w:val="auto"/>
        </w:rPr>
        <w:t>”) the number of restricted stock units specified and on the terms set forth below in consideration of your services (the “</w:t>
      </w:r>
      <w:r>
        <w:rPr>
          <w:rFonts w:ascii="Times New Roman" w:cs="Times New Roman" w:eastAsia="Times New Roman" w:hAnsi="Times New Roman"/>
          <w:sz w:val="14"/>
          <w:szCs w:val="14"/>
          <w:b w:val="1"/>
          <w:bCs w:val="1"/>
          <w:i w:val="1"/>
          <w:iCs w:val="1"/>
          <w:color w:val="auto"/>
        </w:rPr>
        <w:t>RSU Award</w:t>
      </w:r>
      <w:r>
        <w:rPr>
          <w:rFonts w:ascii="Times New Roman" w:cs="Times New Roman" w:eastAsia="Times New Roman" w:hAnsi="Times New Roman"/>
          <w:sz w:val="14"/>
          <w:szCs w:val="14"/>
          <w:color w:val="auto"/>
        </w:rPr>
        <w:t xml:space="preserve">”). Your RSU Award is subject to all of the terms and conditions as set forth herein and in the Company’s 2025 Equity Incentive Plan (the “ </w:t>
      </w:r>
      <w:r>
        <w:rPr>
          <w:rFonts w:ascii="Times New Roman" w:cs="Times New Roman" w:eastAsia="Times New Roman" w:hAnsi="Times New Roman"/>
          <w:sz w:val="14"/>
          <w:szCs w:val="14"/>
          <w:b w:val="1"/>
          <w:bCs w:val="1"/>
          <w:i w:val="1"/>
          <w:iCs w:val="1"/>
          <w:color w:val="auto"/>
        </w:rPr>
        <w:t>Plan</w:t>
      </w:r>
      <w:r>
        <w:rPr>
          <w:rFonts w:ascii="Times New Roman" w:cs="Times New Roman" w:eastAsia="Times New Roman" w:hAnsi="Times New Roman"/>
          <w:sz w:val="14"/>
          <w:szCs w:val="14"/>
          <w:color w:val="auto"/>
        </w:rPr>
        <w:t xml:space="preserve">”) and the Restricted Stock Unit Award Agreement (the “ </w:t>
      </w: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color w:val="auto"/>
        </w:rPr>
        <w:t>”), which are attached hereto and incorporated herein in their entirety. Capitalized terms not explicitly defined herein but defined in the Plan or the Agreement will have the meanings set forth in the Plan or the Agreement.</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13335</wp:posOffset>
            </wp:positionV>
            <wp:extent cx="2460625"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2460625" cy="635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10795</wp:posOffset>
            </wp:positionV>
            <wp:extent cx="2460625"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2460625" cy="635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10795</wp:posOffset>
            </wp:positionV>
            <wp:extent cx="2460625"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2460625" cy="635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Number of Restricted Stock Units/Shares: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10795</wp:posOffset>
            </wp:positionV>
            <wp:extent cx="2460625"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2460625" cy="6350"/>
                    </a:xfrm>
                    <a:prstGeom prst="rect">
                      <a:avLst/>
                    </a:prstGeom>
                    <a:noFill/>
                  </pic:spPr>
                </pic:pic>
              </a:graphicData>
            </a:graphic>
          </wp:anchor>
        </w:drawing>
      </w:r>
    </w:p>
    <w:p>
      <w:pPr>
        <w:spacing w:after="0" w:line="35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4"/>
          <w:szCs w:val="14"/>
          <w:b w:val="1"/>
          <w:bCs w:val="1"/>
          <w:color w:val="auto"/>
        </w:rPr>
        <w:t>Vesting Schedule:</w:t>
      </w:r>
      <w:r>
        <w:rPr>
          <w:sz w:val="20"/>
          <w:szCs w:val="20"/>
          <w:color w:val="auto"/>
        </w:rPr>
        <w:tab/>
      </w:r>
      <w:r>
        <w:rPr>
          <w:rFonts w:ascii="Times New Roman" w:cs="Times New Roman" w:eastAsia="Times New Roman" w:hAnsi="Times New Roman"/>
          <w:sz w:val="14"/>
          <w:szCs w:val="14"/>
          <w:color w:val="auto"/>
        </w:rPr>
        <w:t>Subject to the Participant’s Continuous Service through each applicable vesting date, the RSU Award will vest as follows: [______________].</w:t>
      </w:r>
    </w:p>
    <w:p>
      <w:pPr>
        <w:spacing w:after="0" w:line="166" w:lineRule="exact"/>
        <w:rPr>
          <w:sz w:val="20"/>
          <w:szCs w:val="20"/>
          <w:color w:val="auto"/>
        </w:rPr>
      </w:pPr>
    </w:p>
    <w:p>
      <w:pPr>
        <w:ind w:right="80" w:firstLine="459"/>
        <w:spacing w:after="0" w:line="293" w:lineRule="auto"/>
        <w:rPr>
          <w:sz w:val="20"/>
          <w:szCs w:val="20"/>
          <w:color w:val="auto"/>
        </w:rPr>
      </w:pPr>
      <w:r>
        <w:rPr>
          <w:rFonts w:ascii="Times New Roman" w:cs="Times New Roman" w:eastAsia="Times New Roman" w:hAnsi="Times New Roman"/>
          <w:sz w:val="14"/>
          <w:szCs w:val="14"/>
          <w:color w:val="auto"/>
        </w:rPr>
        <w:t>Notwithstanding the foregoing, upon the Participant’s termination of Continuous Service, vesting will terminate, and any portion of the RSU Award that has not vested will be immediately forfeited.</w:t>
      </w:r>
    </w:p>
    <w:p>
      <w:pPr>
        <w:spacing w:after="0" w:line="102" w:lineRule="exact"/>
        <w:rPr>
          <w:sz w:val="20"/>
          <w:szCs w:val="20"/>
          <w:color w:val="auto"/>
        </w:rPr>
      </w:pPr>
    </w:p>
    <w:p>
      <w:pPr>
        <w:ind w:left="1340" w:right="60" w:hanging="1377"/>
        <w:spacing w:after="0" w:line="293" w:lineRule="auto"/>
        <w:tabs>
          <w:tab w:leader="none" w:pos="1320" w:val="left"/>
        </w:tabs>
        <w:rPr>
          <w:sz w:val="20"/>
          <w:szCs w:val="20"/>
          <w:color w:val="auto"/>
        </w:rPr>
      </w:pPr>
      <w:r>
        <w:rPr>
          <w:rFonts w:ascii="Times New Roman" w:cs="Times New Roman" w:eastAsia="Times New Roman" w:hAnsi="Times New Roman"/>
          <w:sz w:val="14"/>
          <w:szCs w:val="14"/>
          <w:b w:val="1"/>
          <w:bCs w:val="1"/>
          <w:color w:val="auto"/>
        </w:rPr>
        <w:t>Issuance Schedule:</w:t>
      </w:r>
      <w:r>
        <w:rPr>
          <w:sz w:val="20"/>
          <w:szCs w:val="20"/>
          <w:color w:val="auto"/>
        </w:rPr>
        <w:tab/>
      </w:r>
      <w:r>
        <w:rPr>
          <w:rFonts w:ascii="Times New Roman" w:cs="Times New Roman" w:eastAsia="Times New Roman" w:hAnsi="Times New Roman"/>
          <w:sz w:val="14"/>
          <w:szCs w:val="14"/>
          <w:color w:val="auto"/>
        </w:rPr>
        <w:t>Subject to any change on a Capitalization Adjustment, for each restricted stock unit that vests, one Share will be issued at the time set forth in Section 5 of the Award Agreement.</w:t>
      </w:r>
    </w:p>
    <w:p>
      <w:pPr>
        <w:spacing w:after="0" w:line="104" w:lineRule="exact"/>
        <w:rPr>
          <w:sz w:val="20"/>
          <w:szCs w:val="20"/>
          <w:color w:val="auto"/>
        </w:rPr>
      </w:pPr>
    </w:p>
    <w:p>
      <w:pPr>
        <w:ind w:left="1380" w:right="100" w:hanging="1377"/>
        <w:spacing w:after="0" w:line="292" w:lineRule="auto"/>
        <w:tabs>
          <w:tab w:leader="none" w:pos="1360" w:val="left"/>
        </w:tabs>
        <w:rPr>
          <w:sz w:val="20"/>
          <w:szCs w:val="20"/>
          <w:color w:val="auto"/>
        </w:rPr>
      </w:pPr>
      <w:r>
        <w:rPr>
          <w:rFonts w:ascii="Times New Roman" w:cs="Times New Roman" w:eastAsia="Times New Roman" w:hAnsi="Times New Roman"/>
          <w:sz w:val="12"/>
          <w:szCs w:val="12"/>
          <w:b w:val="1"/>
          <w:bCs w:val="1"/>
          <w:color w:val="auto"/>
        </w:rPr>
        <w:t>Withholding Obligation:</w:t>
      </w:r>
      <w:r>
        <w:rPr>
          <w:sz w:val="20"/>
          <w:szCs w:val="20"/>
          <w:color w:val="auto"/>
        </w:rPr>
        <w:tab/>
      </w:r>
      <w:r>
        <w:rPr>
          <w:rFonts w:ascii="Times New Roman" w:cs="Times New Roman" w:eastAsia="Times New Roman" w:hAnsi="Times New Roman"/>
          <w:sz w:val="12"/>
          <w:szCs w:val="12"/>
          <w:color w:val="auto"/>
        </w:rPr>
        <w:t>To the fullest extent permitted under the Plan and Applicable Law, any Withholding Obligation (as set forth in Section 4 of the Agreement) will be satisfied through a “Sell to Cover” procedure as described in Section 4 of the Agreement.</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Additional Terms/Acknowledgements: </w:t>
      </w:r>
      <w:r>
        <w:rPr>
          <w:rFonts w:ascii="Times New Roman" w:cs="Times New Roman" w:eastAsia="Times New Roman" w:hAnsi="Times New Roman"/>
          <w:sz w:val="14"/>
          <w:szCs w:val="14"/>
          <w:color w:val="auto"/>
        </w:rPr>
        <w:t>By your signature below or by electronic acceptance or authentication in a form authorized by the Company, you understand and agree that:</w:t>
      </w:r>
    </w:p>
    <w:p>
      <w:pPr>
        <w:spacing w:after="0" w:line="172" w:lineRule="exact"/>
        <w:rPr>
          <w:sz w:val="20"/>
          <w:szCs w:val="20"/>
          <w:color w:val="auto"/>
        </w:rPr>
      </w:pPr>
    </w:p>
    <w:p>
      <w:pPr>
        <w:jc w:val="both"/>
        <w:ind w:left="460" w:right="60" w:hanging="224"/>
        <w:spacing w:after="0" w:line="268" w:lineRule="auto"/>
        <w:tabs>
          <w:tab w:leader="none" w:pos="460" w:val="left"/>
        </w:tabs>
        <w:numPr>
          <w:ilvl w:val="0"/>
          <w:numId w:val="447"/>
        </w:numPr>
        <w:rPr>
          <w:rFonts w:ascii="Arial" w:cs="Arial" w:eastAsia="Arial" w:hAnsi="Arial"/>
          <w:sz w:val="15"/>
          <w:szCs w:val="15"/>
          <w:color w:val="auto"/>
        </w:rPr>
      </w:pPr>
      <w:r>
        <w:rPr>
          <w:rFonts w:ascii="Times New Roman" w:cs="Times New Roman" w:eastAsia="Times New Roman" w:hAnsi="Times New Roman"/>
          <w:sz w:val="14"/>
          <w:szCs w:val="14"/>
          <w:color w:val="auto"/>
        </w:rPr>
        <w:t xml:space="preserve">The RSU Award is governed by this RSU Award Grant Notice (the “ </w:t>
      </w:r>
      <w:r>
        <w:rPr>
          <w:rFonts w:ascii="Times New Roman" w:cs="Times New Roman" w:eastAsia="Times New Roman" w:hAnsi="Times New Roman"/>
          <w:sz w:val="14"/>
          <w:szCs w:val="14"/>
          <w:b w:val="1"/>
          <w:bCs w:val="1"/>
          <w:i w:val="1"/>
          <w:iCs w:val="1"/>
          <w:color w:val="auto"/>
        </w:rPr>
        <w:t>Grant Notice</w:t>
      </w:r>
      <w:r>
        <w:rPr>
          <w:rFonts w:ascii="Times New Roman" w:cs="Times New Roman" w:eastAsia="Times New Roman" w:hAnsi="Times New Roman"/>
          <w:sz w:val="14"/>
          <w:szCs w:val="14"/>
          <w:color w:val="auto"/>
        </w:rPr>
        <w:t xml:space="preserve">”), and the provisions of the Plan and the Agreement, all of which are made a part of this document. Unless otherwise provided in the Plan, this Grant Notice and the Agreement (together, the “ </w:t>
      </w:r>
      <w:r>
        <w:rPr>
          <w:rFonts w:ascii="Times New Roman" w:cs="Times New Roman" w:eastAsia="Times New Roman" w:hAnsi="Times New Roman"/>
          <w:sz w:val="14"/>
          <w:szCs w:val="14"/>
          <w:b w:val="1"/>
          <w:bCs w:val="1"/>
          <w:i w:val="1"/>
          <w:iCs w:val="1"/>
          <w:color w:val="auto"/>
        </w:rPr>
        <w:t>RSU Award Agreement</w:t>
      </w:r>
      <w:r>
        <w:rPr>
          <w:rFonts w:ascii="Times New Roman" w:cs="Times New Roman" w:eastAsia="Times New Roman" w:hAnsi="Times New Roman"/>
          <w:sz w:val="14"/>
          <w:szCs w:val="14"/>
          <w:color w:val="auto"/>
        </w:rPr>
        <w:t xml:space="preserve"> ”) may not be modified, amended or revised except in a writing signed by you and a duly authorized officer of the Company.</w:t>
      </w:r>
    </w:p>
    <w:p>
      <w:pPr>
        <w:spacing w:after="0" w:line="121" w:lineRule="exact"/>
        <w:rPr>
          <w:rFonts w:ascii="Arial" w:cs="Arial" w:eastAsia="Arial" w:hAnsi="Arial"/>
          <w:sz w:val="15"/>
          <w:szCs w:val="15"/>
          <w:color w:val="auto"/>
        </w:rPr>
      </w:pPr>
    </w:p>
    <w:p>
      <w:pPr>
        <w:jc w:val="both"/>
        <w:ind w:left="460" w:right="40" w:hanging="224"/>
        <w:spacing w:after="0" w:line="274" w:lineRule="auto"/>
        <w:tabs>
          <w:tab w:leader="none" w:pos="450" w:val="left"/>
        </w:tabs>
        <w:numPr>
          <w:ilvl w:val="0"/>
          <w:numId w:val="447"/>
        </w:numPr>
        <w:rPr>
          <w:rFonts w:ascii="Arial" w:cs="Arial" w:eastAsia="Arial" w:hAnsi="Arial"/>
          <w:sz w:val="14"/>
          <w:szCs w:val="14"/>
          <w:color w:val="auto"/>
        </w:rPr>
      </w:pPr>
      <w:r>
        <w:rPr>
          <w:rFonts w:ascii="Times New Roman" w:cs="Times New Roman" w:eastAsia="Times New Roman" w:hAnsi="Times New Roman"/>
          <w:sz w:val="14"/>
          <w:szCs w:val="14"/>
          <w:color w:val="auto"/>
        </w:rPr>
        <w:t>You consent to receive this Grant Notice, the Agreement, the Plan, the document containing the Plan information specified in Section 10(a) of the Securities Act (the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and any other Plan-related documents by electronic delivery and to participate in the Plan through an on-line or electronic system established and maintained by the Company or another third party designated by the Company.</w:t>
      </w:r>
    </w:p>
    <w:p>
      <w:pPr>
        <w:sectPr>
          <w:pgSz w:w="11900" w:h="16840" w:orient="portrait"/>
          <w:cols w:equalWidth="0" w:num="1">
            <w:col w:w="10660"/>
          </w:cols>
          <w:pgMar w:left="640" w:top="1440" w:right="600" w:bottom="1440" w:gutter="0" w:footer="0" w:header="0"/>
        </w:sectPr>
      </w:pPr>
    </w:p>
    <w:bookmarkStart w:id="371" w:name="page372"/>
    <w:bookmarkEnd w:id="371"/>
    <w:p>
      <w:pPr>
        <w:spacing w:after="0" w:line="39" w:lineRule="exact"/>
        <w:rPr>
          <w:sz w:val="20"/>
          <w:szCs w:val="20"/>
          <w:color w:val="auto"/>
        </w:rPr>
      </w:pPr>
    </w:p>
    <w:p>
      <w:pPr>
        <w:ind w:left="440" w:right="60" w:hanging="224"/>
        <w:spacing w:after="0" w:line="293" w:lineRule="auto"/>
        <w:tabs>
          <w:tab w:leader="none" w:pos="430" w:val="left"/>
        </w:tabs>
        <w:numPr>
          <w:ilvl w:val="0"/>
          <w:numId w:val="4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have read and are familiar with the provisions of the Plan, the RSU Award Agreement, and the Prospectus. In the event of any conflict between the provisions in the RSU Award Agreement, or the Prospectus and the terms of the Plan, the terms of the Plan will control.</w:t>
      </w:r>
    </w:p>
    <w:p>
      <w:pPr>
        <w:spacing w:after="0" w:line="104" w:lineRule="exact"/>
        <w:rPr>
          <w:rFonts w:ascii="Times New Roman" w:cs="Times New Roman" w:eastAsia="Times New Roman" w:hAnsi="Times New Roman"/>
          <w:sz w:val="14"/>
          <w:szCs w:val="14"/>
          <w:color w:val="auto"/>
        </w:rPr>
      </w:pPr>
    </w:p>
    <w:p>
      <w:pPr>
        <w:jc w:val="both"/>
        <w:ind w:left="440" w:hanging="224"/>
        <w:spacing w:after="0" w:line="268" w:lineRule="auto"/>
        <w:tabs>
          <w:tab w:leader="none" w:pos="430" w:val="left"/>
        </w:tabs>
        <w:numPr>
          <w:ilvl w:val="0"/>
          <w:numId w:val="448"/>
        </w:numPr>
        <w:rPr>
          <w:rFonts w:ascii="Arial" w:cs="Arial" w:eastAsia="Arial" w:hAnsi="Arial"/>
          <w:sz w:val="14"/>
          <w:szCs w:val="14"/>
          <w:color w:val="auto"/>
        </w:rPr>
      </w:pPr>
      <w:r>
        <w:rPr>
          <w:rFonts w:ascii="Times New Roman" w:cs="Times New Roman" w:eastAsia="Times New Roman" w:hAnsi="Times New Roman"/>
          <w:sz w:val="14"/>
          <w:szCs w:val="14"/>
          <w:color w:val="auto"/>
        </w:rPr>
        <w:t>The RSU Award Agreement sets forth the entire understanding between you and the Company regarding the acquisition of Shares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(or any Affiliate or Subsidiary) and you that, in each case, is approved by the Board and specifies terms that should govern this RSU Award.</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NAVAN, INC.</w:t>
            </w:r>
          </w:p>
        </w:tc>
        <w:tc>
          <w:tcPr>
            <w:tcW w:w="576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PARTICIPANT:</w:t>
            </w:r>
          </w:p>
        </w:tc>
      </w:tr>
      <w:tr>
        <w:trPr>
          <w:trHeight w:val="408"/>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132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175"/>
        </w:trPr>
        <w:tc>
          <w:tcPr>
            <w:tcW w:w="940" w:type="dxa"/>
            <w:vAlign w:val="bottom"/>
          </w:tcPr>
          <w:p>
            <w:pPr>
              <w:spacing w:after="0"/>
              <w:rPr>
                <w:sz w:val="15"/>
                <w:szCs w:val="15"/>
                <w:color w:val="auto"/>
              </w:rPr>
            </w:pPr>
          </w:p>
        </w:tc>
        <w:tc>
          <w:tcPr>
            <w:tcW w:w="38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Signature</w:t>
            </w:r>
          </w:p>
        </w:tc>
        <w:tc>
          <w:tcPr>
            <w:tcW w:w="1320" w:type="dxa"/>
            <w:vAlign w:val="bottom"/>
          </w:tcPr>
          <w:p>
            <w:pPr>
              <w:spacing w:after="0"/>
              <w:rPr>
                <w:sz w:val="15"/>
                <w:szCs w:val="15"/>
                <w:color w:val="auto"/>
              </w:rPr>
            </w:pPr>
          </w:p>
        </w:tc>
        <w:tc>
          <w:tcPr>
            <w:tcW w:w="44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Signature</w:t>
            </w:r>
          </w:p>
        </w:tc>
      </w:tr>
    </w:tbl>
    <w:p>
      <w:pPr>
        <w:spacing w:after="0" w:line="14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Date: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5080</wp:posOffset>
            </wp:positionV>
            <wp:extent cx="582676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5826760" cy="635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13335</wp:posOffset>
            </wp:positionV>
            <wp:extent cx="2315210"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2315210" cy="635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ATTACHMENTS</w:t>
      </w:r>
      <w:r>
        <w:rPr>
          <w:rFonts w:ascii="Times New Roman" w:cs="Times New Roman" w:eastAsia="Times New Roman" w:hAnsi="Times New Roman"/>
          <w:sz w:val="14"/>
          <w:szCs w:val="14"/>
          <w:color w:val="auto"/>
        </w:rPr>
        <w:t>: Restricted Stock Unit Award Agreement, 2025 Equity Incentive Plan, Prospectus</w:t>
      </w:r>
    </w:p>
    <w:p>
      <w:pPr>
        <w:sectPr>
          <w:pgSz w:w="11900" w:h="16840" w:orient="portrait"/>
          <w:cols w:equalWidth="0" w:num="1">
            <w:col w:w="10600"/>
          </w:cols>
          <w:pgMar w:left="660" w:top="1440" w:right="640" w:bottom="1440" w:gutter="0" w:footer="0" w:header="0"/>
        </w:sectPr>
      </w:pPr>
    </w:p>
    <w:bookmarkStart w:id="372" w:name="page373"/>
    <w:bookmarkEnd w:id="372"/>
    <w:p>
      <w:pPr>
        <w:spacing w:after="0" w:line="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ATTACHMENT I</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NAVAN,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2025 EQUITY INCENTIVE PLAN</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RESTRICTED STOCK UNIT AWARD AGREEMENT</w:t>
      </w:r>
    </w:p>
    <w:p>
      <w:pPr>
        <w:spacing w:after="0" w:line="147" w:lineRule="exact"/>
        <w:rPr>
          <w:sz w:val="20"/>
          <w:szCs w:val="20"/>
          <w:color w:val="auto"/>
        </w:rPr>
      </w:pPr>
    </w:p>
    <w:p>
      <w:pPr>
        <w:jc w:val="both"/>
        <w:ind w:firstLine="459"/>
        <w:spacing w:after="0" w:line="271" w:lineRule="auto"/>
        <w:rPr>
          <w:sz w:val="20"/>
          <w:szCs w:val="20"/>
          <w:color w:val="auto"/>
        </w:rPr>
      </w:pPr>
      <w:r>
        <w:rPr>
          <w:rFonts w:ascii="Times New Roman" w:cs="Times New Roman" w:eastAsia="Times New Roman" w:hAnsi="Times New Roman"/>
          <w:sz w:val="14"/>
          <w:szCs w:val="14"/>
          <w:color w:val="auto"/>
        </w:rPr>
        <w:t xml:space="preserve">As reflected by your Restricted Stock Unit Award Grant Notice (“ </w:t>
      </w:r>
      <w:r>
        <w:rPr>
          <w:rFonts w:ascii="Times New Roman" w:cs="Times New Roman" w:eastAsia="Times New Roman" w:hAnsi="Times New Roman"/>
          <w:sz w:val="14"/>
          <w:szCs w:val="14"/>
          <w:b w:val="1"/>
          <w:bCs w:val="1"/>
          <w:i w:val="1"/>
          <w:iCs w:val="1"/>
          <w:color w:val="auto"/>
        </w:rPr>
        <w:t>Grant Notice</w:t>
      </w:r>
      <w:r>
        <w:rPr>
          <w:rFonts w:ascii="Times New Roman" w:cs="Times New Roman" w:eastAsia="Times New Roman" w:hAnsi="Times New Roman"/>
          <w:sz w:val="14"/>
          <w:szCs w:val="14"/>
          <w:color w:val="auto"/>
        </w:rPr>
        <w:t>”), Navan Inc.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has granted you an Award of restricted stock units under the Company’s 2025 Equity Incentive Plan (the “</w:t>
      </w:r>
      <w:r>
        <w:rPr>
          <w:rFonts w:ascii="Times New Roman" w:cs="Times New Roman" w:eastAsia="Times New Roman" w:hAnsi="Times New Roman"/>
          <w:sz w:val="14"/>
          <w:szCs w:val="14"/>
          <w:b w:val="1"/>
          <w:bCs w:val="1"/>
          <w:i w:val="1"/>
          <w:iCs w:val="1"/>
          <w:color w:val="auto"/>
        </w:rPr>
        <w:t>Plan</w:t>
      </w:r>
      <w:r>
        <w:rPr>
          <w:rFonts w:ascii="Times New Roman" w:cs="Times New Roman" w:eastAsia="Times New Roman" w:hAnsi="Times New Roman"/>
          <w:sz w:val="14"/>
          <w:szCs w:val="14"/>
          <w:color w:val="auto"/>
        </w:rPr>
        <w:t xml:space="preserve">”) for the number of restricted stock units as indicated in your Grant Notice (the “ </w:t>
      </w:r>
      <w:r>
        <w:rPr>
          <w:rFonts w:ascii="Times New Roman" w:cs="Times New Roman" w:eastAsia="Times New Roman" w:hAnsi="Times New Roman"/>
          <w:sz w:val="14"/>
          <w:szCs w:val="14"/>
          <w:b w:val="1"/>
          <w:bCs w:val="1"/>
          <w:i w:val="1"/>
          <w:iCs w:val="1"/>
          <w:color w:val="auto"/>
        </w:rPr>
        <w:t>RSU Award</w:t>
      </w:r>
      <w:r>
        <w:rPr>
          <w:rFonts w:ascii="Times New Roman" w:cs="Times New Roman" w:eastAsia="Times New Roman" w:hAnsi="Times New Roman"/>
          <w:sz w:val="14"/>
          <w:szCs w:val="14"/>
          <w:color w:val="auto"/>
        </w:rPr>
        <w:t xml:space="preserve">”). The terms of your RSU Award as specified in this Restrict Stock Unit Award Agreement for your RSU Award (this “ </w:t>
      </w: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color w:val="auto"/>
        </w:rPr>
        <w:t xml:space="preserve">”) and the Grant Notice constitute your “ </w:t>
      </w:r>
      <w:r>
        <w:rPr>
          <w:rFonts w:ascii="Times New Roman" w:cs="Times New Roman" w:eastAsia="Times New Roman" w:hAnsi="Times New Roman"/>
          <w:sz w:val="14"/>
          <w:szCs w:val="14"/>
          <w:b w:val="1"/>
          <w:bCs w:val="1"/>
          <w:i w:val="1"/>
          <w:iCs w:val="1"/>
          <w:color w:val="auto"/>
        </w:rPr>
        <w:t>RSU Award Agreement</w:t>
      </w:r>
      <w:r>
        <w:rPr>
          <w:rFonts w:ascii="Times New Roman" w:cs="Times New Roman" w:eastAsia="Times New Roman" w:hAnsi="Times New Roman"/>
          <w:sz w:val="14"/>
          <w:szCs w:val="14"/>
          <w:color w:val="auto"/>
        </w:rPr>
        <w:t xml:space="preserve"> ”. Defined terms not explicitly defined in this Agreement but defined in the Grant Notice or the Plan will have the same definitions as in the Grant Notice or Plan, as applicable.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general terms applicable to your RSU Award are as follows:</w:t>
      </w:r>
    </w:p>
    <w:p>
      <w:pPr>
        <w:spacing w:after="0" w:line="162" w:lineRule="exact"/>
        <w:rPr>
          <w:sz w:val="20"/>
          <w:szCs w:val="20"/>
          <w:color w:val="auto"/>
        </w:rPr>
      </w:pPr>
    </w:p>
    <w:p>
      <w:pPr>
        <w:ind w:left="720" w:hanging="254"/>
        <w:spacing w:after="0"/>
        <w:tabs>
          <w:tab w:leader="none" w:pos="720" w:val="left"/>
        </w:tabs>
        <w:numPr>
          <w:ilvl w:val="0"/>
          <w:numId w:val="4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Governing Plan Document. </w:t>
      </w:r>
      <w:r>
        <w:rPr>
          <w:rFonts w:ascii="Times New Roman" w:cs="Times New Roman" w:eastAsia="Times New Roman" w:hAnsi="Times New Roman"/>
          <w:sz w:val="14"/>
          <w:szCs w:val="14"/>
          <w:color w:val="auto"/>
        </w:rPr>
        <w:t>Your RSU Award is subject to all the provisions of the Plan, including but not limited to the provisions in:</w:t>
      </w:r>
    </w:p>
    <w:p>
      <w:pPr>
        <w:spacing w:after="0" w:line="166" w:lineRule="exact"/>
        <w:rPr>
          <w:rFonts w:ascii="Times New Roman" w:cs="Times New Roman" w:eastAsia="Times New Roman" w:hAnsi="Times New Roman"/>
          <w:sz w:val="14"/>
          <w:szCs w:val="14"/>
          <w:b w:val="1"/>
          <w:bCs w:val="1"/>
          <w:color w:val="auto"/>
        </w:rPr>
      </w:pPr>
    </w:p>
    <w:p>
      <w:pPr>
        <w:ind w:left="1240" w:hanging="315"/>
        <w:spacing w:after="0"/>
        <w:tabs>
          <w:tab w:leader="none" w:pos="1240" w:val="left"/>
        </w:tabs>
        <w:numPr>
          <w:ilvl w:val="1"/>
          <w:numId w:val="4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Section 6 of the Plan regarding the impact of a Capitalization Adjustment, dissolution, liquidation, or Corporate Transaction on your RSU Award;</w:t>
      </w:r>
    </w:p>
    <w:p>
      <w:pPr>
        <w:spacing w:after="0" w:line="164" w:lineRule="exact"/>
        <w:rPr>
          <w:rFonts w:ascii="Times New Roman" w:cs="Times New Roman" w:eastAsia="Times New Roman" w:hAnsi="Times New Roman"/>
          <w:sz w:val="14"/>
          <w:szCs w:val="14"/>
          <w:b w:val="1"/>
          <w:bCs w:val="1"/>
          <w:color w:val="auto"/>
        </w:rPr>
      </w:pPr>
    </w:p>
    <w:p>
      <w:pPr>
        <w:ind w:left="1240" w:hanging="315"/>
        <w:spacing w:after="0"/>
        <w:tabs>
          <w:tab w:leader="none" w:pos="1240" w:val="left"/>
        </w:tabs>
        <w:numPr>
          <w:ilvl w:val="1"/>
          <w:numId w:val="4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Section 9(d) of the Plan regarding the Company’s retained rights to terminate your Continuous Service notwithstanding the grant of the RSU Award; and</w:t>
      </w:r>
    </w:p>
    <w:p>
      <w:pPr>
        <w:spacing w:after="0" w:line="164" w:lineRule="exact"/>
        <w:rPr>
          <w:rFonts w:ascii="Times New Roman" w:cs="Times New Roman" w:eastAsia="Times New Roman" w:hAnsi="Times New Roman"/>
          <w:sz w:val="14"/>
          <w:szCs w:val="14"/>
          <w:b w:val="1"/>
          <w:bCs w:val="1"/>
          <w:color w:val="auto"/>
        </w:rPr>
      </w:pPr>
    </w:p>
    <w:p>
      <w:pPr>
        <w:ind w:left="1240" w:hanging="315"/>
        <w:spacing w:after="0"/>
        <w:tabs>
          <w:tab w:leader="none" w:pos="1240" w:val="left"/>
        </w:tabs>
        <w:numPr>
          <w:ilvl w:val="1"/>
          <w:numId w:val="4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Section 8 of the Plan regarding the tax consequences of your RSU Award.</w:t>
      </w:r>
    </w:p>
    <w:p>
      <w:pPr>
        <w:spacing w:after="0" w:line="164"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4"/>
          <w:szCs w:val="14"/>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will control.</w:t>
      </w:r>
    </w:p>
    <w:p>
      <w:pPr>
        <w:spacing w:after="0" w:line="102" w:lineRule="exact"/>
        <w:rPr>
          <w:sz w:val="20"/>
          <w:szCs w:val="20"/>
          <w:color w:val="auto"/>
        </w:rPr>
      </w:pPr>
    </w:p>
    <w:p>
      <w:pPr>
        <w:jc w:val="both"/>
        <w:ind w:right="20" w:firstLine="466"/>
        <w:spacing w:after="0" w:line="266" w:lineRule="auto"/>
        <w:tabs>
          <w:tab w:leader="none" w:pos="734" w:val="left"/>
        </w:tabs>
        <w:numPr>
          <w:ilvl w:val="0"/>
          <w:numId w:val="4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Grant of the RSU Award. </w:t>
      </w:r>
      <w:r>
        <w:rPr>
          <w:rFonts w:ascii="Times New Roman" w:cs="Times New Roman" w:eastAsia="Times New Roman" w:hAnsi="Times New Roman"/>
          <w:sz w:val="14"/>
          <w:szCs w:val="14"/>
          <w:color w:val="auto"/>
        </w:rPr>
        <w:t>This RSU Award represents your right to be issued on a future date the number of Shares that is equal to the number of restricted stock units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indicated in the Grant Notice as modified to reflect any Capitalization Adjustment and subject to your satisfaction of the vesting conditions set forth therein (the “</w:t>
      </w:r>
      <w:r>
        <w:rPr>
          <w:rFonts w:ascii="Times New Roman" w:cs="Times New Roman" w:eastAsia="Times New Roman" w:hAnsi="Times New Roman"/>
          <w:sz w:val="14"/>
          <w:szCs w:val="14"/>
          <w:b w:val="1"/>
          <w:bCs w:val="1"/>
          <w:i w:val="1"/>
          <w:iCs w:val="1"/>
          <w:color w:val="auto"/>
        </w:rPr>
        <w:t>Restricted Stock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Units</w:t>
      </w:r>
      <w:r>
        <w:rPr>
          <w:rFonts w:ascii="Times New Roman" w:cs="Times New Roman" w:eastAsia="Times New Roman" w:hAnsi="Times New Roman"/>
          <w:sz w:val="14"/>
          <w:szCs w:val="14"/>
          <w:color w:val="auto"/>
        </w:rPr>
        <w:t>”). Any additional Restricted Stock Units that become subject to the RSU Award pursuant to Capitalization Adjustments as set forth in the Plan and the provisions of Section 3</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below, if any, will be subject, in a manner determined by the Board, to the same forfeiture restrictions, restrictions on transferability, and time and manner of delivery as applicable to the other Restricted Stock Units covered by your RSU Award.</w:t>
      </w:r>
    </w:p>
    <w:p>
      <w:pPr>
        <w:spacing w:after="0" w:line="122" w:lineRule="exact"/>
        <w:rPr>
          <w:rFonts w:ascii="Times New Roman" w:cs="Times New Roman" w:eastAsia="Times New Roman" w:hAnsi="Times New Roman"/>
          <w:sz w:val="14"/>
          <w:szCs w:val="14"/>
          <w:b w:val="1"/>
          <w:bCs w:val="1"/>
          <w:color w:val="auto"/>
        </w:rPr>
      </w:pPr>
    </w:p>
    <w:p>
      <w:pPr>
        <w:jc w:val="both"/>
        <w:ind w:right="40" w:firstLine="466"/>
        <w:spacing w:after="0" w:line="276" w:lineRule="auto"/>
        <w:tabs>
          <w:tab w:leader="none" w:pos="720" w:val="left"/>
        </w:tabs>
        <w:numPr>
          <w:ilvl w:val="0"/>
          <w:numId w:val="4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Dividends. </w:t>
      </w:r>
      <w:r>
        <w:rPr>
          <w:rFonts w:ascii="Times New Roman" w:cs="Times New Roman" w:eastAsia="Times New Roman" w:hAnsi="Times New Roman"/>
          <w:sz w:val="14"/>
          <w:szCs w:val="14"/>
          <w:color w:val="auto"/>
        </w:rPr>
        <w:t>You will receive no benefit or adjustment to this RSU Award with respect to any cash dividend, stock dividend or other distribution that does not result from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Capitalization Adjustment; provided, however, that this sentence will not apply with respect to any Shares that are delivered to you in connection with your RSU Award after the Shares have been delivered to you.</w:t>
      </w:r>
    </w:p>
    <w:p>
      <w:pPr>
        <w:spacing w:after="0" w:line="114" w:lineRule="exact"/>
        <w:rPr>
          <w:rFonts w:ascii="Times New Roman" w:cs="Times New Roman" w:eastAsia="Times New Roman" w:hAnsi="Times New Roman"/>
          <w:sz w:val="14"/>
          <w:szCs w:val="14"/>
          <w:b w:val="1"/>
          <w:bCs w:val="1"/>
          <w:color w:val="auto"/>
        </w:rPr>
      </w:pPr>
    </w:p>
    <w:p>
      <w:pPr>
        <w:ind w:left="720" w:hanging="254"/>
        <w:spacing w:after="0"/>
        <w:tabs>
          <w:tab w:leader="none" w:pos="720" w:val="left"/>
        </w:tabs>
        <w:numPr>
          <w:ilvl w:val="0"/>
          <w:numId w:val="4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Withholding Obligations.</w:t>
      </w:r>
    </w:p>
    <w:p>
      <w:pPr>
        <w:spacing w:after="0" w:line="166" w:lineRule="exact"/>
        <w:rPr>
          <w:rFonts w:ascii="Times New Roman" w:cs="Times New Roman" w:eastAsia="Times New Roman" w:hAnsi="Times New Roman"/>
          <w:sz w:val="14"/>
          <w:szCs w:val="14"/>
          <w:b w:val="1"/>
          <w:bCs w:val="1"/>
          <w:color w:val="auto"/>
        </w:rPr>
      </w:pPr>
    </w:p>
    <w:p>
      <w:pPr>
        <w:ind w:right="20" w:firstLine="925"/>
        <w:spacing w:after="0" w:line="293" w:lineRule="auto"/>
        <w:tabs>
          <w:tab w:leader="none" w:pos="1244" w:val="left"/>
        </w:tabs>
        <w:numPr>
          <w:ilvl w:val="1"/>
          <w:numId w:val="4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further provided in Section 8 of the Plan, you hereby authorize withholding from payroll and any other amounts payable to you, and otherwise agree to make adequate provision for, any sums required to satisfy the withholding obligation for Tax-Related Items, if any, which arise in</w:t>
      </w:r>
    </w:p>
    <w:p>
      <w:pPr>
        <w:sectPr>
          <w:pgSz w:w="11900" w:h="16840" w:orient="portrait"/>
          <w:cols w:equalWidth="0" w:num="1">
            <w:col w:w="10620"/>
          </w:cols>
          <w:pgMar w:left="640" w:top="1440" w:right="640" w:bottom="1440" w:gutter="0" w:footer="0" w:header="0"/>
        </w:sectPr>
      </w:pPr>
    </w:p>
    <w:bookmarkStart w:id="373" w:name="page374"/>
    <w:bookmarkEnd w:id="373"/>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connection with your RSU Award (the “ </w:t>
      </w:r>
      <w:r>
        <w:rPr>
          <w:rFonts w:ascii="Times New Roman" w:cs="Times New Roman" w:eastAsia="Times New Roman" w:hAnsi="Times New Roman"/>
          <w:sz w:val="14"/>
          <w:szCs w:val="14"/>
          <w:b w:val="1"/>
          <w:bCs w:val="1"/>
          <w:i w:val="1"/>
          <w:iCs w:val="1"/>
          <w:color w:val="auto"/>
        </w:rPr>
        <w:t>Withholding Obligation</w:t>
      </w:r>
      <w:r>
        <w:rPr>
          <w:rFonts w:ascii="Times New Roman" w:cs="Times New Roman" w:eastAsia="Times New Roman" w:hAnsi="Times New Roman"/>
          <w:sz w:val="14"/>
          <w:szCs w:val="14"/>
          <w:color w:val="auto"/>
        </w:rPr>
        <w:t>”) in accordance with the withholding procedures established by the Company.</w:t>
      </w:r>
    </w:p>
    <w:p>
      <w:pPr>
        <w:spacing w:after="0" w:line="166" w:lineRule="exact"/>
        <w:rPr>
          <w:sz w:val="20"/>
          <w:szCs w:val="20"/>
          <w:color w:val="auto"/>
        </w:rPr>
      </w:pPr>
    </w:p>
    <w:p>
      <w:pPr>
        <w:jc w:val="both"/>
        <w:ind w:right="20" w:firstLine="925"/>
        <w:spacing w:after="0" w:line="270" w:lineRule="auto"/>
        <w:tabs>
          <w:tab w:leader="none" w:pos="985" w:val="left"/>
        </w:tabs>
        <w:numPr>
          <w:ilvl w:val="0"/>
          <w:numId w:val="4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 ) </w:t>
      </w:r>
      <w:r>
        <w:rPr>
          <w:rFonts w:ascii="Times New Roman" w:cs="Times New Roman" w:eastAsia="Times New Roman" w:hAnsi="Times New Roman"/>
          <w:sz w:val="14"/>
          <w:szCs w:val="14"/>
          <w:color w:val="auto"/>
        </w:rPr>
        <w:t>Until determined otherwise by the Committee, any Withholding Obligation will be satisfied by you entering into a “same day sale” commitment, process,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arrangement as determined by the Company, including, with a broker-dealer, whereby you irrevocably elect to sell a portion of the shares of Common Stock to be issued in connection with your RSU Award to satisfy the Withholding Obligation and the proceeds necessary to satisfy the Withholding Obligation are irrevocably committed to be forwarded directly to the Company and/or its Affiliates whereby the Company will remit such amounts to the appropriate tax authorities (a “</w:t>
      </w:r>
      <w:r>
        <w:rPr>
          <w:rFonts w:ascii="Times New Roman" w:cs="Times New Roman" w:eastAsia="Times New Roman" w:hAnsi="Times New Roman"/>
          <w:sz w:val="14"/>
          <w:szCs w:val="14"/>
          <w:b w:val="1"/>
          <w:bCs w:val="1"/>
          <w:i w:val="1"/>
          <w:iCs w:val="1"/>
          <w:color w:val="auto"/>
        </w:rPr>
        <w:t>Sell to Cover</w:t>
      </w:r>
      <w:r>
        <w:rPr>
          <w:rFonts w:ascii="Times New Roman" w:cs="Times New Roman" w:eastAsia="Times New Roman" w:hAnsi="Times New Roman"/>
          <w:sz w:val="14"/>
          <w:szCs w:val="14"/>
          <w:color w:val="auto"/>
        </w:rPr>
        <w:t>” arrangement).</w:t>
      </w:r>
    </w:p>
    <w:p>
      <w:pPr>
        <w:spacing w:after="0" w:line="120" w:lineRule="exact"/>
        <w:rPr>
          <w:sz w:val="20"/>
          <w:szCs w:val="20"/>
          <w:color w:val="auto"/>
        </w:rPr>
      </w:pPr>
    </w:p>
    <w:p>
      <w:pPr>
        <w:jc w:val="both"/>
        <w:ind w:firstLine="925"/>
        <w:spacing w:after="0" w:line="262" w:lineRule="auto"/>
        <w:tabs>
          <w:tab w:leader="none" w:pos="1244" w:val="left"/>
        </w:tabs>
        <w:numPr>
          <w:ilvl w:val="1"/>
          <w:numId w:val="4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Unless the Withholding Obligation is satisfied, the Company will have no obligation to deliver to you any Shares in respect of the RSU Award. In the event the Withholding Obligation of the Company or, if different, your employer or any Affiliate or Subsidiary to which you are providing services (together, the “ </w:t>
      </w:r>
      <w:r>
        <w:rPr>
          <w:rFonts w:ascii="Times New Roman" w:cs="Times New Roman" w:eastAsia="Times New Roman" w:hAnsi="Times New Roman"/>
          <w:sz w:val="14"/>
          <w:szCs w:val="14"/>
          <w:b w:val="1"/>
          <w:bCs w:val="1"/>
          <w:i w:val="1"/>
          <w:iCs w:val="1"/>
          <w:color w:val="auto"/>
        </w:rPr>
        <w:t>Service Recipients</w:t>
      </w:r>
      <w:r>
        <w:rPr>
          <w:rFonts w:ascii="Times New Roman" w:cs="Times New Roman" w:eastAsia="Times New Roman" w:hAnsi="Times New Roman"/>
          <w:sz w:val="14"/>
          <w:szCs w:val="14"/>
          <w:color w:val="auto"/>
        </w:rPr>
        <w:t>”) arises prior to the delivery to you of Shares or it is determined after the delivery of Shares to you that the amount of the Withholding Obligation was greater than the amount withheld by the Company, you agree to indemnify and hold the Company harmless from any failure by the Company to withhold the proper amount. If you fail to make adequate arrangements for the satisfaction of the Withholding Obligation at the time any applicable Restricted Stock Units otherwise are scheduled to vest pursuant or the Withholding Obligation otherwise becomes due, you permanently will forfeit the Restricted Stock Units to which the Withholding Obligation relates (and any right to receive Shares under the Restricted Stock Units) and the Restricted Stock Units will be returned to the Company at no cost to the Company.</w:t>
      </w:r>
    </w:p>
    <w:p>
      <w:pPr>
        <w:spacing w:after="0" w:line="126" w:lineRule="exact"/>
        <w:rPr>
          <w:rFonts w:ascii="Times New Roman" w:cs="Times New Roman" w:eastAsia="Times New Roman" w:hAnsi="Times New Roman"/>
          <w:sz w:val="14"/>
          <w:szCs w:val="14"/>
          <w:b w:val="1"/>
          <w:bCs w:val="1"/>
          <w:color w:val="auto"/>
        </w:rPr>
      </w:pPr>
    </w:p>
    <w:p>
      <w:pPr>
        <w:jc w:val="both"/>
        <w:ind w:right="20" w:firstLine="466"/>
        <w:spacing w:after="0" w:line="268" w:lineRule="auto"/>
        <w:tabs>
          <w:tab w:leader="none" w:pos="787" w:val="left"/>
        </w:tabs>
        <w:numPr>
          <w:ilvl w:val="0"/>
          <w:numId w:val="4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Date of Issuance. </w:t>
      </w:r>
      <w:r>
        <w:rPr>
          <w:rFonts w:ascii="Times New Roman" w:cs="Times New Roman" w:eastAsia="Times New Roman" w:hAnsi="Times New Roman"/>
          <w:sz w:val="14"/>
          <w:szCs w:val="14"/>
          <w:color w:val="auto"/>
        </w:rPr>
        <w:t>The issuance of Shares in respect of the Restricted Stock Units is intended to be exempt from Section 409A (and, to the extent not so exempt,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compliance with the requirements of Section 409A) and will be construed and administered in that manner. Subject to Section 4 and Section 9(m) of the Plan, in the event one or more Restricted Stock Units vests, the Company will issue to you Share(s) for the Restricted Stock Unit(s) that vest as soon as practicable after vesting, but in each case within 60 days following the vesting date. In no event will you be permitted, directly or indirectly, to specify the taxable year of payment of any Restricted Stock Units payable under this RSU Award Agreement.</w:t>
      </w:r>
    </w:p>
    <w:p>
      <w:pPr>
        <w:spacing w:after="0" w:line="295" w:lineRule="exact"/>
        <w:rPr>
          <w:rFonts w:ascii="Times New Roman" w:cs="Times New Roman" w:eastAsia="Times New Roman" w:hAnsi="Times New Roman"/>
          <w:sz w:val="14"/>
          <w:szCs w:val="14"/>
          <w:b w:val="1"/>
          <w:bCs w:val="1"/>
          <w:color w:val="auto"/>
        </w:rPr>
      </w:pPr>
    </w:p>
    <w:p>
      <w:pPr>
        <w:ind w:left="720" w:hanging="254"/>
        <w:spacing w:after="0"/>
        <w:tabs>
          <w:tab w:leader="none" w:pos="720" w:val="left"/>
        </w:tabs>
        <w:numPr>
          <w:ilvl w:val="0"/>
          <w:numId w:val="4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Transferability. </w:t>
      </w:r>
      <w:r>
        <w:rPr>
          <w:rFonts w:ascii="Times New Roman" w:cs="Times New Roman" w:eastAsia="Times New Roman" w:hAnsi="Times New Roman"/>
          <w:sz w:val="14"/>
          <w:szCs w:val="14"/>
          <w:color w:val="auto"/>
        </w:rPr>
        <w:t>Except as otherwise provided in the Plan, your RSU Award is not transferable, except by will or by the applicable laws of descent and distribution.</w:t>
      </w:r>
    </w:p>
    <w:p>
      <w:pPr>
        <w:spacing w:after="0" w:line="164" w:lineRule="exact"/>
        <w:rPr>
          <w:rFonts w:ascii="Times New Roman" w:cs="Times New Roman" w:eastAsia="Times New Roman" w:hAnsi="Times New Roman"/>
          <w:sz w:val="14"/>
          <w:szCs w:val="14"/>
          <w:b w:val="1"/>
          <w:bCs w:val="1"/>
          <w:color w:val="auto"/>
        </w:rPr>
      </w:pPr>
    </w:p>
    <w:p>
      <w:pPr>
        <w:jc w:val="both"/>
        <w:ind w:right="20" w:firstLine="466"/>
        <w:spacing w:after="0" w:line="289" w:lineRule="auto"/>
        <w:tabs>
          <w:tab w:leader="none" w:pos="802" w:val="left"/>
        </w:tabs>
        <w:numPr>
          <w:ilvl w:val="0"/>
          <w:numId w:val="4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Corporate Transaction. </w:t>
      </w:r>
      <w:r>
        <w:rPr>
          <w:rFonts w:ascii="Times New Roman" w:cs="Times New Roman" w:eastAsia="Times New Roman" w:hAnsi="Times New Roman"/>
          <w:sz w:val="14"/>
          <w:szCs w:val="14"/>
          <w:color w:val="auto"/>
        </w:rPr>
        <w:t>Your RSU Award is subject to the terms of any agreement governing a Corporate Transaction involving the Company, including, without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limitation, a provision for the appointment of a stockholder representative that is authorized to act on your behalf with respect to any escrow, indemnities and any contingent consideration.</w:t>
      </w:r>
    </w:p>
    <w:p>
      <w:pPr>
        <w:spacing w:after="0" w:line="282" w:lineRule="exact"/>
        <w:rPr>
          <w:rFonts w:ascii="Times New Roman" w:cs="Times New Roman" w:eastAsia="Times New Roman" w:hAnsi="Times New Roman"/>
          <w:sz w:val="14"/>
          <w:szCs w:val="14"/>
          <w:b w:val="1"/>
          <w:bCs w:val="1"/>
          <w:color w:val="auto"/>
        </w:rPr>
      </w:pPr>
    </w:p>
    <w:p>
      <w:pPr>
        <w:jc w:val="both"/>
        <w:ind w:right="40" w:firstLine="466"/>
        <w:spacing w:after="0" w:line="273" w:lineRule="auto"/>
        <w:tabs>
          <w:tab w:leader="none" w:pos="738" w:val="left"/>
        </w:tabs>
        <w:numPr>
          <w:ilvl w:val="0"/>
          <w:numId w:val="4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 Liability for Taxes. </w:t>
      </w:r>
      <w:r>
        <w:rPr>
          <w:rFonts w:ascii="Times New Roman" w:cs="Times New Roman" w:eastAsia="Times New Roman" w:hAnsi="Times New Roman"/>
          <w:sz w:val="14"/>
          <w:szCs w:val="14"/>
          <w:color w:val="auto"/>
        </w:rPr>
        <w:t>As a condition to accepting the RSU Award, you hereby (a) agree to not make any claim against the Company, or any of its Officers, Directors,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Employees or Affiliates or Subsidiaries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ectPr>
          <w:pgSz w:w="11900" w:h="16840" w:orient="portrait"/>
          <w:cols w:equalWidth="0" w:num="1">
            <w:col w:w="10620"/>
          </w:cols>
          <w:pgMar w:left="640" w:top="1440" w:right="640" w:bottom="1440" w:gutter="0" w:footer="0" w:header="0"/>
        </w:sectPr>
      </w:pPr>
    </w:p>
    <w:bookmarkStart w:id="374" w:name="page375"/>
    <w:bookmarkEnd w:id="374"/>
    <w:p>
      <w:pPr>
        <w:spacing w:after="0" w:line="37" w:lineRule="exact"/>
        <w:rPr>
          <w:sz w:val="20"/>
          <w:szCs w:val="20"/>
          <w:color w:val="auto"/>
        </w:rPr>
      </w:pPr>
    </w:p>
    <w:p>
      <w:pPr>
        <w:jc w:val="both"/>
        <w:ind w:left="-466" w:right="40" w:firstLine="466"/>
        <w:spacing w:after="0" w:line="276" w:lineRule="auto"/>
        <w:tabs>
          <w:tab w:leader="none" w:pos="308" w:val="left"/>
        </w:tabs>
        <w:numPr>
          <w:ilvl w:val="0"/>
          <w:numId w:val="4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Death of Participant. </w:t>
      </w:r>
      <w:r>
        <w:rPr>
          <w:rFonts w:ascii="Times New Roman" w:cs="Times New Roman" w:eastAsia="Times New Roman" w:hAnsi="Times New Roman"/>
          <w:sz w:val="14"/>
          <w:szCs w:val="14"/>
          <w:color w:val="auto"/>
        </w:rPr>
        <w:t>Any distribution or delivery to be made to you under this RSU Award Agreement, if you are then deceased, will be made to your designated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beneficiary, or if no beneficiary survives you, the administrator or executor of your estate. Any transferee must furnish the Company with (a) written notice of the person’s status as a transferee, and (b) evidence satisfactory to the Company to establish the validity of the transfer and compliance with any laws or regulations pertaining to the transfer.</w:t>
      </w:r>
    </w:p>
    <w:p>
      <w:pPr>
        <w:spacing w:after="0" w:line="114" w:lineRule="exact"/>
        <w:rPr>
          <w:rFonts w:ascii="Times New Roman" w:cs="Times New Roman" w:eastAsia="Times New Roman" w:hAnsi="Times New Roman"/>
          <w:sz w:val="14"/>
          <w:szCs w:val="14"/>
          <w:b w:val="1"/>
          <w:bCs w:val="1"/>
          <w:color w:val="auto"/>
        </w:rPr>
      </w:pPr>
    </w:p>
    <w:p>
      <w:pPr>
        <w:ind w:left="314" w:hanging="314"/>
        <w:spacing w:after="0"/>
        <w:tabs>
          <w:tab w:leader="none" w:pos="314" w:val="left"/>
        </w:tabs>
        <w:numPr>
          <w:ilvl w:val="0"/>
          <w:numId w:val="4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Nature of Grant. </w:t>
      </w:r>
      <w:r>
        <w:rPr>
          <w:rFonts w:ascii="Times New Roman" w:cs="Times New Roman" w:eastAsia="Times New Roman" w:hAnsi="Times New Roman"/>
          <w:sz w:val="14"/>
          <w:szCs w:val="14"/>
          <w:color w:val="auto"/>
        </w:rPr>
        <w:t>In accepting this RSU Award, you acknowledge, understand, and agree that:</w:t>
      </w:r>
    </w:p>
    <w:p>
      <w:pPr>
        <w:spacing w:after="0" w:line="164" w:lineRule="exact"/>
        <w:rPr>
          <w:sz w:val="20"/>
          <w:szCs w:val="20"/>
          <w:color w:val="auto"/>
        </w:rPr>
      </w:pPr>
    </w:p>
    <w:p>
      <w:pPr>
        <w:ind w:left="-466" w:right="40" w:firstLine="925"/>
        <w:spacing w:after="0" w:line="296" w:lineRule="auto"/>
        <w:tabs>
          <w:tab w:leader="none" w:pos="524" w:val="left"/>
        </w:tabs>
        <w:numPr>
          <w:ilvl w:val="0"/>
          <w:numId w:val="4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 ) </w:t>
      </w:r>
      <w:r>
        <w:rPr>
          <w:rFonts w:ascii="Times New Roman" w:cs="Times New Roman" w:eastAsia="Times New Roman" w:hAnsi="Times New Roman"/>
          <w:sz w:val="14"/>
          <w:szCs w:val="14"/>
          <w:color w:val="auto"/>
        </w:rPr>
        <w:t>the grant of the RSU Award is voluntary and occasional and does not create any contractual or other right to receive future grants of restricted stock units,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benefits in lieu of restricted stock units, even if restricted stock units have been granted in the past;</w:t>
      </w:r>
    </w:p>
    <w:p>
      <w:pPr>
        <w:spacing w:after="0" w:line="102" w:lineRule="exact"/>
        <w:rPr>
          <w:sz w:val="20"/>
          <w:szCs w:val="20"/>
          <w:color w:val="auto"/>
        </w:rPr>
      </w:pPr>
    </w:p>
    <w:p>
      <w:pPr>
        <w:ind w:left="774" w:hanging="315"/>
        <w:spacing w:after="0"/>
        <w:tabs>
          <w:tab w:leader="none" w:pos="774" w:val="left"/>
        </w:tabs>
        <w:numPr>
          <w:ilvl w:val="0"/>
          <w:numId w:val="4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all decisions with respect to future restricted stock units or other grants, if any, will be at the sole discretion of the Board;</w:t>
      </w:r>
    </w:p>
    <w:p>
      <w:pPr>
        <w:spacing w:after="0" w:line="164" w:lineRule="exact"/>
        <w:rPr>
          <w:rFonts w:ascii="Times New Roman" w:cs="Times New Roman" w:eastAsia="Times New Roman" w:hAnsi="Times New Roman"/>
          <w:sz w:val="14"/>
          <w:szCs w:val="14"/>
          <w:b w:val="1"/>
          <w:bCs w:val="1"/>
          <w:color w:val="auto"/>
        </w:rPr>
      </w:pPr>
    </w:p>
    <w:p>
      <w:pPr>
        <w:ind w:left="774" w:hanging="315"/>
        <w:spacing w:after="0"/>
        <w:tabs>
          <w:tab w:leader="none" w:pos="774" w:val="left"/>
        </w:tabs>
        <w:numPr>
          <w:ilvl w:val="0"/>
          <w:numId w:val="4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you are voluntarily participating in the Plan;</w:t>
      </w:r>
    </w:p>
    <w:p>
      <w:pPr>
        <w:spacing w:after="0" w:line="164" w:lineRule="exact"/>
        <w:rPr>
          <w:rFonts w:ascii="Times New Roman" w:cs="Times New Roman" w:eastAsia="Times New Roman" w:hAnsi="Times New Roman"/>
          <w:sz w:val="14"/>
          <w:szCs w:val="14"/>
          <w:b w:val="1"/>
          <w:bCs w:val="1"/>
          <w:color w:val="auto"/>
        </w:rPr>
      </w:pPr>
    </w:p>
    <w:p>
      <w:pPr>
        <w:ind w:left="774" w:hanging="315"/>
        <w:spacing w:after="0"/>
        <w:tabs>
          <w:tab w:leader="none" w:pos="774" w:val="left"/>
        </w:tabs>
        <w:numPr>
          <w:ilvl w:val="0"/>
          <w:numId w:val="4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Restricted Stock Units and the Shares subject to the Restricted Stock Units are not intended to replace any pension rights or compensation;</w:t>
      </w:r>
    </w:p>
    <w:p>
      <w:pPr>
        <w:spacing w:after="0" w:line="164" w:lineRule="exact"/>
        <w:rPr>
          <w:rFonts w:ascii="Times New Roman" w:cs="Times New Roman" w:eastAsia="Times New Roman" w:hAnsi="Times New Roman"/>
          <w:sz w:val="14"/>
          <w:szCs w:val="14"/>
          <w:b w:val="1"/>
          <w:bCs w:val="1"/>
          <w:color w:val="auto"/>
        </w:rPr>
      </w:pPr>
    </w:p>
    <w:p>
      <w:pPr>
        <w:jc w:val="both"/>
        <w:ind w:left="-466" w:firstLine="925"/>
        <w:spacing w:after="0" w:line="275" w:lineRule="auto"/>
        <w:tabs>
          <w:tab w:leader="none" w:pos="759" w:val="left"/>
        </w:tabs>
        <w:numPr>
          <w:ilvl w:val="0"/>
          <w:numId w:val="4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16" w:lineRule="exact"/>
        <w:rPr>
          <w:rFonts w:ascii="Times New Roman" w:cs="Times New Roman" w:eastAsia="Times New Roman" w:hAnsi="Times New Roman"/>
          <w:sz w:val="14"/>
          <w:szCs w:val="14"/>
          <w:b w:val="1"/>
          <w:bCs w:val="1"/>
          <w:color w:val="auto"/>
        </w:rPr>
      </w:pPr>
    </w:p>
    <w:p>
      <w:pPr>
        <w:ind w:left="754" w:hanging="295"/>
        <w:spacing w:after="0"/>
        <w:tabs>
          <w:tab w:leader="none" w:pos="754" w:val="left"/>
        </w:tabs>
        <w:numPr>
          <w:ilvl w:val="0"/>
          <w:numId w:val="4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future value of the Shares underlying the Restricted Stock Units is unknown, indeterminable, and cannot be predicted;</w:t>
      </w:r>
    </w:p>
    <w:p>
      <w:pPr>
        <w:spacing w:after="0" w:line="164" w:lineRule="exact"/>
        <w:rPr>
          <w:rFonts w:ascii="Times New Roman" w:cs="Times New Roman" w:eastAsia="Times New Roman" w:hAnsi="Times New Roman"/>
          <w:sz w:val="14"/>
          <w:szCs w:val="14"/>
          <w:b w:val="1"/>
          <w:bCs w:val="1"/>
          <w:color w:val="auto"/>
        </w:rPr>
      </w:pPr>
    </w:p>
    <w:p>
      <w:pPr>
        <w:jc w:val="both"/>
        <w:ind w:left="-466" w:firstLine="925"/>
        <w:spacing w:after="0" w:line="262" w:lineRule="auto"/>
        <w:tabs>
          <w:tab w:leader="none" w:pos="778" w:val="left"/>
        </w:tabs>
        <w:numPr>
          <w:ilvl w:val="0"/>
          <w:numId w:val="4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purposes of the Restricted Stock Units, your Continuous Service will be considered terminated as of the date you are no longer actively providing services to the Company or any Affiliate or Subsidiary (regardless of the reason for the termination and whether or not later found to be invalid or in breach of employment laws in the jurisdiction where you are providing Continuous Service or the terms of your employment or service agreement, if any), and unless otherwise expressly provided in this RSU Award Agreement (including by reference in the Grant Notice to other arrangements or contracts) or determined by the Board, your right to vest in the Restricted Stock Units under the Plan, if any, will terminate as of that date and will not be extended by any notice period (e.g., your period of service would not include any contractual notice period or any period of “garden leave” or similar period mandated under employment laws in the jurisdiction where you are providing Continuous Service or the terms of your employment or service agreement, if any, unless you are providing bona fide services during that time); the Board will have the exclusive discretion to determine when you are no longer actively providing services for purposes of this RSU Award (including whether you may still be considered to be providing services while on a leave of absence and consistent with local law); and</w:t>
      </w:r>
    </w:p>
    <w:p>
      <w:pPr>
        <w:spacing w:after="0" w:line="125" w:lineRule="exact"/>
        <w:rPr>
          <w:rFonts w:ascii="Times New Roman" w:cs="Times New Roman" w:eastAsia="Times New Roman" w:hAnsi="Times New Roman"/>
          <w:sz w:val="14"/>
          <w:szCs w:val="14"/>
          <w:b w:val="1"/>
          <w:bCs w:val="1"/>
          <w:color w:val="auto"/>
        </w:rPr>
      </w:pPr>
    </w:p>
    <w:p>
      <w:pPr>
        <w:jc w:val="both"/>
        <w:ind w:left="-466" w:firstLine="925"/>
        <w:spacing w:after="0" w:line="275" w:lineRule="auto"/>
        <w:tabs>
          <w:tab w:leader="none" w:pos="768" w:val="left"/>
        </w:tabs>
        <w:numPr>
          <w:ilvl w:val="0"/>
          <w:numId w:val="4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unless otherwise provided in the Plan or by the Board in its discretion, the Restricted Stock Units and the benefits evidenced by this RSU Award Agreement do not create any entitlement to have the Restricted Stock Units or any of the benefits transferred to, or assumed by, another company nor be exchanged, cashed out or substituted for, in connection with any corporate transaction affecting the Shares.</w:t>
      </w:r>
    </w:p>
    <w:p>
      <w:pPr>
        <w:sectPr>
          <w:pgSz w:w="11900" w:h="16840" w:orient="portrait"/>
          <w:cols w:equalWidth="0" w:num="1">
            <w:col w:w="10154"/>
          </w:cols>
          <w:pgMar w:left="1106" w:top="1440" w:right="640" w:bottom="1440" w:gutter="0" w:footer="0" w:header="0"/>
        </w:sectPr>
      </w:pPr>
    </w:p>
    <w:bookmarkStart w:id="375" w:name="page376"/>
    <w:bookmarkEnd w:id="375"/>
    <w:p>
      <w:pPr>
        <w:spacing w:after="0" w:line="37" w:lineRule="exact"/>
        <w:rPr>
          <w:sz w:val="20"/>
          <w:szCs w:val="20"/>
          <w:color w:val="auto"/>
        </w:rPr>
      </w:pPr>
    </w:p>
    <w:p>
      <w:pPr>
        <w:ind w:left="-466" w:firstLine="466"/>
        <w:spacing w:after="0" w:line="266" w:lineRule="auto"/>
        <w:tabs>
          <w:tab w:leader="none" w:pos="322" w:val="left"/>
        </w:tabs>
        <w:numPr>
          <w:ilvl w:val="0"/>
          <w:numId w:val="4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Country Addendum </w:t>
      </w:r>
      <w:r>
        <w:rPr>
          <w:rFonts w:ascii="Times New Roman" w:cs="Times New Roman" w:eastAsia="Times New Roman" w:hAnsi="Times New Roman"/>
          <w:sz w:val="14"/>
          <w:szCs w:val="14"/>
          <w:color w:val="auto"/>
        </w:rPr>
        <w:t>. Notwithstanding any provisions in this RSU Award Agreement, the RSU Award will be subject to any special terms and conditions set forth in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appendix (if any) to this RSU Award Agreement for any country whose laws are applicable to you and this RSU Award (as determined by the Board in its sole discretion) (the “</w:t>
      </w:r>
      <w:r>
        <w:rPr>
          <w:rFonts w:ascii="Times New Roman" w:cs="Times New Roman" w:eastAsia="Times New Roman" w:hAnsi="Times New Roman"/>
          <w:sz w:val="14"/>
          <w:szCs w:val="14"/>
          <w:b w:val="1"/>
          <w:bCs w:val="1"/>
          <w:i w:val="1"/>
          <w:iCs w:val="1"/>
          <w:color w:val="auto"/>
        </w:rPr>
        <w:t>Country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Addendum</w:t>
      </w:r>
      <w:r>
        <w:rPr>
          <w:rFonts w:ascii="Times New Roman" w:cs="Times New Roman" w:eastAsia="Times New Roman" w:hAnsi="Times New Roman"/>
          <w:sz w:val="14"/>
          <w:szCs w:val="14"/>
          <w:color w:val="auto"/>
        </w:rPr>
        <w:t>”). Moreover, if you relocate to one of the countries included in the Country Addendum (if any), the special terms and conditions for that country will apply to you, to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extent the Company determines that the application of those terms and conditions is necessary or advisable for legal or administrative reasons. The Country Addendum (if any) constitutes a part of this RSU Award Agreement.</w:t>
      </w:r>
    </w:p>
    <w:p>
      <w:pPr>
        <w:spacing w:after="0" w:line="122" w:lineRule="exact"/>
        <w:rPr>
          <w:rFonts w:ascii="Times New Roman" w:cs="Times New Roman" w:eastAsia="Times New Roman" w:hAnsi="Times New Roman"/>
          <w:sz w:val="14"/>
          <w:szCs w:val="14"/>
          <w:b w:val="1"/>
          <w:bCs w:val="1"/>
          <w:color w:val="auto"/>
        </w:rPr>
      </w:pPr>
    </w:p>
    <w:p>
      <w:pPr>
        <w:jc w:val="both"/>
        <w:ind w:left="-466" w:firstLine="466"/>
        <w:spacing w:after="0" w:line="276" w:lineRule="auto"/>
        <w:tabs>
          <w:tab w:leader="none" w:pos="316" w:val="left"/>
        </w:tabs>
        <w:numPr>
          <w:ilvl w:val="0"/>
          <w:numId w:val="4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Severability. </w:t>
      </w:r>
      <w:r>
        <w:rPr>
          <w:rFonts w:ascii="Times New Roman" w:cs="Times New Roman" w:eastAsia="Times New Roman" w:hAnsi="Times New Roman"/>
          <w:sz w:val="14"/>
          <w:szCs w:val="14"/>
          <w:color w:val="auto"/>
        </w:rPr>
        <w:t>If any part of this Agreement or the Plan is declared by any court or governmental authority to be unlawful or invalid, that unlawfulness or invalidity will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invalidate any portion of this Agreement or the Plan not declared to be unlawful or invalid. Any Section (or part of a Section) of this Agreement so declared to be unlawful or invalid will, if possible, be construed in a manner which will give effect to the terms of the Section or part of a Section to the fullest extent possible while remaining lawful and valid.</w:t>
      </w:r>
    </w:p>
    <w:p>
      <w:pPr>
        <w:spacing w:after="0" w:line="114" w:lineRule="exact"/>
        <w:rPr>
          <w:rFonts w:ascii="Times New Roman" w:cs="Times New Roman" w:eastAsia="Times New Roman" w:hAnsi="Times New Roman"/>
          <w:sz w:val="14"/>
          <w:szCs w:val="14"/>
          <w:b w:val="1"/>
          <w:bCs w:val="1"/>
          <w:color w:val="auto"/>
        </w:rPr>
      </w:pPr>
    </w:p>
    <w:p>
      <w:pPr>
        <w:ind w:left="-466" w:right="20" w:firstLine="466"/>
        <w:spacing w:after="0" w:line="296" w:lineRule="auto"/>
        <w:tabs>
          <w:tab w:leader="none" w:pos="347" w:val="left"/>
        </w:tabs>
        <w:numPr>
          <w:ilvl w:val="0"/>
          <w:numId w:val="4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Other Documents. </w:t>
      </w:r>
      <w:r>
        <w:rPr>
          <w:rFonts w:ascii="Times New Roman" w:cs="Times New Roman" w:eastAsia="Times New Roman" w:hAnsi="Times New Roman"/>
          <w:sz w:val="14"/>
          <w:szCs w:val="14"/>
          <w:color w:val="auto"/>
        </w:rPr>
        <w:t>You hereby acknowledge receipt of or the right to receive a document providing the information required by Rule 428(b)(1) promulgated under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Securities Act, which includes the Prospectus. In addition, you acknowledge receipt of the Trading Policy.</w:t>
      </w:r>
    </w:p>
    <w:p>
      <w:pPr>
        <w:spacing w:after="0" w:line="100" w:lineRule="exact"/>
        <w:rPr>
          <w:rFonts w:ascii="Times New Roman" w:cs="Times New Roman" w:eastAsia="Times New Roman" w:hAnsi="Times New Roman"/>
          <w:sz w:val="14"/>
          <w:szCs w:val="14"/>
          <w:b w:val="1"/>
          <w:bCs w:val="1"/>
          <w:color w:val="auto"/>
        </w:rPr>
      </w:pPr>
    </w:p>
    <w:p>
      <w:pPr>
        <w:ind w:left="-466" w:right="40" w:firstLine="466"/>
        <w:spacing w:after="0" w:line="296" w:lineRule="auto"/>
        <w:tabs>
          <w:tab w:leader="none" w:pos="316" w:val="left"/>
        </w:tabs>
        <w:numPr>
          <w:ilvl w:val="0"/>
          <w:numId w:val="4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Questions. </w:t>
      </w:r>
      <w:r>
        <w:rPr>
          <w:rFonts w:ascii="Times New Roman" w:cs="Times New Roman" w:eastAsia="Times New Roman" w:hAnsi="Times New Roman"/>
          <w:sz w:val="14"/>
          <w:szCs w:val="14"/>
          <w:color w:val="auto"/>
        </w:rPr>
        <w:t>If you have questions regarding these or any other terms and conditions applicable to your RSU Award, including a summary of the applicable federal income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tax consequences please see the Prospectus.</w:t>
      </w:r>
    </w:p>
    <w:p>
      <w:pPr>
        <w:sectPr>
          <w:pgSz w:w="11900" w:h="16840" w:orient="portrait"/>
          <w:cols w:equalWidth="0" w:num="1">
            <w:col w:w="10154"/>
          </w:cols>
          <w:pgMar w:left="1106" w:top="1440" w:right="640" w:bottom="1440" w:gutter="0" w:footer="0" w:header="0"/>
        </w:sectPr>
      </w:pPr>
    </w:p>
    <w:bookmarkStart w:id="376" w:name="page377"/>
    <w:bookmarkEnd w:id="376"/>
    <w:p>
      <w:pPr>
        <w:spacing w:after="0" w:line="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APPENDIX A</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NAVAN,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2025 EQUITY INCENTIVE PLAN</w:t>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COUNTRY ADDENDUM TO RESTRICTED STOCK UNIT AWARD AGREEMENT</w:t>
      </w:r>
    </w:p>
    <w:p>
      <w:pPr>
        <w:spacing w:after="0" w:line="147" w:lineRule="exact"/>
        <w:rPr>
          <w:sz w:val="20"/>
          <w:szCs w:val="20"/>
          <w:color w:val="auto"/>
        </w:rPr>
      </w:pPr>
    </w:p>
    <w:p>
      <w:pPr>
        <w:jc w:val="both"/>
        <w:ind w:firstLine="459"/>
        <w:spacing w:after="0" w:line="278" w:lineRule="auto"/>
        <w:rPr>
          <w:sz w:val="20"/>
          <w:szCs w:val="20"/>
          <w:color w:val="auto"/>
        </w:rPr>
      </w:pPr>
      <w:r>
        <w:rPr>
          <w:rFonts w:ascii="Times New Roman" w:cs="Times New Roman" w:eastAsia="Times New Roman" w:hAnsi="Times New Roman"/>
          <w:sz w:val="14"/>
          <w:szCs w:val="14"/>
          <w:color w:val="auto"/>
        </w:rPr>
        <w:t xml:space="preserve">Unless otherwise defined herein, capitalized terms used in this Country Addendum to Restricted Stock Unit Award Agreement (this “ </w:t>
      </w:r>
      <w:r>
        <w:rPr>
          <w:rFonts w:ascii="Times New Roman" w:cs="Times New Roman" w:eastAsia="Times New Roman" w:hAnsi="Times New Roman"/>
          <w:sz w:val="14"/>
          <w:szCs w:val="14"/>
          <w:b w:val="1"/>
          <w:bCs w:val="1"/>
          <w:i w:val="1"/>
          <w:iCs w:val="1"/>
          <w:color w:val="auto"/>
        </w:rPr>
        <w:t>Country Addendum</w:t>
      </w:r>
      <w:r>
        <w:rPr>
          <w:rFonts w:ascii="Times New Roman" w:cs="Times New Roman" w:eastAsia="Times New Roman" w:hAnsi="Times New Roman"/>
          <w:sz w:val="14"/>
          <w:szCs w:val="14"/>
          <w:color w:val="auto"/>
        </w:rPr>
        <w:t>”) will be ascribed the same defined meanings as set forth in the Restricted Stock Unit Award Agreement of which this Country Addendum forms a part (or the Plan or other written agreement as specified in the RSU Award Agreement).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and Conditions</w:t>
      </w:r>
    </w:p>
    <w:p>
      <w:pPr>
        <w:spacing w:after="0" w:line="168" w:lineRule="exact"/>
        <w:rPr>
          <w:sz w:val="20"/>
          <w:szCs w:val="20"/>
          <w:color w:val="auto"/>
        </w:rPr>
      </w:pPr>
    </w:p>
    <w:p>
      <w:pPr>
        <w:jc w:val="both"/>
        <w:ind w:right="40" w:firstLine="459"/>
        <w:spacing w:after="0" w:line="269" w:lineRule="auto"/>
        <w:rPr>
          <w:sz w:val="20"/>
          <w:szCs w:val="20"/>
          <w:color w:val="auto"/>
        </w:rPr>
      </w:pPr>
      <w:r>
        <w:rPr>
          <w:rFonts w:ascii="Times New Roman" w:cs="Times New Roman" w:eastAsia="Times New Roman" w:hAnsi="Times New Roman"/>
          <w:sz w:val="14"/>
          <w:szCs w:val="14"/>
          <w:color w:val="auto"/>
        </w:rPr>
        <w:t>This Country Addendum includes additional terms and conditions that govern the RSU Award granted pursuant to the terms and conditions of the Plan and the RSU Award Agreement to the extent you reside and/or work in one of the countries listed below. If you are a citizen or resident (or are considered a citizen or resident for local law purposes) of a country other than the country in which you are currently residing and/or working, or if you relocate to another country after the RSU Award is granted, the Company, in its discretion, will determine to what extent the terms and conditions contained herein will apply to you.</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Notifications</w:t>
      </w:r>
    </w:p>
    <w:p>
      <w:pPr>
        <w:spacing w:after="0" w:line="168" w:lineRule="exact"/>
        <w:rPr>
          <w:sz w:val="20"/>
          <w:szCs w:val="20"/>
          <w:color w:val="auto"/>
        </w:rPr>
      </w:pPr>
    </w:p>
    <w:p>
      <w:pPr>
        <w:jc w:val="both"/>
        <w:ind w:right="40" w:firstLine="459"/>
        <w:spacing w:after="0" w:line="266" w:lineRule="auto"/>
        <w:rPr>
          <w:sz w:val="20"/>
          <w:szCs w:val="20"/>
          <w:color w:val="auto"/>
        </w:rPr>
      </w:pPr>
      <w:r>
        <w:rPr>
          <w:rFonts w:ascii="Times New Roman" w:cs="Times New Roman" w:eastAsia="Times New Roman" w:hAnsi="Times New Roman"/>
          <w:sz w:val="14"/>
          <w:szCs w:val="14"/>
          <w:color w:val="auto"/>
        </w:rPr>
        <w:t>This Country Addendum also may include information regarding exchange controls and certain other issues of which you should be aware with respect to your participation in the Plan. The information is based on the securities, exchange control, and other Applicable Laws in effect in the respective countries as of [_________], 2025. The Applicable Laws</w:t>
      </w:r>
    </w:p>
    <w:p>
      <w:pPr>
        <w:spacing w:after="0" w:line="1"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4"/>
          <w:szCs w:val="14"/>
          <w:color w:val="auto"/>
        </w:rPr>
        <w:t>often are complex and change frequently. As a result, the Company strongly recommends that you not rely on the information in this Country Addendum as the only source of information relating to the consequences of your participation in the Plan because the information may be out of date at the time you vest in the Restricted Stock Units or receive or sell the Shares covered by the Restricted Stock Units.</w:t>
      </w:r>
    </w:p>
    <w:p>
      <w:pPr>
        <w:spacing w:after="0" w:line="123" w:lineRule="exact"/>
        <w:rPr>
          <w:sz w:val="20"/>
          <w:szCs w:val="20"/>
          <w:color w:val="auto"/>
        </w:rPr>
      </w:pPr>
    </w:p>
    <w:p>
      <w:pPr>
        <w:jc w:val="both"/>
        <w:ind w:right="40" w:firstLine="459"/>
        <w:spacing w:after="0" w:line="293" w:lineRule="auto"/>
        <w:rPr>
          <w:sz w:val="20"/>
          <w:szCs w:val="20"/>
          <w:color w:val="auto"/>
        </w:rPr>
      </w:pPr>
      <w:r>
        <w:rPr>
          <w:rFonts w:ascii="Times New Roman" w:cs="Times New Roman" w:eastAsia="Times New Roman" w:hAnsi="Times New Roman"/>
          <w:sz w:val="14"/>
          <w:szCs w:val="14"/>
          <w:color w:val="auto"/>
        </w:rPr>
        <w:t>In addition, the information contained in this Country Addendum is general in nature and may not apply to your particular situation, and the Company is not in a position to assure you of any particular result. You should seek appropriate professional advice as to how the Applicable Laws in your country may apply to your situation.</w:t>
      </w:r>
    </w:p>
    <w:p>
      <w:pPr>
        <w:spacing w:after="0" w:line="104" w:lineRule="exact"/>
        <w:rPr>
          <w:sz w:val="20"/>
          <w:szCs w:val="20"/>
          <w:color w:val="auto"/>
        </w:rPr>
      </w:pPr>
    </w:p>
    <w:p>
      <w:pPr>
        <w:jc w:val="both"/>
        <w:ind w:right="40" w:firstLine="459"/>
        <w:spacing w:after="0" w:line="275" w:lineRule="auto"/>
        <w:rPr>
          <w:sz w:val="20"/>
          <w:szCs w:val="20"/>
          <w:color w:val="auto"/>
        </w:rPr>
      </w:pPr>
      <w:r>
        <w:rPr>
          <w:rFonts w:ascii="Times New Roman" w:cs="Times New Roman" w:eastAsia="Times New Roman" w:hAnsi="Times New Roman"/>
          <w:sz w:val="14"/>
          <w:szCs w:val="14"/>
          <w:color w:val="auto"/>
        </w:rPr>
        <w:t>Finally, if you are a citizen or resident of a country other than the one in which you currently are residing and/or working, transfer residence and/or employment to another country after the grant of the Restricted Stock Units, or are considered a resident of another country for local law purposes, the information in this Country Addendum may not apply to you in the same manner.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 GLOBAL PROVISIONS APPLICABLE IN ALL COUNTRIES OTHER THAN THE UNITED STATES</w:t>
      </w:r>
    </w:p>
    <w:p>
      <w:pPr>
        <w:spacing w:after="0" w:line="164" w:lineRule="exact"/>
        <w:rPr>
          <w:sz w:val="20"/>
          <w:szCs w:val="20"/>
          <w:color w:val="auto"/>
        </w:rPr>
      </w:pPr>
    </w:p>
    <w:p>
      <w:pPr>
        <w:jc w:val="both"/>
        <w:ind w:right="20" w:firstLine="466"/>
        <w:spacing w:after="0" w:line="276" w:lineRule="auto"/>
        <w:tabs>
          <w:tab w:leader="none" w:pos="730" w:val="left"/>
        </w:tabs>
        <w:numPr>
          <w:ilvl w:val="0"/>
          <w:numId w:val="4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Foreign Exchange Considerations</w:t>
      </w:r>
      <w:r>
        <w:rPr>
          <w:rFonts w:ascii="Times New Roman" w:cs="Times New Roman" w:eastAsia="Times New Roman" w:hAnsi="Times New Roman"/>
          <w:sz w:val="14"/>
          <w:szCs w:val="14"/>
          <w:color w:val="auto"/>
        </w:rPr>
        <w:t>. You understand and agree that neither the Company nor any Affiliate, Subsidiary, or Service Recipient will be liable for any foreign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exchange rate fluctuation between your local currency and the U.S. dollar that may affect the value of the Restricted Stock Units, or of any amounts due to you under the Plan or as a result of vesting in your Restricted Stock Units and/or the subsequent sale of any Shares acquired under the Plan. You agree and acknowledge that you will bear</w:t>
      </w:r>
    </w:p>
    <w:p>
      <w:pPr>
        <w:sectPr>
          <w:pgSz w:w="11900" w:h="16840" w:orient="portrait"/>
          <w:cols w:equalWidth="0" w:num="1">
            <w:col w:w="10640"/>
          </w:cols>
          <w:pgMar w:left="640" w:top="1440" w:right="620" w:bottom="1440" w:gutter="0" w:footer="0" w:header="0"/>
        </w:sectPr>
      </w:pPr>
    </w:p>
    <w:bookmarkStart w:id="377" w:name="page378"/>
    <w:bookmarkEnd w:id="377"/>
    <w:p>
      <w:pPr>
        <w:spacing w:after="0" w:line="39"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14"/>
          <w:szCs w:val="14"/>
          <w:color w:val="auto"/>
        </w:rPr>
        <w:t>any and all risk associated with the exchange or fluctuation of currency associated with your participation in the Plan. You acknowledge and agree that you may be responsible for reporting inbound transactions or fund transfers that exceed a certain amount. You are advised to seek appropriate professional advice as to how the exchange control regulations apply to your Restricted Stock Units and your specific situation and understand that the relevant laws and regulations can change frequently and occasionally on a retroactive basis.</w:t>
      </w:r>
    </w:p>
    <w:p>
      <w:pPr>
        <w:spacing w:after="0" w:line="114" w:lineRule="exact"/>
        <w:rPr>
          <w:sz w:val="20"/>
          <w:szCs w:val="20"/>
          <w:color w:val="auto"/>
        </w:rPr>
      </w:pPr>
    </w:p>
    <w:p>
      <w:pPr>
        <w:ind w:left="720" w:hanging="254"/>
        <w:spacing w:after="0"/>
        <w:tabs>
          <w:tab w:leader="none" w:pos="720" w:val="left"/>
        </w:tabs>
        <w:numPr>
          <w:ilvl w:val="0"/>
          <w:numId w:val="4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Nature of Grant</w:t>
      </w:r>
      <w:r>
        <w:rPr>
          <w:rFonts w:ascii="Times New Roman" w:cs="Times New Roman" w:eastAsia="Times New Roman" w:hAnsi="Times New Roman"/>
          <w:sz w:val="14"/>
          <w:szCs w:val="14"/>
          <w:color w:val="auto"/>
        </w:rPr>
        <w:t>. The following provisions supplement Section 10 of the RSU Award Agreement:</w:t>
      </w:r>
    </w:p>
    <w:p>
      <w:pPr>
        <w:spacing w:after="0" w:line="166" w:lineRule="exact"/>
        <w:rPr>
          <w:rFonts w:ascii="Times New Roman" w:cs="Times New Roman" w:eastAsia="Times New Roman" w:hAnsi="Times New Roman"/>
          <w:sz w:val="14"/>
          <w:szCs w:val="14"/>
          <w:b w:val="1"/>
          <w:bCs w:val="1"/>
          <w:color w:val="auto"/>
        </w:rPr>
      </w:pPr>
    </w:p>
    <w:p>
      <w:pPr>
        <w:ind w:left="1240" w:hanging="315"/>
        <w:spacing w:after="0"/>
        <w:tabs>
          <w:tab w:leader="none" w:pos="1240" w:val="left"/>
        </w:tabs>
        <w:numPr>
          <w:ilvl w:val="1"/>
          <w:numId w:val="4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Restricted Stock Units and the Shares subject to the Restricted Stock Units are not part of normal or expected compensation or salary for any purpose;</w:t>
      </w:r>
    </w:p>
    <w:p>
      <w:pPr>
        <w:spacing w:after="0" w:line="164" w:lineRule="exact"/>
        <w:rPr>
          <w:rFonts w:ascii="Times New Roman" w:cs="Times New Roman" w:eastAsia="Times New Roman" w:hAnsi="Times New Roman"/>
          <w:sz w:val="14"/>
          <w:szCs w:val="14"/>
          <w:b w:val="1"/>
          <w:bCs w:val="1"/>
          <w:color w:val="auto"/>
        </w:rPr>
      </w:pPr>
    </w:p>
    <w:p>
      <w:pPr>
        <w:jc w:val="both"/>
        <w:ind w:firstLine="925"/>
        <w:spacing w:after="0" w:line="275" w:lineRule="auto"/>
        <w:tabs>
          <w:tab w:leader="none" w:pos="1253" w:val="left"/>
        </w:tabs>
        <w:numPr>
          <w:ilvl w:val="1"/>
          <w:numId w:val="4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Participant acknowledges and agrees that no Service Recipient will be liable for any foreign exchange rate fluctuation between your local currency and the U.S. dollar that may affect the value of the Restricted Stock Units or of any amounts due to you pursuant to the settlement of the Restricted Stock Units or the subsequent sale of any Shares acquired upon settlement; and</w:t>
      </w:r>
    </w:p>
    <w:p>
      <w:pPr>
        <w:spacing w:after="0" w:line="114" w:lineRule="exact"/>
        <w:rPr>
          <w:sz w:val="20"/>
          <w:szCs w:val="20"/>
          <w:color w:val="auto"/>
        </w:rPr>
      </w:pPr>
    </w:p>
    <w:p>
      <w:pPr>
        <w:jc w:val="both"/>
        <w:ind w:firstLine="925"/>
        <w:spacing w:after="0" w:line="264" w:lineRule="auto"/>
        <w:tabs>
          <w:tab w:leader="none" w:pos="985" w:val="left"/>
        </w:tabs>
        <w:numPr>
          <w:ilvl w:val="1"/>
          <w:numId w:val="4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 ) </w:t>
      </w:r>
      <w:r>
        <w:rPr>
          <w:rFonts w:ascii="Times New Roman" w:cs="Times New Roman" w:eastAsia="Times New Roman" w:hAnsi="Times New Roman"/>
          <w:sz w:val="14"/>
          <w:szCs w:val="14"/>
          <w:color w:val="auto"/>
        </w:rPr>
        <w:t>no claim or entitlement to compensation or damages will arise from forfeiture of the Restricted Stock Units resulting from the termination of your Continuous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Service (for any reason whatsoever whether or not later found to be invalid or in breach of employment laws in the jurisdiction where you are providing Continuous Service or the terms of your employment or service agreement, if any), and in consideration of the grant of the Restricted Stock Units to which you are otherwise not entitled, you irrevocably agree never to institute any such claim against any Service Recipient, waive your ability, if any, to bring any such claim, and release each Service Recipient from any such claim; if, notwithstanding the foregoing, any such claim is allowed by a court of competent jurisdiction, then, by participating in the Plan, you will be deemed irrevocably to have agreed not to pursue such claim and agree to execute any and all documents necessary to request dismissal or withdrawal of such claim.</w:t>
      </w:r>
    </w:p>
    <w:p>
      <w:pPr>
        <w:spacing w:after="0" w:line="121" w:lineRule="exact"/>
        <w:rPr>
          <w:rFonts w:ascii="Times New Roman" w:cs="Times New Roman" w:eastAsia="Times New Roman" w:hAnsi="Times New Roman"/>
          <w:sz w:val="14"/>
          <w:szCs w:val="14"/>
          <w:b w:val="1"/>
          <w:bCs w:val="1"/>
          <w:color w:val="auto"/>
        </w:rPr>
      </w:pPr>
    </w:p>
    <w:p>
      <w:pPr>
        <w:jc w:val="both"/>
        <w:ind w:right="20" w:firstLine="466"/>
        <w:spacing w:after="0" w:line="278" w:lineRule="auto"/>
        <w:tabs>
          <w:tab w:leader="none" w:pos="718" w:val="left"/>
        </w:tabs>
        <w:numPr>
          <w:ilvl w:val="0"/>
          <w:numId w:val="4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Data Privacy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You hereby acknowledge the collection, use, and transfer, in electronic or other form, of your personal data as described in this RSU Award Agreement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and any other RSU Award materials by and among, as applicable, the Service Recipients for the exclusive purpose of implementing, administering, and managing your participation in the Plan.</w:t>
      </w:r>
    </w:p>
    <w:p>
      <w:pPr>
        <w:spacing w:after="0" w:line="110" w:lineRule="exact"/>
        <w:rPr>
          <w:sz w:val="20"/>
          <w:szCs w:val="20"/>
          <w:color w:val="auto"/>
        </w:rPr>
      </w:pPr>
    </w:p>
    <w:p>
      <w:pPr>
        <w:jc w:val="both"/>
        <w:ind w:firstLine="45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You understand that the Company and the Service Recipient may hold certain personal information about you, including, but not limited to, your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your favor (“Data”), for the exclusive purpose of implementing, administering, and managing the Plan.</w:t>
      </w:r>
    </w:p>
    <w:p>
      <w:pPr>
        <w:spacing w:after="0" w:line="115" w:lineRule="exact"/>
        <w:rPr>
          <w:sz w:val="20"/>
          <w:szCs w:val="20"/>
          <w:color w:val="auto"/>
        </w:rPr>
      </w:pPr>
    </w:p>
    <w:p>
      <w:pPr>
        <w:jc w:val="both"/>
        <w:ind w:right="20" w:firstLine="45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You understand that Data may be transferred to a stock plan service provider, as may be selected by the Company in the future, assisting the Company with the implementation, administration and management of the Plan. You understand that the recipients of the Data may be located in the United States or elsewhere, and that the recipients’ country of operation (e.g., the United States) may have different data privacy laws and protections than your country. You understand that you may request information about sharing, processing, and storage of Data and may exercise your rights with respect to the Data, which may include the right to terminate sharing, processing, and storage, by following instructions in the Company’s Personnel Privacy Notice or by contacting your local human</w:t>
      </w:r>
    </w:p>
    <w:p>
      <w:pPr>
        <w:sectPr>
          <w:pgSz w:w="11900" w:h="16840" w:orient="portrait"/>
          <w:cols w:equalWidth="0" w:num="1">
            <w:col w:w="10620"/>
          </w:cols>
          <w:pgMar w:left="640" w:top="1440" w:right="640" w:bottom="1440" w:gutter="0" w:footer="0" w:header="0"/>
        </w:sectPr>
      </w:pPr>
    </w:p>
    <w:bookmarkStart w:id="378" w:name="page379"/>
    <w:bookmarkEnd w:id="378"/>
    <w:p>
      <w:pPr>
        <w:spacing w:after="0" w:line="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resources representative. You authorize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your participation in the Plan. You understand that Data will be held only as long as is necessary to implement, administer, and manage your participation in the Plan.</w:t>
      </w:r>
    </w:p>
    <w:p>
      <w:pPr>
        <w:spacing w:after="0" w:line="117" w:lineRule="exact"/>
        <w:rPr>
          <w:sz w:val="20"/>
          <w:szCs w:val="20"/>
          <w:color w:val="auto"/>
        </w:rPr>
      </w:pPr>
    </w:p>
    <w:p>
      <w:pPr>
        <w:ind w:right="20" w:firstLine="466"/>
        <w:spacing w:after="0" w:line="296" w:lineRule="auto"/>
        <w:tabs>
          <w:tab w:leader="none" w:pos="720" w:val="left"/>
        </w:tabs>
        <w:numPr>
          <w:ilvl w:val="1"/>
          <w:numId w:val="4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Language</w:t>
      </w:r>
      <w:r>
        <w:rPr>
          <w:rFonts w:ascii="Times New Roman" w:cs="Times New Roman" w:eastAsia="Times New Roman" w:hAnsi="Times New Roman"/>
          <w:sz w:val="14"/>
          <w:szCs w:val="14"/>
          <w:color w:val="auto"/>
        </w:rPr>
        <w:t>. If you have received the RSU Award Agreement or any other document related to the Plan translated into a language other than English and if the meaning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translated version is different than the English version, the English version will control.</w:t>
      </w:r>
    </w:p>
    <w:p>
      <w:pPr>
        <w:spacing w:after="0" w:line="200" w:lineRule="exact"/>
        <w:rPr>
          <w:rFonts w:ascii="Times New Roman" w:cs="Times New Roman" w:eastAsia="Times New Roman" w:hAnsi="Times New Roman"/>
          <w:sz w:val="14"/>
          <w:szCs w:val="14"/>
          <w:b w:val="1"/>
          <w:bCs w:val="1"/>
          <w:color w:val="auto"/>
        </w:rPr>
      </w:pPr>
    </w:p>
    <w:p>
      <w:pPr>
        <w:spacing w:after="0" w:line="206" w:lineRule="exact"/>
        <w:rPr>
          <w:rFonts w:ascii="Times New Roman" w:cs="Times New Roman" w:eastAsia="Times New Roman" w:hAnsi="Times New Roman"/>
          <w:sz w:val="14"/>
          <w:szCs w:val="14"/>
          <w:b w:val="1"/>
          <w:bCs w:val="1"/>
          <w:color w:val="auto"/>
        </w:rPr>
      </w:pPr>
    </w:p>
    <w:p>
      <w:pPr>
        <w:ind w:left="180" w:hanging="173"/>
        <w:spacing w:after="0"/>
        <w:tabs>
          <w:tab w:leader="none" w:pos="180" w:val="left"/>
        </w:tabs>
        <w:numPr>
          <w:ilvl w:val="0"/>
          <w:numId w:val="4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COUNTRY-SPECIFIC PROVISIONS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AUSTRALIA</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Notifications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Securities Law Information</w:t>
      </w:r>
      <w:r>
        <w:rPr>
          <w:rFonts w:ascii="Times New Roman" w:cs="Times New Roman" w:eastAsia="Times New Roman" w:hAnsi="Times New Roman"/>
          <w:sz w:val="14"/>
          <w:szCs w:val="14"/>
          <w:color w:val="auto"/>
        </w:rPr>
        <w:t>. This offer is being made under Division 1A, Part 7.12 of the Corporations Act 2001 (</w:t>
      </w:r>
      <w:r>
        <w:rPr>
          <w:rFonts w:ascii="Times New Roman" w:cs="Times New Roman" w:eastAsia="Times New Roman" w:hAnsi="Times New Roman"/>
          <w:sz w:val="14"/>
          <w:szCs w:val="14"/>
          <w:i w:val="1"/>
          <w:iCs w:val="1"/>
          <w:color w:val="auto"/>
        </w:rPr>
        <w:t>Cth</w:t>
      </w:r>
      <w:r>
        <w:rPr>
          <w:rFonts w:ascii="Times New Roman" w:cs="Times New Roman" w:eastAsia="Times New Roman" w:hAnsi="Times New Roman"/>
          <w:sz w:val="14"/>
          <w:szCs w:val="14"/>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Tax Information</w:t>
      </w:r>
      <w:r>
        <w:rPr>
          <w:rFonts w:ascii="Times New Roman" w:cs="Times New Roman" w:eastAsia="Times New Roman" w:hAnsi="Times New Roman"/>
          <w:sz w:val="14"/>
          <w:szCs w:val="14"/>
          <w:color w:val="auto"/>
        </w:rPr>
        <w:t>. The Plan is a plan to which Subdivision 83A-C of the Income Tax Assessment Act 1997 (Cth) (the “</w:t>
      </w:r>
      <w:r>
        <w:rPr>
          <w:rFonts w:ascii="Times New Roman" w:cs="Times New Roman" w:eastAsia="Times New Roman" w:hAnsi="Times New Roman"/>
          <w:sz w:val="14"/>
          <w:szCs w:val="14"/>
          <w:b w:val="1"/>
          <w:bCs w:val="1"/>
          <w:i w:val="1"/>
          <w:iCs w:val="1"/>
          <w:color w:val="auto"/>
        </w:rPr>
        <w:t>Act</w:t>
      </w:r>
      <w:r>
        <w:rPr>
          <w:rFonts w:ascii="Times New Roman" w:cs="Times New Roman" w:eastAsia="Times New Roman" w:hAnsi="Times New Roman"/>
          <w:sz w:val="14"/>
          <w:szCs w:val="14"/>
          <w:color w:val="auto"/>
        </w:rPr>
        <w:t>”) applies (subject to the conditions in the Act).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CANADA</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and Conditions</w:t>
      </w:r>
    </w:p>
    <w:p>
      <w:pPr>
        <w:spacing w:after="0" w:line="32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u w:val="single" w:color="auto"/>
          <w:color w:val="auto"/>
        </w:rPr>
        <w:t>Settlement of RSU Award</w:t>
      </w:r>
      <w:r>
        <w:rPr>
          <w:rFonts w:ascii="Times New Roman" w:cs="Times New Roman" w:eastAsia="Times New Roman" w:hAnsi="Times New Roman"/>
          <w:sz w:val="14"/>
          <w:szCs w:val="14"/>
          <w:color w:val="auto"/>
        </w:rPr>
        <w:t xml:space="preserve"> . Notwithstanding anything in the Agreement or any discretion retained in the Plan to the contrary, the Restricted Stock Units shall be settled in Shares only (and shall not be settled in cash).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Award Not In Lieu of Other Compensation</w:t>
      </w:r>
      <w:r>
        <w:rPr>
          <w:rFonts w:ascii="Times New Roman" w:cs="Times New Roman" w:eastAsia="Times New Roman" w:hAnsi="Times New Roman"/>
          <w:sz w:val="14"/>
          <w:szCs w:val="14"/>
          <w:color w:val="auto"/>
        </w:rPr>
        <w:t>. The following provision replaces Section 10(h) of the RSU Award Agreement:</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except as explicitly and minimally required under applicable legislation, the Restricted Stock Units and the Shares subject to the Restricted Stock Units, and the income from and value of same, are not part of normal or expected compensation for any purpose, including but not limited to, calculating any severance, resignation, termination, redundancy, dismissal, end-of-service payments, bonuses, holiday pay, long-service awards, pension or retirement or welfare benefits or similar payments;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Termination of Continuous Service</w:t>
      </w:r>
      <w:r>
        <w:rPr>
          <w:rFonts w:ascii="Times New Roman" w:cs="Times New Roman" w:eastAsia="Times New Roman" w:hAnsi="Times New Roman"/>
          <w:sz w:val="14"/>
          <w:szCs w:val="14"/>
          <w:color w:val="auto"/>
        </w:rPr>
        <w:t>. The following provision replaces Section 10(k) of the RSU Award Agreement:</w:t>
      </w:r>
    </w:p>
    <w:p>
      <w:pPr>
        <w:sectPr>
          <w:pgSz w:w="11900" w:h="16840" w:orient="portrait"/>
          <w:cols w:equalWidth="0" w:num="1">
            <w:col w:w="10600"/>
          </w:cols>
          <w:pgMar w:left="640" w:top="1440" w:right="660" w:bottom="1440" w:gutter="0" w:footer="0" w:header="0"/>
        </w:sectPr>
      </w:pPr>
    </w:p>
    <w:bookmarkStart w:id="379" w:name="page380"/>
    <w:bookmarkEnd w:id="379"/>
    <w:p>
      <w:pPr>
        <w:spacing w:after="0" w:line="39"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4"/>
          <w:szCs w:val="14"/>
          <w:color w:val="auto"/>
        </w:rPr>
        <w:t xml:space="preserve">for purposes of the Restricted Stock Units, your Continuous Service will be considered terminated (regardless of the reason for such termination and whether or not the termination is later found to be invalid, unlawful or in breach of Applicable Laws in the jurisdiction where you are providing services or the terms of your employment agreement, if any), and your right to vest in or otherwise benefit from the RSU Award will terminate as of the date you are no longer actually providing Continuous Service (the “ </w:t>
      </w:r>
      <w:r>
        <w:rPr>
          <w:rFonts w:ascii="Times New Roman" w:cs="Times New Roman" w:eastAsia="Times New Roman" w:hAnsi="Times New Roman"/>
          <w:sz w:val="14"/>
          <w:szCs w:val="14"/>
          <w:b w:val="1"/>
          <w:bCs w:val="1"/>
          <w:i w:val="1"/>
          <w:iCs w:val="1"/>
          <w:color w:val="auto"/>
        </w:rPr>
        <w:t>Termination Date</w:t>
      </w:r>
      <w:r>
        <w:rPr>
          <w:rFonts w:ascii="Times New Roman" w:cs="Times New Roman" w:eastAsia="Times New Roman" w:hAnsi="Times New Roman"/>
          <w:sz w:val="14"/>
          <w:szCs w:val="14"/>
          <w:color w:val="auto"/>
        </w:rPr>
        <w:t>”). Except as explicitly and minimally required under applicable legislation, the Termination Date shall exclude and shall not be extended by any period during which notice, pay in lieu of notice or related payments or damages are provided or required to be provided under statute, contract, common/civil law or otherwise. For greater certainty, you will not earn or be entitled to any pro-rated vesting or other participation for that portion of time before the Termination Date, nor will you be entitled to any compensation for lost vesting or other participation.</w:t>
      </w: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If, notwithstanding the foregoing, applicable employment standards legislation explicitly requires continued vesting or other participation during a statutory notice period, your right to vest in or otherwise benefit from the Restricted Stock Units, if any, will terminate effective as of the last date of the minimum statutory notice period, but you will not earn or be entitled to pro-rated vesting or other participation if the vesting date falls after the end of your statutory notice period, nor will you be entitled to any compensation for lost vesting or other participation. For further clarity, any reference to a termination or cessation of your Continuous Service or a date of termination under this Agreement or the Plan will be interpreted to mean the Termination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 Entitlement or Claims for Compensation</w:t>
      </w:r>
      <w:r>
        <w:rPr>
          <w:rFonts w:ascii="Times New Roman" w:cs="Times New Roman" w:eastAsia="Times New Roman" w:hAnsi="Times New Roman"/>
          <w:sz w:val="14"/>
          <w:szCs w:val="14"/>
          <w:color w:val="auto"/>
        </w:rPr>
        <w:t>. The following provision replaces Section 10(l) of the RSU Award Agreement:</w:t>
      </w:r>
    </w:p>
    <w:p>
      <w:pPr>
        <w:spacing w:after="0" w:line="31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4"/>
          <w:szCs w:val="14"/>
          <w:color w:val="auto"/>
        </w:rPr>
        <w:t>except as explicitly and minimally required under applicable legislation, no claim or entitlement to compensation or damages shall arise from forfeiture of the RSU Award resulting from (i) the termination of your Continuous Service (for any reason whatsoever, whether or not later found to be invalid or in breach of Applicable Laws in the jurisdiction where you are providing service or the terms of your employment or other service agreement, if any), and/or (ii) the application of any recoupment policy, or any recovery or clawback policy otherwise required by Applicable Laws; and</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Notifications</w:t>
      </w:r>
    </w:p>
    <w:p>
      <w:pPr>
        <w:spacing w:after="0" w:line="32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4"/>
          <w:szCs w:val="14"/>
          <w:u w:val="single" w:color="auto"/>
          <w:color w:val="auto"/>
        </w:rPr>
        <w:t>Securities Law Information</w:t>
      </w:r>
      <w:r>
        <w:rPr>
          <w:rFonts w:ascii="Times New Roman" w:cs="Times New Roman" w:eastAsia="Times New Roman" w:hAnsi="Times New Roman"/>
          <w:sz w:val="14"/>
          <w:szCs w:val="14"/>
          <w:color w:val="auto"/>
        </w:rPr>
        <w:t>. You acknowledge that you are permitted to sell the Shares acquired under the Plan through the designated broker, or other such stock plan service provider as may be selected by the Company in the future, provided the sale of the Shares takes place outside of Canada through facilities of a stock exchange on which the Common Stock is listed. The Shares are currently listed on the Nasdaq Global Select Market.</w:t>
      </w:r>
    </w:p>
    <w:p>
      <w:pPr>
        <w:spacing w:after="0" w:line="2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Foreign Asset/Account Reporting Information</w:t>
      </w:r>
      <w:r>
        <w:rPr>
          <w:rFonts w:ascii="Times New Roman" w:cs="Times New Roman" w:eastAsia="Times New Roman" w:hAnsi="Times New Roman"/>
          <w:sz w:val="14"/>
          <w:szCs w:val="14"/>
          <w:color w:val="auto"/>
        </w:rPr>
        <w:t>. Specified foreign property, including Shares and rights to receive Shares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Restricted Stock Units) of a non-Canadian company held by a Canadian resident must generally be reported annually on a Form T1135 (Foreign Income Verification Statement) if the total cost of the specified foreign property exceeds CAD 100,000 at any time during the year. Thus, the Restricted Stock Units must be reported (generally at a nil cost) if the CAD 100,000 cost threshold is exceeded because of other specified foreign property held by you. When Shares are acquired, their cost</w:t>
      </w:r>
    </w:p>
    <w:p>
      <w:pPr>
        <w:sectPr>
          <w:pgSz w:w="11900" w:h="16840" w:orient="portrait"/>
          <w:cols w:equalWidth="0" w:num="1">
            <w:col w:w="10620"/>
          </w:cols>
          <w:pgMar w:left="640" w:top="1440" w:right="640" w:bottom="1440" w:gutter="0" w:footer="0" w:header="0"/>
        </w:sectPr>
      </w:pPr>
    </w:p>
    <w:bookmarkStart w:id="380" w:name="page381"/>
    <w:bookmarkEnd w:id="380"/>
    <w:p>
      <w:pPr>
        <w:spacing w:after="0" w:line="3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 xml:space="preserve">generally is the adjusted cost base (“ </w:t>
      </w:r>
      <w:r>
        <w:rPr>
          <w:rFonts w:ascii="Times New Roman" w:cs="Times New Roman" w:eastAsia="Times New Roman" w:hAnsi="Times New Roman"/>
          <w:sz w:val="14"/>
          <w:szCs w:val="14"/>
          <w:b w:val="1"/>
          <w:bCs w:val="1"/>
          <w:i w:val="1"/>
          <w:iCs w:val="1"/>
          <w:color w:val="auto"/>
        </w:rPr>
        <w:t>ACB</w:t>
      </w:r>
      <w:r>
        <w:rPr>
          <w:rFonts w:ascii="Times New Roman" w:cs="Times New Roman" w:eastAsia="Times New Roman" w:hAnsi="Times New Roman"/>
          <w:sz w:val="14"/>
          <w:szCs w:val="14"/>
          <w:color w:val="auto"/>
        </w:rPr>
        <w:t>”) of the Shares. The ACB would ordinarily equal the fair market value of the Shares at the time of acquisition, but if you own other Shares, whether such Shares are acquired inside and/or outside of the Plan, the ACB of the Shares acquired at settlement of the Restricted Stock Units may have to be averaged with the ACB of the other Shares. You should consult with your personal tax advisor to ensure compliance with applicable reporting obligations.</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FRANCE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and Conditions</w:t>
      </w:r>
    </w:p>
    <w:p>
      <w:pPr>
        <w:spacing w:after="0" w:line="321"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4"/>
          <w:szCs w:val="14"/>
          <w:u w:val="single" w:color="auto"/>
          <w:color w:val="auto"/>
        </w:rPr>
        <w:t>Language Consent</w:t>
      </w:r>
      <w:r>
        <w:rPr>
          <w:rFonts w:ascii="Times New Roman" w:cs="Times New Roman" w:eastAsia="Times New Roman" w:hAnsi="Times New Roman"/>
          <w:sz w:val="14"/>
          <w:szCs w:val="14"/>
          <w:color w:val="auto"/>
        </w:rPr>
        <w:t>. By accepting the grant of the RSU Award, you confirm having read and understood the Agreement and the Plan, both of which have been provided in the English language. You accept the terms of those documents accordingly.</w:t>
      </w:r>
    </w:p>
    <w:p>
      <w:pPr>
        <w:spacing w:after="0" w:line="256"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4"/>
          <w:szCs w:val="14"/>
          <w:i w:val="1"/>
          <w:iCs w:val="1"/>
          <w:u w:val="single" w:color="auto"/>
          <w:color w:val="auto"/>
        </w:rPr>
        <w:t>Consentement Relatif à la Langue Utilisée</w:t>
      </w:r>
      <w:r>
        <w:rPr>
          <w:rFonts w:ascii="Times New Roman" w:cs="Times New Roman" w:eastAsia="Times New Roman" w:hAnsi="Times New Roman"/>
          <w:sz w:val="14"/>
          <w:szCs w:val="14"/>
          <w:i w:val="1"/>
          <w:iCs w:val="1"/>
          <w:color w:val="auto"/>
        </w:rPr>
        <w:t xml:space="preserve"> . En acceptant l'attribution de la Prime RSU, vous confirmez avoir lu et compris l'Accord et le Plan, tous deux rédigés en anglais. Vous acceptez les termes de ces documents.</w:t>
      </w:r>
    </w:p>
    <w:p>
      <w:pPr>
        <w:spacing w:after="0" w:line="25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4"/>
          <w:szCs w:val="14"/>
          <w:u w:val="single" w:color="auto"/>
          <w:color w:val="auto"/>
        </w:rPr>
        <w:t>French-Qualified Status</w:t>
      </w:r>
      <w:r>
        <w:rPr>
          <w:rFonts w:ascii="Times New Roman" w:cs="Times New Roman" w:eastAsia="Times New Roman" w:hAnsi="Times New Roman"/>
          <w:sz w:val="14"/>
          <w:szCs w:val="14"/>
          <w:color w:val="auto"/>
        </w:rPr>
        <w:t xml:space="preserve">. The Restricted Stock Units are intended to qualify for the special tax and social security regime applicable to Restricted Stock Units granted for no consideration under Sections L. 225-197-1 to L. 225-197-5 and Sections L. 22-10-59 to L. 22-10-60 of the French Commercial Code, as amended (“ </w:t>
      </w:r>
      <w:r>
        <w:rPr>
          <w:rFonts w:ascii="Times New Roman" w:cs="Times New Roman" w:eastAsia="Times New Roman" w:hAnsi="Times New Roman"/>
          <w:sz w:val="14"/>
          <w:szCs w:val="14"/>
          <w:b w:val="1"/>
          <w:bCs w:val="1"/>
          <w:i w:val="1"/>
          <w:iCs w:val="1"/>
          <w:color w:val="auto"/>
        </w:rPr>
        <w:t>French-Qualified RSUs</w:t>
      </w:r>
      <w:r>
        <w:rPr>
          <w:rFonts w:ascii="Times New Roman" w:cs="Times New Roman" w:eastAsia="Times New Roman" w:hAnsi="Times New Roman"/>
          <w:sz w:val="14"/>
          <w:szCs w:val="14"/>
          <w:color w:val="auto"/>
        </w:rPr>
        <w:t>”). As such, the Restricted Stock Units will be governed by the provisions in the Plan, the French Sub-Plan to the Plan (“</w:t>
      </w:r>
      <w:r>
        <w:rPr>
          <w:rFonts w:ascii="Times New Roman" w:cs="Times New Roman" w:eastAsia="Times New Roman" w:hAnsi="Times New Roman"/>
          <w:sz w:val="14"/>
          <w:szCs w:val="14"/>
          <w:b w:val="1"/>
          <w:bCs w:val="1"/>
          <w:i w:val="1"/>
          <w:iCs w:val="1"/>
          <w:color w:val="auto"/>
        </w:rPr>
        <w:t>French Sub-Plan</w:t>
      </w:r>
      <w:r>
        <w:rPr>
          <w:rFonts w:ascii="Times New Roman" w:cs="Times New Roman" w:eastAsia="Times New Roman" w:hAnsi="Times New Roman"/>
          <w:sz w:val="14"/>
          <w:szCs w:val="14"/>
          <w:color w:val="auto"/>
        </w:rPr>
        <w:t>”) and this Agreement, including the following provisions applicable to French-Qualified RSUs. By accepting the French-Qualified RSUs, you acknowledge that you have received a copy of the Plan and the French Sub-Plan.</w:t>
      </w:r>
    </w:p>
    <w:p>
      <w:pPr>
        <w:spacing w:after="0" w:line="273"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4"/>
          <w:szCs w:val="14"/>
          <w:color w:val="auto"/>
        </w:rPr>
        <w:t>Certain events may affect the status of the Restricted Stock Units as French-Qualified RSUs, and the French-Qualified RSUs or the underlying Shares may be disqualified in the future. The Company does not make any undertaking or representation to maintain the qualified status of the French-Qualified RSUs or of the underlying Shares.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Capitalized terms used but not defined in the following provisions, the Agreement or the Plan shall have the meanings ascribed to them in the French Sub-Plan.</w:t>
      </w:r>
    </w:p>
    <w:p>
      <w:pPr>
        <w:spacing w:after="0" w:line="174" w:lineRule="exact"/>
        <w:rPr>
          <w:sz w:val="20"/>
          <w:szCs w:val="20"/>
          <w:color w:val="auto"/>
        </w:rPr>
      </w:pPr>
    </w:p>
    <w:p>
      <w:pPr>
        <w:jc w:val="both"/>
        <w:ind w:right="80" w:firstLine="7"/>
        <w:spacing w:after="0" w:line="262" w:lineRule="auto"/>
        <w:tabs>
          <w:tab w:leader="none" w:pos="325" w:val="left"/>
        </w:tabs>
        <w:numPr>
          <w:ilvl w:val="0"/>
          <w:numId w:val="463"/>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u w:val="single" w:color="auto"/>
          <w:color w:val="auto"/>
        </w:rPr>
        <w:t>Minimum Vesting Period</w:t>
      </w:r>
      <w:r>
        <w:rPr>
          <w:rFonts w:ascii="Times New Roman" w:cs="Times New Roman" w:eastAsia="Times New Roman" w:hAnsi="Times New Roman"/>
          <w:sz w:val="14"/>
          <w:szCs w:val="14"/>
          <w:color w:val="auto"/>
        </w:rPr>
        <w:t>. Notwithstanding the vesting schedule set forth in the Grant Notice, under no circumstances will the French-Qualified RSUs vest prior to the expiration of such period as is required to comply with the minimum vesting period applicable to French-Qualified RSUs under Sections L. 225-197-1 to L. 225-197-5 and Sections L. 22-10-59 to L. 22-10-60 of the French Commercial Code, as amended, the relevant sections of the French Tax Code and/or the relevant sections of the French Social Security Code, as amended, except in the case of your death. The minimum vesting period is currently one year from the Date of Grant.</w:t>
      </w:r>
    </w:p>
    <w:p>
      <w:pPr>
        <w:sectPr>
          <w:pgSz w:w="11900" w:h="16840" w:orient="portrait"/>
          <w:cols w:equalWidth="0" w:num="1">
            <w:col w:w="10620"/>
          </w:cols>
          <w:pgMar w:left="640" w:top="1440" w:right="640" w:bottom="1440" w:gutter="0" w:footer="0" w:header="0"/>
        </w:sectPr>
      </w:pPr>
    </w:p>
    <w:bookmarkStart w:id="381" w:name="page382"/>
    <w:bookmarkEnd w:id="381"/>
    <w:p>
      <w:pPr>
        <w:spacing w:after="0" w:line="48" w:lineRule="exact"/>
        <w:rPr>
          <w:sz w:val="20"/>
          <w:szCs w:val="20"/>
          <w:color w:val="auto"/>
        </w:rPr>
      </w:pPr>
    </w:p>
    <w:p>
      <w:pPr>
        <w:jc w:val="both"/>
        <w:ind w:right="100" w:firstLine="7"/>
        <w:spacing w:after="0" w:line="265" w:lineRule="auto"/>
        <w:tabs>
          <w:tab w:leader="none" w:pos="354"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u w:val="single" w:color="auto"/>
          <w:color w:val="auto"/>
        </w:rPr>
        <w:t>Termination of Service Due to Death</w:t>
      </w:r>
      <w:r>
        <w:rPr>
          <w:rFonts w:ascii="Times New Roman" w:cs="Times New Roman" w:eastAsia="Times New Roman" w:hAnsi="Times New Roman"/>
          <w:sz w:val="14"/>
          <w:szCs w:val="14"/>
          <w:color w:val="auto"/>
        </w:rPr>
        <w:t xml:space="preserve"> . In the event of your death, the applicable vesting requirements will be considered met in full and your heirs may request the issuance of the Shares subject to the French-Qualified RSUs within six months from the date of your death. If your heirs do not request the issuance of the Shares within six months from the date of your death, the French-Qualified RSUs will be forfeited.</w:t>
      </w:r>
    </w:p>
    <w:p>
      <w:pPr>
        <w:spacing w:after="0" w:line="286" w:lineRule="exact"/>
        <w:rPr>
          <w:rFonts w:ascii="Times New Roman" w:cs="Times New Roman" w:eastAsia="Times New Roman" w:hAnsi="Times New Roman"/>
          <w:sz w:val="15"/>
          <w:szCs w:val="15"/>
          <w:color w:val="auto"/>
        </w:rPr>
      </w:pPr>
    </w:p>
    <w:p>
      <w:pPr>
        <w:jc w:val="both"/>
        <w:ind w:right="100" w:firstLine="7"/>
        <w:spacing w:after="0" w:line="261" w:lineRule="auto"/>
        <w:tabs>
          <w:tab w:leader="none" w:pos="344"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u w:val="single" w:color="auto"/>
          <w:color w:val="auto"/>
        </w:rPr>
        <w:t>Restriction on Disposition of Shares</w:t>
      </w:r>
      <w:r>
        <w:rPr>
          <w:rFonts w:ascii="Times New Roman" w:cs="Times New Roman" w:eastAsia="Times New Roman" w:hAnsi="Times New Roman"/>
          <w:sz w:val="14"/>
          <w:szCs w:val="14"/>
          <w:color w:val="auto"/>
        </w:rPr>
        <w:t>. You may not sell or transfer the Shares you acquire upon vesting of the French-Qualified RSUs until such time as is required to comply with the minimum holding period applicable to Shares underlying French-Qualified RSUs under Sections L. 225-197-1 to L. 225-197-5 and Sections L. 22-10-59 to L. 22-10-60 of the French Commercial Code, as amended, the relevant sections of the French Tax Code and/or the relevant sections of the French Social Security Code, as amended, except in the case of your death. The minimum holding period is currently two years from the Date of Grant. Except in the case of your termination due to death, the minimum holding period restriction will continue to apply even if your Continuous Service ceases.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Furthermore, the Shares underlying French-Qualified RSUs cannot be sold or transferred during a Closed Period, to the extent applicable under French law.</w:t>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GERMANY</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Notifications</w:t>
      </w:r>
    </w:p>
    <w:p>
      <w:pPr>
        <w:spacing w:after="0" w:line="3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u w:val="single" w:color="auto"/>
          <w:color w:val="auto"/>
        </w:rPr>
        <w:t>Exchange Control Information</w:t>
      </w:r>
      <w:r>
        <w:rPr>
          <w:rFonts w:ascii="Times New Roman" w:cs="Times New Roman" w:eastAsia="Times New Roman" w:hAnsi="Times New Roman"/>
          <w:sz w:val="14"/>
          <w:szCs w:val="14"/>
          <w:color w:val="auto"/>
        </w:rPr>
        <w:t>. Certain cross-border transactions in excess of a certain threshold (currently EUR 50,000) (the “</w:t>
      </w:r>
      <w:r>
        <w:rPr>
          <w:rFonts w:ascii="Times New Roman" w:cs="Times New Roman" w:eastAsia="Times New Roman" w:hAnsi="Times New Roman"/>
          <w:sz w:val="14"/>
          <w:szCs w:val="14"/>
          <w:b w:val="1"/>
          <w:bCs w:val="1"/>
          <w:i w:val="1"/>
          <w:iCs w:val="1"/>
          <w:color w:val="auto"/>
        </w:rPr>
        <w:t>Threshold</w:t>
      </w:r>
      <w:r>
        <w:rPr>
          <w:rFonts w:ascii="Times New Roman" w:cs="Times New Roman" w:eastAsia="Times New Roman" w:hAnsi="Times New Roman"/>
          <w:sz w:val="14"/>
          <w:szCs w:val="14"/>
          <w:color w:val="auto"/>
        </w:rPr>
        <w:t>”) must be reported to the German Federal Bank. (</w:t>
      </w:r>
      <w:r>
        <w:rPr>
          <w:rFonts w:ascii="Times New Roman" w:cs="Times New Roman" w:eastAsia="Times New Roman" w:hAnsi="Times New Roman"/>
          <w:sz w:val="14"/>
          <w:szCs w:val="14"/>
          <w:i w:val="1"/>
          <w:iCs w:val="1"/>
          <w:color w:val="auto"/>
        </w:rPr>
        <w:t>Bundesbank</w:t>
      </w:r>
      <w:r>
        <w:rPr>
          <w:rFonts w:ascii="Times New Roman" w:cs="Times New Roman" w:eastAsia="Times New Roman" w:hAnsi="Times New Roman"/>
          <w:sz w:val="14"/>
          <w:szCs w:val="14"/>
          <w:color w:val="auto"/>
        </w:rPr>
        <w:t xml:space="preserve">). If you make or receive a payment in excess of the Threshold (including if you acquire Shares under the Plan with a value in excess of the Threshold or sell Shares via a foreign broker, bank or service provider and receives proceeds in excess of the Threshold) and/or if the Company withholds or sells Shares with a value in excess of the Threshold to cover Tax-Related Items, you must report the payment and/or the value of the Shares withheld or sold to the </w:t>
      </w:r>
      <w:r>
        <w:rPr>
          <w:rFonts w:ascii="Times New Roman" w:cs="Times New Roman" w:eastAsia="Times New Roman" w:hAnsi="Times New Roman"/>
          <w:sz w:val="14"/>
          <w:szCs w:val="14"/>
          <w:i w:val="1"/>
          <w:iCs w:val="1"/>
          <w:color w:val="auto"/>
        </w:rPr>
        <w:t>Bundesbank</w:t>
      </w:r>
      <w:r>
        <w:rPr>
          <w:rFonts w:ascii="Times New Roman" w:cs="Times New Roman" w:eastAsia="Times New Roman" w:hAnsi="Times New Roman"/>
          <w:sz w:val="14"/>
          <w:szCs w:val="14"/>
          <w:color w:val="auto"/>
        </w:rPr>
        <w:t>, either electronically using the “General Statistics Reporting Portal” (“</w:t>
      </w:r>
      <w:r>
        <w:rPr>
          <w:rFonts w:ascii="Times New Roman" w:cs="Times New Roman" w:eastAsia="Times New Roman" w:hAnsi="Times New Roman"/>
          <w:sz w:val="14"/>
          <w:szCs w:val="14"/>
          <w:i w:val="1"/>
          <w:iCs w:val="1"/>
          <w:color w:val="auto"/>
        </w:rPr>
        <w:t>Allgemeine Meldeportal Statistik</w:t>
      </w:r>
      <w:r>
        <w:rPr>
          <w:rFonts w:ascii="Times New Roman" w:cs="Times New Roman" w:eastAsia="Times New Roman" w:hAnsi="Times New Roman"/>
          <w:sz w:val="14"/>
          <w:szCs w:val="14"/>
          <w:color w:val="auto"/>
        </w:rPr>
        <w:t xml:space="preserve">”) available via the </w:t>
      </w:r>
      <w:r>
        <w:rPr>
          <w:rFonts w:ascii="Times New Roman" w:cs="Times New Roman" w:eastAsia="Times New Roman" w:hAnsi="Times New Roman"/>
          <w:sz w:val="14"/>
          <w:szCs w:val="14"/>
          <w:i w:val="1"/>
          <w:iCs w:val="1"/>
          <w:color w:val="auto"/>
        </w:rPr>
        <w:t>Bundesbank’s</w:t>
      </w:r>
      <w:r>
        <w:rPr>
          <w:rFonts w:ascii="Times New Roman" w:cs="Times New Roman" w:eastAsia="Times New Roman" w:hAnsi="Times New Roman"/>
          <w:sz w:val="14"/>
          <w:szCs w:val="14"/>
          <w:color w:val="auto"/>
        </w:rPr>
        <w:t xml:space="preserve"> website (www.bundesbank.de) or via such other method (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xml:space="preserve">, by email or telephone) as is permitted or required by the </w:t>
      </w:r>
      <w:r>
        <w:rPr>
          <w:rFonts w:ascii="Times New Roman" w:cs="Times New Roman" w:eastAsia="Times New Roman" w:hAnsi="Times New Roman"/>
          <w:sz w:val="14"/>
          <w:szCs w:val="14"/>
          <w:i w:val="1"/>
          <w:iCs w:val="1"/>
          <w:color w:val="auto"/>
        </w:rPr>
        <w:t>Bundesbank</w:t>
      </w:r>
      <w:r>
        <w:rPr>
          <w:rFonts w:ascii="Times New Roman" w:cs="Times New Roman" w:eastAsia="Times New Roman" w:hAnsi="Times New Roman"/>
          <w:sz w:val="14"/>
          <w:szCs w:val="14"/>
          <w:color w:val="auto"/>
        </w:rPr>
        <w:t xml:space="preserve">. The report must be submitted monthly or within such other timing as is permitted or required by the </w:t>
      </w:r>
      <w:r>
        <w:rPr>
          <w:rFonts w:ascii="Times New Roman" w:cs="Times New Roman" w:eastAsia="Times New Roman" w:hAnsi="Times New Roman"/>
          <w:sz w:val="14"/>
          <w:szCs w:val="14"/>
          <w:i w:val="1"/>
          <w:iCs w:val="1"/>
          <w:color w:val="auto"/>
        </w:rPr>
        <w:t>Bundesbank</w:t>
      </w:r>
      <w:r>
        <w:rPr>
          <w:rFonts w:ascii="Times New Roman" w:cs="Times New Roman" w:eastAsia="Times New Roman" w:hAnsi="Times New Roman"/>
          <w:sz w:val="14"/>
          <w:szCs w:val="14"/>
          <w:color w:val="auto"/>
        </w:rPr>
        <w:t>. You are responsible for complying with applicable reporting requirements.</w:t>
      </w:r>
    </w:p>
    <w:p>
      <w:pPr>
        <w:spacing w:after="0" w:line="28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4"/>
          <w:szCs w:val="14"/>
          <w:u w:val="single" w:color="auto"/>
          <w:color w:val="auto"/>
        </w:rPr>
        <w:t>Foreign Asset/Account Reporting Information</w:t>
      </w:r>
      <w:r>
        <w:rPr>
          <w:rFonts w:ascii="Times New Roman" w:cs="Times New Roman" w:eastAsia="Times New Roman" w:hAnsi="Times New Roman"/>
          <w:sz w:val="14"/>
          <w:szCs w:val="14"/>
          <w:color w:val="auto"/>
        </w:rPr>
        <w:t xml:space="preserve"> . If your acquisition of Shares under the Plan leads to a so-called qualified participation at any point during the calendar year, you may need to report the acquisition when you file your tax return for the relevant year. A qualified participation occurs only if (i) you own at least 1% of the Company and the value of the Shares acquired exceeds EUR 150,000, or (ii) you hold Shares exceeding 10% of the Company’s total Common Stock.</w:t>
      </w:r>
    </w:p>
    <w:p>
      <w:pPr>
        <w:sectPr>
          <w:pgSz w:w="11900" w:h="16840" w:orient="portrait"/>
          <w:cols w:equalWidth="0" w:num="1">
            <w:col w:w="10620"/>
          </w:cols>
          <w:pgMar w:left="640" w:top="1440" w:right="640" w:bottom="1440" w:gutter="0" w:footer="0" w:header="0"/>
        </w:sectPr>
      </w:pPr>
    </w:p>
    <w:bookmarkStart w:id="382" w:name="page383"/>
    <w:bookmarkEnd w:id="382"/>
    <w:p>
      <w:pPr>
        <w:spacing w:after="0" w:line="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INDIA</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Notifications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Exchange Control Information</w:t>
      </w:r>
      <w:r>
        <w:rPr>
          <w:rFonts w:ascii="Times New Roman" w:cs="Times New Roman" w:eastAsia="Times New Roman" w:hAnsi="Times New Roman"/>
          <w:sz w:val="14"/>
          <w:szCs w:val="14"/>
          <w:color w:val="auto"/>
        </w:rPr>
        <w:t>. Exchange control laws and regulations in India require that Indian residents must repatriate all proceeds resulting from the sale of Shares and any dividends received in relation to such Shares to India within a specified period of time as prescribed under applicable Indian exchange control laws. Indian residents must obtain a foreign inward remittance certificate (“</w:t>
      </w:r>
      <w:r>
        <w:rPr>
          <w:rFonts w:ascii="Times New Roman" w:cs="Times New Roman" w:eastAsia="Times New Roman" w:hAnsi="Times New Roman"/>
          <w:sz w:val="14"/>
          <w:szCs w:val="14"/>
          <w:b w:val="1"/>
          <w:bCs w:val="1"/>
          <w:i w:val="1"/>
          <w:iCs w:val="1"/>
          <w:color w:val="auto"/>
        </w:rPr>
        <w:t>FIRC</w:t>
      </w:r>
      <w:r>
        <w:rPr>
          <w:rFonts w:ascii="Times New Roman" w:cs="Times New Roman" w:eastAsia="Times New Roman" w:hAnsi="Times New Roman"/>
          <w:sz w:val="14"/>
          <w:szCs w:val="14"/>
          <w:color w:val="auto"/>
        </w:rPr>
        <w:t>”) from the bank into which foreign currency is deposited and retain the FIRC as evidence of the repatriation of funds in the event that the Reserve Bank of India or the Service Recipient requests proof of repatriation. You also agree to provide information regarding funds received from participation in the Plan to the Company or the Service Recipient as needed for enable them to comply with their filing requirements under exchange control laws in India. As exchange control regulations can change frequently and without notice, you should consult with your personal tax or legal advisor before selling Shares to ensure compliance with current obligations.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Foreign Asset/Account Reporting Information</w:t>
      </w:r>
      <w:r>
        <w:rPr>
          <w:rFonts w:ascii="Times New Roman" w:cs="Times New Roman" w:eastAsia="Times New Roman" w:hAnsi="Times New Roman"/>
          <w:sz w:val="14"/>
          <w:szCs w:val="14"/>
          <w:color w:val="auto"/>
        </w:rPr>
        <w:t xml:space="preserve"> . You must declare the following items in your annual tax return: (i) foreign assets held (including Shares acquired under the Plan), and</w:t>
      </w:r>
    </w:p>
    <w:p>
      <w:pPr>
        <w:spacing w:after="0" w:line="25" w:lineRule="exact"/>
        <w:rPr>
          <w:sz w:val="20"/>
          <w:szCs w:val="20"/>
          <w:color w:val="auto"/>
        </w:rPr>
      </w:pPr>
    </w:p>
    <w:p>
      <w:pPr>
        <w:ind w:right="20" w:firstLine="7"/>
        <w:spacing w:after="0" w:line="273" w:lineRule="auto"/>
        <w:tabs>
          <w:tab w:leader="none" w:pos="224"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foreign bank accounts for which you have signing authority. It is your responsibility to comply with this reporting obligation to the extent it applies to you and you should consult with your personal tax or legal advisor regarding this reporting obligation.</w:t>
      </w: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IRELAND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Notifications</w:t>
      </w:r>
    </w:p>
    <w:p>
      <w:pPr>
        <w:spacing w:after="0" w:line="3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4"/>
          <w:szCs w:val="14"/>
          <w:u w:val="single" w:color="auto"/>
          <w:color w:val="auto"/>
        </w:rPr>
        <w:t>Director Notification Information</w:t>
      </w:r>
      <w:r>
        <w:rPr>
          <w:rFonts w:ascii="Times New Roman" w:cs="Times New Roman" w:eastAsia="Times New Roman" w:hAnsi="Times New Roman"/>
          <w:sz w:val="14"/>
          <w:szCs w:val="14"/>
          <w:color w:val="auto"/>
        </w:rPr>
        <w:t>. Directors, shadow directors and secretaries of an Irish Affiliate must notify such Affiliate in writing upon (i) receiving or disposing of an interest in the Company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the Restricted Stock Units, Shares,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You should consult with your personal legal advisor as to whether or not this notification requirement applies.</w:t>
      </w: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ISRAEL</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and Conditions</w:t>
      </w:r>
    </w:p>
    <w:p>
      <w:pPr>
        <w:spacing w:after="0" w:line="319" w:lineRule="exact"/>
        <w:rPr>
          <w:sz w:val="20"/>
          <w:szCs w:val="20"/>
          <w:color w:val="auto"/>
        </w:rPr>
      </w:pPr>
    </w:p>
    <w:p>
      <w:pPr>
        <w:ind w:right="60"/>
        <w:spacing w:after="0" w:line="311" w:lineRule="auto"/>
        <w:rPr>
          <w:sz w:val="20"/>
          <w:szCs w:val="20"/>
          <w:color w:val="auto"/>
        </w:rPr>
      </w:pPr>
      <w:r>
        <w:rPr>
          <w:rFonts w:ascii="Times New Roman" w:cs="Times New Roman" w:eastAsia="Times New Roman" w:hAnsi="Times New Roman"/>
          <w:sz w:val="14"/>
          <w:szCs w:val="14"/>
          <w:u w:val="single" w:color="auto"/>
          <w:color w:val="auto"/>
        </w:rPr>
        <w:t>Capital Gains Track Requirements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The following provision applies to you only if you are or are deemed to be a resident of the State of Israel for tax purposes or are otherwise subject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to taxation in Israel with respect to the Restricted Stock Units on the Date of Grant.</w:t>
      </w:r>
    </w:p>
    <w:p>
      <w:pPr>
        <w:sectPr>
          <w:pgSz w:w="11900" w:h="16840" w:orient="portrait"/>
          <w:cols w:equalWidth="0" w:num="1">
            <w:col w:w="10620"/>
          </w:cols>
          <w:pgMar w:left="640" w:top="1440" w:right="640" w:bottom="1440" w:gutter="0" w:footer="0" w:header="0"/>
        </w:sectPr>
      </w:pPr>
    </w:p>
    <w:bookmarkStart w:id="383" w:name="page384"/>
    <w:bookmarkEnd w:id="383"/>
    <w:p>
      <w:pPr>
        <w:spacing w:after="0" w:line="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You understand and agree that the Restricted Stock Units granted in accordance with the Grant Notice and Agreement are subject to the terms and conditions of the Plan, the Israeli Sub-Plan to the Plan (the “</w:t>
      </w:r>
      <w:r>
        <w:rPr>
          <w:rFonts w:ascii="Times New Roman" w:cs="Times New Roman" w:eastAsia="Times New Roman" w:hAnsi="Times New Roman"/>
          <w:sz w:val="14"/>
          <w:szCs w:val="14"/>
          <w:b w:val="1"/>
          <w:bCs w:val="1"/>
          <w:i w:val="1"/>
          <w:iCs w:val="1"/>
          <w:color w:val="auto"/>
        </w:rPr>
        <w:t>Israeli Sub-Plan</w:t>
      </w:r>
      <w:r>
        <w:rPr>
          <w:rFonts w:ascii="Times New Roman" w:cs="Times New Roman" w:eastAsia="Times New Roman" w:hAnsi="Times New Roman"/>
          <w:sz w:val="14"/>
          <w:szCs w:val="14"/>
          <w:color w:val="auto"/>
        </w:rPr>
        <w:t xml:space="preserve">”), and the Trust Agreement between the Company and the Company’s trustee, ESOP Management and Trust Services Ltd. (the “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xml:space="preserve">”) or any successor trustee appointed by the Company (or any Subsidiary or Affiliate) (the “ </w:t>
      </w:r>
      <w:r>
        <w:rPr>
          <w:rFonts w:ascii="Times New Roman" w:cs="Times New Roman" w:eastAsia="Times New Roman" w:hAnsi="Times New Roman"/>
          <w:sz w:val="14"/>
          <w:szCs w:val="14"/>
          <w:b w:val="1"/>
          <w:bCs w:val="1"/>
          <w:i w:val="1"/>
          <w:iCs w:val="1"/>
          <w:color w:val="auto"/>
        </w:rPr>
        <w:t>Trust Agreement</w:t>
      </w:r>
      <w:r>
        <w:rPr>
          <w:rFonts w:ascii="Times New Roman" w:cs="Times New Roman" w:eastAsia="Times New Roman" w:hAnsi="Times New Roman"/>
          <w:sz w:val="14"/>
          <w:szCs w:val="14"/>
          <w:color w:val="auto"/>
        </w:rPr>
        <w:t>”). Capitalized terms used but not defined in these provisions, the Plan, or the Agreement shall have the meanings ascribed to them in the Israeli Sub-Plan. In the event of any inconsistencies between the Israeli Sub-Plan, the Agreement and/or the Plan, the Israeli Sub-Plan will govern.</w:t>
      </w:r>
    </w:p>
    <w:p>
      <w:pPr>
        <w:spacing w:after="0" w:line="122"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4"/>
          <w:szCs w:val="14"/>
          <w:color w:val="auto"/>
        </w:rPr>
        <w:t>By accepting the Restricted Stock Units, you: (i) acknowledge receipt of and represent that you have read and are familiar with the terms and provisions of Section 102, the Plan, the Israeli Sub-Plan, the Grant Notice, and the Agreement; (ii) accept the Restricted Stock Units subject to all of the terms and conditions of the Agreement, the Grant Notice, the Plan, the Israeli Sub-Plan and Section 102; (iii) agree that the Restricted Stock Units and/or any Shares issued in connection therewith will be registered for the benefit of you in the name of the Trustee as required to qualify under the 102 Capital Gains Track; (iv) agree that the Restricted Stock Units, and any Shares that may be derived from such Restricted Stock Units, will be held or controlled by the Trustee for at least the duration of the Required Holding Period; (v) acknowledge that any release of the Restricted Stock Units or Shares from trust (including any sale) prior to the termination of the Required Holding Period will result in taxation at your marginal tax rate, including social security and health tax contributions; (vi) authorize the Company to provide the Trustee with any information required for the purposes of administering the Restricted Stock Units; (vii) acknowledge that if your Continuous Service is terminated, the Restricted Stock Units and underlying Shares shall remain subject to Section 102, the Trust Agreement, the Plan, the Israeli Sub-Plan and the Agreement;</w:t>
      </w:r>
    </w:p>
    <w:p>
      <w:pPr>
        <w:spacing w:after="0" w:line="2" w:lineRule="exact"/>
        <w:rPr>
          <w:sz w:val="20"/>
          <w:szCs w:val="20"/>
          <w:color w:val="auto"/>
        </w:rPr>
      </w:pPr>
    </w:p>
    <w:p>
      <w:pPr>
        <w:jc w:val="both"/>
        <w:ind w:right="60" w:firstLine="7"/>
        <w:spacing w:after="0" w:line="256" w:lineRule="auto"/>
        <w:tabs>
          <w:tab w:leader="none" w:pos="332" w:val="left"/>
        </w:tabs>
        <w:numPr>
          <w:ilvl w:val="0"/>
          <w:numId w:val="4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understand that the tax treatment applicable to 102 Capital Gains Track Grants is subject to compliance with certain terms and conditions, which if not satisfied may cause the Restricted Stock Units to be subject to a different tax arrangement, including taxation at your marginal tax rate, in addition to applicable social security and health tax contributions; and</w:t>
      </w:r>
    </w:p>
    <w:p>
      <w:pPr>
        <w:spacing w:after="0" w:line="1" w:lineRule="exact"/>
        <w:rPr>
          <w:rFonts w:ascii="Times New Roman" w:cs="Times New Roman" w:eastAsia="Times New Roman" w:hAnsi="Times New Roman"/>
          <w:sz w:val="14"/>
          <w:szCs w:val="14"/>
          <w:color w:val="auto"/>
        </w:rPr>
      </w:pPr>
    </w:p>
    <w:p>
      <w:pPr>
        <w:ind w:left="200" w:hanging="193"/>
        <w:spacing w:after="0"/>
        <w:tabs>
          <w:tab w:leader="none" w:pos="200" w:val="left"/>
        </w:tabs>
        <w:numPr>
          <w:ilvl w:val="0"/>
          <w:numId w:val="4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acknowledge that you have had the opportunity to obtain the advice of counsel prior to accepting the Restricted Stock Units.</w:t>
      </w:r>
    </w:p>
    <w:p>
      <w:pPr>
        <w:spacing w:after="0" w:line="151" w:lineRule="exact"/>
        <w:rPr>
          <w:sz w:val="20"/>
          <w:szCs w:val="20"/>
          <w:color w:val="auto"/>
        </w:rPr>
      </w:pPr>
    </w:p>
    <w:p>
      <w:pPr>
        <w:jc w:val="both"/>
        <w:ind w:right="80"/>
        <w:spacing w:after="0" w:line="293" w:lineRule="auto"/>
        <w:rPr>
          <w:sz w:val="20"/>
          <w:szCs w:val="20"/>
          <w:color w:val="auto"/>
        </w:rPr>
      </w:pPr>
      <w:r>
        <w:rPr>
          <w:rFonts w:ascii="Times New Roman" w:cs="Times New Roman" w:eastAsia="Times New Roman" w:hAnsi="Times New Roman"/>
          <w:sz w:val="14"/>
          <w:szCs w:val="14"/>
          <w:color w:val="auto"/>
        </w:rPr>
        <w:t>You hereby undertake to release the Trustee from any liability in respect of any action or decision duly taken and bona fide executed in relation to the Plan, Restricted Stock Units or Shares issued thereunder.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Data Privacy</w:t>
      </w:r>
      <w:r>
        <w:rPr>
          <w:rFonts w:ascii="Times New Roman" w:cs="Times New Roman" w:eastAsia="Times New Roman" w:hAnsi="Times New Roman"/>
          <w:sz w:val="14"/>
          <w:szCs w:val="14"/>
          <w:color w:val="auto"/>
        </w:rPr>
        <w:t>. The following provision supplements Section 1 of this Country Addendum:</w:t>
      </w:r>
    </w:p>
    <w:p>
      <w:pPr>
        <w:spacing w:after="0" w:line="317" w:lineRule="exact"/>
        <w:rPr>
          <w:sz w:val="20"/>
          <w:szCs w:val="20"/>
          <w:color w:val="auto"/>
        </w:rPr>
      </w:pPr>
    </w:p>
    <w:p>
      <w:pPr>
        <w:jc w:val="both"/>
        <w:ind w:right="80"/>
        <w:spacing w:after="0" w:line="275" w:lineRule="auto"/>
        <w:rPr>
          <w:sz w:val="20"/>
          <w:szCs w:val="20"/>
          <w:color w:val="auto"/>
        </w:rPr>
      </w:pPr>
      <w:r>
        <w:rPr>
          <w:rFonts w:ascii="Times New Roman" w:cs="Times New Roman" w:eastAsia="Times New Roman" w:hAnsi="Times New Roman"/>
          <w:sz w:val="14"/>
          <w:szCs w:val="14"/>
          <w:color w:val="auto"/>
        </w:rPr>
        <w:t>You hereby authorize the Company, the Trustee and their representatives to collect, use and transfer all relevant information regarding you and the Restricted Stock Units to all Company personnel and agents and or third parties involved in the administration of the Plan and/or in the event of a corporate financing, merger, acquisitions and/or business transfers, including transfers outside of Israel and further transfers thereafter.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following provision applies to you if you were not a tax resident of Israel on the Date of Grant and your Restricted Stock Units do not qualify as 102 Awards.</w:t>
      </w:r>
    </w:p>
    <w:p>
      <w:pPr>
        <w:spacing w:after="0" w:line="329" w:lineRule="exact"/>
        <w:rPr>
          <w:sz w:val="20"/>
          <w:szCs w:val="20"/>
          <w:color w:val="auto"/>
        </w:rPr>
      </w:pPr>
    </w:p>
    <w:p>
      <w:pPr>
        <w:jc w:val="both"/>
        <w:ind w:right="80"/>
        <w:spacing w:after="0" w:line="275" w:lineRule="auto"/>
        <w:rPr>
          <w:sz w:val="20"/>
          <w:szCs w:val="20"/>
          <w:color w:val="auto"/>
        </w:rPr>
      </w:pPr>
      <w:r>
        <w:rPr>
          <w:rFonts w:ascii="Times New Roman" w:cs="Times New Roman" w:eastAsia="Times New Roman" w:hAnsi="Times New Roman"/>
          <w:sz w:val="14"/>
          <w:szCs w:val="14"/>
          <w:u w:val="single" w:color="auto"/>
          <w:color w:val="auto"/>
        </w:rPr>
        <w:t>Settlement of Restricted Stock Units and Sale of Shares</w:t>
      </w:r>
      <w:r>
        <w:rPr>
          <w:rFonts w:ascii="Times New Roman" w:cs="Times New Roman" w:eastAsia="Times New Roman" w:hAnsi="Times New Roman"/>
          <w:sz w:val="14"/>
          <w:szCs w:val="14"/>
          <w:color w:val="auto"/>
        </w:rPr>
        <w:t>. To facilitate compliance with Withholding Obligations in Israel, the Company reserves the right to restrict you from acquiring Shares at settlement of the Restricted Stock Units. Instead, the Company reserves the right to make a payment to you in cash or its equivalent of an amount determined by multiplying (i) the fair market value per Share on the date of</w:t>
      </w:r>
    </w:p>
    <w:p>
      <w:pPr>
        <w:sectPr>
          <w:pgSz w:w="11900" w:h="16840" w:orient="portrait"/>
          <w:cols w:equalWidth="0" w:num="1">
            <w:col w:w="10680"/>
          </w:cols>
          <w:pgMar w:left="640" w:top="1440" w:right="580" w:bottom="1440" w:gutter="0" w:footer="0" w:header="0"/>
        </w:sectPr>
      </w:pPr>
    </w:p>
    <w:bookmarkStart w:id="384" w:name="page385"/>
    <w:bookmarkEnd w:id="384"/>
    <w:p>
      <w:pPr>
        <w:spacing w:after="0" w:line="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settlement of the Restricted Stock Units by (ii) the number of Shares subject to the Restricted Stock Units. In addition, the Company reserves the discretion to force the immediate sale of the Shares issued upon settlement of the Restricted Stock Units (on your behalf and at your direction pursuant to this authorization) . You agree to sign any forms and/or consents required by the Company’s designated broker to effectuate the sale of Shares. You acknowledge that the Company’s designated broker is under no obligation to arrange for the sale of the Shares at any particular price. Upon the sale of the Shares, the Company agrees to pay you the cash proceeds from the sale of the Shares, less any brokerage fees or commissions and subject to any obligation to satisfy Tax-Related Items. Any references to the issuance of Shares in any documents related to the Restricted Stock Units shall not be applicable in these circumstances.</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ITALY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and Conditions</w:t>
      </w:r>
    </w:p>
    <w:p>
      <w:pPr>
        <w:spacing w:after="0" w:line="168" w:lineRule="exact"/>
        <w:rPr>
          <w:sz w:val="20"/>
          <w:szCs w:val="20"/>
          <w:color w:val="auto"/>
        </w:rPr>
      </w:pPr>
    </w:p>
    <w:p>
      <w:pPr>
        <w:jc w:val="both"/>
        <w:ind w:right="40"/>
        <w:spacing w:after="0" w:line="293" w:lineRule="auto"/>
        <w:rPr>
          <w:sz w:val="20"/>
          <w:szCs w:val="20"/>
          <w:color w:val="auto"/>
        </w:rPr>
      </w:pPr>
      <w:r>
        <w:rPr>
          <w:rFonts w:ascii="Times New Roman" w:cs="Times New Roman" w:eastAsia="Times New Roman" w:hAnsi="Times New Roman"/>
          <w:sz w:val="14"/>
          <w:szCs w:val="14"/>
          <w:u w:val="single" w:color="auto"/>
          <w:color w:val="auto"/>
        </w:rPr>
        <w:t>Plan Document Acknowledgment</w:t>
      </w:r>
      <w:r>
        <w:rPr>
          <w:rFonts w:ascii="Times New Roman" w:cs="Times New Roman" w:eastAsia="Times New Roman" w:hAnsi="Times New Roman"/>
          <w:sz w:val="14"/>
          <w:szCs w:val="14"/>
          <w:color w:val="auto"/>
        </w:rPr>
        <w:t xml:space="preserve"> . By accepting the RSU Award, you acknowledge that a copy of the Plan was made available to you, and that you have reviewed the Plan and the Agreement in their entirety and fully understand and accept all provisions of the Plan and the Agreement.</w:t>
      </w:r>
    </w:p>
    <w:p>
      <w:pPr>
        <w:spacing w:after="0" w:line="104" w:lineRule="exact"/>
        <w:rPr>
          <w:sz w:val="20"/>
          <w:szCs w:val="20"/>
          <w:color w:val="auto"/>
        </w:rPr>
      </w:pPr>
    </w:p>
    <w:p>
      <w:pPr>
        <w:jc w:val="both"/>
        <w:ind w:right="60"/>
        <w:spacing w:after="0" w:line="275" w:lineRule="auto"/>
        <w:rPr>
          <w:sz w:val="20"/>
          <w:szCs w:val="20"/>
          <w:color w:val="auto"/>
        </w:rPr>
      </w:pPr>
      <w:r>
        <w:rPr>
          <w:rFonts w:ascii="Times New Roman" w:cs="Times New Roman" w:eastAsia="Times New Roman" w:hAnsi="Times New Roman"/>
          <w:sz w:val="14"/>
          <w:szCs w:val="14"/>
          <w:color w:val="auto"/>
        </w:rPr>
        <w:t>You further acknowledge that you have read and specifically and expressly approve the following provisions of the RSU Award Agreement: Section 2 (“Grant of the RSU Award”); Section 4 (“Responsibility for Taxes”); Section 10 (“Nature of Grant”); Section 11 (“Governing Law and Venue”); Section 14 (“Imposition of Other Requirements”), and Section 1 (“Data Privacy Notice and Consent”) and Section 2 (“Language”) of this Country Addendum.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Notifications</w:t>
      </w:r>
    </w:p>
    <w:p>
      <w:pPr>
        <w:spacing w:after="0" w:line="166" w:lineRule="exact"/>
        <w:rPr>
          <w:sz w:val="20"/>
          <w:szCs w:val="20"/>
          <w:color w:val="auto"/>
        </w:rPr>
      </w:pPr>
    </w:p>
    <w:p>
      <w:pPr>
        <w:jc w:val="both"/>
        <w:ind w:right="40"/>
        <w:spacing w:after="0" w:line="276" w:lineRule="auto"/>
        <w:rPr>
          <w:sz w:val="20"/>
          <w:szCs w:val="20"/>
          <w:color w:val="auto"/>
        </w:rPr>
      </w:pPr>
      <w:r>
        <w:rPr>
          <w:rFonts w:ascii="Times New Roman" w:cs="Times New Roman" w:eastAsia="Times New Roman" w:hAnsi="Times New Roman"/>
          <w:sz w:val="14"/>
          <w:szCs w:val="14"/>
          <w:u w:val="single" w:color="auto"/>
          <w:color w:val="auto"/>
        </w:rPr>
        <w:t>Foreign Asset/Account Reporting Information</w:t>
      </w:r>
      <w:r>
        <w:rPr>
          <w:rFonts w:ascii="Times New Roman" w:cs="Times New Roman" w:eastAsia="Times New Roman" w:hAnsi="Times New Roman"/>
          <w:sz w:val="14"/>
          <w:szCs w:val="14"/>
          <w:color w:val="auto"/>
        </w:rPr>
        <w:t>. If you hold investments abroad or foreign financial assets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cash, Shares) that may generate income taxable in Italy, you must report them on your annual tax return (UNICO Form, RW Schedule) or on a special form if no tax return is due, irrespective of their value. The same reporting duties apply if you are a beneficial owner of the investments, even if you do not directly hold investments abroad or foreign financial assets.</w:t>
      </w:r>
    </w:p>
    <w:p>
      <w:pPr>
        <w:spacing w:after="0" w:line="269"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14"/>
          <w:szCs w:val="14"/>
          <w:u w:val="single" w:color="auto"/>
          <w:color w:val="auto"/>
        </w:rPr>
        <w:t>Foreign Financial Asset Tax Information</w:t>
      </w:r>
      <w:r>
        <w:rPr>
          <w:rFonts w:ascii="Times New Roman" w:cs="Times New Roman" w:eastAsia="Times New Roman" w:hAnsi="Times New Roman"/>
          <w:sz w:val="14"/>
          <w:szCs w:val="14"/>
          <w:color w:val="auto"/>
        </w:rPr>
        <w:t xml:space="preserve"> . The value of any Shares (and certain other foreign assets) an Italian resident holds outside Italy may be subject to a foreign financial assets tax. The taxable amount is equal to the fair market value of the financial assets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Shares) on December 31 or on the last day such Shares were held (the tax is levied in proportion to the number of days the Shares were held over the calendar year). The value of financial assets held abroad must be reported in Form RM of the annual tax return. You should consult a personal tax advisor for additional information about the foreign financial assets tax.</w:t>
      </w: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NETHERLANDS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no country-specific provisions.</w:t>
      </w:r>
    </w:p>
    <w:p>
      <w:pPr>
        <w:sectPr>
          <w:pgSz w:w="11900" w:h="16840" w:orient="portrait"/>
          <w:cols w:equalWidth="0" w:num="1">
            <w:col w:w="10640"/>
          </w:cols>
          <w:pgMar w:left="640" w:top="1440" w:right="620" w:bottom="1440" w:gutter="0" w:footer="0" w:header="0"/>
        </w:sectPr>
      </w:pPr>
    </w:p>
    <w:bookmarkStart w:id="385" w:name="page386"/>
    <w:bookmarkEnd w:id="385"/>
    <w:p>
      <w:pPr>
        <w:spacing w:after="0" w:line="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PORTUGAL</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and Conditions</w:t>
      </w:r>
    </w:p>
    <w:p>
      <w:pPr>
        <w:spacing w:after="0" w:line="321"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4"/>
          <w:szCs w:val="14"/>
          <w:u w:val="single" w:color="auto"/>
          <w:color w:val="auto"/>
        </w:rPr>
        <w:t>Language Consent</w:t>
      </w:r>
      <w:r>
        <w:rPr>
          <w:rFonts w:ascii="Times New Roman" w:cs="Times New Roman" w:eastAsia="Times New Roman" w:hAnsi="Times New Roman"/>
          <w:sz w:val="14"/>
          <w:szCs w:val="14"/>
          <w:color w:val="auto"/>
        </w:rPr>
        <w:t>. You hereby expressly declare that you have full knowledge of the English language and have read, understood and fully accepted and agreed with the terms and conditions established in the Plan and the Agreement.</w:t>
      </w:r>
    </w:p>
    <w:p>
      <w:pPr>
        <w:spacing w:after="0" w:line="256"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4"/>
          <w:szCs w:val="14"/>
          <w:i w:val="1"/>
          <w:iCs w:val="1"/>
          <w:u w:val="single" w:color="auto"/>
          <w:color w:val="auto"/>
        </w:rPr>
        <w:t>Conhecimento da Lingua</w:t>
      </w:r>
      <w:r>
        <w:rPr>
          <w:rFonts w:ascii="Times New Roman" w:cs="Times New Roman" w:eastAsia="Times New Roman" w:hAnsi="Times New Roman"/>
          <w:sz w:val="14"/>
          <w:szCs w:val="14"/>
          <w:i w:val="1"/>
          <w:iCs w:val="1"/>
          <w:color w:val="auto"/>
        </w:rPr>
        <w:t>. Declara expressamente que possui pleno conhecimento da língua inglesa e que leu, compreendeu e aceitou e concordou integralmente com os termos e condições estabelecidos no Plano e no Contrato.</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Notifications</w:t>
      </w:r>
    </w:p>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u w:val="single" w:color="auto"/>
          <w:color w:val="auto"/>
        </w:rPr>
        <w:t>Exchange Control Information</w:t>
      </w:r>
      <w:r>
        <w:rPr>
          <w:rFonts w:ascii="Times New Roman" w:cs="Times New Roman" w:eastAsia="Times New Roman" w:hAnsi="Times New Roman"/>
          <w:sz w:val="14"/>
          <w:szCs w:val="14"/>
          <w:color w:val="auto"/>
        </w:rPr>
        <w:t xml:space="preserve">. If you are a Portuguese resident and you hold Shares after vesting of the RSU Award, the acquisition of the Shares should be reported to the </w:t>
      </w:r>
      <w:r>
        <w:rPr>
          <w:rFonts w:ascii="Times New Roman" w:cs="Times New Roman" w:eastAsia="Times New Roman" w:hAnsi="Times New Roman"/>
          <w:sz w:val="14"/>
          <w:szCs w:val="14"/>
          <w:i w:val="1"/>
          <w:iCs w:val="1"/>
          <w:color w:val="auto"/>
        </w:rPr>
        <w:t>Banco de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Portugal </w:t>
      </w:r>
      <w:r>
        <w:rPr>
          <w:rFonts w:ascii="Times New Roman" w:cs="Times New Roman" w:eastAsia="Times New Roman" w:hAnsi="Times New Roman"/>
          <w:sz w:val="14"/>
          <w:szCs w:val="14"/>
          <w:color w:val="auto"/>
        </w:rPr>
        <w:t>for statistical purposes. If the Shares are deposited with a commercial bank or financial intermediary in Portugal, such bank or financial intermediary will submit the report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your behalf. If the Shares is not deposited with a commercial bank or financial intermediary in Portugal, you are responsible for submitting the report to the </w:t>
      </w:r>
      <w:r>
        <w:rPr>
          <w:rFonts w:ascii="Times New Roman" w:cs="Times New Roman" w:eastAsia="Times New Roman" w:hAnsi="Times New Roman"/>
          <w:sz w:val="14"/>
          <w:szCs w:val="14"/>
          <w:i w:val="1"/>
          <w:iCs w:val="1"/>
          <w:color w:val="auto"/>
        </w:rPr>
        <w:t>Banco de Portugal</w:t>
      </w:r>
      <w:r>
        <w:rPr>
          <w:rFonts w:ascii="Times New Roman" w:cs="Times New Roman" w:eastAsia="Times New Roman" w:hAnsi="Times New Roman"/>
          <w:sz w:val="14"/>
          <w:szCs w:val="14"/>
          <w:color w:val="auto"/>
        </w:rPr>
        <w:t>, unless you engage a Portuguese financial intermediary to file the reports on your behalf. You should consult with your personal advisor(s) regarding any personal legal, regulatory or foreign exchange obligations you may have in connection with your participation in the Plan.</w:t>
      </w: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SINGAPORE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and Conditions</w:t>
      </w:r>
    </w:p>
    <w:p>
      <w:pPr>
        <w:spacing w:after="0" w:line="3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u w:val="single" w:color="auto"/>
          <w:color w:val="auto"/>
        </w:rPr>
        <w:t>Sale of Shares</w:t>
      </w:r>
      <w:r>
        <w:rPr>
          <w:rFonts w:ascii="Times New Roman" w:cs="Times New Roman" w:eastAsia="Times New Roman" w:hAnsi="Times New Roman"/>
          <w:sz w:val="14"/>
          <w:szCs w:val="14"/>
          <w:color w:val="auto"/>
        </w:rPr>
        <w:t xml:space="preserve">. For any Restricted Stock Units that vest within six months of the Date of Grant, you agree that you will not sell or offer to sell the Shares acquired prior to the six-month anniversary of the Date of Grant, unless such sale or offer to sell in Singapore is made pursuant to the exemptions under Part XIII Division (1) Subdivision (4) (other than section 280) of the Singapore Securities and Futures Act (Chapter 289, 2006 Ed.) (“ </w:t>
      </w:r>
      <w:r>
        <w:rPr>
          <w:rFonts w:ascii="Times New Roman" w:cs="Times New Roman" w:eastAsia="Times New Roman" w:hAnsi="Times New Roman"/>
          <w:sz w:val="14"/>
          <w:szCs w:val="14"/>
          <w:b w:val="1"/>
          <w:bCs w:val="1"/>
          <w:i w:val="1"/>
          <w:iCs w:val="1"/>
          <w:color w:val="auto"/>
        </w:rPr>
        <w:t>SFA</w:t>
      </w:r>
      <w:r>
        <w:rPr>
          <w:rFonts w:ascii="Times New Roman" w:cs="Times New Roman" w:eastAsia="Times New Roman" w:hAnsi="Times New Roman"/>
          <w:sz w:val="14"/>
          <w:szCs w:val="14"/>
          <w:color w:val="auto"/>
        </w:rPr>
        <w:t>”) or pursuant to, and in according with the conditions of, any other applicable provision of the SFA.</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Notifications</w:t>
      </w:r>
    </w:p>
    <w:p>
      <w:pPr>
        <w:spacing w:after="0" w:line="3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u w:val="single" w:color="auto"/>
          <w:color w:val="auto"/>
        </w:rPr>
        <w:t>Securities Law Information</w:t>
      </w:r>
      <w:r>
        <w:rPr>
          <w:rFonts w:ascii="Times New Roman" w:cs="Times New Roman" w:eastAsia="Times New Roman" w:hAnsi="Times New Roman"/>
          <w:sz w:val="14"/>
          <w:szCs w:val="14"/>
          <w:color w:val="auto"/>
        </w:rPr>
        <w:t>. The Restricted Stock Units are being offered to you in reliance on the “Qualifying Person” exemption under section 273(1)(f) of the SFA, are exempt from the prospectus and registration requirements under the SFA and are not made with a view to the underlying Shares being subsequently offered for sale to any other party. The Plan has not been and will not be lodged or registered as a prospectus with the Monetary Authority of Singapore.</w:t>
      </w:r>
    </w:p>
    <w:p>
      <w:pPr>
        <w:sectPr>
          <w:pgSz w:w="11900" w:h="16840" w:orient="portrait"/>
          <w:cols w:equalWidth="0" w:num="1">
            <w:col w:w="10620"/>
          </w:cols>
          <w:pgMar w:left="640" w:top="1440" w:right="640" w:bottom="1440" w:gutter="0" w:footer="0" w:header="0"/>
        </w:sectPr>
      </w:pPr>
    </w:p>
    <w:bookmarkStart w:id="386" w:name="page387"/>
    <w:bookmarkEnd w:id="386"/>
    <w:p>
      <w:pPr>
        <w:spacing w:after="0" w:line="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u w:val="single" w:color="auto"/>
          <w:color w:val="auto"/>
        </w:rPr>
        <w:t>Director Notification Information</w:t>
      </w:r>
      <w:r>
        <w:rPr>
          <w:rFonts w:ascii="Times New Roman" w:cs="Times New Roman" w:eastAsia="Times New Roman" w:hAnsi="Times New Roman"/>
          <w:sz w:val="14"/>
          <w:szCs w:val="14"/>
          <w:color w:val="auto"/>
        </w:rPr>
        <w:t>. Directors (including alternate, substitute, associate and shadow directors) of a Singapore Affiliate are subject to certain notification requirements under the Singapore Companies Act. Among these requirements is an obligation to notify such entity in writing within two business days of any of the following events: (i) the acquisition or disposal of an interest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xml:space="preserve">, Restricted Stock Units granted under the Plan) in the Company or any Affiliate, (ii) any change in previously-disclosed interests (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sale of Shares), or (iii) becoming a director, associate director or shadow director of an Affiliate in Singapore, if the individual holds such an interest at that time. These notification requirements apply regardless of whether the directors are residents of or employed in Singapore.</w:t>
      </w: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SPAIN</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and Conditions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Nature of Grant</w:t>
      </w:r>
      <w:r>
        <w:rPr>
          <w:rFonts w:ascii="Times New Roman" w:cs="Times New Roman" w:eastAsia="Times New Roman" w:hAnsi="Times New Roman"/>
          <w:sz w:val="14"/>
          <w:szCs w:val="14"/>
          <w:color w:val="auto"/>
        </w:rPr>
        <w:t>. The following provision supplements Section 10 of the RSU Award Agreement: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accepting the RSU Award, you consent to participation in the Plan and acknowledge that you have received a copy of the Plan.</w:t>
      </w:r>
    </w:p>
    <w:p>
      <w:pPr>
        <w:spacing w:after="0" w:line="3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You understand that the Company has unilaterally, gratuitously, and in its sole discretion decided to grant the RSU Award under the Plan to Employees and Consultants throughout the world. The decision is a limited decision that is entered into upon the express assumption and condition that (i) any grant will not economically or otherwise bind the Company, the Service Recipient, or any Subsidiary or Affiliate on an ongoing basis other than as expressly set forth in the Plan and this Agreement; (ii) the RSU Award and any Shares acquired at settlement of the RSU Award are not part of any employment or other service agreement (either with the Company or any Subsidiary or Affiliate, including the Service Recipient), and shall not be considered a mandatory benefit, salary for any purposes (including severance compensation), or any other right whatsoever; and (iii) the RSU Award shall cease vesting once you experience a termination of Continuous Service, as detailed below. In addition, you understand that this grant of the RSU Award would not be made but for the assumptions and conditions referred to above; thus, you acknowledge and freely accept that, should any or all of the assumptions be mistaken or should any of the conditions not be met for any reason, then any award of or right to the RSU Award shall be null and void.</w:t>
      </w:r>
    </w:p>
    <w:p>
      <w:pPr>
        <w:spacing w:after="0" w:line="2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Additionally, you understand that the vesting and settlement of the RSU Award is expressly conditioned on your Continuous Service, such that if your Continuous Service terminates for any reason whatsoever, the RSU Award will cease vesting immediately effective as of the date of termination of your Continuous Service. This will be the case, for example, even if</w:t>
      </w:r>
    </w:p>
    <w:p>
      <w:pPr>
        <w:spacing w:after="0" w:line="1" w:lineRule="exact"/>
        <w:rPr>
          <w:sz w:val="20"/>
          <w:szCs w:val="20"/>
          <w:color w:val="auto"/>
        </w:rPr>
      </w:pPr>
    </w:p>
    <w:p>
      <w:pPr>
        <w:jc w:val="both"/>
        <w:ind w:firstLine="7"/>
        <w:spacing w:after="0" w:line="260" w:lineRule="auto"/>
        <w:tabs>
          <w:tab w:leader="none" w:pos="203" w:val="left"/>
        </w:tabs>
        <w:numPr>
          <w:ilvl w:val="0"/>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considered to be unfairly dismissed without good cause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xml:space="preserve">, subject to a “ </w:t>
      </w:r>
      <w:r>
        <w:rPr>
          <w:rFonts w:ascii="Times New Roman" w:cs="Times New Roman" w:eastAsia="Times New Roman" w:hAnsi="Times New Roman"/>
          <w:sz w:val="14"/>
          <w:szCs w:val="14"/>
          <w:i w:val="1"/>
          <w:iCs w:val="1"/>
          <w:color w:val="auto"/>
        </w:rPr>
        <w:t>despido improcedente</w:t>
      </w:r>
      <w:r>
        <w:rPr>
          <w:rFonts w:ascii="Times New Roman" w:cs="Times New Roman" w:eastAsia="Times New Roman" w:hAnsi="Times New Roman"/>
          <w:sz w:val="14"/>
          <w:szCs w:val="14"/>
          <w:color w:val="auto"/>
        </w:rPr>
        <w:t>”); (b) you are dismissed for disciplinary or objective reasons or due to a collective dismissal; (c) you terminate employment due to a change of work location, duties or any other employment or contractual condition; (d) you terminate employment due to the Company’s or any Subsidiary’s or Affiliate’s unilateral breach of contract; or (e) you terminate employment for any other reason whatsoever. Consequently, upon termination of your Continuous Service for any of the above reasons, you will automatically lose any rights to the RSU Award granted to you that was unvested on the date of termination of your Continuous Service, as described in the RSU Award Agreement.</w:t>
      </w:r>
    </w:p>
    <w:p>
      <w:pPr>
        <w:sectPr>
          <w:pgSz w:w="11900" w:h="16840" w:orient="portrait"/>
          <w:cols w:equalWidth="0" w:num="1">
            <w:col w:w="10620"/>
          </w:cols>
          <w:pgMar w:left="640" w:top="1440" w:right="640" w:bottom="1440" w:gutter="0" w:footer="0" w:header="0"/>
        </w:sectPr>
      </w:pPr>
    </w:p>
    <w:bookmarkStart w:id="387" w:name="page388"/>
    <w:bookmarkEnd w:id="387"/>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Notifications</w:t>
      </w:r>
    </w:p>
    <w:p>
      <w:pPr>
        <w:spacing w:after="0" w:line="3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u w:val="single" w:color="auto"/>
          <w:color w:val="auto"/>
        </w:rPr>
        <w:t>Securities Law Information</w:t>
      </w:r>
      <w:r>
        <w:rPr>
          <w:rFonts w:ascii="Times New Roman" w:cs="Times New Roman" w:eastAsia="Times New Roman" w:hAnsi="Times New Roman"/>
          <w:sz w:val="14"/>
          <w:szCs w:val="14"/>
          <w:color w:val="auto"/>
        </w:rPr>
        <w:t xml:space="preserve">. No “offer to the public,” as defined under Spanish law, has taken place or will take place in the Spanish territory in connection with the RSU Award. The Plan, this Agreement, and any other documents evidencing this grant of the RSU Award have not been, nor will they be, registered with the </w:t>
      </w:r>
      <w:r>
        <w:rPr>
          <w:rFonts w:ascii="Times New Roman" w:cs="Times New Roman" w:eastAsia="Times New Roman" w:hAnsi="Times New Roman"/>
          <w:sz w:val="14"/>
          <w:szCs w:val="14"/>
          <w:i w:val="1"/>
          <w:iCs w:val="1"/>
          <w:color w:val="auto"/>
        </w:rPr>
        <w:t>Comisión Nacional del Mercado de Valores</w:t>
      </w:r>
      <w:r>
        <w:rPr>
          <w:rFonts w:ascii="Times New Roman" w:cs="Times New Roman" w:eastAsia="Times New Roman" w:hAnsi="Times New Roman"/>
          <w:sz w:val="14"/>
          <w:szCs w:val="14"/>
          <w:color w:val="auto"/>
        </w:rPr>
        <w:t xml:space="preserve"> (the Spanish securities regulator), and none of those documents constitutes a public offering prospectus.</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u w:val="single" w:color="auto"/>
          <w:color w:val="auto"/>
        </w:rPr>
        <w:t>Exchange Control Information</w:t>
      </w:r>
      <w:r>
        <w:rPr>
          <w:rFonts w:ascii="Times New Roman" w:cs="Times New Roman" w:eastAsia="Times New Roman" w:hAnsi="Times New Roman"/>
          <w:sz w:val="14"/>
          <w:szCs w:val="14"/>
          <w:color w:val="auto"/>
        </w:rPr>
        <w:t>. Any securities accounts (including brokerage accounts held abroad) and any foreign investments (including Shares) held in such accounts may need to be declared electronically to the Bank of Spain if the value of the transactions for all such accounts during the prior tax year or the balances in such accounts as of December 31 of the prior tax year exceed EUR 1,000,000.</w:t>
      </w:r>
    </w:p>
    <w:p>
      <w:pPr>
        <w:spacing w:after="0" w:line="27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4"/>
          <w:szCs w:val="14"/>
          <w:color w:val="auto"/>
        </w:rPr>
        <w:t>Different thresholds and deadlines to file this declaration apply. However, if neither such transactions during the immediately preceding year nor the balances or positions as of December 31 exceed EUR 1,000,000, no such declaration must be filed unless expressly required by the Bank of Spain. If any of such thresholds were exceeded during the current year, you may be required to file the relevant declaration corresponding to the prior year; however, a summarized form of declaration may be available. You should consult with your personal tax advisor to ensure compliance with applicable reporting requirements.</w:t>
      </w:r>
    </w:p>
    <w:p>
      <w:pPr>
        <w:spacing w:after="0" w:line="27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u w:val="single" w:color="auto"/>
          <w:color w:val="auto"/>
        </w:rPr>
        <w:t>Foreign Asset/Account Reporting Information</w:t>
      </w:r>
      <w:r>
        <w:rPr>
          <w:rFonts w:ascii="Times New Roman" w:cs="Times New Roman" w:eastAsia="Times New Roman" w:hAnsi="Times New Roman"/>
          <w:sz w:val="14"/>
          <w:szCs w:val="14"/>
          <w:color w:val="auto"/>
        </w:rPr>
        <w:t xml:space="preserve"> . Rights or assets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Shares or cash held in a bank or brokerage account) held outside of Spain with a value in excess of EUR 50,000 per type of right or asset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Shares, cash, etc.) as of December 31, must be reported on your annual tax return. After such rights and/or assets are initially reported, the reporting obligation will only apply for subsequent years if the value of any previously-reported rights or assets increases by more than EUR 20,000 or if the ownership of the assets is transferred or relinquished during the year. The reporting must be completed by the following March 31.</w:t>
      </w: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SWEDEN</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and Conditions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Responsibility for Taxes</w:t>
      </w:r>
      <w:r>
        <w:rPr>
          <w:rFonts w:ascii="Times New Roman" w:cs="Times New Roman" w:eastAsia="Times New Roman" w:hAnsi="Times New Roman"/>
          <w:sz w:val="14"/>
          <w:szCs w:val="14"/>
          <w:color w:val="auto"/>
        </w:rPr>
        <w:t>. The following provision supplements Section 4 of the RSU Award Agreement:</w:t>
      </w:r>
    </w:p>
    <w:p>
      <w:pPr>
        <w:spacing w:after="0" w:line="317"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4"/>
          <w:szCs w:val="14"/>
          <w:color w:val="auto"/>
        </w:rPr>
        <w:t>Without limiting the Company’s and the Service Recipient's authority to satisfy any withholding obligations for Tax-Related Items as set forth in Section 4 of the RSU Award Agreement, by accepting the grant of the RSU Award, you authorize the Company and/or the Service Recipient to withhold or sell Shares otherwise deliverable to you upon vesting/settlement of the RSU Award in order to satisfy any Tax-Related Items, regardless of whether the Company and/or the Service Recipient have any obligation to withhold such Tax-Related Items.</w:t>
      </w:r>
    </w:p>
    <w:p>
      <w:pPr>
        <w:sectPr>
          <w:pgSz w:w="11900" w:h="16840" w:orient="portrait"/>
          <w:cols w:equalWidth="0" w:num="1">
            <w:col w:w="10620"/>
          </w:cols>
          <w:pgMar w:left="640" w:top="1440" w:right="640" w:bottom="1440" w:gutter="0" w:footer="0" w:header="0"/>
        </w:sectPr>
      </w:pPr>
    </w:p>
    <w:bookmarkStart w:id="388" w:name="page389"/>
    <w:bookmarkEnd w:id="388"/>
    <w:p>
      <w:pPr>
        <w:spacing w:after="0" w:line="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UNITED ARAB EMIRATES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Notifications</w:t>
      </w:r>
    </w:p>
    <w:p>
      <w:pPr>
        <w:spacing w:after="0" w:line="32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4"/>
          <w:szCs w:val="14"/>
          <w:u w:val="single" w:color="auto"/>
          <w:color w:val="auto"/>
        </w:rPr>
        <w:t>Securities Law Information</w:t>
      </w:r>
      <w:r>
        <w:rPr>
          <w:rFonts w:ascii="Times New Roman" w:cs="Times New Roman" w:eastAsia="Times New Roman" w:hAnsi="Times New Roman"/>
          <w:sz w:val="14"/>
          <w:szCs w:val="14"/>
          <w:color w:val="auto"/>
        </w:rPr>
        <w:t>. Participation in the Plan is being offered only to eligible service providers and is in the nature of providing equity incentives to employees in the United Arab Emirates (“</w:t>
      </w:r>
      <w:r>
        <w:rPr>
          <w:rFonts w:ascii="Times New Roman" w:cs="Times New Roman" w:eastAsia="Times New Roman" w:hAnsi="Times New Roman"/>
          <w:sz w:val="14"/>
          <w:szCs w:val="14"/>
          <w:b w:val="1"/>
          <w:bCs w:val="1"/>
          <w:i w:val="1"/>
          <w:iCs w:val="1"/>
          <w:color w:val="auto"/>
        </w:rPr>
        <w:t>UAE</w:t>
      </w:r>
      <w:r>
        <w:rPr>
          <w:rFonts w:ascii="Times New Roman" w:cs="Times New Roman" w:eastAsia="Times New Roman" w:hAnsi="Times New Roman"/>
          <w:sz w:val="14"/>
          <w:szCs w:val="14"/>
          <w:color w:val="auto"/>
        </w:rPr>
        <w:t>”). The Plan and the Agreement are intended for distribution only to such service providers and must not be delivered to, or relied on by, any other person. Prospective purchasers of the securities offered should conduct their own due diligence on the securities. If you do not understand the contents of the Plan or the Agreement, you should consult an authorized financial adviser. The Emirates Securities and Commodities Authority has no responsibility for reviewing or verifying any documents in connection with the Plan. No other UAE authority or governmental agency has approved the Plan or the Agreement or taken steps to verify the information set out therein, nor has any responsibility for such documents.</w:t>
      </w: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UNITED KINGDOM</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and Conditions</w:t>
      </w:r>
    </w:p>
    <w:p>
      <w:pPr>
        <w:spacing w:after="0" w:line="321"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4"/>
          <w:szCs w:val="14"/>
          <w:u w:val="single" w:color="auto"/>
          <w:color w:val="auto"/>
        </w:rPr>
        <w:t>Settlement of RSU Award</w:t>
      </w:r>
      <w:r>
        <w:rPr>
          <w:rFonts w:ascii="Times New Roman" w:cs="Times New Roman" w:eastAsia="Times New Roman" w:hAnsi="Times New Roman"/>
          <w:sz w:val="14"/>
          <w:szCs w:val="14"/>
          <w:color w:val="auto"/>
        </w:rPr>
        <w:t xml:space="preserve"> . Notwithstanding anything in the Agreement or any discretion retained in the Plan to the contrary, the RSU Award shall be settled in Shares only (and shall not be settled in cash).</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Responsibility for Taxes</w:t>
      </w:r>
      <w:r>
        <w:rPr>
          <w:rFonts w:ascii="Times New Roman" w:cs="Times New Roman" w:eastAsia="Times New Roman" w:hAnsi="Times New Roman"/>
          <w:sz w:val="14"/>
          <w:szCs w:val="14"/>
          <w:color w:val="auto"/>
        </w:rPr>
        <w:t>. The following provision supplements Section 4 of the RSU Award Agreement:</w:t>
      </w:r>
    </w:p>
    <w:p>
      <w:pPr>
        <w:spacing w:after="0" w:line="164"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14"/>
          <w:szCs w:val="14"/>
          <w:color w:val="auto"/>
        </w:rPr>
        <w:t>Without limitation to Section 4 of the RSU Award Agreement, you agree that you are liable for all Tax-Related Items and hereby covenant to pay all such Tax-Related Items, as and when requested by the Company or the Service Recipient or by HM Revenue and Customs (“</w:t>
      </w:r>
      <w:r>
        <w:rPr>
          <w:rFonts w:ascii="Times New Roman" w:cs="Times New Roman" w:eastAsia="Times New Roman" w:hAnsi="Times New Roman"/>
          <w:sz w:val="14"/>
          <w:szCs w:val="14"/>
          <w:b w:val="1"/>
          <w:bCs w:val="1"/>
          <w:i w:val="1"/>
          <w:iCs w:val="1"/>
          <w:color w:val="auto"/>
        </w:rPr>
        <w:t>HMRC</w:t>
      </w:r>
      <w:r>
        <w:rPr>
          <w:rFonts w:ascii="Times New Roman" w:cs="Times New Roman" w:eastAsia="Times New Roman" w:hAnsi="Times New Roman"/>
          <w:sz w:val="14"/>
          <w:szCs w:val="14"/>
          <w:color w:val="auto"/>
        </w:rPr>
        <w:t>”) (or any other tax authority or any other relevant authority). You also agree to indemnify and keep indemnified the Company and the Service Recipient against any Tax-Related Items that they are required to pay or withhold or have paid or will pay to HMRC (or any other tax authority or any other relevant authority) on your behalf.</w:t>
      </w:r>
    </w:p>
    <w:p>
      <w:pPr>
        <w:spacing w:after="0" w:line="2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Notwithstanding the foregoing, if you are a director or an executive officer of the Company (within the meaning of such terms for purposes of Section 13(k) of the Exchange Act), you acknowledge that may not be able to indemnify the Company or the Service Recipient for the amount of any income tax not collected from or paid by you, as it may be considered a loan. In this case, the amount of any income tax not collected may constitute an additional benefit to you on which additional income tax and National Insurance contributions may be payable. You will be responsible for reporting and paying any income tax due on this additional benefit directly to HMRC under the self-assessment regime and for paying the Company or the Service Recipient (as appropriate) for the value of any National Insurance contributions due on this additional benefit, which the Company or the Service Recipient may collect from you by any of the means referred to in the Plan or Section 4 of the RSU Award Agreement.</w:t>
      </w:r>
    </w:p>
    <w:p>
      <w:pPr>
        <w:sectPr>
          <w:pgSz w:w="11900" w:h="16840" w:orient="portrait"/>
          <w:cols w:equalWidth="0" w:num="1">
            <w:col w:w="10640"/>
          </w:cols>
          <w:pgMar w:left="640" w:top="1440" w:right="620" w:bottom="1440" w:gutter="0" w:footer="0" w:header="0"/>
        </w:sectPr>
      </w:pPr>
    </w:p>
    <w:bookmarkStart w:id="389" w:name="page390"/>
    <w:bookmarkEnd w:id="389"/>
    <w:p>
      <w:pPr>
        <w:spacing w:after="0" w:line="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u w:val="single" w:color="auto"/>
          <w:color w:val="auto"/>
        </w:rPr>
        <w:t>Joint Election</w:t>
      </w:r>
      <w:r>
        <w:rPr>
          <w:rFonts w:ascii="Times New Roman" w:cs="Times New Roman" w:eastAsia="Times New Roman" w:hAnsi="Times New Roman"/>
          <w:sz w:val="14"/>
          <w:szCs w:val="14"/>
          <w:color w:val="auto"/>
        </w:rPr>
        <w:t>. As a condition of participation in the Plan, you agree to accept any liability for secondary Class 1 National Insurance contributions (“</w:t>
      </w:r>
      <w:r>
        <w:rPr>
          <w:rFonts w:ascii="Times New Roman" w:cs="Times New Roman" w:eastAsia="Times New Roman" w:hAnsi="Times New Roman"/>
          <w:sz w:val="14"/>
          <w:szCs w:val="14"/>
          <w:b w:val="1"/>
          <w:bCs w:val="1"/>
          <w:i w:val="1"/>
          <w:iCs w:val="1"/>
          <w:color w:val="auto"/>
        </w:rPr>
        <w:t>NICs</w:t>
      </w:r>
      <w:r>
        <w:rPr>
          <w:rFonts w:ascii="Times New Roman" w:cs="Times New Roman" w:eastAsia="Times New Roman" w:hAnsi="Times New Roman"/>
          <w:sz w:val="14"/>
          <w:szCs w:val="14"/>
          <w:color w:val="auto"/>
        </w:rPr>
        <w:t>”) which may be payable by the Company and/or the Service Recipient (or any successor to the Company or the Service Recipient) in connection with the Restricted Stock Units granted under this Agreement, any other restricted stock units granted by the Company in the past and any event giving rise to Tax-Related Items (the “</w:t>
      </w:r>
      <w:r>
        <w:rPr>
          <w:rFonts w:ascii="Times New Roman" w:cs="Times New Roman" w:eastAsia="Times New Roman" w:hAnsi="Times New Roman"/>
          <w:sz w:val="14"/>
          <w:szCs w:val="14"/>
          <w:b w:val="1"/>
          <w:bCs w:val="1"/>
          <w:i w:val="1"/>
          <w:iCs w:val="1"/>
          <w:color w:val="auto"/>
        </w:rPr>
        <w:t>Service Recipient’s NICs</w:t>
      </w:r>
      <w:r>
        <w:rPr>
          <w:rFonts w:ascii="Times New Roman" w:cs="Times New Roman" w:eastAsia="Times New Roman" w:hAnsi="Times New Roman"/>
          <w:sz w:val="14"/>
          <w:szCs w:val="14"/>
          <w:color w:val="auto"/>
        </w:rPr>
        <w:t>”). Without limitation to the foregoing, you agree to enter into a joint election with the Company (the “</w:t>
      </w:r>
      <w:r>
        <w:rPr>
          <w:rFonts w:ascii="Times New Roman" w:cs="Times New Roman" w:eastAsia="Times New Roman" w:hAnsi="Times New Roman"/>
          <w:sz w:val="14"/>
          <w:szCs w:val="14"/>
          <w:b w:val="1"/>
          <w:bCs w:val="1"/>
          <w:i w:val="1"/>
          <w:iCs w:val="1"/>
          <w:color w:val="auto"/>
        </w:rPr>
        <w:t>Joint Election</w:t>
      </w:r>
      <w:r>
        <w:rPr>
          <w:rFonts w:ascii="Times New Roman" w:cs="Times New Roman" w:eastAsia="Times New Roman" w:hAnsi="Times New Roman"/>
          <w:sz w:val="14"/>
          <w:szCs w:val="14"/>
          <w:color w:val="auto"/>
        </w:rPr>
        <w:t>”), the form of such Joint Election being formally approved by HMRC, and to execute any other consents or elections required to accomplish the transfer of the Service Recipient’s NICs to you. You further agree to execute such other joint elections as may be required between you and any successor to the Company and/or the Service Recipient. You further agree that the Company and/or the Service Recipient may collect the Service Recipient’s NICs from you by any of the means set forth in Section 4 of the RSU Award Agreement.</w:t>
      </w:r>
    </w:p>
    <w:p>
      <w:pPr>
        <w:spacing w:after="0" w:line="281"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4"/>
          <w:szCs w:val="14"/>
          <w:color w:val="auto"/>
        </w:rPr>
        <w:t>If you do not enter into a Joint Election, or if approval of the Joint Election has been withdrawn by HMRC, the Company, in its sole discretion and without any liability to the Company or the Service Recipient, may choose not to issue or deliver any Shares to you upon settlement of the Restricted Stock Units.</w:t>
      </w:r>
    </w:p>
    <w:p>
      <w:pPr>
        <w:sectPr>
          <w:pgSz w:w="11900" w:h="16840" w:orient="portrait"/>
          <w:cols w:equalWidth="0" w:num="1">
            <w:col w:w="10640"/>
          </w:cols>
          <w:pgMar w:left="640" w:top="1440" w:right="620" w:bottom="1440" w:gutter="0" w:footer="0" w:header="0"/>
        </w:sectPr>
      </w:pPr>
    </w:p>
    <w:bookmarkStart w:id="390" w:name="page391"/>
    <w:bookmarkEnd w:id="390"/>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Election to Transfer the Employer’s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National Insurance Liability to the Employee</w:t>
      </w:r>
    </w:p>
    <w:p>
      <w:pPr>
        <w:spacing w:after="0" w:line="151" w:lineRule="exact"/>
        <w:rPr>
          <w:sz w:val="20"/>
          <w:szCs w:val="20"/>
          <w:color w:val="auto"/>
        </w:rPr>
      </w:pPr>
    </w:p>
    <w:p>
      <w:pPr>
        <w:ind w:left="460" w:hanging="453"/>
        <w:spacing w:after="0"/>
        <w:tabs>
          <w:tab w:leader="none" w:pos="460" w:val="left"/>
        </w:tabs>
        <w:numPr>
          <w:ilvl w:val="0"/>
          <w:numId w:val="4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This Election to Transfer the Employer’s National Insurance Liability to the Employee (this “ </w:t>
      </w:r>
      <w:r>
        <w:rPr>
          <w:rFonts w:ascii="Times New Roman" w:cs="Times New Roman" w:eastAsia="Times New Roman" w:hAnsi="Times New Roman"/>
          <w:sz w:val="14"/>
          <w:szCs w:val="14"/>
          <w:b w:val="1"/>
          <w:bCs w:val="1"/>
          <w:i w:val="1"/>
          <w:iCs w:val="1"/>
          <w:color w:val="auto"/>
        </w:rPr>
        <w:t>Election</w:t>
      </w:r>
      <w:r>
        <w:rPr>
          <w:rFonts w:ascii="Times New Roman" w:cs="Times New Roman" w:eastAsia="Times New Roman" w:hAnsi="Times New Roman"/>
          <w:sz w:val="14"/>
          <w:szCs w:val="14"/>
          <w:color w:val="auto"/>
        </w:rPr>
        <w:t>”) is between:</w:t>
      </w:r>
    </w:p>
    <w:p>
      <w:pPr>
        <w:spacing w:after="0" w:line="164" w:lineRule="exact"/>
        <w:rPr>
          <w:sz w:val="20"/>
          <w:szCs w:val="20"/>
          <w:color w:val="auto"/>
        </w:rPr>
      </w:pPr>
    </w:p>
    <w:p>
      <w:pPr>
        <w:jc w:val="both"/>
        <w:ind w:left="920" w:hanging="454"/>
        <w:spacing w:after="0" w:line="278" w:lineRule="auto"/>
        <w:tabs>
          <w:tab w:leader="none" w:pos="920" w:val="left"/>
        </w:tabs>
        <w:numPr>
          <w:ilvl w:val="1"/>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individual who has gained access to this Election (the “ </w:t>
      </w:r>
      <w:r>
        <w:rPr>
          <w:rFonts w:ascii="Times New Roman" w:cs="Times New Roman" w:eastAsia="Times New Roman" w:hAnsi="Times New Roman"/>
          <w:sz w:val="14"/>
          <w:szCs w:val="14"/>
          <w:b w:val="1"/>
          <w:bCs w:val="1"/>
          <w:i w:val="1"/>
          <w:iCs w:val="1"/>
          <w:color w:val="auto"/>
        </w:rPr>
        <w:t>Employee</w:t>
      </w:r>
      <w:r>
        <w:rPr>
          <w:rFonts w:ascii="Times New Roman" w:cs="Times New Roman" w:eastAsia="Times New Roman" w:hAnsi="Times New Roman"/>
          <w:sz w:val="14"/>
          <w:szCs w:val="14"/>
          <w:color w:val="auto"/>
        </w:rPr>
        <w:t>”), who is employed by one of the employing companies listed in the attached schedule (the “</w:t>
      </w:r>
      <w:r>
        <w:rPr>
          <w:rFonts w:ascii="Times New Roman" w:cs="Times New Roman" w:eastAsia="Times New Roman" w:hAnsi="Times New Roman"/>
          <w:sz w:val="14"/>
          <w:szCs w:val="14"/>
          <w:b w:val="1"/>
          <w:bCs w:val="1"/>
          <w:i w:val="1"/>
          <w:iCs w:val="1"/>
          <w:color w:val="auto"/>
        </w:rPr>
        <w:t>Employer</w:t>
      </w:r>
      <w:r>
        <w:rPr>
          <w:rFonts w:ascii="Times New Roman" w:cs="Times New Roman" w:eastAsia="Times New Roman" w:hAnsi="Times New Roman"/>
          <w:sz w:val="14"/>
          <w:szCs w:val="14"/>
          <w:color w:val="auto"/>
        </w:rPr>
        <w:t xml:space="preserve">”) and who is eligible to receive stock options (“ </w:t>
      </w:r>
      <w:r>
        <w:rPr>
          <w:rFonts w:ascii="Times New Roman" w:cs="Times New Roman" w:eastAsia="Times New Roman" w:hAnsi="Times New Roman"/>
          <w:sz w:val="14"/>
          <w:szCs w:val="14"/>
          <w:b w:val="1"/>
          <w:bCs w:val="1"/>
          <w:i w:val="1"/>
          <w:iCs w:val="1"/>
          <w:color w:val="auto"/>
        </w:rPr>
        <w:t>Options</w:t>
      </w:r>
      <w:r>
        <w:rPr>
          <w:rFonts w:ascii="Times New Roman" w:cs="Times New Roman" w:eastAsia="Times New Roman" w:hAnsi="Times New Roman"/>
          <w:sz w:val="14"/>
          <w:szCs w:val="14"/>
          <w:color w:val="auto"/>
        </w:rPr>
        <w:t xml:space="preserve">”) and/or restricted stock units (“ </w:t>
      </w:r>
      <w:r>
        <w:rPr>
          <w:rFonts w:ascii="Times New Roman" w:cs="Times New Roman" w:eastAsia="Times New Roman" w:hAnsi="Times New Roman"/>
          <w:sz w:val="14"/>
          <w:szCs w:val="14"/>
          <w:b w:val="1"/>
          <w:bCs w:val="1"/>
          <w:i w:val="1"/>
          <w:iCs w:val="1"/>
          <w:color w:val="auto"/>
        </w:rPr>
        <w:t>Restricted Stock Units</w:t>
      </w:r>
      <w:r>
        <w:rPr>
          <w:rFonts w:ascii="Times New Roman" w:cs="Times New Roman" w:eastAsia="Times New Roman" w:hAnsi="Times New Roman"/>
          <w:sz w:val="14"/>
          <w:szCs w:val="14"/>
          <w:color w:val="auto"/>
        </w:rPr>
        <w:t xml:space="preserve">,” and together with Options, “ </w:t>
      </w:r>
      <w:r>
        <w:rPr>
          <w:rFonts w:ascii="Times New Roman" w:cs="Times New Roman" w:eastAsia="Times New Roman" w:hAnsi="Times New Roman"/>
          <w:sz w:val="14"/>
          <w:szCs w:val="14"/>
          <w:b w:val="1"/>
          <w:bCs w:val="1"/>
          <w:i w:val="1"/>
          <w:iCs w:val="1"/>
          <w:color w:val="auto"/>
        </w:rPr>
        <w:t>Awards</w:t>
      </w:r>
      <w:r>
        <w:rPr>
          <w:rFonts w:ascii="Times New Roman" w:cs="Times New Roman" w:eastAsia="Times New Roman" w:hAnsi="Times New Roman"/>
          <w:sz w:val="14"/>
          <w:szCs w:val="14"/>
          <w:color w:val="auto"/>
        </w:rPr>
        <w:t>”) pursuant to the terms and conditions of the Navan, Inc. 2025 Equity Incentive Plan, as may be amended from time to time (the “</w:t>
      </w:r>
      <w:r>
        <w:rPr>
          <w:rFonts w:ascii="Times New Roman" w:cs="Times New Roman" w:eastAsia="Times New Roman" w:hAnsi="Times New Roman"/>
          <w:sz w:val="14"/>
          <w:szCs w:val="14"/>
          <w:b w:val="1"/>
          <w:bCs w:val="1"/>
          <w:i w:val="1"/>
          <w:iCs w:val="1"/>
          <w:color w:val="auto"/>
        </w:rPr>
        <w:t>Plan</w:t>
      </w:r>
      <w:r>
        <w:rPr>
          <w:rFonts w:ascii="Times New Roman" w:cs="Times New Roman" w:eastAsia="Times New Roman" w:hAnsi="Times New Roman"/>
          <w:sz w:val="14"/>
          <w:szCs w:val="14"/>
          <w:color w:val="auto"/>
        </w:rPr>
        <w:t>”), and</w:t>
      </w:r>
    </w:p>
    <w:p>
      <w:pPr>
        <w:spacing w:after="0" w:line="110" w:lineRule="exact"/>
        <w:rPr>
          <w:rFonts w:ascii="Times New Roman" w:cs="Times New Roman" w:eastAsia="Times New Roman" w:hAnsi="Times New Roman"/>
          <w:sz w:val="14"/>
          <w:szCs w:val="14"/>
          <w:color w:val="auto"/>
        </w:rPr>
      </w:pPr>
    </w:p>
    <w:p>
      <w:pPr>
        <w:ind w:left="920" w:right="20" w:hanging="454"/>
        <w:spacing w:after="0" w:line="299" w:lineRule="auto"/>
        <w:tabs>
          <w:tab w:leader="none" w:pos="920" w:val="left"/>
        </w:tabs>
        <w:numPr>
          <w:ilvl w:val="1"/>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Navan, Inc. of 3045 Park Boulevard, Palo Alto, California 94306, U.S.A.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which may grant Awards under the Plan and is entering into this Election on behalf of the Employer.</w:t>
      </w:r>
    </w:p>
    <w:p>
      <w:pPr>
        <w:spacing w:after="0" w:line="100" w:lineRule="exact"/>
        <w:rPr>
          <w:rFonts w:ascii="Times New Roman" w:cs="Times New Roman" w:eastAsia="Times New Roman" w:hAnsi="Times New Roman"/>
          <w:sz w:val="14"/>
          <w:szCs w:val="14"/>
          <w:color w:val="auto"/>
        </w:rPr>
      </w:pPr>
    </w:p>
    <w:p>
      <w:pPr>
        <w:ind w:left="460" w:hanging="453"/>
        <w:spacing w:after="0"/>
        <w:tabs>
          <w:tab w:leader="none" w:pos="460"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PURPOSE OF ELECTION</w:t>
      </w:r>
    </w:p>
    <w:p>
      <w:pPr>
        <w:spacing w:after="0" w:line="16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color w:val="auto"/>
        </w:rPr>
        <w:t>This Election relates to all Awards granted to the Employee under the Plan up to the termination date of the Plan.</w:t>
      </w:r>
    </w:p>
    <w:p>
      <w:pPr>
        <w:spacing w:after="0" w:line="16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4"/>
          <w:szCs w:val="14"/>
          <w:color w:val="auto"/>
        </w:rPr>
        <w:t>In this Election the following words and phrases have the following meanings:</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ITEPA</w:t>
      </w:r>
      <w:r>
        <w:rPr>
          <w:rFonts w:ascii="Times New Roman" w:cs="Times New Roman" w:eastAsia="Times New Roman" w:hAnsi="Times New Roman"/>
          <w:sz w:val="14"/>
          <w:szCs w:val="14"/>
          <w:color w:val="auto"/>
        </w:rPr>
        <w:t>” means the Income Tax (Earnings and Pensions) Act 2003.</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Relevant Employment Income</w:t>
      </w:r>
      <w:r>
        <w:rPr>
          <w:rFonts w:ascii="Times New Roman" w:cs="Times New Roman" w:eastAsia="Times New Roman" w:hAnsi="Times New Roman"/>
          <w:sz w:val="14"/>
          <w:szCs w:val="14"/>
          <w:color w:val="auto"/>
        </w:rPr>
        <w:t>” from Awards on which the Employer’s National Insurance Contributions becomes due is defined as:</w:t>
      </w:r>
    </w:p>
    <w:p>
      <w:pPr>
        <w:spacing w:after="0" w:line="155" w:lineRule="exact"/>
        <w:rPr>
          <w:sz w:val="20"/>
          <w:szCs w:val="20"/>
          <w:color w:val="auto"/>
        </w:rPr>
      </w:pPr>
    </w:p>
    <w:p>
      <w:pPr>
        <w:ind w:left="1840" w:right="20" w:hanging="226"/>
        <w:spacing w:after="0" w:line="265" w:lineRule="auto"/>
        <w:tabs>
          <w:tab w:leader="none" w:pos="2242"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that counts as employment income of the earner under section 426 ITEPA (restricted securities: charge on certain post-acquisition events);</w:t>
      </w:r>
    </w:p>
    <w:p>
      <w:pPr>
        <w:spacing w:after="0" w:line="103" w:lineRule="exact"/>
        <w:rPr>
          <w:rFonts w:ascii="Times New Roman" w:cs="Times New Roman" w:eastAsia="Times New Roman" w:hAnsi="Times New Roman"/>
          <w:sz w:val="14"/>
          <w:szCs w:val="14"/>
          <w:color w:val="auto"/>
        </w:rPr>
      </w:pPr>
    </w:p>
    <w:p>
      <w:pPr>
        <w:ind w:left="1840" w:right="20" w:hanging="226"/>
        <w:spacing w:after="0" w:line="265" w:lineRule="auto"/>
        <w:tabs>
          <w:tab w:leader="none" w:pos="2175"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that counts as employment income of the earner under section 438 of ITEPA (convertible securities: charge on certain post-acquisition events); or</w:t>
      </w:r>
    </w:p>
    <w:p>
      <w:pPr>
        <w:spacing w:after="0" w:line="103" w:lineRule="exact"/>
        <w:rPr>
          <w:rFonts w:ascii="Times New Roman" w:cs="Times New Roman" w:eastAsia="Times New Roman" w:hAnsi="Times New Roman"/>
          <w:sz w:val="14"/>
          <w:szCs w:val="14"/>
          <w:color w:val="auto"/>
        </w:rPr>
      </w:pPr>
    </w:p>
    <w:p>
      <w:pPr>
        <w:ind w:left="2180" w:hanging="566"/>
        <w:spacing w:after="0"/>
        <w:tabs>
          <w:tab w:leader="none" w:pos="2180"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gain that is treated as remuneration derived from the earner’s employment by virtue of section 4(4)(a) SSCBA, including without limitation:</w:t>
      </w:r>
    </w:p>
    <w:p>
      <w:pPr>
        <w:spacing w:after="0" w:line="145" w:lineRule="exact"/>
        <w:rPr>
          <w:rFonts w:ascii="Times New Roman" w:cs="Times New Roman" w:eastAsia="Times New Roman" w:hAnsi="Times New Roman"/>
          <w:sz w:val="14"/>
          <w:szCs w:val="14"/>
          <w:color w:val="auto"/>
        </w:rPr>
      </w:pPr>
    </w:p>
    <w:p>
      <w:pPr>
        <w:ind w:left="2460" w:hanging="387"/>
        <w:spacing w:after="0"/>
        <w:tabs>
          <w:tab w:leader="none" w:pos="2460" w:val="left"/>
        </w:tabs>
        <w:numPr>
          <w:ilvl w:val="1"/>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of securities pursuant to the Awards (within the meaning of section 477(3)(a) of ITEPA);</w:t>
      </w:r>
    </w:p>
    <w:p>
      <w:pPr>
        <w:spacing w:after="0" w:line="145" w:lineRule="exact"/>
        <w:rPr>
          <w:rFonts w:ascii="Times New Roman" w:cs="Times New Roman" w:eastAsia="Times New Roman" w:hAnsi="Times New Roman"/>
          <w:sz w:val="14"/>
          <w:szCs w:val="14"/>
          <w:color w:val="auto"/>
        </w:rPr>
      </w:pPr>
    </w:p>
    <w:p>
      <w:pPr>
        <w:ind w:left="2620" w:hanging="547"/>
        <w:spacing w:after="0"/>
        <w:tabs>
          <w:tab w:leader="none" w:pos="2620" w:val="left"/>
        </w:tabs>
        <w:numPr>
          <w:ilvl w:val="1"/>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assignment (if applicable) or release of the Awards in return for consideration (within the meaning of section 477(3)(b) of ITEPA);</w:t>
      </w:r>
    </w:p>
    <w:p>
      <w:pPr>
        <w:sectPr>
          <w:pgSz w:w="11900" w:h="16840" w:orient="portrait"/>
          <w:cols w:equalWidth="0" w:num="1">
            <w:col w:w="10600"/>
          </w:cols>
          <w:pgMar w:left="640" w:top="1440" w:right="660" w:bottom="1440" w:gutter="0" w:footer="0" w:header="0"/>
        </w:sectPr>
      </w:pPr>
    </w:p>
    <w:bookmarkStart w:id="391" w:name="page392"/>
    <w:bookmarkEnd w:id="391"/>
    <w:p>
      <w:pPr>
        <w:spacing w:after="0" w:line="29" w:lineRule="exact"/>
        <w:rPr>
          <w:sz w:val="20"/>
          <w:szCs w:val="20"/>
          <w:color w:val="auto"/>
        </w:rPr>
      </w:pPr>
    </w:p>
    <w:p>
      <w:pPr>
        <w:ind w:left="2293" w:right="40" w:hanging="227"/>
        <w:spacing w:after="0" w:line="265" w:lineRule="auto"/>
        <w:tabs>
          <w:tab w:leader="none" w:pos="2538" w:val="left"/>
        </w:tabs>
        <w:numPr>
          <w:ilvl w:val="0"/>
          <w:numId w:val="4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of a benefit in connection with the Awards, other than a benefit within (i) or (ii) above (within the meaning of section 477(3)(c) of ITEPA).</w:t>
      </w:r>
    </w:p>
    <w:p>
      <w:pPr>
        <w:spacing w:after="0" w:line="113" w:lineRule="exact"/>
        <w:rPr>
          <w:sz w:val="20"/>
          <w:szCs w:val="20"/>
          <w:color w:val="auto"/>
        </w:rPr>
      </w:pPr>
    </w:p>
    <w:p>
      <w:pPr>
        <w:ind w:left="453"/>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SSCBA</w:t>
      </w:r>
      <w:r>
        <w:rPr>
          <w:rFonts w:ascii="Times New Roman" w:cs="Times New Roman" w:eastAsia="Times New Roman" w:hAnsi="Times New Roman"/>
          <w:sz w:val="14"/>
          <w:szCs w:val="14"/>
          <w:color w:val="auto"/>
        </w:rPr>
        <w:t>” means the Social Security Contributions and Benefits Act 1992.</w:t>
      </w:r>
    </w:p>
    <w:p>
      <w:pPr>
        <w:spacing w:after="0" w:line="164" w:lineRule="exact"/>
        <w:rPr>
          <w:sz w:val="20"/>
          <w:szCs w:val="20"/>
          <w:color w:val="auto"/>
        </w:rPr>
      </w:pPr>
    </w:p>
    <w:p>
      <w:pPr>
        <w:ind w:left="453"/>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Taxable Event</w:t>
      </w:r>
      <w:r>
        <w:rPr>
          <w:rFonts w:ascii="Times New Roman" w:cs="Times New Roman" w:eastAsia="Times New Roman" w:hAnsi="Times New Roman"/>
          <w:sz w:val="14"/>
          <w:szCs w:val="14"/>
          <w:color w:val="auto"/>
        </w:rPr>
        <w:t>” means any event giving rise to Relevant Employment Income.</w:t>
      </w:r>
    </w:p>
    <w:p>
      <w:pPr>
        <w:spacing w:after="0" w:line="160" w:lineRule="exact"/>
        <w:rPr>
          <w:sz w:val="20"/>
          <w:szCs w:val="20"/>
          <w:color w:val="auto"/>
        </w:rPr>
      </w:pPr>
    </w:p>
    <w:p>
      <w:pPr>
        <w:ind w:left="453" w:right="40" w:hanging="458"/>
        <w:spacing w:after="0" w:line="299" w:lineRule="auto"/>
        <w:tabs>
          <w:tab w:leader="none" w:pos="433"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4"/>
          <w:szCs w:val="14"/>
          <w:color w:val="auto"/>
        </w:rPr>
        <w:t xml:space="preserve">This Election relates to the Employer’s secondary Class 1 National Insurance Contributions (the “ </w:t>
      </w:r>
      <w:r>
        <w:rPr>
          <w:rFonts w:ascii="Times New Roman" w:cs="Times New Roman" w:eastAsia="Times New Roman" w:hAnsi="Times New Roman"/>
          <w:sz w:val="14"/>
          <w:szCs w:val="14"/>
          <w:b w:val="1"/>
          <w:bCs w:val="1"/>
          <w:i w:val="1"/>
          <w:iCs w:val="1"/>
          <w:color w:val="auto"/>
        </w:rPr>
        <w:t>Employer’s Liability</w:t>
      </w:r>
      <w:r>
        <w:rPr>
          <w:rFonts w:ascii="Times New Roman" w:cs="Times New Roman" w:eastAsia="Times New Roman" w:hAnsi="Times New Roman"/>
          <w:sz w:val="14"/>
          <w:szCs w:val="14"/>
          <w:color w:val="auto"/>
        </w:rPr>
        <w:t>”) which may arise in respect of Relevant Employment Income in respect of the Awards pursuant to section 4(4)(a) and/or paragraph 3B(1A) of Schedule 1 of the SSCBA.</w:t>
      </w:r>
    </w:p>
    <w:p>
      <w:pPr>
        <w:spacing w:after="0" w:line="100" w:lineRule="exact"/>
        <w:rPr>
          <w:sz w:val="20"/>
          <w:szCs w:val="20"/>
          <w:color w:val="auto"/>
        </w:rPr>
      </w:pPr>
    </w:p>
    <w:p>
      <w:pPr>
        <w:ind w:left="453" w:right="60" w:hanging="458"/>
        <w:spacing w:after="0" w:line="293" w:lineRule="auto"/>
        <w:tabs>
          <w:tab w:leader="none" w:pos="433"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4"/>
          <w:szCs w:val="14"/>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04" w:lineRule="exact"/>
        <w:rPr>
          <w:sz w:val="20"/>
          <w:szCs w:val="20"/>
          <w:color w:val="auto"/>
        </w:rPr>
      </w:pPr>
    </w:p>
    <w:p>
      <w:pPr>
        <w:ind w:left="453" w:right="40" w:hanging="458"/>
        <w:spacing w:after="0" w:line="293" w:lineRule="auto"/>
        <w:tabs>
          <w:tab w:leader="none" w:pos="433"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4"/>
          <w:szCs w:val="14"/>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04" w:lineRule="exact"/>
        <w:rPr>
          <w:sz w:val="20"/>
          <w:szCs w:val="20"/>
          <w:color w:val="auto"/>
        </w:rPr>
      </w:pPr>
    </w:p>
    <w:p>
      <w:pPr>
        <w:jc w:val="both"/>
        <w:ind w:left="453" w:hanging="458"/>
        <w:spacing w:after="0" w:line="275" w:lineRule="auto"/>
        <w:tabs>
          <w:tab w:leader="none" w:pos="433" w:val="left"/>
        </w:tabs>
        <w:rPr>
          <w:sz w:val="20"/>
          <w:szCs w:val="20"/>
          <w:color w:val="auto"/>
        </w:rPr>
      </w:pP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4"/>
          <w:szCs w:val="14"/>
          <w:color w:val="auto"/>
        </w:rPr>
        <w:t>Any reference to the Company and/or the Employer shall include that entity’s successors in title and assigns as permitted in accordance with the terms of the Plan and the Award Agreement pursuant to which the Awards were granted. This Election will have effect in respect of the Awards and any awards which replace or replaced the Awards following their grant in circumstances where section 483 of ITEPA applies.</w:t>
      </w:r>
    </w:p>
    <w:p>
      <w:pPr>
        <w:spacing w:after="0" w:line="116" w:lineRule="exact"/>
        <w:rPr>
          <w:sz w:val="20"/>
          <w:szCs w:val="20"/>
          <w:color w:val="auto"/>
        </w:rPr>
      </w:pPr>
    </w:p>
    <w:p>
      <w:pPr>
        <w:ind w:left="453" w:hanging="453"/>
        <w:spacing w:after="0"/>
        <w:tabs>
          <w:tab w:leader="none" w:pos="453"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ELECTION</w:t>
      </w:r>
    </w:p>
    <w:p>
      <w:pPr>
        <w:spacing w:after="0" w:line="164" w:lineRule="exact"/>
        <w:rPr>
          <w:rFonts w:ascii="Times New Roman" w:cs="Times New Roman" w:eastAsia="Times New Roman" w:hAnsi="Times New Roman"/>
          <w:sz w:val="14"/>
          <w:szCs w:val="14"/>
          <w:color w:val="auto"/>
        </w:rPr>
      </w:pPr>
    </w:p>
    <w:p>
      <w:pPr>
        <w:ind w:left="453" w:right="20"/>
        <w:spacing w:after="0" w:line="26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Employee and the Company jointly elect that the entire liability of the Employer to pay the Employer’s Liability that arises on any Relevant Employment Income is hereby transferred to the Employee. The Employee understands that by accepting the Awards (whether by clicking to ACCEPT the Awards where indicated in the Company’s electronic acceptance procedure or by signing the Grant Notice in hard copy) or by signing this Election (whether electronically or in hard copy), he or she will become personally liable for the Employer’s Liability covered by this Election. This Election is made in accordance with paragraph 3B(1) of Schedule 1 to SSCBA.</w:t>
      </w:r>
    </w:p>
    <w:p>
      <w:pPr>
        <w:spacing w:after="0" w:line="120" w:lineRule="exact"/>
        <w:rPr>
          <w:rFonts w:ascii="Times New Roman" w:cs="Times New Roman" w:eastAsia="Times New Roman" w:hAnsi="Times New Roman"/>
          <w:sz w:val="14"/>
          <w:szCs w:val="14"/>
          <w:color w:val="auto"/>
        </w:rPr>
      </w:pPr>
    </w:p>
    <w:p>
      <w:pPr>
        <w:ind w:left="453" w:hanging="453"/>
        <w:spacing w:after="0"/>
        <w:tabs>
          <w:tab w:leader="none" w:pos="453"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OF THE EMPLOYER’S LIABILITY</w:t>
      </w:r>
    </w:p>
    <w:p>
      <w:pPr>
        <w:spacing w:after="0" w:line="164" w:lineRule="exact"/>
        <w:rPr>
          <w:sz w:val="20"/>
          <w:szCs w:val="20"/>
          <w:color w:val="auto"/>
        </w:rPr>
      </w:pPr>
    </w:p>
    <w:p>
      <w:pPr>
        <w:ind w:left="453" w:right="20" w:hanging="458"/>
        <w:spacing w:after="0" w:line="293" w:lineRule="auto"/>
        <w:tabs>
          <w:tab w:leader="none" w:pos="433"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color w:val="auto"/>
        </w:rPr>
        <w:t>The Employee hereby authorises the Company and/or the Employer to collect the Employer’s Liability in respect of any Relevant Employment Income from the Employee at any time after the Taxable Event:</w:t>
      </w:r>
    </w:p>
    <w:p>
      <w:pPr>
        <w:spacing w:after="0" w:line="104" w:lineRule="exact"/>
        <w:rPr>
          <w:sz w:val="20"/>
          <w:szCs w:val="20"/>
          <w:color w:val="auto"/>
        </w:rPr>
      </w:pPr>
    </w:p>
    <w:p>
      <w:pPr>
        <w:ind w:left="913" w:hanging="454"/>
        <w:spacing w:after="0"/>
        <w:tabs>
          <w:tab w:leader="none" w:pos="913" w:val="left"/>
        </w:tabs>
        <w:numPr>
          <w:ilvl w:val="0"/>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deduction from salary or any other payment payable to the Employee at any time on or after the date of the Taxable Event; and/or</w:t>
      </w:r>
    </w:p>
    <w:p>
      <w:pPr>
        <w:spacing w:after="0" w:line="164" w:lineRule="exact"/>
        <w:rPr>
          <w:rFonts w:ascii="Times New Roman" w:cs="Times New Roman" w:eastAsia="Times New Roman" w:hAnsi="Times New Roman"/>
          <w:sz w:val="14"/>
          <w:szCs w:val="14"/>
          <w:color w:val="auto"/>
        </w:rPr>
      </w:pPr>
    </w:p>
    <w:p>
      <w:pPr>
        <w:ind w:left="913" w:hanging="454"/>
        <w:spacing w:after="0"/>
        <w:tabs>
          <w:tab w:leader="none" w:pos="913" w:val="left"/>
        </w:tabs>
        <w:numPr>
          <w:ilvl w:val="0"/>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from the Employee by payment in cash or cleared funds; and/or</w:t>
      </w:r>
    </w:p>
    <w:p>
      <w:pPr>
        <w:spacing w:after="0" w:line="164" w:lineRule="exact"/>
        <w:rPr>
          <w:rFonts w:ascii="Times New Roman" w:cs="Times New Roman" w:eastAsia="Times New Roman" w:hAnsi="Times New Roman"/>
          <w:sz w:val="14"/>
          <w:szCs w:val="14"/>
          <w:color w:val="auto"/>
        </w:rPr>
      </w:pPr>
    </w:p>
    <w:p>
      <w:pPr>
        <w:ind w:left="913" w:hanging="454"/>
        <w:spacing w:after="0"/>
        <w:tabs>
          <w:tab w:leader="none" w:pos="913" w:val="left"/>
        </w:tabs>
        <w:numPr>
          <w:ilvl w:val="0"/>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arranging, on behalf of the Employee, for the sale of some of the securities which the Employee is entitled to receive in respect of the Awards; and/or</w:t>
      </w:r>
    </w:p>
    <w:p>
      <w:pPr>
        <w:sectPr>
          <w:pgSz w:w="11900" w:h="16840" w:orient="portrait"/>
          <w:cols w:equalWidth="0" w:num="1">
            <w:col w:w="10633"/>
          </w:cols>
          <w:pgMar w:left="647" w:top="1440" w:right="620" w:bottom="1440" w:gutter="0" w:footer="0" w:header="0"/>
        </w:sectPr>
      </w:pPr>
    </w:p>
    <w:bookmarkStart w:id="392" w:name="page393"/>
    <w:bookmarkEnd w:id="392"/>
    <w:p>
      <w:pPr>
        <w:spacing w:after="0" w:line="39" w:lineRule="exact"/>
        <w:rPr>
          <w:sz w:val="20"/>
          <w:szCs w:val="20"/>
          <w:color w:val="auto"/>
        </w:rPr>
      </w:pPr>
    </w:p>
    <w:p>
      <w:pPr>
        <w:ind w:left="920" w:hanging="454"/>
        <w:spacing w:after="0"/>
        <w:tabs>
          <w:tab w:leader="none" w:pos="920"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any other means specified in the Award Agreement pursuant to which the Awards were granted.</w:t>
      </w:r>
    </w:p>
    <w:p>
      <w:pPr>
        <w:spacing w:after="0" w:line="164" w:lineRule="exact"/>
        <w:rPr>
          <w:sz w:val="20"/>
          <w:szCs w:val="20"/>
          <w:color w:val="auto"/>
        </w:rPr>
      </w:pPr>
    </w:p>
    <w:p>
      <w:pPr>
        <w:ind w:left="460" w:right="20" w:hanging="458"/>
        <w:spacing w:after="0" w:line="293" w:lineRule="auto"/>
        <w:tabs>
          <w:tab w:leader="none" w:pos="44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The Company hereby reserves for itself and the Employer the right to withhold the transfer of any securities in respect of the Awards to the Employee until full payment of the Employer’s Liability is received.</w:t>
      </w:r>
    </w:p>
    <w:p>
      <w:pPr>
        <w:spacing w:after="0" w:line="104" w:lineRule="exact"/>
        <w:rPr>
          <w:sz w:val="20"/>
          <w:szCs w:val="20"/>
          <w:color w:val="auto"/>
        </w:rPr>
      </w:pPr>
    </w:p>
    <w:p>
      <w:pPr>
        <w:jc w:val="both"/>
        <w:ind w:left="460" w:hanging="458"/>
        <w:spacing w:after="0" w:line="275" w:lineRule="auto"/>
        <w:tabs>
          <w:tab w:leader="none" w:pos="440"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color w:val="auto"/>
        </w:rPr>
        <w:t>The Company agrees to procure the remittance by the Employer of the Employer’s Liability to HM Revenue and Customs on behalf of the Employee within fourteen (14) days after the end of the UK tax month during which the Taxable Event occurs (or within seventeen (17) days after the end of the UK tax month during which the Taxable Event occurs, if payments are made electronically).</w:t>
      </w:r>
    </w:p>
    <w:p>
      <w:pPr>
        <w:spacing w:after="0" w:line="116" w:lineRule="exact"/>
        <w:rPr>
          <w:sz w:val="20"/>
          <w:szCs w:val="20"/>
          <w:color w:val="auto"/>
        </w:rPr>
      </w:pPr>
    </w:p>
    <w:p>
      <w:pPr>
        <w:ind w:left="460" w:hanging="453"/>
        <w:spacing w:after="0"/>
        <w:tabs>
          <w:tab w:leader="none" w:pos="460" w:val="left"/>
        </w:tabs>
        <w:numPr>
          <w:ilvl w:val="0"/>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DURATION OF ELECTION</w:t>
      </w:r>
    </w:p>
    <w:p>
      <w:pPr>
        <w:spacing w:after="0" w:line="164" w:lineRule="exact"/>
        <w:rPr>
          <w:sz w:val="20"/>
          <w:szCs w:val="20"/>
          <w:color w:val="auto"/>
        </w:rPr>
      </w:pPr>
    </w:p>
    <w:p>
      <w:pPr>
        <w:ind w:left="460" w:hanging="458"/>
        <w:spacing w:after="0" w:line="293" w:lineRule="auto"/>
        <w:tabs>
          <w:tab w:leader="none" w:pos="44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4"/>
          <w:szCs w:val="14"/>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5.2</w:t>
      </w:r>
      <w:r>
        <w:rPr>
          <w:sz w:val="20"/>
          <w:szCs w:val="20"/>
          <w:color w:val="auto"/>
        </w:rPr>
        <w:tab/>
      </w:r>
      <w:r>
        <w:rPr>
          <w:rFonts w:ascii="Times New Roman" w:cs="Times New Roman" w:eastAsia="Times New Roman" w:hAnsi="Times New Roman"/>
          <w:sz w:val="14"/>
          <w:szCs w:val="14"/>
          <w:color w:val="auto"/>
        </w:rPr>
        <w:t>This Election will continue in effect until the earliest of the following:</w:t>
      </w:r>
    </w:p>
    <w:p>
      <w:pPr>
        <w:spacing w:after="0" w:line="164" w:lineRule="exact"/>
        <w:rPr>
          <w:sz w:val="20"/>
          <w:szCs w:val="20"/>
          <w:color w:val="auto"/>
        </w:rPr>
      </w:pPr>
    </w:p>
    <w:p>
      <w:pPr>
        <w:ind w:left="920" w:hanging="454"/>
        <w:spacing w:after="0"/>
        <w:tabs>
          <w:tab w:leader="none" w:pos="920"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Employee and the Company agree in writing that it should cease to have effect;</w:t>
      </w:r>
    </w:p>
    <w:p>
      <w:pPr>
        <w:spacing w:after="0" w:line="164" w:lineRule="exact"/>
        <w:rPr>
          <w:rFonts w:ascii="Times New Roman" w:cs="Times New Roman" w:eastAsia="Times New Roman" w:hAnsi="Times New Roman"/>
          <w:sz w:val="14"/>
          <w:szCs w:val="14"/>
          <w:color w:val="auto"/>
        </w:rPr>
      </w:pPr>
    </w:p>
    <w:p>
      <w:pPr>
        <w:ind w:left="920" w:hanging="454"/>
        <w:spacing w:after="0"/>
        <w:tabs>
          <w:tab w:leader="none" w:pos="920"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date the Company serves written notice on the Employee terminating its effect;</w:t>
      </w:r>
    </w:p>
    <w:p>
      <w:pPr>
        <w:spacing w:after="0" w:line="164" w:lineRule="exact"/>
        <w:rPr>
          <w:rFonts w:ascii="Times New Roman" w:cs="Times New Roman" w:eastAsia="Times New Roman" w:hAnsi="Times New Roman"/>
          <w:sz w:val="14"/>
          <w:szCs w:val="14"/>
          <w:color w:val="auto"/>
        </w:rPr>
      </w:pPr>
    </w:p>
    <w:p>
      <w:pPr>
        <w:ind w:left="920" w:hanging="454"/>
        <w:spacing w:after="0"/>
        <w:tabs>
          <w:tab w:leader="none" w:pos="920"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date HM Revenue and Customs withdraws approval of this Election; or</w:t>
      </w:r>
    </w:p>
    <w:p>
      <w:pPr>
        <w:spacing w:after="0" w:line="164" w:lineRule="exact"/>
        <w:rPr>
          <w:rFonts w:ascii="Times New Roman" w:cs="Times New Roman" w:eastAsia="Times New Roman" w:hAnsi="Times New Roman"/>
          <w:sz w:val="14"/>
          <w:szCs w:val="14"/>
          <w:color w:val="auto"/>
        </w:rPr>
      </w:pPr>
    </w:p>
    <w:p>
      <w:pPr>
        <w:ind w:left="920" w:right="20" w:hanging="454"/>
        <w:spacing w:after="0" w:line="293" w:lineRule="auto"/>
        <w:tabs>
          <w:tab w:leader="none" w:pos="920"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due payment of the Employer’s Liability in respect of the entirety of the Awards to which this Election relates or could relate, such that the Election ceases to have effect in accordance with its terms.</w:t>
      </w:r>
    </w:p>
    <w:p>
      <w:pPr>
        <w:sectPr>
          <w:pgSz w:w="11900" w:h="16840" w:orient="portrait"/>
          <w:cols w:equalWidth="0" w:num="1">
            <w:col w:w="10600"/>
          </w:cols>
          <w:pgMar w:left="640" w:top="1440" w:right="660" w:bottom="1440" w:gutter="0" w:footer="0" w:header="0"/>
        </w:sectPr>
      </w:pPr>
    </w:p>
    <w:bookmarkStart w:id="393" w:name="page394"/>
    <w:bookmarkEnd w:id="393"/>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Acceptance by the Employee</w:t>
      </w:r>
    </w:p>
    <w:p>
      <w:pPr>
        <w:spacing w:after="0" w:line="166"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4"/>
          <w:szCs w:val="14"/>
          <w:color w:val="auto"/>
        </w:rPr>
        <w:t>The Employee acknowledges that by accepting the Awards (whether by clicking on the “ACCEPT” box where indicated in the Company’s electronic acceptance procedure or by signing the Grant Notice in hard copy) or by signing this Election, (whether electronically or in hard copy) the Employee agrees to be bound by the terms of this Election.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Employee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Acceptance by the Company</w:t>
      </w:r>
    </w:p>
    <w:p>
      <w:pPr>
        <w:spacing w:after="0" w:line="166"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The Company acknowledges that, by arranging for the scanned signature of an authorised representative to appear on this Election, the Company agrees to be bound by the terms of this Election.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Signed for and on behalf of the Company</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Howard Baik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 Counsel and Corporate Secretary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 Designee)</w:t>
      </w:r>
    </w:p>
    <w:p>
      <w:pPr>
        <w:sectPr>
          <w:pgSz w:w="11900" w:h="16840" w:orient="portrait"/>
          <w:cols w:equalWidth="0" w:num="1">
            <w:col w:w="10600"/>
          </w:cols>
          <w:pgMar w:left="640" w:top="1440" w:right="660" w:bottom="1440" w:gutter="0" w:footer="0" w:header="0"/>
        </w:sectPr>
      </w:pPr>
    </w:p>
    <w:bookmarkStart w:id="394" w:name="page395"/>
    <w:bookmarkEnd w:id="394"/>
    <w:p>
      <w:pPr>
        <w:spacing w:after="0" w:line="3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SCHEDULE OF SERVICE RECIPIENT COMPANIES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are the employing companies to which this Joint Election may apply: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Navan Labs UK Limited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0" w:type="dxa"/>
            <w:vAlign w:val="bottom"/>
            <w:tcBorders>
              <w:right w:val="single" w:sz="8" w:color="auto"/>
            </w:tcBorders>
          </w:tcPr>
          <w:p>
            <w:pPr>
              <w:spacing w:after="0"/>
              <w:rPr>
                <w:sz w:val="16"/>
                <w:szCs w:val="16"/>
                <w:color w:val="auto"/>
              </w:rPr>
            </w:pPr>
          </w:p>
        </w:tc>
        <w:tc>
          <w:tcPr>
            <w:tcW w:w="44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Registered Office:</w:t>
            </w:r>
          </w:p>
        </w:tc>
        <w:tc>
          <w:tcPr>
            <w:tcW w:w="52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Ground Floor, 26 Hatton Garden, London EC1N 8BR</w:t>
            </w:r>
          </w:p>
        </w:tc>
      </w:tr>
      <w:tr>
        <w:trPr>
          <w:trHeight w:val="171"/>
        </w:trPr>
        <w:tc>
          <w:tcPr>
            <w:tcW w:w="160" w:type="dxa"/>
            <w:vAlign w:val="bottom"/>
            <w:tcBorders>
              <w:right w:val="single" w:sz="8" w:color="auto"/>
            </w:tcBorders>
          </w:tcPr>
          <w:p>
            <w:pPr>
              <w:spacing w:after="0"/>
              <w:rPr>
                <w:sz w:val="14"/>
                <w:szCs w:val="14"/>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Company Registration Number:</w:t>
            </w:r>
          </w:p>
        </w:tc>
        <w:tc>
          <w:tcPr>
            <w:tcW w:w="5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11250234</w:t>
            </w:r>
          </w:p>
        </w:tc>
      </w:tr>
      <w:tr>
        <w:trPr>
          <w:trHeight w:val="171"/>
        </w:trPr>
        <w:tc>
          <w:tcPr>
            <w:tcW w:w="160" w:type="dxa"/>
            <w:vAlign w:val="bottom"/>
            <w:tcBorders>
              <w:right w:val="single" w:sz="8" w:color="auto"/>
            </w:tcBorders>
          </w:tcPr>
          <w:p>
            <w:pPr>
              <w:spacing w:after="0"/>
              <w:rPr>
                <w:sz w:val="14"/>
                <w:szCs w:val="14"/>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Corporation Tax Reference:</w:t>
            </w:r>
          </w:p>
        </w:tc>
        <w:tc>
          <w:tcPr>
            <w:tcW w:w="5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7772617558</w:t>
            </w:r>
          </w:p>
        </w:tc>
      </w:tr>
      <w:tr>
        <w:trPr>
          <w:trHeight w:val="171"/>
        </w:trPr>
        <w:tc>
          <w:tcPr>
            <w:tcW w:w="160" w:type="dxa"/>
            <w:vAlign w:val="bottom"/>
            <w:tcBorders>
              <w:right w:val="single" w:sz="8" w:color="auto"/>
            </w:tcBorders>
          </w:tcPr>
          <w:p>
            <w:pPr>
              <w:spacing w:after="0"/>
              <w:rPr>
                <w:sz w:val="14"/>
                <w:szCs w:val="14"/>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PAYE Reference:</w:t>
            </w:r>
          </w:p>
        </w:tc>
        <w:tc>
          <w:tcPr>
            <w:tcW w:w="5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120/SB77025</w:t>
            </w:r>
          </w:p>
        </w:tc>
      </w:tr>
      <w:tr>
        <w:trPr>
          <w:trHeight w:val="529"/>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Reed &amp; Mackay Travel Limited</w:t>
            </w:r>
          </w:p>
        </w:tc>
        <w:tc>
          <w:tcPr>
            <w:tcW w:w="5240" w:type="dxa"/>
            <w:vAlign w:val="bottom"/>
          </w:tcPr>
          <w:p>
            <w:pPr>
              <w:spacing w:after="0"/>
              <w:rPr>
                <w:sz w:val="24"/>
                <w:szCs w:val="24"/>
                <w:color w:val="auto"/>
              </w:rPr>
            </w:pPr>
          </w:p>
        </w:tc>
      </w:tr>
      <w:tr>
        <w:trPr>
          <w:trHeight w:val="169"/>
        </w:trPr>
        <w:tc>
          <w:tcPr>
            <w:tcW w:w="160" w:type="dxa"/>
            <w:vAlign w:val="bottom"/>
          </w:tcPr>
          <w:p>
            <w:pPr>
              <w:spacing w:after="0"/>
              <w:rPr>
                <w:sz w:val="14"/>
                <w:szCs w:val="14"/>
                <w:color w:val="auto"/>
              </w:rPr>
            </w:pPr>
          </w:p>
        </w:tc>
        <w:tc>
          <w:tcPr>
            <w:tcW w:w="4480" w:type="dxa"/>
            <w:vAlign w:val="bottom"/>
            <w:tcBorders>
              <w:bottom w:val="single" w:sz="8" w:color="auto"/>
            </w:tcBorders>
          </w:tcPr>
          <w:p>
            <w:pPr>
              <w:spacing w:after="0"/>
              <w:rPr>
                <w:sz w:val="14"/>
                <w:szCs w:val="14"/>
                <w:color w:val="auto"/>
              </w:rPr>
            </w:pPr>
          </w:p>
        </w:tc>
        <w:tc>
          <w:tcPr>
            <w:tcW w:w="5240" w:type="dxa"/>
            <w:vAlign w:val="bottom"/>
            <w:tcBorders>
              <w:bottom w:val="single" w:sz="8" w:color="auto"/>
            </w:tcBorders>
          </w:tcPr>
          <w:p>
            <w:pPr>
              <w:spacing w:after="0"/>
              <w:rPr>
                <w:sz w:val="14"/>
                <w:szCs w:val="14"/>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Registered Office:</w:t>
            </w:r>
          </w:p>
        </w:tc>
        <w:tc>
          <w:tcPr>
            <w:tcW w:w="5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Nexus Place, 25 Farringdon Street, London, EC4A 4AF</w:t>
            </w:r>
          </w:p>
        </w:tc>
      </w:tr>
      <w:tr>
        <w:trPr>
          <w:trHeight w:val="171"/>
        </w:trPr>
        <w:tc>
          <w:tcPr>
            <w:tcW w:w="160" w:type="dxa"/>
            <w:vAlign w:val="bottom"/>
            <w:tcBorders>
              <w:right w:val="single" w:sz="8" w:color="auto"/>
            </w:tcBorders>
          </w:tcPr>
          <w:p>
            <w:pPr>
              <w:spacing w:after="0"/>
              <w:rPr>
                <w:sz w:val="14"/>
                <w:szCs w:val="14"/>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Company Registration Number:</w:t>
            </w:r>
          </w:p>
        </w:tc>
        <w:tc>
          <w:tcPr>
            <w:tcW w:w="5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00963087</w:t>
            </w:r>
          </w:p>
        </w:tc>
      </w:tr>
      <w:tr>
        <w:trPr>
          <w:trHeight w:val="171"/>
        </w:trPr>
        <w:tc>
          <w:tcPr>
            <w:tcW w:w="160" w:type="dxa"/>
            <w:vAlign w:val="bottom"/>
            <w:tcBorders>
              <w:right w:val="single" w:sz="8" w:color="auto"/>
            </w:tcBorders>
          </w:tcPr>
          <w:p>
            <w:pPr>
              <w:spacing w:after="0"/>
              <w:rPr>
                <w:sz w:val="14"/>
                <w:szCs w:val="14"/>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Corporation Tax Reference:</w:t>
            </w:r>
          </w:p>
        </w:tc>
        <w:tc>
          <w:tcPr>
            <w:tcW w:w="5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7772617558</w:t>
            </w:r>
          </w:p>
        </w:tc>
      </w:tr>
      <w:tr>
        <w:trPr>
          <w:trHeight w:val="171"/>
        </w:trPr>
        <w:tc>
          <w:tcPr>
            <w:tcW w:w="160" w:type="dxa"/>
            <w:vAlign w:val="bottom"/>
            <w:tcBorders>
              <w:right w:val="single" w:sz="8" w:color="auto"/>
            </w:tcBorders>
          </w:tcPr>
          <w:p>
            <w:pPr>
              <w:spacing w:after="0"/>
              <w:rPr>
                <w:sz w:val="14"/>
                <w:szCs w:val="14"/>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PAYE Reference:</w:t>
            </w:r>
          </w:p>
        </w:tc>
        <w:tc>
          <w:tcPr>
            <w:tcW w:w="5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120/SB77025</w:t>
            </w:r>
          </w:p>
        </w:tc>
      </w:tr>
    </w:tbl>
    <w:p>
      <w:pPr>
        <w:sectPr>
          <w:pgSz w:w="11900" w:h="16840" w:orient="portrait"/>
          <w:cols w:equalWidth="0" w:num="1">
            <w:col w:w="9860"/>
          </w:cols>
          <w:pgMar w:left="640" w:top="1440" w:right="1400" w:bottom="1440" w:gutter="0" w:footer="0" w:header="0"/>
        </w:sectPr>
      </w:pPr>
    </w:p>
    <w:bookmarkStart w:id="395" w:name="page396"/>
    <w:bookmarkEnd w:id="395"/>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ATTACHMENT II</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NAVAN,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2025 Equity Incentive Plan</w:t>
      </w:r>
    </w:p>
    <w:p>
      <w:pPr>
        <w:sectPr>
          <w:pgSz w:w="11900" w:h="16840" w:orient="portrait"/>
          <w:cols w:equalWidth="0" w:num="1">
            <w:col w:w="9020"/>
          </w:cols>
          <w:pgMar w:left="1440" w:top="1440" w:right="1440" w:bottom="1440" w:gutter="0" w:footer="0" w:header="0"/>
        </w:sectPr>
      </w:pPr>
    </w:p>
    <w:bookmarkStart w:id="396" w:name="page397"/>
    <w:bookmarkEnd w:id="396"/>
    <w:p>
      <w:pPr>
        <w:ind w:left="9960"/>
        <w:spacing w:after="0"/>
        <w:rPr>
          <w:sz w:val="20"/>
          <w:szCs w:val="20"/>
          <w:color w:val="auto"/>
        </w:rPr>
      </w:pPr>
      <w:r>
        <w:rPr>
          <w:rFonts w:ascii="Times New Roman" w:cs="Times New Roman" w:eastAsia="Times New Roman" w:hAnsi="Times New Roman"/>
          <w:sz w:val="12"/>
          <w:szCs w:val="1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NAVAN, INC.</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2025 EMPLOYEE STOCK PURCHASE PLAN</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ADOPTED BY THE BOARD OF DIRECTORS: SEPTEMBER 16, 2025</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APPROVED BY THE STOCKHOLDERS: OCTOBER 6, 2025</w:t>
      </w:r>
    </w:p>
    <w:p>
      <w:pPr>
        <w:spacing w:after="0" w:line="130" w:lineRule="exact"/>
        <w:rPr>
          <w:sz w:val="20"/>
          <w:szCs w:val="20"/>
          <w:color w:val="auto"/>
        </w:rPr>
      </w:pPr>
    </w:p>
    <w:p>
      <w:pPr>
        <w:ind w:left="260" w:hanging="253"/>
        <w:spacing w:after="0"/>
        <w:tabs>
          <w:tab w:leader="none" w:pos="260" w:val="left"/>
        </w:tabs>
        <w:numPr>
          <w:ilvl w:val="0"/>
          <w:numId w:val="4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 PURPOSE.</w:t>
      </w:r>
    </w:p>
    <w:p>
      <w:pPr>
        <w:spacing w:after="0" w:line="166" w:lineRule="exact"/>
        <w:rPr>
          <w:rFonts w:ascii="Times New Roman" w:cs="Times New Roman" w:eastAsia="Times New Roman" w:hAnsi="Times New Roman"/>
          <w:sz w:val="14"/>
          <w:szCs w:val="14"/>
          <w:b w:val="1"/>
          <w:bCs w:val="1"/>
          <w:color w:val="auto"/>
        </w:rPr>
      </w:pPr>
    </w:p>
    <w:p>
      <w:pPr>
        <w:jc w:val="both"/>
        <w:ind w:right="20" w:firstLine="466"/>
        <w:spacing w:after="0" w:line="275" w:lineRule="auto"/>
        <w:tabs>
          <w:tab w:leader="none" w:pos="785" w:val="left"/>
        </w:tabs>
        <w:numPr>
          <w:ilvl w:val="1"/>
          <w:numId w:val="4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Plan provides a means by which Eligible Employees of the Company and certain Designated Companies may be given an opportunity to purchase Shares.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w:t>
      </w:r>
    </w:p>
    <w:p>
      <w:pPr>
        <w:spacing w:after="0" w:line="116" w:lineRule="exact"/>
        <w:rPr>
          <w:rFonts w:ascii="Times New Roman" w:cs="Times New Roman" w:eastAsia="Times New Roman" w:hAnsi="Times New Roman"/>
          <w:sz w:val="14"/>
          <w:szCs w:val="14"/>
          <w:b w:val="1"/>
          <w:bCs w:val="1"/>
          <w:color w:val="auto"/>
        </w:rPr>
      </w:pPr>
    </w:p>
    <w:p>
      <w:pPr>
        <w:jc w:val="both"/>
        <w:ind w:firstLine="466"/>
        <w:spacing w:after="0" w:line="263" w:lineRule="auto"/>
        <w:tabs>
          <w:tab w:leader="none" w:pos="775" w:val="left"/>
        </w:tabs>
        <w:numPr>
          <w:ilvl w:val="1"/>
          <w:numId w:val="4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w:t>
      </w:r>
    </w:p>
    <w:p>
      <w:pPr>
        <w:spacing w:after="0" w:line="300" w:lineRule="exact"/>
        <w:rPr>
          <w:rFonts w:ascii="Times New Roman" w:cs="Times New Roman" w:eastAsia="Times New Roman" w:hAnsi="Times New Roman"/>
          <w:sz w:val="14"/>
          <w:szCs w:val="14"/>
          <w:b w:val="1"/>
          <w:bCs w:val="1"/>
          <w:color w:val="auto"/>
        </w:rPr>
      </w:pPr>
    </w:p>
    <w:p>
      <w:pPr>
        <w:ind w:right="20" w:firstLine="466"/>
        <w:spacing w:after="0" w:line="293" w:lineRule="auto"/>
        <w:tabs>
          <w:tab w:leader="none" w:pos="775" w:val="left"/>
        </w:tabs>
        <w:numPr>
          <w:ilvl w:val="1"/>
          <w:numId w:val="4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by means of the Plan, seeks to retain the services of Eligible Employees, to secure and retain the services of new Employees and to provide incentives for such persons to exert maximum efforts for the success of the Company and its Related Corporations.</w:t>
      </w:r>
    </w:p>
    <w:p>
      <w:pPr>
        <w:spacing w:after="0" w:line="102" w:lineRule="exact"/>
        <w:rPr>
          <w:rFonts w:ascii="Times New Roman" w:cs="Times New Roman" w:eastAsia="Times New Roman" w:hAnsi="Times New Roman"/>
          <w:sz w:val="14"/>
          <w:szCs w:val="14"/>
          <w:b w:val="1"/>
          <w:bCs w:val="1"/>
          <w:color w:val="auto"/>
        </w:rPr>
      </w:pPr>
    </w:p>
    <w:p>
      <w:pPr>
        <w:ind w:left="260" w:hanging="253"/>
        <w:spacing w:after="0"/>
        <w:tabs>
          <w:tab w:leader="none" w:pos="260" w:val="left"/>
        </w:tabs>
        <w:numPr>
          <w:ilvl w:val="0"/>
          <w:numId w:val="4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ADMINISTRATION.</w:t>
      </w:r>
    </w:p>
    <w:p>
      <w:pPr>
        <w:spacing w:after="0" w:line="166" w:lineRule="exact"/>
        <w:rPr>
          <w:rFonts w:ascii="Times New Roman" w:cs="Times New Roman" w:eastAsia="Times New Roman" w:hAnsi="Times New Roman"/>
          <w:sz w:val="14"/>
          <w:szCs w:val="14"/>
          <w:b w:val="1"/>
          <w:bCs w:val="1"/>
          <w:color w:val="auto"/>
        </w:rPr>
      </w:pPr>
    </w:p>
    <w:p>
      <w:pPr>
        <w:ind w:left="780" w:hanging="314"/>
        <w:spacing w:after="0"/>
        <w:tabs>
          <w:tab w:leader="none" w:pos="780" w:val="left"/>
        </w:tabs>
        <w:numPr>
          <w:ilvl w:val="1"/>
          <w:numId w:val="4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Board will administer the Plan unless and until the Board delegates administration of the Plan to a Committee or Committees, as provided in Section 2(c).</w:t>
      </w:r>
    </w:p>
    <w:p>
      <w:pPr>
        <w:spacing w:after="0" w:line="164" w:lineRule="exact"/>
        <w:rPr>
          <w:rFonts w:ascii="Times New Roman" w:cs="Times New Roman" w:eastAsia="Times New Roman" w:hAnsi="Times New Roman"/>
          <w:sz w:val="14"/>
          <w:szCs w:val="14"/>
          <w:b w:val="1"/>
          <w:bCs w:val="1"/>
          <w:color w:val="auto"/>
        </w:rPr>
      </w:pPr>
    </w:p>
    <w:p>
      <w:pPr>
        <w:ind w:left="780" w:hanging="314"/>
        <w:spacing w:after="0"/>
        <w:tabs>
          <w:tab w:leader="none" w:pos="780" w:val="left"/>
        </w:tabs>
        <w:numPr>
          <w:ilvl w:val="1"/>
          <w:numId w:val="4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Board will have the power, subject to, and within the limitations of, the express provisions of the Plan:</w:t>
      </w:r>
    </w:p>
    <w:p>
      <w:pPr>
        <w:spacing w:after="0" w:line="164" w:lineRule="exact"/>
        <w:rPr>
          <w:rFonts w:ascii="Times New Roman" w:cs="Times New Roman" w:eastAsia="Times New Roman" w:hAnsi="Times New Roman"/>
          <w:sz w:val="14"/>
          <w:szCs w:val="14"/>
          <w:b w:val="1"/>
          <w:bCs w:val="1"/>
          <w:color w:val="auto"/>
        </w:rPr>
      </w:pPr>
    </w:p>
    <w:p>
      <w:pPr>
        <w:jc w:val="both"/>
        <w:ind w:right="20" w:firstLine="925"/>
        <w:spacing w:after="0" w:line="269" w:lineRule="auto"/>
        <w:tabs>
          <w:tab w:leader="none" w:pos="1225" w:val="left"/>
        </w:tabs>
        <w:numPr>
          <w:ilvl w:val="2"/>
          <w:numId w:val="4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determine eligibility, how and when Purchase Rights will be granted, and the provisions of each Offering (which need not be identical). Without limiting the generality of, and consistent with, the foregoing, the Board is authorized to determine that, to the extent permitted by U.S. Treasury Regulation Section 1.423-2(f), the terms of a Purchase Right granted under the Plan or an Offering to citizens or residents of a non-U.S. jurisdiction will be less favorable than the terms of Purchase Rights granted under the Plan or the same Offering to employees resident solely in the United States.</w:t>
      </w:r>
    </w:p>
    <w:p>
      <w:pPr>
        <w:spacing w:after="0" w:line="118" w:lineRule="exact"/>
        <w:rPr>
          <w:sz w:val="20"/>
          <w:szCs w:val="20"/>
          <w:color w:val="auto"/>
        </w:rPr>
      </w:pPr>
    </w:p>
    <w:p>
      <w:pPr>
        <w:ind w:right="20" w:firstLine="925"/>
        <w:spacing w:after="0" w:line="296" w:lineRule="auto"/>
        <w:tabs>
          <w:tab w:leader="none" w:pos="988" w:val="left"/>
        </w:tabs>
        <w:numPr>
          <w:ilvl w:val="0"/>
          <w:numId w:val="4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 i ) </w:t>
      </w:r>
      <w:r>
        <w:rPr>
          <w:rFonts w:ascii="Times New Roman" w:cs="Times New Roman" w:eastAsia="Times New Roman" w:hAnsi="Times New Roman"/>
          <w:sz w:val="14"/>
          <w:szCs w:val="14"/>
          <w:color w:val="auto"/>
        </w:rPr>
        <w:t>To designate from time to time (A) which Related Corporations will be eligible to participate in the Plan as Designated 423 Companies, (B) which Related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Corporations or Affiliates will be eligible to participate in the Plan as Designated Non-423 Companies, (C) which Affiliates or Related</w:t>
      </w:r>
    </w:p>
    <w:p>
      <w:pPr>
        <w:sectPr>
          <w:pgSz w:w="11900" w:h="16840" w:orient="portrait"/>
          <w:cols w:equalWidth="0" w:num="1">
            <w:col w:w="10620"/>
          </w:cols>
          <w:pgMar w:left="640" w:top="557" w:right="640" w:bottom="1440" w:gutter="0" w:footer="0" w:header="0"/>
        </w:sectPr>
      </w:pPr>
    </w:p>
    <w:bookmarkStart w:id="397" w:name="page398"/>
    <w:bookmarkEnd w:id="397"/>
    <w:p>
      <w:pPr>
        <w:spacing w:after="0" w:line="39"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4"/>
          <w:szCs w:val="14"/>
          <w:color w:val="auto"/>
        </w:rPr>
        <w:t>Corporations may be excluded from participation in the Plan, and (D) which Designated Companies will participate in each separate Offering (to the extent that the Company makes separate Offerings).</w:t>
      </w:r>
    </w:p>
    <w:p>
      <w:pPr>
        <w:spacing w:after="0" w:line="104" w:lineRule="exact"/>
        <w:rPr>
          <w:sz w:val="20"/>
          <w:szCs w:val="20"/>
          <w:color w:val="auto"/>
        </w:rPr>
      </w:pPr>
    </w:p>
    <w:p>
      <w:pPr>
        <w:ind w:right="60" w:firstLine="925"/>
        <w:spacing w:after="0" w:line="293" w:lineRule="auto"/>
        <w:tabs>
          <w:tab w:leader="none" w:pos="1273" w:val="left"/>
        </w:tabs>
        <w:numPr>
          <w:ilvl w:val="1"/>
          <w:numId w:val="4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04" w:lineRule="exact"/>
        <w:rPr>
          <w:rFonts w:ascii="Times New Roman" w:cs="Times New Roman" w:eastAsia="Times New Roman" w:hAnsi="Times New Roman"/>
          <w:sz w:val="14"/>
          <w:szCs w:val="14"/>
          <w:b w:val="1"/>
          <w:bCs w:val="1"/>
          <w:color w:val="auto"/>
        </w:rPr>
      </w:pPr>
    </w:p>
    <w:p>
      <w:pPr>
        <w:ind w:left="1280" w:hanging="355"/>
        <w:spacing w:after="0"/>
        <w:tabs>
          <w:tab w:leader="none" w:pos="1280" w:val="left"/>
        </w:tabs>
        <w:numPr>
          <w:ilvl w:val="1"/>
          <w:numId w:val="4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settle all controversies regarding the Plan and Purchase Rights granted under the Plan.</w:t>
      </w:r>
    </w:p>
    <w:p>
      <w:pPr>
        <w:spacing w:after="0" w:line="164" w:lineRule="exact"/>
        <w:rPr>
          <w:rFonts w:ascii="Times New Roman" w:cs="Times New Roman" w:eastAsia="Times New Roman" w:hAnsi="Times New Roman"/>
          <w:sz w:val="14"/>
          <w:szCs w:val="14"/>
          <w:b w:val="1"/>
          <w:bCs w:val="1"/>
          <w:color w:val="auto"/>
        </w:rPr>
      </w:pPr>
    </w:p>
    <w:p>
      <w:pPr>
        <w:ind w:left="1240" w:hanging="315"/>
        <w:spacing w:after="0"/>
        <w:tabs>
          <w:tab w:leader="none" w:pos="1240" w:val="left"/>
        </w:tabs>
        <w:numPr>
          <w:ilvl w:val="1"/>
          <w:numId w:val="4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suspend or terminate the Plan at any time as provided in Section 11.</w:t>
      </w:r>
    </w:p>
    <w:p>
      <w:pPr>
        <w:spacing w:after="0" w:line="164" w:lineRule="exact"/>
        <w:rPr>
          <w:rFonts w:ascii="Times New Roman" w:cs="Times New Roman" w:eastAsia="Times New Roman" w:hAnsi="Times New Roman"/>
          <w:sz w:val="14"/>
          <w:szCs w:val="14"/>
          <w:b w:val="1"/>
          <w:bCs w:val="1"/>
          <w:color w:val="auto"/>
        </w:rPr>
      </w:pPr>
    </w:p>
    <w:p>
      <w:pPr>
        <w:ind w:left="1280" w:hanging="355"/>
        <w:spacing w:after="0"/>
        <w:tabs>
          <w:tab w:leader="none" w:pos="1280" w:val="left"/>
        </w:tabs>
        <w:numPr>
          <w:ilvl w:val="1"/>
          <w:numId w:val="4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amend the Plan at any time as provided in Section 11.</w:t>
      </w:r>
    </w:p>
    <w:p>
      <w:pPr>
        <w:spacing w:after="0" w:line="164" w:lineRule="exact"/>
        <w:rPr>
          <w:rFonts w:ascii="Times New Roman" w:cs="Times New Roman" w:eastAsia="Times New Roman" w:hAnsi="Times New Roman"/>
          <w:sz w:val="14"/>
          <w:szCs w:val="14"/>
          <w:b w:val="1"/>
          <w:bCs w:val="1"/>
          <w:color w:val="auto"/>
        </w:rPr>
      </w:pPr>
    </w:p>
    <w:p>
      <w:pPr>
        <w:ind w:right="60" w:firstLine="925"/>
        <w:spacing w:after="0" w:line="293" w:lineRule="auto"/>
        <w:tabs>
          <w:tab w:leader="none" w:pos="1378" w:val="left"/>
        </w:tabs>
        <w:numPr>
          <w:ilvl w:val="1"/>
          <w:numId w:val="4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Generally, to exercise such powers and to perform such acts as it deems necessary or expedient to promote the best interests of the Company, its Related Corporations and Affiliates, and to carry out the intent that the Plan be treated as an Employee Stock Purchase Plan with respect to the 423 Component.</w:t>
      </w:r>
    </w:p>
    <w:p>
      <w:pPr>
        <w:spacing w:after="0" w:line="104" w:lineRule="exact"/>
        <w:rPr>
          <w:rFonts w:ascii="Times New Roman" w:cs="Times New Roman" w:eastAsia="Times New Roman" w:hAnsi="Times New Roman"/>
          <w:sz w:val="14"/>
          <w:szCs w:val="14"/>
          <w:b w:val="1"/>
          <w:bCs w:val="1"/>
          <w:color w:val="auto"/>
        </w:rPr>
      </w:pPr>
    </w:p>
    <w:p>
      <w:pPr>
        <w:jc w:val="both"/>
        <w:ind w:right="40" w:firstLine="925"/>
        <w:spacing w:after="0" w:line="260" w:lineRule="auto"/>
        <w:tabs>
          <w:tab w:leader="none" w:pos="1349" w:val="left"/>
        </w:tabs>
        <w:numPr>
          <w:ilvl w:val="1"/>
          <w:numId w:val="4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adopt such rules, procedures, sub-plans, and appendices as are necessary or appropriate for the administration of the Plan (including, without limitation, such rules, procedures, sub-plans, and appendices as are necessary or appropriate to permit or facilitate participation in the Plan by Employees who are non-U.S. nationals or employed or located outside the United States, the terms of which rules, procedures, sub-plans, and appendices may take precedence over other provisions of this Plan, with the exception of Section 3(a) hereof, but unless otherwise superseded by the terms of such rules, procedures, sub-plans, or appendices, the provisions of this Plan will govern the operation of such rules, procedures, sub-plans, and appendices).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(which will apply to all Participants in the relevant Offerings under the 423 Component, except to the extent otherwise permitted by U.S. Treasury Regulation Section 1.423-2(f)),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 Unless otherwise determined by the Board, the Eligible Employees eligible to participate in each sub-plan will participate in a separate Offering under the 423 Component, or if the terms would not qualify under the 423 Component, in the Non-423 Component, in either case unless such designation would cause the 423 Component to violate the requirements of Section 423 of the Code.</w:t>
      </w:r>
    </w:p>
    <w:p>
      <w:pPr>
        <w:spacing w:after="0" w:line="127" w:lineRule="exact"/>
        <w:rPr>
          <w:rFonts w:ascii="Times New Roman" w:cs="Times New Roman" w:eastAsia="Times New Roman" w:hAnsi="Times New Roman"/>
          <w:sz w:val="14"/>
          <w:szCs w:val="14"/>
          <w:b w:val="1"/>
          <w:bCs w:val="1"/>
          <w:color w:val="auto"/>
        </w:rPr>
      </w:pPr>
    </w:p>
    <w:p>
      <w:pPr>
        <w:jc w:val="both"/>
        <w:ind w:firstLine="466"/>
        <w:spacing w:after="0" w:line="269" w:lineRule="auto"/>
        <w:tabs>
          <w:tab w:leader="none" w:pos="785" w:val="left"/>
        </w:tabs>
        <w:numPr>
          <w:ilvl w:val="0"/>
          <w:numId w:val="4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w:t>
      </w:r>
    </w:p>
    <w:p>
      <w:pPr>
        <w:sectPr>
          <w:pgSz w:w="11900" w:h="16840" w:orient="portrait"/>
          <w:cols w:equalWidth="0" w:num="1">
            <w:col w:w="10660"/>
          </w:cols>
          <w:pgMar w:left="640" w:top="1440" w:right="600" w:bottom="1440" w:gutter="0" w:footer="0" w:header="0"/>
        </w:sectPr>
      </w:pPr>
    </w:p>
    <w:bookmarkStart w:id="398" w:name="page399"/>
    <w:bookmarkEnd w:id="398"/>
    <w:p>
      <w:pPr>
        <w:spacing w:after="0" w:line="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(or its delegate) and may, at any time, revest in the Board some or all of the powers previously delegated. Whether or not the Board has delegated administration of the Plan to a Committee (or a delegate of the Committee), the Board will have the final power to determine all questions of policy and expediency that may arise in the administration of the Plan.</w:t>
      </w:r>
    </w:p>
    <w:p>
      <w:pPr>
        <w:spacing w:after="0" w:line="120" w:lineRule="exact"/>
        <w:rPr>
          <w:sz w:val="20"/>
          <w:szCs w:val="20"/>
          <w:color w:val="auto"/>
        </w:rPr>
      </w:pPr>
    </w:p>
    <w:p>
      <w:pPr>
        <w:ind w:left="540" w:hanging="74"/>
        <w:spacing w:after="0"/>
        <w:tabs>
          <w:tab w:leader="none" w:pos="540" w:val="left"/>
        </w:tabs>
        <w:numPr>
          <w:ilvl w:val="1"/>
          <w:numId w:val="4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 )  </w:t>
      </w:r>
      <w:r>
        <w:rPr>
          <w:rFonts w:ascii="Times New Roman" w:cs="Times New Roman" w:eastAsia="Times New Roman" w:hAnsi="Times New Roman"/>
          <w:sz w:val="14"/>
          <w:szCs w:val="14"/>
          <w:color w:val="auto"/>
        </w:rPr>
        <w:t>All determinations, interpretations, and constructions made by the Board will not be subject to review by any person and will be final, binding, and conclusive on all</w:t>
      </w:r>
    </w:p>
    <w:p>
      <w:pPr>
        <w:spacing w:after="0" w:line="26" w:lineRule="exact"/>
        <w:rPr>
          <w:rFonts w:ascii="Times New Roman" w:cs="Times New Roman" w:eastAsia="Times New Roman" w:hAnsi="Times New Roman"/>
          <w:sz w:val="14"/>
          <w:szCs w:val="14"/>
          <w:b w:val="1"/>
          <w:bCs w:val="1"/>
          <w:color w:val="auto"/>
        </w:rPr>
      </w:pPr>
    </w:p>
    <w:p>
      <w:pPr>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persons.</w:t>
      </w:r>
    </w:p>
    <w:p>
      <w:pPr>
        <w:spacing w:after="0" w:line="148" w:lineRule="exact"/>
        <w:rPr>
          <w:rFonts w:ascii="Times New Roman" w:cs="Times New Roman" w:eastAsia="Times New Roman" w:hAnsi="Times New Roman"/>
          <w:sz w:val="14"/>
          <w:szCs w:val="14"/>
          <w:b w:val="1"/>
          <w:bCs w:val="1"/>
          <w:color w:val="auto"/>
        </w:rPr>
      </w:pPr>
    </w:p>
    <w:p>
      <w:pPr>
        <w:ind w:left="260" w:hanging="253"/>
        <w:spacing w:after="0"/>
        <w:tabs>
          <w:tab w:leader="none" w:pos="260" w:val="left"/>
        </w:tabs>
        <w:numPr>
          <w:ilvl w:val="0"/>
          <w:numId w:val="4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SHARES SUBJECT TO THE PLAN.</w:t>
      </w:r>
    </w:p>
    <w:p>
      <w:pPr>
        <w:spacing w:after="0" w:line="164" w:lineRule="exact"/>
        <w:rPr>
          <w:sz w:val="20"/>
          <w:szCs w:val="20"/>
          <w:color w:val="auto"/>
        </w:rPr>
      </w:pPr>
    </w:p>
    <w:p>
      <w:pPr>
        <w:jc w:val="both"/>
        <w:ind w:right="20" w:firstLine="466"/>
        <w:spacing w:after="0" w:line="263" w:lineRule="auto"/>
        <w:tabs>
          <w:tab w:leader="none" w:pos="536" w:val="left"/>
        </w:tabs>
        <w:numPr>
          <w:ilvl w:val="0"/>
          <w:numId w:val="4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 ) </w:t>
      </w:r>
      <w:r>
        <w:rPr>
          <w:rFonts w:ascii="Times New Roman" w:cs="Times New Roman" w:eastAsia="Times New Roman" w:hAnsi="Times New Roman"/>
          <w:sz w:val="14"/>
          <w:szCs w:val="14"/>
          <w:color w:val="auto"/>
        </w:rPr>
        <w:t>Subject to the provisions of Section 10(a) relating to Capitalization Adjustments, the maximum number of Shares that may be issued under the Plan will not exceed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5,000,000 Shares, plus the number of Shares that are automatically added on the first day of each Fiscal Year for a period of up to ten years, commencing on the first day of the 2027 Fiscal Year and ending on (and including) the first day of the 2036 Fiscal Year, in an amount equal to the lesser of (x) 1% of the total number of shares of Capital Stock outstanding on the last day of the preceding Fiscal Year, or (y) 5,000,000 Shares. Notwithstanding the foregoing, the Board may act prior to the first day of any Fiscal Year to provide that there will be no increase in the share reserve for such Fiscal Year or that the increase in the share reserve for such Fiscal Year will be a lesser number of Shares than would otherwise occur pursuant to the preceding sentence. For the avoidance of doubt, up to the maximum number of Shares reserved under this Section 3(a) may be used to satisfy purchases of Shares under the 423 Component and any remaining portion of such maximum number of Shares may be used to satisfy purchases of Shares under the Non-423 Component.</w:t>
      </w:r>
    </w:p>
    <w:p>
      <w:pPr>
        <w:spacing w:after="0" w:line="124" w:lineRule="exact"/>
        <w:rPr>
          <w:sz w:val="20"/>
          <w:szCs w:val="20"/>
          <w:color w:val="auto"/>
        </w:rPr>
      </w:pPr>
    </w:p>
    <w:p>
      <w:pPr>
        <w:ind w:right="20" w:firstLine="466"/>
        <w:spacing w:after="0" w:line="296" w:lineRule="auto"/>
        <w:tabs>
          <w:tab w:leader="none" w:pos="526" w:val="left"/>
        </w:tabs>
        <w:numPr>
          <w:ilvl w:val="0"/>
          <w:numId w:val="4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 ) </w:t>
      </w:r>
      <w:r>
        <w:rPr>
          <w:rFonts w:ascii="Times New Roman" w:cs="Times New Roman" w:eastAsia="Times New Roman" w:hAnsi="Times New Roman"/>
          <w:sz w:val="14"/>
          <w:szCs w:val="14"/>
          <w:color w:val="auto"/>
        </w:rPr>
        <w:t>If any Purchase Right granted under the Plan terminates without having been exercised in full, the Shares not purchased under such Purchase Right will again become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available for issuance under the Plan.</w:t>
      </w:r>
    </w:p>
    <w:p>
      <w:pPr>
        <w:spacing w:after="0" w:line="102" w:lineRule="exact"/>
        <w:rPr>
          <w:sz w:val="20"/>
          <w:szCs w:val="20"/>
          <w:color w:val="auto"/>
        </w:rPr>
      </w:pPr>
    </w:p>
    <w:p>
      <w:pPr>
        <w:ind w:right="20" w:firstLine="466"/>
        <w:spacing w:after="0" w:line="293" w:lineRule="auto"/>
        <w:tabs>
          <w:tab w:leader="none" w:pos="775" w:val="left"/>
        </w:tabs>
        <w:numPr>
          <w:ilvl w:val="1"/>
          <w:numId w:val="4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stock purchasable under the Plan will be Shares of authorized but unissued or reacquired Common Stock, including Shares repurchased by the Company on the open market or otherwise.</w:t>
      </w:r>
    </w:p>
    <w:p>
      <w:pPr>
        <w:spacing w:after="0" w:line="102" w:lineRule="exact"/>
        <w:rPr>
          <w:rFonts w:ascii="Times New Roman" w:cs="Times New Roman" w:eastAsia="Times New Roman" w:hAnsi="Times New Roman"/>
          <w:sz w:val="14"/>
          <w:szCs w:val="14"/>
          <w:b w:val="1"/>
          <w:bCs w:val="1"/>
          <w:color w:val="auto"/>
        </w:rPr>
      </w:pPr>
    </w:p>
    <w:p>
      <w:pPr>
        <w:ind w:left="260" w:hanging="253"/>
        <w:spacing w:after="0"/>
        <w:tabs>
          <w:tab w:leader="none" w:pos="260" w:val="left"/>
        </w:tabs>
        <w:numPr>
          <w:ilvl w:val="0"/>
          <w:numId w:val="4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GRANT OF PURCHASE RIGHTS; OFFERING.</w:t>
      </w:r>
    </w:p>
    <w:p>
      <w:pPr>
        <w:spacing w:after="0" w:line="166" w:lineRule="exact"/>
        <w:rPr>
          <w:rFonts w:ascii="Times New Roman" w:cs="Times New Roman" w:eastAsia="Times New Roman" w:hAnsi="Times New Roman"/>
          <w:sz w:val="14"/>
          <w:szCs w:val="14"/>
          <w:b w:val="1"/>
          <w:bCs w:val="1"/>
          <w:color w:val="auto"/>
        </w:rPr>
      </w:pPr>
    </w:p>
    <w:p>
      <w:pPr>
        <w:jc w:val="both"/>
        <w:ind w:firstLine="466"/>
        <w:spacing w:after="0" w:line="263" w:lineRule="auto"/>
        <w:tabs>
          <w:tab w:leader="none" w:pos="775" w:val="left"/>
        </w:tabs>
        <w:numPr>
          <w:ilvl w:val="1"/>
          <w:numId w:val="4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will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ectPr>
          <w:pgSz w:w="11900" w:h="16840" w:orient="portrait"/>
          <w:cols w:equalWidth="0" w:num="1">
            <w:col w:w="10620"/>
          </w:cols>
          <w:pgMar w:left="640" w:top="1440" w:right="640" w:bottom="1440" w:gutter="0" w:footer="0" w:header="0"/>
        </w:sectPr>
      </w:pPr>
    </w:p>
    <w:bookmarkStart w:id="399" w:name="page400"/>
    <w:bookmarkEnd w:id="399"/>
    <w:p>
      <w:pPr>
        <w:spacing w:after="0" w:line="37" w:lineRule="exact"/>
        <w:rPr>
          <w:sz w:val="20"/>
          <w:szCs w:val="20"/>
          <w:color w:val="auto"/>
        </w:rPr>
      </w:pPr>
    </w:p>
    <w:p>
      <w:pPr>
        <w:jc w:val="both"/>
        <w:ind w:left="-7" w:right="40" w:firstLine="466"/>
        <w:spacing w:after="0" w:line="270" w:lineRule="auto"/>
        <w:tabs>
          <w:tab w:leader="none" w:pos="519" w:val="left"/>
        </w:tabs>
        <w:numPr>
          <w:ilvl w:val="0"/>
          <w:numId w:val="4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 ) </w:t>
      </w:r>
      <w:r>
        <w:rPr>
          <w:rFonts w:ascii="Times New Roman" w:cs="Times New Roman" w:eastAsia="Times New Roman" w:hAnsi="Times New Roman"/>
          <w:sz w:val="14"/>
          <w:szCs w:val="14"/>
          <w:color w:val="auto"/>
        </w:rPr>
        <w:t>If a Participant has more than one Purchase Right outstanding under the Plan, unless such Participant otherwise indicates in forms delivered to the Company or a third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party designated by the Company (each, a “</w:t>
      </w:r>
      <w:r>
        <w:rPr>
          <w:rFonts w:ascii="Times New Roman" w:cs="Times New Roman" w:eastAsia="Times New Roman" w:hAnsi="Times New Roman"/>
          <w:sz w:val="14"/>
          <w:szCs w:val="14"/>
          <w:b w:val="1"/>
          <w:bCs w:val="1"/>
          <w:i w:val="1"/>
          <w:iCs w:val="1"/>
          <w:color w:val="auto"/>
        </w:rPr>
        <w:t>Company Designee</w:t>
      </w:r>
      <w:r>
        <w:rPr>
          <w:rFonts w:ascii="Times New Roman" w:cs="Times New Roman" w:eastAsia="Times New Roman" w:hAnsi="Times New Roman"/>
          <w:sz w:val="14"/>
          <w:szCs w:val="14"/>
          <w:color w:val="auto"/>
        </w:rPr>
        <w:t>”): (i) each form will apply to all of such Participant’s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18" w:lineRule="exact"/>
        <w:rPr>
          <w:sz w:val="20"/>
          <w:szCs w:val="20"/>
          <w:color w:val="auto"/>
        </w:rPr>
      </w:pPr>
    </w:p>
    <w:p>
      <w:pPr>
        <w:jc w:val="both"/>
        <w:ind w:left="-7" w:right="60" w:firstLine="466"/>
        <w:spacing w:after="0" w:line="276" w:lineRule="auto"/>
        <w:tabs>
          <w:tab w:leader="none" w:pos="524" w:val="left"/>
        </w:tabs>
        <w:numPr>
          <w:ilvl w:val="1"/>
          <w:numId w:val="4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 ) </w:t>
      </w:r>
      <w:r>
        <w:rPr>
          <w:rFonts w:ascii="Times New Roman" w:cs="Times New Roman" w:eastAsia="Times New Roman" w:hAnsi="Times New Roman"/>
          <w:sz w:val="14"/>
          <w:szCs w:val="14"/>
          <w:color w:val="auto"/>
        </w:rPr>
        <w:t>The Board will have the discretion to structure an Offering so that if the Fair Market Value of a Share on the first Trading Day of a new Purchase Period within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Offering is less than or equal to the Fair Market Value of a Share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114" w:lineRule="exact"/>
        <w:rPr>
          <w:rFonts w:ascii="Times New Roman" w:cs="Times New Roman" w:eastAsia="Times New Roman" w:hAnsi="Times New Roman"/>
          <w:sz w:val="14"/>
          <w:szCs w:val="14"/>
          <w:b w:val="1"/>
          <w:bCs w:val="1"/>
          <w:color w:val="auto"/>
        </w:rPr>
      </w:pPr>
    </w:p>
    <w:p>
      <w:pPr>
        <w:ind w:left="253" w:hanging="253"/>
        <w:spacing w:after="0"/>
        <w:tabs>
          <w:tab w:leader="none" w:pos="253" w:val="left"/>
        </w:tabs>
        <w:numPr>
          <w:ilvl w:val="0"/>
          <w:numId w:val="4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ELIGIBILITY.</w:t>
      </w:r>
    </w:p>
    <w:p>
      <w:pPr>
        <w:spacing w:after="0" w:line="164" w:lineRule="exact"/>
        <w:rPr>
          <w:sz w:val="20"/>
          <w:szCs w:val="20"/>
          <w:color w:val="auto"/>
        </w:rPr>
      </w:pPr>
    </w:p>
    <w:p>
      <w:pPr>
        <w:jc w:val="both"/>
        <w:ind w:left="-7" w:firstLine="466"/>
        <w:spacing w:after="0" w:line="260" w:lineRule="auto"/>
        <w:tabs>
          <w:tab w:leader="none" w:pos="543" w:val="left"/>
        </w:tabs>
        <w:numPr>
          <w:ilvl w:val="0"/>
          <w:numId w:val="4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 ) </w:t>
      </w:r>
      <w:r>
        <w:rPr>
          <w:rFonts w:ascii="Times New Roman" w:cs="Times New Roman" w:eastAsia="Times New Roman" w:hAnsi="Times New Roman"/>
          <w:sz w:val="14"/>
          <w:szCs w:val="14"/>
          <w:color w:val="auto"/>
        </w:rPr>
        <w:t>Purchase Rights may be granted only to Employees of the Company or, as the Board may designate in accordance with Section 2(b), to Employees of a Related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 or an Affiliate. Except as provided in Section 5(b) or as required by Applicable Law, an Employee will not be eligible to be granted 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(unless prohibited by Applicable Law)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(unless prohibited by Applicable Law) from participation in the Plan or any Offering (i) any “highly compensated employees” (within the meaning of Section 423(b)(4)(D) of the Code) of the Company, a Related Corporation or an Affiliate or (ii) any such highly compensated employees with compensation above a certain level or who are officers or subject to the disclosure requirements of Section 16(a) of the Exchange Act, provided that the exclusion in this clause (ii) is applied with respect to each Offering under the 423 Component in an identical manner to all highly compensated individuals of the entity whose employees are participating in that Offering. Each exclusion will be applied with respect to an Offering under the 423 Component in a manner complying with U.S. Treasury Regulation Section 1.423-2(e)(2)(ii). Such exclusions may be applied with respect to an Offering under the Non-423 Component without regard to the limitations of U.S. Treasury Regulation Section 1.423-2.</w:t>
      </w:r>
    </w:p>
    <w:p>
      <w:pPr>
        <w:spacing w:after="0" w:line="301" w:lineRule="exact"/>
        <w:rPr>
          <w:sz w:val="20"/>
          <w:szCs w:val="20"/>
          <w:color w:val="auto"/>
        </w:rPr>
      </w:pPr>
    </w:p>
    <w:p>
      <w:pPr>
        <w:jc w:val="both"/>
        <w:ind w:left="-7" w:right="40" w:firstLine="466"/>
        <w:spacing w:after="0" w:line="275" w:lineRule="auto"/>
        <w:tabs>
          <w:tab w:leader="none" w:pos="768" w:val="left"/>
        </w:tabs>
        <w:numPr>
          <w:ilvl w:val="0"/>
          <w:numId w:val="4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w:t>
      </w:r>
    </w:p>
    <w:p>
      <w:pPr>
        <w:sectPr>
          <w:pgSz w:w="11900" w:h="16840" w:orient="portrait"/>
          <w:cols w:equalWidth="0" w:num="1">
            <w:col w:w="10633"/>
          </w:cols>
          <w:pgMar w:left="647" w:top="1440" w:right="620" w:bottom="1440" w:gutter="0" w:footer="0" w:header="0"/>
        </w:sectPr>
      </w:pPr>
    </w:p>
    <w:bookmarkStart w:id="400" w:name="page401"/>
    <w:bookmarkEnd w:id="400"/>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Purchase Right will have the same characteristics as any Purchase Rights originally granted under that Offering, as described herein, except that:</w:t>
      </w:r>
    </w:p>
    <w:p>
      <w:pPr>
        <w:spacing w:after="0" w:line="164" w:lineRule="exact"/>
        <w:rPr>
          <w:sz w:val="20"/>
          <w:szCs w:val="20"/>
          <w:color w:val="auto"/>
        </w:rPr>
      </w:pPr>
    </w:p>
    <w:p>
      <w:pPr>
        <w:ind w:right="20" w:firstLine="925"/>
        <w:spacing w:after="0" w:line="293" w:lineRule="auto"/>
        <w:tabs>
          <w:tab w:leader="none" w:pos="1196" w:val="left"/>
        </w:tabs>
        <w:numPr>
          <w:ilvl w:val="1"/>
          <w:numId w:val="4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date on which such Purchase Right is granted will be the “Offering Date” of such Purchase Right for all purposes, including determination of the exercise price of such Purchase Right;</w:t>
      </w:r>
    </w:p>
    <w:p>
      <w:pPr>
        <w:spacing w:after="0" w:line="104" w:lineRule="exact"/>
        <w:rPr>
          <w:rFonts w:ascii="Times New Roman" w:cs="Times New Roman" w:eastAsia="Times New Roman" w:hAnsi="Times New Roman"/>
          <w:sz w:val="14"/>
          <w:szCs w:val="14"/>
          <w:b w:val="1"/>
          <w:bCs w:val="1"/>
          <w:color w:val="auto"/>
        </w:rPr>
      </w:pPr>
    </w:p>
    <w:p>
      <w:pPr>
        <w:ind w:left="1240" w:hanging="315"/>
        <w:spacing w:after="0"/>
        <w:tabs>
          <w:tab w:leader="none" w:pos="1240" w:val="left"/>
        </w:tabs>
        <w:numPr>
          <w:ilvl w:val="1"/>
          <w:numId w:val="4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period of the Offering with respect to such Purchase Right will begin on its Offering Date and end coincident with the end of such Offering; and</w:t>
      </w:r>
    </w:p>
    <w:p>
      <w:pPr>
        <w:spacing w:after="0" w:line="164" w:lineRule="exact"/>
        <w:rPr>
          <w:rFonts w:ascii="Times New Roman" w:cs="Times New Roman" w:eastAsia="Times New Roman" w:hAnsi="Times New Roman"/>
          <w:sz w:val="14"/>
          <w:szCs w:val="14"/>
          <w:b w:val="1"/>
          <w:bCs w:val="1"/>
          <w:color w:val="auto"/>
        </w:rPr>
      </w:pPr>
    </w:p>
    <w:p>
      <w:pPr>
        <w:ind w:right="20" w:firstLine="925"/>
        <w:spacing w:after="0" w:line="293" w:lineRule="auto"/>
        <w:tabs>
          <w:tab w:leader="none" w:pos="1273" w:val="left"/>
        </w:tabs>
        <w:numPr>
          <w:ilvl w:val="1"/>
          <w:numId w:val="4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Board may provide that if such person first becomes an Eligible Employee within a specified period of time before the end of the Offering, the individual will not receive any Purchase Right under that Offering.</w:t>
      </w:r>
    </w:p>
    <w:p>
      <w:pPr>
        <w:spacing w:after="0" w:line="104" w:lineRule="exact"/>
        <w:rPr>
          <w:rFonts w:ascii="Times New Roman" w:cs="Times New Roman" w:eastAsia="Times New Roman" w:hAnsi="Times New Roman"/>
          <w:sz w:val="14"/>
          <w:szCs w:val="14"/>
          <w:b w:val="1"/>
          <w:bCs w:val="1"/>
          <w:color w:val="auto"/>
        </w:rPr>
      </w:pPr>
    </w:p>
    <w:p>
      <w:pPr>
        <w:jc w:val="both"/>
        <w:ind w:firstLine="466"/>
        <w:spacing w:after="0" w:line="269" w:lineRule="auto"/>
        <w:tabs>
          <w:tab w:leader="none" w:pos="785" w:val="left"/>
        </w:tabs>
        <w:numPr>
          <w:ilvl w:val="0"/>
          <w:numId w:val="4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20" w:lineRule="exact"/>
        <w:rPr>
          <w:rFonts w:ascii="Times New Roman" w:cs="Times New Roman" w:eastAsia="Times New Roman" w:hAnsi="Times New Roman"/>
          <w:sz w:val="14"/>
          <w:szCs w:val="14"/>
          <w:b w:val="1"/>
          <w:bCs w:val="1"/>
          <w:color w:val="auto"/>
        </w:rPr>
      </w:pPr>
    </w:p>
    <w:p>
      <w:pPr>
        <w:jc w:val="both"/>
        <w:ind w:firstLine="466"/>
        <w:spacing w:after="0" w:line="269" w:lineRule="auto"/>
        <w:tabs>
          <w:tab w:leader="none" w:pos="804" w:val="left"/>
        </w:tabs>
        <w:numPr>
          <w:ilvl w:val="0"/>
          <w:numId w:val="4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18" w:lineRule="exact"/>
        <w:rPr>
          <w:sz w:val="20"/>
          <w:szCs w:val="20"/>
          <w:color w:val="auto"/>
        </w:rPr>
      </w:pPr>
    </w:p>
    <w:p>
      <w:pPr>
        <w:jc w:val="both"/>
        <w:ind w:right="20" w:firstLine="466"/>
        <w:spacing w:after="0" w:line="276" w:lineRule="auto"/>
        <w:tabs>
          <w:tab w:leader="none" w:pos="569" w:val="left"/>
        </w:tabs>
        <w:numPr>
          <w:ilvl w:val="0"/>
          <w:numId w:val="4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 ) </w:t>
      </w:r>
      <w:r>
        <w:rPr>
          <w:rFonts w:ascii="Times New Roman" w:cs="Times New Roman" w:eastAsia="Times New Roman" w:hAnsi="Times New Roman"/>
          <w:sz w:val="14"/>
          <w:szCs w:val="14"/>
          <w:color w:val="auto"/>
        </w:rPr>
        <w:t>Officers of the Company and any Designated Company, if they are otherwise Eligible Employees, will be eligible to participate in Offerings under the Plan.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Notwithstanding the foregoing, the Board may (unless prohibited by Applicable Law) provide in an Offering that Employees who are highly compensated Employees within the meaning of Section 423(b)(4)(D) of the Code will not be eligible to participate.</w:t>
      </w:r>
    </w:p>
    <w:p>
      <w:pPr>
        <w:spacing w:after="0" w:line="114" w:lineRule="exact"/>
        <w:rPr>
          <w:sz w:val="20"/>
          <w:szCs w:val="20"/>
          <w:color w:val="auto"/>
        </w:rPr>
      </w:pPr>
    </w:p>
    <w:p>
      <w:pPr>
        <w:jc w:val="both"/>
        <w:ind w:right="20" w:firstLine="466"/>
        <w:spacing w:after="0" w:line="276" w:lineRule="auto"/>
        <w:tabs>
          <w:tab w:leader="none" w:pos="550" w:val="left"/>
        </w:tabs>
        <w:numPr>
          <w:ilvl w:val="1"/>
          <w:numId w:val="4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f ) </w:t>
      </w:r>
      <w:r>
        <w:rPr>
          <w:rFonts w:ascii="Times New Roman" w:cs="Times New Roman" w:eastAsia="Times New Roman" w:hAnsi="Times New Roman"/>
          <w:sz w:val="14"/>
          <w:szCs w:val="14"/>
          <w:color w:val="auto"/>
        </w:rPr>
        <w:t>Notwithstanding anything in this Section 5 to the contrary, in the case of an Offering under the Non-423 Component, an Eligible Employee (or group of Eligible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Employees) may be excluded from participation in the Plan or an Offering if the Board has determined, in its sole discretion, that participation of such Eligible Employee(s) is not advisable or practical for any reason.</w:t>
      </w:r>
    </w:p>
    <w:p>
      <w:pPr>
        <w:spacing w:after="0" w:line="114" w:lineRule="exact"/>
        <w:rPr>
          <w:rFonts w:ascii="Times New Roman" w:cs="Times New Roman" w:eastAsia="Times New Roman" w:hAnsi="Times New Roman"/>
          <w:sz w:val="14"/>
          <w:szCs w:val="14"/>
          <w:b w:val="1"/>
          <w:bCs w:val="1"/>
          <w:color w:val="auto"/>
        </w:rPr>
      </w:pPr>
    </w:p>
    <w:p>
      <w:pPr>
        <w:ind w:left="260" w:hanging="253"/>
        <w:spacing w:after="0"/>
        <w:tabs>
          <w:tab w:leader="none" w:pos="260" w:val="left"/>
        </w:tabs>
        <w:numPr>
          <w:ilvl w:val="0"/>
          <w:numId w:val="4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PURCHASE RIGHTS; PURCHASE PRICE.</w:t>
      </w:r>
    </w:p>
    <w:p>
      <w:pPr>
        <w:spacing w:after="0" w:line="166" w:lineRule="exact"/>
        <w:rPr>
          <w:sz w:val="20"/>
          <w:szCs w:val="20"/>
          <w:color w:val="auto"/>
        </w:rPr>
      </w:pPr>
    </w:p>
    <w:p>
      <w:pPr>
        <w:jc w:val="both"/>
        <w:ind w:firstLine="466"/>
        <w:spacing w:after="0" w:line="269" w:lineRule="auto"/>
        <w:tabs>
          <w:tab w:leader="none" w:pos="785" w:val="left"/>
        </w:tabs>
        <w:numPr>
          <w:ilvl w:val="0"/>
          <w:numId w:val="4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each Offering Date, each Eligible Employee, pursuant to an Offering made under the Plan, will be granted a Purchase Right to purchase up to that number of Shares purchasable either with a percentage of earnings (as such concept is defined in the Offering Document) or with a maximum dollar amount, but in either case as so specified by the Board in the Offering Document, during the period that begins on the Offering Date (or such later date as the Board determines for a particular Offering) and ends on the date stated in the Offering, which date will be no later than the end of the Offering.</w:t>
      </w:r>
    </w:p>
    <w:p>
      <w:pPr>
        <w:sectPr>
          <w:pgSz w:w="11900" w:h="16840" w:orient="portrait"/>
          <w:cols w:equalWidth="0" w:num="1">
            <w:col w:w="10620"/>
          </w:cols>
          <w:pgMar w:left="640" w:top="1440" w:right="640" w:bottom="1440" w:gutter="0" w:footer="0" w:header="0"/>
        </w:sectPr>
      </w:pPr>
    </w:p>
    <w:bookmarkStart w:id="401" w:name="page402"/>
    <w:bookmarkEnd w:id="401"/>
    <w:p>
      <w:pPr>
        <w:spacing w:after="0" w:line="37" w:lineRule="exact"/>
        <w:rPr>
          <w:sz w:val="20"/>
          <w:szCs w:val="20"/>
          <w:color w:val="auto"/>
        </w:rPr>
      </w:pPr>
    </w:p>
    <w:p>
      <w:pPr>
        <w:ind w:right="20" w:firstLine="466"/>
        <w:spacing w:after="0" w:line="296" w:lineRule="auto"/>
        <w:tabs>
          <w:tab w:leader="none" w:pos="545" w:val="left"/>
        </w:tabs>
        <w:numPr>
          <w:ilvl w:val="0"/>
          <w:numId w:val="4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 ) </w:t>
      </w:r>
      <w:r>
        <w:rPr>
          <w:rFonts w:ascii="Times New Roman" w:cs="Times New Roman" w:eastAsia="Times New Roman" w:hAnsi="Times New Roman"/>
          <w:sz w:val="14"/>
          <w:szCs w:val="14"/>
          <w:color w:val="auto"/>
        </w:rPr>
        <w:t>The Board will establish one or more Purchase Dates during an Offering on which Purchase Rights granted for that Offering will be exercised and Shares will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purchased in accordance with such Offering.</w:t>
      </w:r>
    </w:p>
    <w:p>
      <w:pPr>
        <w:spacing w:after="0" w:line="102" w:lineRule="exact"/>
        <w:rPr>
          <w:sz w:val="20"/>
          <w:szCs w:val="20"/>
          <w:color w:val="auto"/>
        </w:rPr>
      </w:pPr>
    </w:p>
    <w:p>
      <w:pPr>
        <w:jc w:val="both"/>
        <w:ind w:firstLine="466"/>
        <w:spacing w:after="0" w:line="266" w:lineRule="auto"/>
        <w:tabs>
          <w:tab w:leader="none" w:pos="765" w:val="left"/>
        </w:tabs>
        <w:numPr>
          <w:ilvl w:val="0"/>
          <w:numId w:val="4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connection with each Offering made under the Plan, the Board may specify (i) a maximum number of Shares that may be purchased by any Participant on any Purchase Date during such Offering, (ii) a maximum aggregate number of Shares that may be purchased by all Participants pursuant to such Offering and/or (iii) a maximum aggregate number of Shares that may be purchased by all Participants on any Purchase Date under the Offering. If the aggregate purchase of Shares issuable upon exercise of Purchase Rights granted under the Offering would exceed any such maximum aggregate number, then, in the absence of any Board action otherwise, a pro rata (based on each Participant’s accumulated Contributions) allocation of the Shares (rounded down to the nearest whole Share) available will be made in as nearly a uniform manner as will be practicable and equitable.</w:t>
      </w:r>
    </w:p>
    <w:p>
      <w:pPr>
        <w:spacing w:after="0" w:line="120" w:lineRule="exact"/>
        <w:rPr>
          <w:sz w:val="20"/>
          <w:szCs w:val="20"/>
          <w:color w:val="auto"/>
        </w:rPr>
      </w:pPr>
    </w:p>
    <w:p>
      <w:pPr>
        <w:ind w:left="540" w:hanging="74"/>
        <w:spacing w:after="0"/>
        <w:tabs>
          <w:tab w:leader="none" w:pos="540" w:val="left"/>
        </w:tabs>
        <w:numPr>
          <w:ilvl w:val="1"/>
          <w:numId w:val="4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 )  </w:t>
      </w:r>
      <w:r>
        <w:rPr>
          <w:rFonts w:ascii="Times New Roman" w:cs="Times New Roman" w:eastAsia="Times New Roman" w:hAnsi="Times New Roman"/>
          <w:sz w:val="14"/>
          <w:szCs w:val="14"/>
          <w:color w:val="auto"/>
        </w:rPr>
        <w:t>The purchase price of Shares acquired pursuant to Purchase Rights will be specified by the Board prior to commencement of an Offering and will not be less than the</w:t>
      </w:r>
    </w:p>
    <w:p>
      <w:pPr>
        <w:spacing w:after="0" w:line="26" w:lineRule="exact"/>
        <w:rPr>
          <w:rFonts w:ascii="Times New Roman" w:cs="Times New Roman" w:eastAsia="Times New Roman" w:hAnsi="Times New Roman"/>
          <w:sz w:val="14"/>
          <w:szCs w:val="14"/>
          <w:b w:val="1"/>
          <w:bCs w:val="1"/>
          <w:color w:val="auto"/>
        </w:rPr>
      </w:pPr>
    </w:p>
    <w:p>
      <w:pPr>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lesser of:</w:t>
      </w:r>
    </w:p>
    <w:p>
      <w:pPr>
        <w:spacing w:after="0" w:line="150" w:lineRule="exact"/>
        <w:rPr>
          <w:rFonts w:ascii="Times New Roman" w:cs="Times New Roman" w:eastAsia="Times New Roman" w:hAnsi="Times New Roman"/>
          <w:sz w:val="14"/>
          <w:szCs w:val="14"/>
          <w:b w:val="1"/>
          <w:bCs w:val="1"/>
          <w:color w:val="auto"/>
        </w:rPr>
      </w:pPr>
    </w:p>
    <w:p>
      <w:pPr>
        <w:ind w:left="1200" w:hanging="275"/>
        <w:spacing w:after="0"/>
        <w:tabs>
          <w:tab w:leader="none" w:pos="1200" w:val="left"/>
        </w:tabs>
        <w:numPr>
          <w:ilvl w:val="2"/>
          <w:numId w:val="4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 amount equal to 85% of the Fair Market Value of the Shares on the Offering Date; or</w:t>
      </w:r>
    </w:p>
    <w:p>
      <w:pPr>
        <w:spacing w:after="0" w:line="164" w:lineRule="exact"/>
        <w:rPr>
          <w:rFonts w:ascii="Times New Roman" w:cs="Times New Roman" w:eastAsia="Times New Roman" w:hAnsi="Times New Roman"/>
          <w:sz w:val="14"/>
          <w:szCs w:val="14"/>
          <w:b w:val="1"/>
          <w:bCs w:val="1"/>
          <w:color w:val="auto"/>
        </w:rPr>
      </w:pPr>
    </w:p>
    <w:p>
      <w:pPr>
        <w:ind w:left="1240" w:hanging="315"/>
        <w:spacing w:after="0"/>
        <w:tabs>
          <w:tab w:leader="none" w:pos="1240" w:val="left"/>
        </w:tabs>
        <w:numPr>
          <w:ilvl w:val="2"/>
          <w:numId w:val="4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 amount equal to 85% of the Fair Market Value of the Shares on the applicable Purchase Date.</w:t>
      </w:r>
    </w:p>
    <w:p>
      <w:pPr>
        <w:spacing w:after="0" w:line="162" w:lineRule="exact"/>
        <w:rPr>
          <w:rFonts w:ascii="Times New Roman" w:cs="Times New Roman" w:eastAsia="Times New Roman" w:hAnsi="Times New Roman"/>
          <w:sz w:val="14"/>
          <w:szCs w:val="14"/>
          <w:b w:val="1"/>
          <w:bCs w:val="1"/>
          <w:color w:val="auto"/>
        </w:rPr>
      </w:pPr>
    </w:p>
    <w:p>
      <w:pPr>
        <w:ind w:left="260" w:hanging="253"/>
        <w:spacing w:after="0"/>
        <w:tabs>
          <w:tab w:leader="none" w:pos="260" w:val="left"/>
        </w:tabs>
        <w:numPr>
          <w:ilvl w:val="0"/>
          <w:numId w:val="5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PARTICIPATION; WITHDRAWAL; TERMINATION.</w:t>
      </w:r>
    </w:p>
    <w:p>
      <w:pPr>
        <w:spacing w:after="0" w:line="166" w:lineRule="exact"/>
        <w:rPr>
          <w:sz w:val="20"/>
          <w:szCs w:val="20"/>
          <w:color w:val="auto"/>
        </w:rPr>
      </w:pPr>
    </w:p>
    <w:p>
      <w:pPr>
        <w:jc w:val="both"/>
        <w:ind w:firstLine="466"/>
        <w:spacing w:after="0" w:line="261" w:lineRule="auto"/>
        <w:tabs>
          <w:tab w:leader="none" w:pos="775" w:val="left"/>
        </w:tabs>
        <w:numPr>
          <w:ilvl w:val="0"/>
          <w:numId w:val="50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 Eligible Employee may elect to participate in an Offering and authorize payroll deductions as the means of making Contributions by completing and delivering to the Company or a Company Designee, within the time specified in the Offering, an enrollment form approved by the Board.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held separately or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such Participant’s Contributions. If payroll deductions are impermissible or problematic under Applicable Law or if specifically provided in the Offering and to the extent permitted by Section 423 of the Code with respect to the 423 Component, in addition to or instead of making Contributions by payroll deductions, a Participant may make Contributions through payment by cash, check or wire transfer prior to a Purchase Date.</w:t>
      </w:r>
    </w:p>
    <w:p>
      <w:pPr>
        <w:spacing w:after="0" w:line="127" w:lineRule="exact"/>
        <w:rPr>
          <w:rFonts w:ascii="Times New Roman" w:cs="Times New Roman" w:eastAsia="Times New Roman" w:hAnsi="Times New Roman"/>
          <w:sz w:val="14"/>
          <w:szCs w:val="14"/>
          <w:b w:val="1"/>
          <w:bCs w:val="1"/>
          <w:color w:val="auto"/>
        </w:rPr>
      </w:pPr>
    </w:p>
    <w:p>
      <w:pPr>
        <w:jc w:val="both"/>
        <w:ind w:right="20" w:firstLine="466"/>
        <w:spacing w:after="0" w:line="269" w:lineRule="auto"/>
        <w:tabs>
          <w:tab w:leader="none" w:pos="794" w:val="left"/>
        </w:tabs>
        <w:numPr>
          <w:ilvl w:val="0"/>
          <w:numId w:val="50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an Offering, a Participant may cease making Contributions and withdraw from the Offering by delivering to the Company or a Company Designee a withdrawal form approved by the Board. The Company may impose a deadline before a Purchase Date for withdrawing. Upon such withdrawal, such Participant’s Purchase Right in that Offering will immediately terminate, and the Company will distribute as soon as practicable to such Participant all of such Participant’s accumulated but unused Contributions. A Participant’s withdrawal from that Offering will have no effect upon such Participant’s eligibility to participate in any other Offerings under the Plan, but such Participant will be</w:t>
      </w:r>
    </w:p>
    <w:p>
      <w:pPr>
        <w:sectPr>
          <w:pgSz w:w="11900" w:h="16840" w:orient="portrait"/>
          <w:cols w:equalWidth="0" w:num="1">
            <w:col w:w="10620"/>
          </w:cols>
          <w:pgMar w:left="640" w:top="1440" w:right="640" w:bottom="1440" w:gutter="0" w:footer="0" w:header="0"/>
        </w:sectPr>
      </w:pPr>
    </w:p>
    <w:bookmarkStart w:id="402" w:name="page403"/>
    <w:bookmarkEnd w:id="402"/>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required to deliver a new enrollment form (in accordance with Section 7(a)) to participate in subsequent Offerings.</w:t>
      </w:r>
    </w:p>
    <w:p>
      <w:pPr>
        <w:spacing w:after="0" w:line="164" w:lineRule="exact"/>
        <w:rPr>
          <w:sz w:val="20"/>
          <w:szCs w:val="20"/>
          <w:color w:val="auto"/>
        </w:rPr>
      </w:pPr>
    </w:p>
    <w:p>
      <w:pPr>
        <w:jc w:val="both"/>
        <w:ind w:right="20" w:firstLine="466"/>
        <w:spacing w:after="0" w:line="275" w:lineRule="auto"/>
        <w:tabs>
          <w:tab w:leader="none" w:pos="785" w:val="left"/>
        </w:tabs>
        <w:numPr>
          <w:ilvl w:val="0"/>
          <w:numId w:val="5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Participant’s Purchase Rights granted pursuant to any Offering under the Plan will terminate immediately if the Participant either (i) is no longer an Employee for any reason or for no reason or (ii) is otherwise no longer eligible to participate in such Offering. The Company will distribute as soon as practicable to such individual all of such individual’s accumulated but unused Contributions.</w:t>
      </w:r>
    </w:p>
    <w:p>
      <w:pPr>
        <w:spacing w:after="0" w:line="114" w:lineRule="exact"/>
        <w:rPr>
          <w:sz w:val="20"/>
          <w:szCs w:val="20"/>
          <w:color w:val="auto"/>
        </w:rPr>
      </w:pPr>
    </w:p>
    <w:p>
      <w:pPr>
        <w:jc w:val="both"/>
        <w:ind w:firstLine="466"/>
        <w:spacing w:after="0" w:line="263" w:lineRule="auto"/>
        <w:tabs>
          <w:tab w:leader="none" w:pos="540" w:val="left"/>
        </w:tabs>
        <w:numPr>
          <w:ilvl w:val="0"/>
          <w:numId w:val="50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 ) </w:t>
      </w:r>
      <w:r>
        <w:rPr>
          <w:rFonts w:ascii="Times New Roman" w:cs="Times New Roman" w:eastAsia="Times New Roman" w:hAnsi="Times New Roman"/>
          <w:sz w:val="14"/>
          <w:szCs w:val="14"/>
          <w:color w:val="auto"/>
        </w:rPr>
        <w:t>Unless otherwise determined by the Board, a Participant whose employment transfers or whose employment terminates with an immediate rehire (with no break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for the remainder of the Offering. The Board may establish different and additional rules governing transfers between separate Offerings within the 423 Component and between Offerings under the 423 Component and Offerings under the Non-423 Component.</w:t>
      </w:r>
    </w:p>
    <w:p>
      <w:pPr>
        <w:spacing w:after="0" w:line="126" w:lineRule="exact"/>
        <w:rPr>
          <w:sz w:val="20"/>
          <w:szCs w:val="20"/>
          <w:color w:val="auto"/>
        </w:rPr>
      </w:pPr>
    </w:p>
    <w:p>
      <w:pPr>
        <w:jc w:val="both"/>
        <w:ind w:right="20" w:firstLine="466"/>
        <w:spacing w:after="0" w:line="269" w:lineRule="auto"/>
        <w:tabs>
          <w:tab w:leader="none" w:pos="794" w:val="left"/>
        </w:tabs>
        <w:numPr>
          <w:ilvl w:val="1"/>
          <w:numId w:val="5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a Participant’s lifetime, Purchase Rights will be exercisable only by such Participant. Neither Contributions credited to a Participant’s account nor any Purchase Rights may be assigned, transferred, pledged, hypothecated, or otherwise disposed of in any way, except by will, by the laws of descent and distribution, or, if permitted by the Company and valid under Applicable Law, by a beneficiary designation as described in Section 9. Any such attempt at assignment, transfer, pledge, hypothecation, or other disposition will be without effect, except that the Company may treat such act as an election to withdraw funds from an Offering in accordance with Section 7(b).</w:t>
      </w:r>
    </w:p>
    <w:p>
      <w:pPr>
        <w:spacing w:after="0" w:line="120" w:lineRule="exact"/>
        <w:rPr>
          <w:rFonts w:ascii="Times New Roman" w:cs="Times New Roman" w:eastAsia="Times New Roman" w:hAnsi="Times New Roman"/>
          <w:sz w:val="14"/>
          <w:szCs w:val="14"/>
          <w:b w:val="1"/>
          <w:bCs w:val="1"/>
          <w:color w:val="auto"/>
        </w:rPr>
      </w:pPr>
    </w:p>
    <w:p>
      <w:pPr>
        <w:ind w:left="760" w:hanging="294"/>
        <w:spacing w:after="0"/>
        <w:tabs>
          <w:tab w:leader="none" w:pos="760" w:val="left"/>
        </w:tabs>
        <w:numPr>
          <w:ilvl w:val="1"/>
          <w:numId w:val="5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Unless otherwise specified in the Offering or required by Applicable Law, the Company will have no obligation to pay interest on Contributions.</w:t>
      </w:r>
    </w:p>
    <w:p>
      <w:pPr>
        <w:spacing w:after="0" w:line="162" w:lineRule="exact"/>
        <w:rPr>
          <w:rFonts w:ascii="Times New Roman" w:cs="Times New Roman" w:eastAsia="Times New Roman" w:hAnsi="Times New Roman"/>
          <w:sz w:val="14"/>
          <w:szCs w:val="14"/>
          <w:b w:val="1"/>
          <w:bCs w:val="1"/>
          <w:color w:val="auto"/>
        </w:rPr>
      </w:pPr>
    </w:p>
    <w:p>
      <w:pPr>
        <w:ind w:left="260" w:hanging="253"/>
        <w:spacing w:after="0"/>
        <w:tabs>
          <w:tab w:leader="none" w:pos="260" w:val="left"/>
        </w:tabs>
        <w:numPr>
          <w:ilvl w:val="0"/>
          <w:numId w:val="5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EXERCISE OF PURCHASE RIGHTS.</w:t>
      </w:r>
    </w:p>
    <w:p>
      <w:pPr>
        <w:spacing w:after="0" w:line="166" w:lineRule="exact"/>
        <w:rPr>
          <w:rFonts w:ascii="Times New Roman" w:cs="Times New Roman" w:eastAsia="Times New Roman" w:hAnsi="Times New Roman"/>
          <w:sz w:val="14"/>
          <w:szCs w:val="14"/>
          <w:b w:val="1"/>
          <w:bCs w:val="1"/>
          <w:color w:val="auto"/>
        </w:rPr>
      </w:pPr>
    </w:p>
    <w:p>
      <w:pPr>
        <w:ind w:right="20" w:firstLine="466"/>
        <w:spacing w:after="0" w:line="293" w:lineRule="auto"/>
        <w:tabs>
          <w:tab w:leader="none" w:pos="794" w:val="left"/>
        </w:tabs>
        <w:numPr>
          <w:ilvl w:val="1"/>
          <w:numId w:val="5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each Purchase Date, each Participant’s accumulated Contributions will be applied to the purchase of Shares, up to the maximum number of Shares permitted by the Plan and the applicable Offering, at the purchase price specified in the Offering. No fractional Shares will be issued unless specifically provided for in the Offering.</w:t>
      </w:r>
    </w:p>
    <w:p>
      <w:pPr>
        <w:spacing w:after="0" w:line="104" w:lineRule="exact"/>
        <w:rPr>
          <w:rFonts w:ascii="Times New Roman" w:cs="Times New Roman" w:eastAsia="Times New Roman" w:hAnsi="Times New Roman"/>
          <w:sz w:val="14"/>
          <w:szCs w:val="14"/>
          <w:b w:val="1"/>
          <w:bCs w:val="1"/>
          <w:color w:val="auto"/>
        </w:rPr>
      </w:pPr>
    </w:p>
    <w:p>
      <w:pPr>
        <w:jc w:val="both"/>
        <w:ind w:right="20" w:firstLine="466"/>
        <w:spacing w:after="0" w:line="265" w:lineRule="auto"/>
        <w:tabs>
          <w:tab w:leader="none" w:pos="775" w:val="left"/>
        </w:tabs>
        <w:numPr>
          <w:ilvl w:val="1"/>
          <w:numId w:val="5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Unless otherwise provided in the Offering, if any amount of accumulated Contributions remains in a Participant’s account after the purchase of Shares and such remaining amount is less than the amount required to purchase one Share on the final Purchase Date of an Offering, then such remaining amount will be held in such Participant’s account for the purchase of Shares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is at least equal to the amount required to purchase one whole Share on the final Purchase Date of an Offering, then such</w:t>
      </w:r>
    </w:p>
    <w:p>
      <w:pPr>
        <w:sectPr>
          <w:pgSz w:w="11900" w:h="16840" w:orient="portrait"/>
          <w:cols w:equalWidth="0" w:num="1">
            <w:col w:w="10620"/>
          </w:cols>
          <w:pgMar w:left="640" w:top="1440" w:right="640" w:bottom="1440" w:gutter="0" w:footer="0" w:header="0"/>
        </w:sectPr>
      </w:pPr>
    </w:p>
    <w:bookmarkStart w:id="403" w:name="page404"/>
    <w:bookmarkEnd w:id="403"/>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remaining amount will be distributed in full to such Participant after the final Purchase Date of such Offering without interest (unless otherwise required by Applicable Law).</w:t>
      </w:r>
    </w:p>
    <w:p>
      <w:pPr>
        <w:spacing w:after="0" w:line="164" w:lineRule="exact"/>
        <w:rPr>
          <w:sz w:val="20"/>
          <w:szCs w:val="20"/>
          <w:color w:val="auto"/>
        </w:rPr>
      </w:pPr>
    </w:p>
    <w:p>
      <w:pPr>
        <w:jc w:val="both"/>
        <w:ind w:right="20" w:firstLine="466"/>
        <w:spacing w:after="0" w:line="262" w:lineRule="auto"/>
        <w:tabs>
          <w:tab w:leader="none" w:pos="775" w:val="left"/>
        </w:tabs>
        <w:numPr>
          <w:ilvl w:val="1"/>
          <w:numId w:val="5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Purchase Rights may be exercised to any extent unless the issuance of Shares pursuant to that exercise is in compliance with all applicable U.S. and non-U.S. federal, state and other securities, exchange control and other laws applicable to the Plan (including, but not limited to, the Shares being covered by an effective registration statement pursuant to the Securities Act). If on a Purchase Date the issuance of Shares would not be in such compliance, no Purchase Rights will be exercised on such Purchase Date, and, subject to Section 423 of the Code with respect to the 423 Component, the Purchase Date will be delayed until the issuance of Shares would be in compliance, except that the Purchase Date will in no event be more than 27 months from the Offering Date. If, on the Purchase Date, as delayed to the maximum extent permissible, the issuance of Shares is not in compliance with all Applicable Laws, as determined by the Company in its sole discretion, the Purchase Rights will not be exercised and all accumulated but unused Contributions for the applicable Offering will be distributed to the Participants without interest (unless the payment of interest is otherwise required by Applicable Law).</w:t>
      </w:r>
    </w:p>
    <w:p>
      <w:pPr>
        <w:spacing w:after="0" w:line="128" w:lineRule="exact"/>
        <w:rPr>
          <w:rFonts w:ascii="Times New Roman" w:cs="Times New Roman" w:eastAsia="Times New Roman" w:hAnsi="Times New Roman"/>
          <w:sz w:val="14"/>
          <w:szCs w:val="14"/>
          <w:b w:val="1"/>
          <w:bCs w:val="1"/>
          <w:color w:val="auto"/>
        </w:rPr>
      </w:pPr>
    </w:p>
    <w:p>
      <w:pPr>
        <w:jc w:val="both"/>
        <w:ind w:firstLine="466"/>
        <w:spacing w:after="0" w:line="264" w:lineRule="auto"/>
        <w:tabs>
          <w:tab w:leader="none" w:pos="775" w:val="left"/>
        </w:tabs>
        <w:numPr>
          <w:ilvl w:val="1"/>
          <w:numId w:val="5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soon as reasonably practicable after each Purchase Date on which a purchase of Shares occurs, the Company will arrange the delivery to each Participant of the Shares purchased upon exercise of the Participant’s Purchase Right in a form determined by the Board (in its sole discretion) and pursuant to rules established by the Administrator. Shares to be delivered to a Participant under the Plan will be registered in the name of the Participant or, if so required under Applicable Laws, in the name of the Participant and the Participant’s spouse. The Company may permit or require that the Shares be deposited directly with a broker designated by the Company or to a designated agent of the Company, and the Company may utilize electronic or automated methods of share transfer. The Company may require that Shares be retained with the broker or agent for a designated period of time and/or may establish other procedures to permit tracking of disqualifying dispositions of the Shares.</w:t>
      </w:r>
    </w:p>
    <w:p>
      <w:pPr>
        <w:spacing w:after="0" w:line="121" w:lineRule="exact"/>
        <w:rPr>
          <w:rFonts w:ascii="Times New Roman" w:cs="Times New Roman" w:eastAsia="Times New Roman" w:hAnsi="Times New Roman"/>
          <w:sz w:val="14"/>
          <w:szCs w:val="14"/>
          <w:b w:val="1"/>
          <w:bCs w:val="1"/>
          <w:color w:val="auto"/>
        </w:rPr>
      </w:pPr>
    </w:p>
    <w:p>
      <w:pPr>
        <w:ind w:left="260" w:hanging="253"/>
        <w:spacing w:after="0"/>
        <w:tabs>
          <w:tab w:leader="none" w:pos="260" w:val="left"/>
        </w:tabs>
        <w:numPr>
          <w:ilvl w:val="0"/>
          <w:numId w:val="5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DESIGNATION OF BENEFICIARY.</w:t>
      </w:r>
    </w:p>
    <w:p>
      <w:pPr>
        <w:spacing w:after="0" w:line="164" w:lineRule="exact"/>
        <w:rPr>
          <w:sz w:val="20"/>
          <w:szCs w:val="20"/>
          <w:color w:val="auto"/>
        </w:rPr>
      </w:pPr>
    </w:p>
    <w:p>
      <w:pPr>
        <w:jc w:val="both"/>
        <w:ind w:firstLine="466"/>
        <w:spacing w:after="0" w:line="270" w:lineRule="auto"/>
        <w:tabs>
          <w:tab w:leader="none" w:pos="540" w:val="left"/>
        </w:tabs>
        <w:numPr>
          <w:ilvl w:val="0"/>
          <w:numId w:val="50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 ) </w:t>
      </w:r>
      <w:r>
        <w:rPr>
          <w:rFonts w:ascii="Times New Roman" w:cs="Times New Roman" w:eastAsia="Times New Roman" w:hAnsi="Times New Roman"/>
          <w:sz w:val="14"/>
          <w:szCs w:val="14"/>
          <w:color w:val="auto"/>
        </w:rPr>
        <w:t>The Board may, but is not obligated to, permit a Participant to submit a form designating a beneficiary who will receive any Shares and/or Contributions from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Participant’s account under the Plan if the Participant dies before such Shares and/or Contributions are delivered to the Participant. The Board may, but is not obligated to, permit the Participant to change such designation of beneficiary. Any such designation or change must be on a form approved by the Board. If a Participant is married and the designated beneficiary is not the spouse, spousal consent will be required for the designation or change to be effective.</w:t>
      </w:r>
    </w:p>
    <w:p>
      <w:pPr>
        <w:spacing w:after="0" w:line="120" w:lineRule="exact"/>
        <w:rPr>
          <w:sz w:val="20"/>
          <w:szCs w:val="20"/>
          <w:color w:val="auto"/>
        </w:rPr>
      </w:pPr>
    </w:p>
    <w:p>
      <w:pPr>
        <w:jc w:val="both"/>
        <w:ind w:firstLine="466"/>
        <w:spacing w:after="0" w:line="269" w:lineRule="auto"/>
        <w:tabs>
          <w:tab w:leader="none" w:pos="775" w:val="left"/>
        </w:tabs>
        <w:numPr>
          <w:ilvl w:val="0"/>
          <w:numId w:val="5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a Participant dies, and in the absence of a valid beneficiary designation, the Company will deliver any Shares and/or Contributions to the executor or administrator of the estate of the Participant. If no executor or administrator has been appointed (to the knowledge of the Company), the Company, in its sole discretion, may deliver such Shares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ectPr>
          <w:pgSz w:w="11900" w:h="16840" w:orient="portrait"/>
          <w:cols w:equalWidth="0" w:num="1">
            <w:col w:w="10620"/>
          </w:cols>
          <w:pgMar w:left="640" w:top="1440" w:right="640" w:bottom="1440" w:gutter="0" w:footer="0" w:header="0"/>
        </w:sectPr>
      </w:pPr>
    </w:p>
    <w:bookmarkStart w:id="404" w:name="page405"/>
    <w:bookmarkEnd w:id="404"/>
    <w:p>
      <w:pPr>
        <w:spacing w:after="0" w:line="37" w:lineRule="exact"/>
        <w:rPr>
          <w:sz w:val="20"/>
          <w:szCs w:val="20"/>
          <w:color w:val="auto"/>
        </w:rPr>
      </w:pPr>
    </w:p>
    <w:p>
      <w:pPr>
        <w:ind w:left="313" w:hanging="313"/>
        <w:spacing w:after="0"/>
        <w:tabs>
          <w:tab w:leader="none" w:pos="313" w:val="left"/>
        </w:tabs>
        <w:numPr>
          <w:ilvl w:val="0"/>
          <w:numId w:val="5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ADJUSTMENTS UPON CHANGES IN COMMON STOCK; CORPORATE TRANSACTIONS.</w:t>
      </w:r>
    </w:p>
    <w:p>
      <w:pPr>
        <w:spacing w:after="0" w:line="166" w:lineRule="exact"/>
        <w:rPr>
          <w:rFonts w:ascii="Times New Roman" w:cs="Times New Roman" w:eastAsia="Times New Roman" w:hAnsi="Times New Roman"/>
          <w:sz w:val="14"/>
          <w:szCs w:val="14"/>
          <w:b w:val="1"/>
          <w:bCs w:val="1"/>
          <w:color w:val="auto"/>
        </w:rPr>
      </w:pPr>
    </w:p>
    <w:p>
      <w:pPr>
        <w:jc w:val="both"/>
        <w:ind w:left="-7" w:firstLine="466"/>
        <w:spacing w:after="0" w:line="269" w:lineRule="auto"/>
        <w:tabs>
          <w:tab w:leader="none" w:pos="759" w:val="left"/>
        </w:tabs>
        <w:numPr>
          <w:ilvl w:val="1"/>
          <w:numId w:val="5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20" w:lineRule="exact"/>
        <w:rPr>
          <w:rFonts w:ascii="Times New Roman" w:cs="Times New Roman" w:eastAsia="Times New Roman" w:hAnsi="Times New Roman"/>
          <w:sz w:val="14"/>
          <w:szCs w:val="14"/>
          <w:b w:val="1"/>
          <w:bCs w:val="1"/>
          <w:color w:val="auto"/>
        </w:rPr>
      </w:pPr>
    </w:p>
    <w:p>
      <w:pPr>
        <w:jc w:val="both"/>
        <w:ind w:left="-7" w:right="20" w:firstLine="466"/>
        <w:spacing w:after="0" w:line="275" w:lineRule="auto"/>
        <w:tabs>
          <w:tab w:leader="none" w:pos="788" w:val="left"/>
        </w:tabs>
        <w:numPr>
          <w:ilvl w:val="1"/>
          <w:numId w:val="5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the event of the proposed dissolution or liquidation of the Company, any Offering then in progress will be shortened by setting a Purchase Date (which will be before the date of the Company’s proposed dissolution or liquidation) and will terminate immediately prior to the consummation of the proposed dissolution or liquidation, unless provided otherwise by the Board. Prior to the new Purchase Date, the Board will provide written or electronic notice of the new Purchase Date to each Participant in the Offering.</w:t>
      </w:r>
    </w:p>
    <w:p>
      <w:pPr>
        <w:spacing w:after="0" w:line="114" w:lineRule="exact"/>
        <w:rPr>
          <w:sz w:val="20"/>
          <w:szCs w:val="20"/>
          <w:color w:val="auto"/>
        </w:rPr>
      </w:pPr>
    </w:p>
    <w:p>
      <w:pPr>
        <w:jc w:val="both"/>
        <w:ind w:left="-7" w:firstLine="466"/>
        <w:spacing w:after="0" w:line="265" w:lineRule="auto"/>
        <w:tabs>
          <w:tab w:leader="none" w:pos="519" w:val="left"/>
        </w:tabs>
        <w:numPr>
          <w:ilvl w:val="1"/>
          <w:numId w:val="5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 ) </w:t>
      </w:r>
      <w:r>
        <w:rPr>
          <w:rFonts w:ascii="Times New Roman" w:cs="Times New Roman" w:eastAsia="Times New Roman" w:hAnsi="Times New Roman"/>
          <w:sz w:val="14"/>
          <w:szCs w:val="14"/>
          <w:color w:val="auto"/>
        </w:rPr>
        <w:t>In the event of a Corporate Transaction, then: (i) any surviving corporation or acquiring corporation (or the surviving or acquiring corporation’s parent company)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(rounded down to the nearest whole Share) within ten business days (or such other period specified by the Board) prior to the Corporate Transaction under the outstanding Purchase Rights, and the Purchase Rights will terminate immediately after such purchase.</w:t>
      </w:r>
    </w:p>
    <w:p>
      <w:pPr>
        <w:spacing w:after="0" w:line="297" w:lineRule="exact"/>
        <w:rPr>
          <w:rFonts w:ascii="Times New Roman" w:cs="Times New Roman" w:eastAsia="Times New Roman" w:hAnsi="Times New Roman"/>
          <w:sz w:val="14"/>
          <w:szCs w:val="14"/>
          <w:b w:val="1"/>
          <w:bCs w:val="1"/>
          <w:color w:val="auto"/>
        </w:rPr>
      </w:pPr>
    </w:p>
    <w:p>
      <w:pPr>
        <w:ind w:left="313" w:hanging="313"/>
        <w:spacing w:after="0"/>
        <w:tabs>
          <w:tab w:leader="none" w:pos="313" w:val="left"/>
        </w:tabs>
        <w:numPr>
          <w:ilvl w:val="0"/>
          <w:numId w:val="5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AMENDMENT, TERMINATION, OR SUSPENSION OF THE PLAN.</w:t>
      </w:r>
    </w:p>
    <w:p>
      <w:pPr>
        <w:spacing w:after="0" w:line="138" w:lineRule="exact"/>
        <w:rPr>
          <w:sz w:val="20"/>
          <w:szCs w:val="20"/>
          <w:color w:val="auto"/>
        </w:rPr>
      </w:pPr>
    </w:p>
    <w:p>
      <w:pPr>
        <w:jc w:val="both"/>
        <w:ind w:left="-7" w:right="20" w:firstLine="466"/>
        <w:spacing w:after="0" w:line="261" w:lineRule="auto"/>
        <w:tabs>
          <w:tab w:leader="none" w:pos="759" w:val="left"/>
        </w:tabs>
        <w:numPr>
          <w:ilvl w:val="0"/>
          <w:numId w:val="5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Board may amend the Plan at any time in any respect the Board deems necessary or advisable. However, except as provided in Section 10(a) relating to Capitalization Adjustments, stockholder approval will be required for any amendment of the Plan for which stockholder approval is required by Applicable Law. Notwithstanding anything in the Plan or any Offering Document to the contrary, the Board will be entitled to: (i) change the Offerings or Purchase Periods; (ii) designate separate Offerings; (iii) limit the frequency and/or number of changes in the amount withheld during an Offering; (iv) establish the exchange rate applicable to amounts withheld in a currency other than U.S. dollars; (v) permit Contributions in excess of the amount designated by a Participant in order to adjust for mistakes in the Company’s processing of properly completed Contribution elections; (vi) establish reasonable waiting and adjustment periods and/or accounting and crediting procedures to ensure that amounts applied toward the purchase of Shares for each Participant properly correspond with amounts withheld from the Participant’s Contributions; (vii) amend any outstanding Purchase Rights or clarify any ambiguities regarding the terms of any Offering to enable the Purchase Rights to qualify under and/or comply with Section 423 of the Code with respect to the 423 Component; and (viii) establish other limitations or procedures as the Board determines in its sole discretion advisable that are consistent with the Plan.</w:t>
      </w:r>
    </w:p>
    <w:p>
      <w:pPr>
        <w:spacing w:after="0" w:line="127" w:lineRule="exact"/>
        <w:rPr>
          <w:rFonts w:ascii="Times New Roman" w:cs="Times New Roman" w:eastAsia="Times New Roman" w:hAnsi="Times New Roman"/>
          <w:sz w:val="14"/>
          <w:szCs w:val="14"/>
          <w:b w:val="1"/>
          <w:bCs w:val="1"/>
          <w:color w:val="auto"/>
        </w:rPr>
      </w:pPr>
    </w:p>
    <w:p>
      <w:pPr>
        <w:ind w:left="-7" w:right="20" w:firstLine="466"/>
        <w:spacing w:after="0" w:line="293" w:lineRule="auto"/>
        <w:tabs>
          <w:tab w:leader="none" w:pos="788" w:val="left"/>
        </w:tabs>
        <w:numPr>
          <w:ilvl w:val="0"/>
          <w:numId w:val="5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Board may suspend or terminate the Plan at any time. No Purchase Rights may be granted under the Plan while the Plan is suspended or after it is terminated. If the Plan is terminated, the</w:t>
      </w:r>
    </w:p>
    <w:p>
      <w:pPr>
        <w:sectPr>
          <w:pgSz w:w="11900" w:h="16840" w:orient="portrait"/>
          <w:cols w:equalWidth="0" w:num="1">
            <w:col w:w="10613"/>
          </w:cols>
          <w:pgMar w:left="647" w:top="1440" w:right="640" w:bottom="1440" w:gutter="0" w:footer="0" w:header="0"/>
        </w:sectPr>
      </w:pPr>
    </w:p>
    <w:bookmarkStart w:id="405" w:name="page406"/>
    <w:bookmarkEnd w:id="405"/>
    <w:p>
      <w:pPr>
        <w:spacing w:after="0" w:line="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Administrator, in its discretion, may elect to terminate all outstanding Offerings either immediately or upon completion of the purchase of Shares on the next Exercise Date (which may be sooner than originally scheduled, if determined by the Administrator in its discretion), or may elect to permit Offerings to expire in accordance with their terms (and subject to any adjustment pursuant to Section 19). If the Offerings are terminated prior to expiration, all amounts then credited to Participants’ accounts that have not been used to purchase Shares will be returned to the Participants (without interest thereon, except as otherwise required under Applicable Laws, as further set forth in Section 12 hereof) as soon as administratively practicable.</w:t>
      </w:r>
    </w:p>
    <w:p>
      <w:pPr>
        <w:spacing w:after="0" w:line="296" w:lineRule="exact"/>
        <w:rPr>
          <w:sz w:val="20"/>
          <w:szCs w:val="20"/>
          <w:color w:val="auto"/>
        </w:rPr>
      </w:pPr>
    </w:p>
    <w:p>
      <w:pPr>
        <w:ind w:left="320" w:hanging="313"/>
        <w:spacing w:after="0"/>
        <w:tabs>
          <w:tab w:leader="none" w:pos="320" w:val="left"/>
        </w:tabs>
        <w:numPr>
          <w:ilvl w:val="0"/>
          <w:numId w:val="5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TAX QUALIFICATION; TAX WITHHOLDING.</w:t>
      </w:r>
    </w:p>
    <w:p>
      <w:pPr>
        <w:spacing w:after="0" w:line="166" w:lineRule="exact"/>
        <w:rPr>
          <w:rFonts w:ascii="Times New Roman" w:cs="Times New Roman" w:eastAsia="Times New Roman" w:hAnsi="Times New Roman"/>
          <w:sz w:val="14"/>
          <w:szCs w:val="14"/>
          <w:b w:val="1"/>
          <w:bCs w:val="1"/>
          <w:color w:val="auto"/>
        </w:rPr>
      </w:pPr>
    </w:p>
    <w:p>
      <w:pPr>
        <w:jc w:val="both"/>
        <w:ind w:firstLine="466"/>
        <w:spacing w:after="0" w:line="272" w:lineRule="auto"/>
        <w:tabs>
          <w:tab w:leader="none" w:pos="794" w:val="left"/>
        </w:tabs>
        <w:numPr>
          <w:ilvl w:val="1"/>
          <w:numId w:val="5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293" w:lineRule="exact"/>
        <w:rPr>
          <w:sz w:val="20"/>
          <w:szCs w:val="20"/>
          <w:color w:val="auto"/>
        </w:rPr>
      </w:pPr>
    </w:p>
    <w:p>
      <w:pPr>
        <w:jc w:val="both"/>
        <w:ind w:right="20" w:firstLine="466"/>
        <w:spacing w:after="0" w:line="264" w:lineRule="auto"/>
        <w:tabs>
          <w:tab w:leader="none" w:pos="560" w:val="left"/>
        </w:tabs>
        <w:numPr>
          <w:ilvl w:val="0"/>
          <w:numId w:val="5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 ) </w:t>
      </w:r>
      <w:r>
        <w:rPr>
          <w:rFonts w:ascii="Times New Roman" w:cs="Times New Roman" w:eastAsia="Times New Roman" w:hAnsi="Times New Roman"/>
          <w:sz w:val="14"/>
          <w:szCs w:val="14"/>
          <w:color w:val="auto"/>
        </w:rPr>
        <w:t>Each Participant will make arrangements, satisfactory to the Company and any applicable Related Corporation or Affiliate, to enable the Company, the Related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 or the Affiliate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compensation due to the Participant from the Company, a Related Corporation or an Affiliate; (ii) withholding from the proceeds of the sale of Shares acquired under the Plan, either through a voluntary sale or a mandatory sale arranged by the Company; or (iii) any other method that is deemed acceptable by the Board and, with respect to the 423 Component, permitted by U.S. Treasury Regulation Section 1.423-2(f). The Company will not be required to issue any Shares under the Plan until such obligations are satisfied.</w:t>
      </w:r>
    </w:p>
    <w:p>
      <w:pPr>
        <w:spacing w:after="0" w:line="126" w:lineRule="exact"/>
        <w:rPr>
          <w:sz w:val="20"/>
          <w:szCs w:val="20"/>
          <w:color w:val="auto"/>
        </w:rPr>
      </w:pPr>
    </w:p>
    <w:p>
      <w:pPr>
        <w:jc w:val="both"/>
        <w:ind w:firstLine="466"/>
        <w:spacing w:after="0" w:line="262" w:lineRule="auto"/>
        <w:tabs>
          <w:tab w:leader="none" w:pos="785" w:val="left"/>
        </w:tabs>
        <w:numPr>
          <w:ilvl w:val="1"/>
          <w:numId w:val="5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423 Component is intended to be exempt from the application of Section 409A of the Code (or to the extent not exempt, to comply with Section 409A of the Code), and any ambiguities herein will be interpreted according to that intent. In furtherance of the foregoing and notwithstanding any provision in the Plan to the contrary, if the Board determines that a Purchase Right granted under the Plan may be subject to Section 409A of the Code or that any provision in the Plan would cause a Purchase Right under the Plan to be subject to Section 409A, the Board may amend the terms of the Plan and/or of an outstanding Purchase Right granted under the Plan, or take such other action the Board determines is necessary or appropriate, in each case, without the Participant’s consent, to exempt any outstanding Purchase Right or future Purchase Right that may be granted under the Plan from or to allow any such Purchase Right to comply with Section 409A of the Code, but only to the extent any such amendments or action by the Board would not violate Section 409A of the Code. Notwithstanding the foregoing, the Company will have no liability to a Participant or any other party if the Purchase Right under the Plan that is intended to be exempt from or compliant with Section 409A of the Code is not so exempt or compliant or for any action taken by the Board with respect thereto.</w:t>
      </w:r>
    </w:p>
    <w:p>
      <w:pPr>
        <w:spacing w:after="0" w:line="123" w:lineRule="exact"/>
        <w:rPr>
          <w:rFonts w:ascii="Times New Roman" w:cs="Times New Roman" w:eastAsia="Times New Roman" w:hAnsi="Times New Roman"/>
          <w:sz w:val="14"/>
          <w:szCs w:val="14"/>
          <w:b w:val="1"/>
          <w:bCs w:val="1"/>
          <w:color w:val="auto"/>
        </w:rPr>
      </w:pPr>
    </w:p>
    <w:p>
      <w:pPr>
        <w:ind w:left="320" w:hanging="313"/>
        <w:spacing w:after="0"/>
        <w:tabs>
          <w:tab w:leader="none" w:pos="320" w:val="left"/>
        </w:tabs>
        <w:numPr>
          <w:ilvl w:val="0"/>
          <w:numId w:val="5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EFFECTIVE DATE AND TERM OF PLAN.</w:t>
      </w:r>
    </w:p>
    <w:p>
      <w:pPr>
        <w:spacing w:after="0" w:line="166" w:lineRule="exact"/>
        <w:rPr>
          <w:sz w:val="20"/>
          <w:szCs w:val="20"/>
          <w:color w:val="auto"/>
        </w:rPr>
      </w:pPr>
    </w:p>
    <w:p>
      <w:pPr>
        <w:ind w:firstLine="459"/>
        <w:spacing w:after="0" w:line="293" w:lineRule="auto"/>
        <w:rPr>
          <w:sz w:val="20"/>
          <w:szCs w:val="20"/>
          <w:color w:val="auto"/>
        </w:rPr>
      </w:pPr>
      <w:r>
        <w:rPr>
          <w:rFonts w:ascii="Times New Roman" w:cs="Times New Roman" w:eastAsia="Times New Roman" w:hAnsi="Times New Roman"/>
          <w:sz w:val="14"/>
          <w:szCs w:val="14"/>
          <w:color w:val="auto"/>
        </w:rPr>
        <w:t>The Plan will become effective immediately prior to and contingent upon the IPO Date. No Purchase Rights will be exercised unless and until the Plan has been approved by the stockholders of the Company, which approval must be within 12 months before or after the date the Plan is adopted (or if</w:t>
      </w:r>
    </w:p>
    <w:p>
      <w:pPr>
        <w:sectPr>
          <w:pgSz w:w="11900" w:h="16840" w:orient="portrait"/>
          <w:cols w:equalWidth="0" w:num="1">
            <w:col w:w="10620"/>
          </w:cols>
          <w:pgMar w:left="640" w:top="1440" w:right="640" w:bottom="1440" w:gutter="0" w:footer="0" w:header="0"/>
        </w:sectPr>
      </w:pPr>
    </w:p>
    <w:bookmarkStart w:id="406" w:name="page407"/>
    <w:bookmarkEnd w:id="406"/>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required under Section 11(a) above, materially amended) by the Board. The Plan will continue in effect until terminated under Section 11.</w:t>
      </w:r>
    </w:p>
    <w:p>
      <w:pPr>
        <w:spacing w:after="0" w:line="162" w:lineRule="exact"/>
        <w:rPr>
          <w:sz w:val="20"/>
          <w:szCs w:val="20"/>
          <w:color w:val="auto"/>
        </w:rPr>
      </w:pPr>
    </w:p>
    <w:p>
      <w:pPr>
        <w:ind w:left="320" w:hanging="313"/>
        <w:spacing w:after="0"/>
        <w:tabs>
          <w:tab w:leader="none" w:pos="320" w:val="left"/>
        </w:tabs>
        <w:numPr>
          <w:ilvl w:val="0"/>
          <w:numId w:val="5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MISCELLANEOUS PROVISIONS.</w:t>
      </w:r>
    </w:p>
    <w:p>
      <w:pPr>
        <w:spacing w:after="0" w:line="164" w:lineRule="exact"/>
        <w:rPr>
          <w:sz w:val="20"/>
          <w:szCs w:val="20"/>
          <w:color w:val="auto"/>
        </w:rPr>
      </w:pPr>
    </w:p>
    <w:p>
      <w:pPr>
        <w:jc w:val="both"/>
        <w:ind w:firstLine="466"/>
        <w:spacing w:after="0" w:line="266" w:lineRule="auto"/>
        <w:tabs>
          <w:tab w:leader="none" w:pos="540" w:val="left"/>
        </w:tabs>
        <w:numPr>
          <w:ilvl w:val="0"/>
          <w:numId w:val="5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 ) </w:t>
      </w:r>
      <w:r>
        <w:rPr>
          <w:rFonts w:ascii="Times New Roman" w:cs="Times New Roman" w:eastAsia="Times New Roman" w:hAnsi="Times New Roman"/>
          <w:sz w:val="14"/>
          <w:szCs w:val="14"/>
          <w:color w:val="auto"/>
        </w:rPr>
        <w:t>The Company may use all Contributions received or held by it under the Plan for any corporate purpose, and the Company will not be obligated to segregate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Contributions except under Offerings or for Participants in the Non-423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 Section 1.423-2(f). Until Shares are issued, Participants will have only the rights of an unsecured creditor with respect to such Shares.</w:t>
      </w:r>
    </w:p>
    <w:p>
      <w:pPr>
        <w:spacing w:after="0" w:line="122" w:lineRule="exact"/>
        <w:rPr>
          <w:sz w:val="20"/>
          <w:szCs w:val="20"/>
          <w:color w:val="auto"/>
        </w:rPr>
      </w:pPr>
    </w:p>
    <w:p>
      <w:pPr>
        <w:ind w:right="20" w:firstLine="466"/>
        <w:spacing w:after="0" w:line="296" w:lineRule="auto"/>
        <w:tabs>
          <w:tab w:leader="none" w:pos="536" w:val="left"/>
        </w:tabs>
        <w:numPr>
          <w:ilvl w:val="0"/>
          <w:numId w:val="5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 ) </w:t>
      </w:r>
      <w:r>
        <w:rPr>
          <w:rFonts w:ascii="Times New Roman" w:cs="Times New Roman" w:eastAsia="Times New Roman" w:hAnsi="Times New Roman"/>
          <w:sz w:val="14"/>
          <w:szCs w:val="14"/>
          <w:color w:val="auto"/>
        </w:rPr>
        <w:t>A Participant will not be deemed to be the holder of, or to have any of the rights of a holder with respect to, Shares subject to Purchase Rights unless and until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Participant’s Shares acquired upon exercise of Purchase Rights are recorded in the books of the Company (or its transfer agent).</w:t>
      </w:r>
    </w:p>
    <w:p>
      <w:pPr>
        <w:spacing w:after="0" w:line="100" w:lineRule="exact"/>
        <w:rPr>
          <w:sz w:val="20"/>
          <w:szCs w:val="20"/>
          <w:color w:val="auto"/>
        </w:rPr>
      </w:pPr>
    </w:p>
    <w:p>
      <w:pPr>
        <w:jc w:val="both"/>
        <w:ind w:right="20" w:firstLine="466"/>
        <w:spacing w:after="0" w:line="273" w:lineRule="auto"/>
        <w:tabs>
          <w:tab w:leader="none" w:pos="545" w:val="left"/>
        </w:tabs>
        <w:numPr>
          <w:ilvl w:val="0"/>
          <w:numId w:val="5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 ) </w:t>
      </w:r>
      <w:r>
        <w:rPr>
          <w:rFonts w:ascii="Times New Roman" w:cs="Times New Roman" w:eastAsia="Times New Roman" w:hAnsi="Times New Roman"/>
          <w:sz w:val="14"/>
          <w:szCs w:val="14"/>
          <w:color w:val="auto"/>
        </w:rPr>
        <w:t>The Plan and Offering do not constitute an employment contract. Nothing in the Plan or in the Offering will in any way alter the at will nature of a Participant’s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employment or amend a Participant’s employment or service contract, as applicable, or be deemed to create in any way whatsoever any obligation on the part of any Participant to continue in the employ or service of the Company, a Related Corporation or an Affiliate, or on the part of the Company, a Related Corporation or an Affiliate to continue the employment or service of a Participant.</w:t>
      </w:r>
    </w:p>
    <w:p>
      <w:pPr>
        <w:spacing w:after="0" w:line="295" w:lineRule="exact"/>
        <w:rPr>
          <w:sz w:val="20"/>
          <w:szCs w:val="20"/>
          <w:color w:val="auto"/>
        </w:rPr>
      </w:pPr>
    </w:p>
    <w:p>
      <w:pPr>
        <w:ind w:left="780" w:hanging="314"/>
        <w:spacing w:after="0"/>
        <w:tabs>
          <w:tab w:leader="none" w:pos="780" w:val="left"/>
        </w:tabs>
        <w:numPr>
          <w:ilvl w:val="0"/>
          <w:numId w:val="5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provisions of the Plan will be governed by the laws of the State of Delaware without resort to that state’s conflict of laws rules.</w:t>
      </w:r>
    </w:p>
    <w:p>
      <w:pPr>
        <w:spacing w:after="0" w:line="164" w:lineRule="exact"/>
        <w:rPr>
          <w:rFonts w:ascii="Times New Roman" w:cs="Times New Roman" w:eastAsia="Times New Roman" w:hAnsi="Times New Roman"/>
          <w:sz w:val="14"/>
          <w:szCs w:val="14"/>
          <w:b w:val="1"/>
          <w:bCs w:val="1"/>
          <w:color w:val="auto"/>
        </w:rPr>
      </w:pPr>
    </w:p>
    <w:p>
      <w:pPr>
        <w:ind w:firstLine="466"/>
        <w:spacing w:after="0" w:line="293" w:lineRule="auto"/>
        <w:tabs>
          <w:tab w:leader="none" w:pos="765" w:val="left"/>
        </w:tabs>
        <w:numPr>
          <w:ilvl w:val="0"/>
          <w:numId w:val="5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104" w:lineRule="exact"/>
        <w:rPr>
          <w:rFonts w:ascii="Times New Roman" w:cs="Times New Roman" w:eastAsia="Times New Roman" w:hAnsi="Times New Roman"/>
          <w:sz w:val="14"/>
          <w:szCs w:val="14"/>
          <w:b w:val="1"/>
          <w:bCs w:val="1"/>
          <w:color w:val="auto"/>
        </w:rPr>
      </w:pPr>
    </w:p>
    <w:p>
      <w:pPr>
        <w:ind w:left="760" w:hanging="294"/>
        <w:spacing w:after="0"/>
        <w:tabs>
          <w:tab w:leader="none" w:pos="760" w:val="left"/>
        </w:tabs>
        <w:numPr>
          <w:ilvl w:val="0"/>
          <w:numId w:val="5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any provision of the Plan does not comply with Applicable Law, such provision will be construed in such a manner as to comply with Applicable Law.</w:t>
      </w:r>
    </w:p>
    <w:p>
      <w:pPr>
        <w:spacing w:after="0" w:line="164" w:lineRule="exact"/>
        <w:rPr>
          <w:rFonts w:ascii="Times New Roman" w:cs="Times New Roman" w:eastAsia="Times New Roman" w:hAnsi="Times New Roman"/>
          <w:sz w:val="14"/>
          <w:szCs w:val="14"/>
          <w:b w:val="1"/>
          <w:bCs w:val="1"/>
          <w:color w:val="auto"/>
        </w:rPr>
      </w:pPr>
    </w:p>
    <w:p>
      <w:pPr>
        <w:ind w:right="20" w:firstLine="466"/>
        <w:spacing w:after="0" w:line="293" w:lineRule="auto"/>
        <w:tabs>
          <w:tab w:leader="none" w:pos="765" w:val="left"/>
        </w:tabs>
        <w:numPr>
          <w:ilvl w:val="0"/>
          <w:numId w:val="5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Individual accounts will be maintained for each Participant in the Plan. Statements of account will be given to Participants at least annually, which statements will set forth the amounts of Contributions, the purchase price, the number of Shares purchased and the remaining cash balance, if any.</w:t>
      </w:r>
    </w:p>
    <w:p>
      <w:pPr>
        <w:spacing w:after="0" w:line="102" w:lineRule="exact"/>
        <w:rPr>
          <w:sz w:val="20"/>
          <w:szCs w:val="20"/>
          <w:color w:val="auto"/>
        </w:rPr>
      </w:pPr>
    </w:p>
    <w:p>
      <w:pPr>
        <w:ind w:left="320" w:hanging="313"/>
        <w:spacing w:after="0"/>
        <w:tabs>
          <w:tab w:leader="none" w:pos="320" w:val="left"/>
        </w:tabs>
        <w:numPr>
          <w:ilvl w:val="0"/>
          <w:numId w:val="5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DEFINITIONS.</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 used in the Plan, the following definitions will apply to the capitalized terms indicated below:</w:t>
      </w:r>
    </w:p>
    <w:p>
      <w:pPr>
        <w:spacing w:after="0" w:line="160" w:lineRule="exact"/>
        <w:rPr>
          <w:sz w:val="20"/>
          <w:szCs w:val="20"/>
          <w:color w:val="auto"/>
        </w:rPr>
      </w:pPr>
    </w:p>
    <w:p>
      <w:pPr>
        <w:ind w:right="20" w:firstLine="466"/>
        <w:spacing w:after="0" w:line="299" w:lineRule="auto"/>
        <w:tabs>
          <w:tab w:leader="none" w:pos="775" w:val="left"/>
        </w:tabs>
        <w:numPr>
          <w:ilvl w:val="0"/>
          <w:numId w:val="5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423 Component</w:t>
      </w:r>
      <w:r>
        <w:rPr>
          <w:rFonts w:ascii="Times New Roman" w:cs="Times New Roman" w:eastAsia="Times New Roman" w:hAnsi="Times New Roman"/>
          <w:sz w:val="14"/>
          <w:szCs w:val="14"/>
          <w:color w:val="auto"/>
        </w:rPr>
        <w:t>” means the part of the Plan, which excludes the Non-423 Component, pursuant to which Purchase Rights that satisfy the requirements for an Employee Stock Purchase Plan may be granted to Eligible Employees.</w:t>
      </w:r>
    </w:p>
    <w:p>
      <w:pPr>
        <w:sectPr>
          <w:pgSz w:w="11900" w:h="16840" w:orient="portrait"/>
          <w:cols w:equalWidth="0" w:num="1">
            <w:col w:w="10620"/>
          </w:cols>
          <w:pgMar w:left="640" w:top="1440" w:right="640" w:bottom="1440" w:gutter="0" w:footer="0" w:header="0"/>
        </w:sectPr>
      </w:pPr>
    </w:p>
    <w:bookmarkStart w:id="407" w:name="page408"/>
    <w:bookmarkEnd w:id="407"/>
    <w:p>
      <w:pPr>
        <w:spacing w:after="0" w:line="35" w:lineRule="exact"/>
        <w:rPr>
          <w:sz w:val="20"/>
          <w:szCs w:val="20"/>
          <w:color w:val="auto"/>
        </w:rPr>
      </w:pPr>
    </w:p>
    <w:p>
      <w:pPr>
        <w:jc w:val="both"/>
        <w:ind w:left="-466" w:right="20" w:firstLine="466"/>
        <w:spacing w:after="0" w:line="278" w:lineRule="auto"/>
        <w:tabs>
          <w:tab w:leader="none" w:pos="319" w:val="left"/>
        </w:tabs>
        <w:numPr>
          <w:ilvl w:val="0"/>
          <w:numId w:val="5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Affiliate</w:t>
      </w:r>
      <w:r>
        <w:rPr>
          <w:rFonts w:ascii="Times New Roman" w:cs="Times New Roman" w:eastAsia="Times New Roman" w:hAnsi="Times New Roman"/>
          <w:sz w:val="14"/>
          <w:szCs w:val="14"/>
          <w:color w:val="auto"/>
        </w:rPr>
        <w:t>”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w:t>
      </w:r>
    </w:p>
    <w:p>
      <w:pPr>
        <w:spacing w:after="0" w:line="110" w:lineRule="exact"/>
        <w:rPr>
          <w:rFonts w:ascii="Times New Roman" w:cs="Times New Roman" w:eastAsia="Times New Roman" w:hAnsi="Times New Roman"/>
          <w:sz w:val="14"/>
          <w:szCs w:val="14"/>
          <w:b w:val="1"/>
          <w:bCs w:val="1"/>
          <w:color w:val="auto"/>
        </w:rPr>
      </w:pPr>
    </w:p>
    <w:p>
      <w:pPr>
        <w:jc w:val="both"/>
        <w:ind w:left="-466" w:right="20" w:firstLine="466"/>
        <w:spacing w:after="0" w:line="271" w:lineRule="auto"/>
        <w:tabs>
          <w:tab w:leader="none" w:pos="309" w:val="left"/>
        </w:tabs>
        <w:numPr>
          <w:ilvl w:val="0"/>
          <w:numId w:val="5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Applicable Law</w:t>
      </w:r>
      <w:r>
        <w:rPr>
          <w:rFonts w:ascii="Times New Roman" w:cs="Times New Roman" w:eastAsia="Times New Roman" w:hAnsi="Times New Roman"/>
          <w:sz w:val="14"/>
          <w:szCs w:val="14"/>
          <w:color w:val="auto"/>
        </w:rPr>
        <w:t>”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w:t>
      </w:r>
    </w:p>
    <w:p>
      <w:pPr>
        <w:spacing w:after="0" w:line="114" w:lineRule="exact"/>
        <w:rPr>
          <w:rFonts w:ascii="Times New Roman" w:cs="Times New Roman" w:eastAsia="Times New Roman" w:hAnsi="Times New Roman"/>
          <w:sz w:val="14"/>
          <w:szCs w:val="14"/>
          <w:b w:val="1"/>
          <w:bCs w:val="1"/>
          <w:color w:val="auto"/>
        </w:rPr>
      </w:pPr>
    </w:p>
    <w:p>
      <w:pPr>
        <w:ind w:left="314" w:hanging="314"/>
        <w:spacing w:after="0"/>
        <w:tabs>
          <w:tab w:leader="none" w:pos="314" w:val="left"/>
        </w:tabs>
        <w:numPr>
          <w:ilvl w:val="0"/>
          <w:numId w:val="5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 means the Board of Directors of the Company.</w:t>
      </w:r>
    </w:p>
    <w:p>
      <w:pPr>
        <w:spacing w:after="0" w:line="164" w:lineRule="exact"/>
        <w:rPr>
          <w:rFonts w:ascii="Times New Roman" w:cs="Times New Roman" w:eastAsia="Times New Roman" w:hAnsi="Times New Roman"/>
          <w:sz w:val="14"/>
          <w:szCs w:val="14"/>
          <w:b w:val="1"/>
          <w:bCs w:val="1"/>
          <w:color w:val="auto"/>
        </w:rPr>
      </w:pPr>
    </w:p>
    <w:p>
      <w:pPr>
        <w:ind w:left="314" w:hanging="314"/>
        <w:spacing w:after="0"/>
        <w:tabs>
          <w:tab w:leader="none" w:pos="314" w:val="left"/>
        </w:tabs>
        <w:numPr>
          <w:ilvl w:val="0"/>
          <w:numId w:val="5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Capital Stock</w:t>
      </w:r>
      <w:r>
        <w:rPr>
          <w:rFonts w:ascii="Times New Roman" w:cs="Times New Roman" w:eastAsia="Times New Roman" w:hAnsi="Times New Roman"/>
          <w:sz w:val="14"/>
          <w:szCs w:val="14"/>
          <w:color w:val="auto"/>
        </w:rPr>
        <w:t>” means each and every class of common stock of the Company, regardless of the number of votes per share.</w:t>
      </w:r>
    </w:p>
    <w:p>
      <w:pPr>
        <w:spacing w:after="0" w:line="164" w:lineRule="exact"/>
        <w:rPr>
          <w:rFonts w:ascii="Times New Roman" w:cs="Times New Roman" w:eastAsia="Times New Roman" w:hAnsi="Times New Roman"/>
          <w:sz w:val="14"/>
          <w:szCs w:val="14"/>
          <w:b w:val="1"/>
          <w:bCs w:val="1"/>
          <w:color w:val="auto"/>
        </w:rPr>
      </w:pPr>
    </w:p>
    <w:p>
      <w:pPr>
        <w:jc w:val="both"/>
        <w:ind w:left="-466" w:firstLine="466"/>
        <w:spacing w:after="0" w:line="267" w:lineRule="auto"/>
        <w:tabs>
          <w:tab w:leader="none" w:pos="280" w:val="left"/>
        </w:tabs>
        <w:numPr>
          <w:ilvl w:val="0"/>
          <w:numId w:val="5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Capitalization Adjustment</w:t>
      </w:r>
      <w:r>
        <w:rPr>
          <w:rFonts w:ascii="Times New Roman" w:cs="Times New Roman" w:eastAsia="Times New Roman" w:hAnsi="Times New Roman"/>
          <w:sz w:val="14"/>
          <w:szCs w:val="14"/>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18" w:lineRule="exact"/>
        <w:rPr>
          <w:rFonts w:ascii="Times New Roman" w:cs="Times New Roman" w:eastAsia="Times New Roman" w:hAnsi="Times New Roman"/>
          <w:sz w:val="14"/>
          <w:szCs w:val="14"/>
          <w:b w:val="1"/>
          <w:bCs w:val="1"/>
          <w:color w:val="auto"/>
        </w:rPr>
      </w:pPr>
    </w:p>
    <w:p>
      <w:pPr>
        <w:ind w:left="314" w:hanging="314"/>
        <w:spacing w:after="0"/>
        <w:tabs>
          <w:tab w:leader="none" w:pos="314" w:val="left"/>
        </w:tabs>
        <w:numPr>
          <w:ilvl w:val="0"/>
          <w:numId w:val="5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Code</w:t>
      </w:r>
      <w:r>
        <w:rPr>
          <w:rFonts w:ascii="Times New Roman" w:cs="Times New Roman" w:eastAsia="Times New Roman" w:hAnsi="Times New Roman"/>
          <w:sz w:val="14"/>
          <w:szCs w:val="14"/>
          <w:color w:val="auto"/>
        </w:rPr>
        <w:t>” means the U.S. Internal Revenue Code of 1986, as amended, including any applicable regulations and guidance thereunder.</w:t>
      </w:r>
    </w:p>
    <w:p>
      <w:pPr>
        <w:spacing w:after="0" w:line="164" w:lineRule="exact"/>
        <w:rPr>
          <w:rFonts w:ascii="Times New Roman" w:cs="Times New Roman" w:eastAsia="Times New Roman" w:hAnsi="Times New Roman"/>
          <w:sz w:val="14"/>
          <w:szCs w:val="14"/>
          <w:b w:val="1"/>
          <w:bCs w:val="1"/>
          <w:color w:val="auto"/>
        </w:rPr>
      </w:pPr>
    </w:p>
    <w:p>
      <w:pPr>
        <w:ind w:left="314" w:hanging="314"/>
        <w:spacing w:after="0"/>
        <w:tabs>
          <w:tab w:leader="none" w:pos="314" w:val="left"/>
        </w:tabs>
        <w:numPr>
          <w:ilvl w:val="0"/>
          <w:numId w:val="5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Committee</w:t>
      </w:r>
      <w:r>
        <w:rPr>
          <w:rFonts w:ascii="Times New Roman" w:cs="Times New Roman" w:eastAsia="Times New Roman" w:hAnsi="Times New Roman"/>
          <w:sz w:val="14"/>
          <w:szCs w:val="14"/>
          <w:color w:val="auto"/>
        </w:rPr>
        <w:t>” means a committee of one or more members of the Board to whom authority has been delegated by the Board in accordance with Section 2(c).</w:t>
      </w:r>
    </w:p>
    <w:p>
      <w:pPr>
        <w:spacing w:after="0" w:line="164" w:lineRule="exact"/>
        <w:rPr>
          <w:rFonts w:ascii="Times New Roman" w:cs="Times New Roman" w:eastAsia="Times New Roman" w:hAnsi="Times New Roman"/>
          <w:sz w:val="14"/>
          <w:szCs w:val="14"/>
          <w:b w:val="1"/>
          <w:bCs w:val="1"/>
          <w:color w:val="auto"/>
        </w:rPr>
      </w:pPr>
    </w:p>
    <w:p>
      <w:pPr>
        <w:ind w:left="274" w:hanging="274"/>
        <w:spacing w:after="0"/>
        <w:tabs>
          <w:tab w:leader="none" w:pos="274" w:val="left"/>
        </w:tabs>
        <w:numPr>
          <w:ilvl w:val="0"/>
          <w:numId w:val="5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means the Class A common stock of the Company.</w:t>
      </w:r>
    </w:p>
    <w:p>
      <w:pPr>
        <w:spacing w:after="0" w:line="164" w:lineRule="exact"/>
        <w:rPr>
          <w:rFonts w:ascii="Times New Roman" w:cs="Times New Roman" w:eastAsia="Times New Roman" w:hAnsi="Times New Roman"/>
          <w:sz w:val="14"/>
          <w:szCs w:val="14"/>
          <w:b w:val="1"/>
          <w:bCs w:val="1"/>
          <w:color w:val="auto"/>
        </w:rPr>
      </w:pPr>
    </w:p>
    <w:p>
      <w:pPr>
        <w:ind w:left="294" w:hanging="294"/>
        <w:spacing w:after="0"/>
        <w:tabs>
          <w:tab w:leader="none" w:pos="294" w:val="left"/>
        </w:tabs>
        <w:numPr>
          <w:ilvl w:val="0"/>
          <w:numId w:val="5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means Navan, Inc., a Delaware corporation.</w:t>
      </w:r>
    </w:p>
    <w:p>
      <w:pPr>
        <w:spacing w:after="0" w:line="164" w:lineRule="exact"/>
        <w:rPr>
          <w:rFonts w:ascii="Times New Roman" w:cs="Times New Roman" w:eastAsia="Times New Roman" w:hAnsi="Times New Roman"/>
          <w:sz w:val="14"/>
          <w:szCs w:val="14"/>
          <w:b w:val="1"/>
          <w:bCs w:val="1"/>
          <w:color w:val="auto"/>
        </w:rPr>
      </w:pPr>
    </w:p>
    <w:p>
      <w:pPr>
        <w:jc w:val="both"/>
        <w:ind w:left="-466" w:right="20" w:firstLine="466"/>
        <w:spacing w:after="0" w:line="271" w:lineRule="auto"/>
        <w:tabs>
          <w:tab w:leader="none" w:pos="319" w:val="left"/>
        </w:tabs>
        <w:numPr>
          <w:ilvl w:val="0"/>
          <w:numId w:val="5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“Contributions</w:t>
      </w:r>
      <w:r>
        <w:rPr>
          <w:rFonts w:ascii="Times New Roman" w:cs="Times New Roman" w:eastAsia="Times New Roman" w:hAnsi="Times New Roman"/>
          <w:sz w:val="14"/>
          <w:szCs w:val="14"/>
          <w:color w:val="auto"/>
        </w:rPr>
        <w:t>” means the payroll deductions, contributions made by Participants in case payroll deductions are impermissible or problematic under Applicable Law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other additional payments specifically provided for in the Offering that a Participant contributes to fund the exercise of a Purchase Right. A Participant may make additional payments into the Participant’s account if specifically provided for in the Offering, and then only if the Participant has not already had the maximum permitted amount withheld during the Offering through payroll deductions or other contributions and, with respect to the 423 Component, to the extent permitted by Section 423.</w:t>
      </w:r>
    </w:p>
    <w:p>
      <w:pPr>
        <w:sectPr>
          <w:pgSz w:w="11900" w:h="16840" w:orient="portrait"/>
          <w:cols w:equalWidth="0" w:num="1">
            <w:col w:w="10154"/>
          </w:cols>
          <w:pgMar w:left="1106" w:top="1440" w:right="640" w:bottom="1440" w:gutter="0" w:footer="0" w:header="0"/>
        </w:sectPr>
      </w:pPr>
    </w:p>
    <w:bookmarkStart w:id="408" w:name="page409"/>
    <w:bookmarkEnd w:id="408"/>
    <w:p>
      <w:pPr>
        <w:spacing w:after="0" w:line="35" w:lineRule="exact"/>
        <w:rPr>
          <w:sz w:val="20"/>
          <w:szCs w:val="20"/>
          <w:color w:val="auto"/>
        </w:rPr>
      </w:pPr>
    </w:p>
    <w:p>
      <w:pPr>
        <w:ind w:left="740" w:hanging="274"/>
        <w:spacing w:after="0"/>
        <w:tabs>
          <w:tab w:leader="none" w:pos="740" w:val="left"/>
        </w:tabs>
        <w:numPr>
          <w:ilvl w:val="0"/>
          <w:numId w:val="5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Corporate Transaction</w:t>
      </w:r>
      <w:r>
        <w:rPr>
          <w:rFonts w:ascii="Times New Roman" w:cs="Times New Roman" w:eastAsia="Times New Roman" w:hAnsi="Times New Roman"/>
          <w:sz w:val="14"/>
          <w:szCs w:val="14"/>
          <w:color w:val="auto"/>
        </w:rPr>
        <w:t>” means the consummation, in a single transaction or in a series of related transactions, of any one or more of the following events:</w:t>
      </w:r>
    </w:p>
    <w:p>
      <w:pPr>
        <w:spacing w:after="0" w:line="168" w:lineRule="exact"/>
        <w:rPr>
          <w:rFonts w:ascii="Times New Roman" w:cs="Times New Roman" w:eastAsia="Times New Roman" w:hAnsi="Times New Roman"/>
          <w:sz w:val="14"/>
          <w:szCs w:val="14"/>
          <w:b w:val="1"/>
          <w:bCs w:val="1"/>
          <w:color w:val="auto"/>
        </w:rPr>
      </w:pPr>
    </w:p>
    <w:p>
      <w:pPr>
        <w:ind w:left="1200" w:hanging="275"/>
        <w:spacing w:after="0"/>
        <w:tabs>
          <w:tab w:leader="none" w:pos="1200" w:val="left"/>
        </w:tabs>
        <w:numPr>
          <w:ilvl w:val="1"/>
          <w:numId w:val="5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sale or other disposition of all or substantially all, as determined by the Board in its sole discretion, of the consolidated assets of the Company and its subsidiaries;</w:t>
      </w:r>
    </w:p>
    <w:p>
      <w:pPr>
        <w:spacing w:after="0" w:line="164" w:lineRule="exact"/>
        <w:rPr>
          <w:rFonts w:ascii="Times New Roman" w:cs="Times New Roman" w:eastAsia="Times New Roman" w:hAnsi="Times New Roman"/>
          <w:sz w:val="14"/>
          <w:szCs w:val="14"/>
          <w:b w:val="1"/>
          <w:bCs w:val="1"/>
          <w:color w:val="auto"/>
        </w:rPr>
      </w:pPr>
    </w:p>
    <w:p>
      <w:pPr>
        <w:ind w:left="1240" w:hanging="315"/>
        <w:spacing w:after="0"/>
        <w:tabs>
          <w:tab w:leader="none" w:pos="1240" w:val="left"/>
        </w:tabs>
        <w:numPr>
          <w:ilvl w:val="1"/>
          <w:numId w:val="5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sale or other disposition of more than 50% of the outstanding securities of the Company;</w:t>
      </w:r>
    </w:p>
    <w:p>
      <w:pPr>
        <w:spacing w:after="0" w:line="164" w:lineRule="exact"/>
        <w:rPr>
          <w:rFonts w:ascii="Times New Roman" w:cs="Times New Roman" w:eastAsia="Times New Roman" w:hAnsi="Times New Roman"/>
          <w:sz w:val="14"/>
          <w:szCs w:val="14"/>
          <w:b w:val="1"/>
          <w:bCs w:val="1"/>
          <w:color w:val="auto"/>
        </w:rPr>
      </w:pPr>
    </w:p>
    <w:p>
      <w:pPr>
        <w:ind w:left="1280" w:hanging="355"/>
        <w:spacing w:after="0"/>
        <w:tabs>
          <w:tab w:leader="none" w:pos="1280" w:val="left"/>
        </w:tabs>
        <w:numPr>
          <w:ilvl w:val="1"/>
          <w:numId w:val="5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merger, consolidation or similar transaction following which the Company is not the surviving corporation; or</w:t>
      </w:r>
    </w:p>
    <w:p>
      <w:pPr>
        <w:spacing w:after="0" w:line="164" w:lineRule="exact"/>
        <w:rPr>
          <w:rFonts w:ascii="Times New Roman" w:cs="Times New Roman" w:eastAsia="Times New Roman" w:hAnsi="Times New Roman"/>
          <w:sz w:val="14"/>
          <w:szCs w:val="14"/>
          <w:b w:val="1"/>
          <w:bCs w:val="1"/>
          <w:color w:val="auto"/>
        </w:rPr>
      </w:pPr>
    </w:p>
    <w:p>
      <w:pPr>
        <w:jc w:val="both"/>
        <w:ind w:firstLine="925"/>
        <w:spacing w:after="0" w:line="275" w:lineRule="auto"/>
        <w:tabs>
          <w:tab w:leader="none" w:pos="1301" w:val="left"/>
        </w:tabs>
        <w:numPr>
          <w:ilvl w:val="1"/>
          <w:numId w:val="5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merger, consolidation or similar transaction following which the Company is the surviving corporation but the Shares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12" w:lineRule="exact"/>
        <w:rPr>
          <w:rFonts w:ascii="Times New Roman" w:cs="Times New Roman" w:eastAsia="Times New Roman" w:hAnsi="Times New Roman"/>
          <w:sz w:val="14"/>
          <w:szCs w:val="14"/>
          <w:b w:val="1"/>
          <w:bCs w:val="1"/>
          <w:color w:val="auto"/>
        </w:rPr>
      </w:pPr>
    </w:p>
    <w:p>
      <w:pPr>
        <w:ind w:left="820" w:hanging="354"/>
        <w:spacing w:after="0"/>
        <w:tabs>
          <w:tab w:leader="none" w:pos="820" w:val="left"/>
        </w:tabs>
        <w:numPr>
          <w:ilvl w:val="0"/>
          <w:numId w:val="5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Designated 423 Company</w:t>
      </w:r>
      <w:r>
        <w:rPr>
          <w:rFonts w:ascii="Times New Roman" w:cs="Times New Roman" w:eastAsia="Times New Roman" w:hAnsi="Times New Roman"/>
          <w:sz w:val="14"/>
          <w:szCs w:val="14"/>
          <w:color w:val="auto"/>
        </w:rPr>
        <w:t>” means any Related Corporation selected by the Board as participating in the 423 Component.</w:t>
      </w:r>
    </w:p>
    <w:p>
      <w:pPr>
        <w:spacing w:after="0" w:line="164" w:lineRule="exact"/>
        <w:rPr>
          <w:sz w:val="20"/>
          <w:szCs w:val="20"/>
          <w:color w:val="auto"/>
        </w:rPr>
      </w:pPr>
    </w:p>
    <w:p>
      <w:pPr>
        <w:ind w:right="20" w:firstLine="466"/>
        <w:spacing w:after="0" w:line="299" w:lineRule="auto"/>
        <w:tabs>
          <w:tab w:leader="none" w:pos="545" w:val="left"/>
        </w:tabs>
        <w:numPr>
          <w:ilvl w:val="0"/>
          <w:numId w:val="5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 )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Designated Company</w:t>
      </w:r>
      <w:r>
        <w:rPr>
          <w:rFonts w:ascii="Times New Roman" w:cs="Times New Roman" w:eastAsia="Times New Roman" w:hAnsi="Times New Roman"/>
          <w:sz w:val="14"/>
          <w:szCs w:val="14"/>
          <w:color w:val="auto"/>
        </w:rPr>
        <w:t>” means any Designated Non-423 Company or Designated 423 Company, provided, however, that at any given time, a Related Corporation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participating in the 423 Component will not be a Related Corporation participating in the Non-423 Component.</w:t>
      </w:r>
    </w:p>
    <w:p>
      <w:pPr>
        <w:spacing w:after="0" w:line="96" w:lineRule="exact"/>
        <w:rPr>
          <w:sz w:val="20"/>
          <w:szCs w:val="20"/>
          <w:color w:val="auto"/>
        </w:rPr>
      </w:pPr>
    </w:p>
    <w:p>
      <w:pPr>
        <w:ind w:left="780" w:hanging="314"/>
        <w:spacing w:after="0"/>
        <w:tabs>
          <w:tab w:leader="none" w:pos="780" w:val="left"/>
        </w:tabs>
        <w:numPr>
          <w:ilvl w:val="0"/>
          <w:numId w:val="5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Designated Non-423 Company</w:t>
      </w:r>
      <w:r>
        <w:rPr>
          <w:rFonts w:ascii="Times New Roman" w:cs="Times New Roman" w:eastAsia="Times New Roman" w:hAnsi="Times New Roman"/>
          <w:sz w:val="14"/>
          <w:szCs w:val="14"/>
          <w:color w:val="auto"/>
        </w:rPr>
        <w:t>” means any Related Corporation or Affiliate selected by the Board as participating in the Non-423 Component.</w:t>
      </w:r>
    </w:p>
    <w:p>
      <w:pPr>
        <w:spacing w:after="0" w:line="164" w:lineRule="exact"/>
        <w:rPr>
          <w:rFonts w:ascii="Times New Roman" w:cs="Times New Roman" w:eastAsia="Times New Roman" w:hAnsi="Times New Roman"/>
          <w:sz w:val="14"/>
          <w:szCs w:val="14"/>
          <w:b w:val="1"/>
          <w:bCs w:val="1"/>
          <w:color w:val="auto"/>
        </w:rPr>
      </w:pPr>
    </w:p>
    <w:p>
      <w:pPr>
        <w:ind w:left="780" w:hanging="314"/>
        <w:spacing w:after="0"/>
        <w:tabs>
          <w:tab w:leader="none" w:pos="780" w:val="left"/>
        </w:tabs>
        <w:numPr>
          <w:ilvl w:val="0"/>
          <w:numId w:val="5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Director</w:t>
      </w:r>
      <w:r>
        <w:rPr>
          <w:rFonts w:ascii="Times New Roman" w:cs="Times New Roman" w:eastAsia="Times New Roman" w:hAnsi="Times New Roman"/>
          <w:sz w:val="14"/>
          <w:szCs w:val="14"/>
          <w:color w:val="auto"/>
        </w:rPr>
        <w:t>” means a member of the Board.</w:t>
      </w:r>
    </w:p>
    <w:p>
      <w:pPr>
        <w:spacing w:after="0" w:line="164" w:lineRule="exact"/>
        <w:rPr>
          <w:sz w:val="20"/>
          <w:szCs w:val="20"/>
          <w:color w:val="auto"/>
        </w:rPr>
      </w:pPr>
    </w:p>
    <w:p>
      <w:pPr>
        <w:ind w:firstLine="466"/>
        <w:spacing w:after="0" w:line="299" w:lineRule="auto"/>
        <w:tabs>
          <w:tab w:leader="none" w:pos="526" w:val="left"/>
        </w:tabs>
        <w:numPr>
          <w:ilvl w:val="0"/>
          <w:numId w:val="5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q )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Eligible Employee</w:t>
      </w:r>
      <w:r>
        <w:rPr>
          <w:rFonts w:ascii="Times New Roman" w:cs="Times New Roman" w:eastAsia="Times New Roman" w:hAnsi="Times New Roman"/>
          <w:sz w:val="14"/>
          <w:szCs w:val="14"/>
          <w:color w:val="auto"/>
        </w:rPr>
        <w:t>” means an Employee who meets the requirements set forth in the document(s) governing the Offering for eligibility to participate in the Offering,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provided that such Employee also meets the requirements for eligibility to participate set forth in the Plan.</w:t>
      </w:r>
    </w:p>
    <w:p>
      <w:pPr>
        <w:spacing w:after="0" w:line="96" w:lineRule="exact"/>
        <w:rPr>
          <w:sz w:val="20"/>
          <w:szCs w:val="20"/>
          <w:color w:val="auto"/>
        </w:rPr>
      </w:pPr>
    </w:p>
    <w:p>
      <w:pPr>
        <w:jc w:val="both"/>
        <w:ind w:firstLine="466"/>
        <w:spacing w:after="0" w:line="278" w:lineRule="auto"/>
        <w:tabs>
          <w:tab w:leader="none" w:pos="545" w:val="left"/>
        </w:tabs>
        <w:numPr>
          <w:ilvl w:val="0"/>
          <w:numId w:val="5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 )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Employee</w:t>
      </w:r>
      <w:r>
        <w:rPr>
          <w:rFonts w:ascii="Times New Roman" w:cs="Times New Roman" w:eastAsia="Times New Roman" w:hAnsi="Times New Roman"/>
          <w:sz w:val="14"/>
          <w:szCs w:val="14"/>
          <w:color w:val="auto"/>
        </w:rPr>
        <w:t>” means any person, including an Officer or Director, who is “employed” for purposes of Section 423(b)(4) of the Code by the Company or a Related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 or solely with respect to the Non-423 Component, an Affiliate. However, service solely as a Director, or payment of a fee for such services, will not cause a Director to be considered an “Employee” for purposes of the Plan.</w:t>
      </w:r>
    </w:p>
    <w:p>
      <w:pPr>
        <w:spacing w:after="0" w:line="110" w:lineRule="exact"/>
        <w:rPr>
          <w:sz w:val="20"/>
          <w:szCs w:val="20"/>
          <w:color w:val="auto"/>
        </w:rPr>
      </w:pPr>
    </w:p>
    <w:p>
      <w:pPr>
        <w:ind w:firstLine="466"/>
        <w:spacing w:after="0" w:line="299" w:lineRule="auto"/>
        <w:tabs>
          <w:tab w:leader="none" w:pos="756" w:val="left"/>
        </w:tabs>
        <w:numPr>
          <w:ilvl w:val="0"/>
          <w:numId w:val="5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Employee Stock Purchase Plan</w:t>
      </w:r>
      <w:r>
        <w:rPr>
          <w:rFonts w:ascii="Times New Roman" w:cs="Times New Roman" w:eastAsia="Times New Roman" w:hAnsi="Times New Roman"/>
          <w:sz w:val="14"/>
          <w:szCs w:val="14"/>
          <w:color w:val="auto"/>
        </w:rPr>
        <w:t>” means a plan that grants purchase rights intended to be options issued under an “employee stock purchase plan,” as that term is defined in Section 423(b) of the Code.</w:t>
      </w:r>
    </w:p>
    <w:p>
      <w:pPr>
        <w:spacing w:after="0" w:line="96" w:lineRule="exact"/>
        <w:rPr>
          <w:rFonts w:ascii="Times New Roman" w:cs="Times New Roman" w:eastAsia="Times New Roman" w:hAnsi="Times New Roman"/>
          <w:sz w:val="14"/>
          <w:szCs w:val="14"/>
          <w:b w:val="1"/>
          <w:bCs w:val="1"/>
          <w:color w:val="auto"/>
        </w:rPr>
      </w:pPr>
    </w:p>
    <w:p>
      <w:pPr>
        <w:ind w:left="760" w:hanging="294"/>
        <w:spacing w:after="0"/>
        <w:tabs>
          <w:tab w:leader="none" w:pos="760" w:val="left"/>
        </w:tabs>
        <w:numPr>
          <w:ilvl w:val="0"/>
          <w:numId w:val="5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Exchange Act</w:t>
      </w:r>
      <w:r>
        <w:rPr>
          <w:rFonts w:ascii="Times New Roman" w:cs="Times New Roman" w:eastAsia="Times New Roman" w:hAnsi="Times New Roman"/>
          <w:sz w:val="14"/>
          <w:szCs w:val="14"/>
          <w:color w:val="auto"/>
        </w:rPr>
        <w:t>” means the U.S. Securities Exchange Act of 1934, as amended and the rules and regulations promulgated thereunder.</w:t>
      </w:r>
    </w:p>
    <w:p>
      <w:pPr>
        <w:spacing w:after="0" w:line="164" w:lineRule="exact"/>
        <w:rPr>
          <w:rFonts w:ascii="Times New Roman" w:cs="Times New Roman" w:eastAsia="Times New Roman" w:hAnsi="Times New Roman"/>
          <w:sz w:val="14"/>
          <w:szCs w:val="14"/>
          <w:b w:val="1"/>
          <w:bCs w:val="1"/>
          <w:color w:val="auto"/>
        </w:rPr>
      </w:pPr>
    </w:p>
    <w:p>
      <w:pPr>
        <w:ind w:left="780" w:hanging="314"/>
        <w:spacing w:after="0"/>
        <w:tabs>
          <w:tab w:leader="none" w:pos="780" w:val="left"/>
        </w:tabs>
        <w:numPr>
          <w:ilvl w:val="0"/>
          <w:numId w:val="5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Fair Market Value</w:t>
      </w:r>
      <w:r>
        <w:rPr>
          <w:rFonts w:ascii="Times New Roman" w:cs="Times New Roman" w:eastAsia="Times New Roman" w:hAnsi="Times New Roman"/>
          <w:sz w:val="14"/>
          <w:szCs w:val="14"/>
          <w:color w:val="auto"/>
        </w:rPr>
        <w:t>” means, as of any date, the value of the Common Stock determined as follows:</w:t>
      </w:r>
    </w:p>
    <w:p>
      <w:pPr>
        <w:spacing w:after="0" w:line="168" w:lineRule="exact"/>
        <w:rPr>
          <w:rFonts w:ascii="Times New Roman" w:cs="Times New Roman" w:eastAsia="Times New Roman" w:hAnsi="Times New Roman"/>
          <w:sz w:val="14"/>
          <w:szCs w:val="14"/>
          <w:b w:val="1"/>
          <w:bCs w:val="1"/>
          <w:color w:val="auto"/>
        </w:rPr>
      </w:pPr>
    </w:p>
    <w:p>
      <w:pPr>
        <w:ind w:left="1220" w:hanging="295"/>
        <w:spacing w:after="0"/>
        <w:tabs>
          <w:tab w:leader="none" w:pos="1220" w:val="left"/>
        </w:tabs>
        <w:numPr>
          <w:ilvl w:val="1"/>
          <w:numId w:val="5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Common Stock is listed on any established stock exchange or traded on any established market, the Fair Market Value of a Share will be, unless otherwise</w:t>
      </w:r>
    </w:p>
    <w:p>
      <w:pPr>
        <w:spacing w:after="0" w:line="24" w:lineRule="exact"/>
        <w:rPr>
          <w:rFonts w:ascii="Times New Roman" w:cs="Times New Roman" w:eastAsia="Times New Roman" w:hAnsi="Times New Roman"/>
          <w:sz w:val="14"/>
          <w:szCs w:val="14"/>
          <w:b w:val="1"/>
          <w:bCs w:val="1"/>
          <w:color w:val="auto"/>
        </w:rPr>
      </w:pPr>
    </w:p>
    <w:p>
      <w:pPr>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determined by the</w:t>
      </w:r>
    </w:p>
    <w:p>
      <w:pPr>
        <w:sectPr>
          <w:pgSz w:w="11900" w:h="16840" w:orient="portrait"/>
          <w:cols w:equalWidth="0" w:num="1">
            <w:col w:w="10600"/>
          </w:cols>
          <w:pgMar w:left="640" w:top="1440" w:right="660" w:bottom="1440" w:gutter="0" w:footer="0" w:header="0"/>
        </w:sectPr>
      </w:pPr>
    </w:p>
    <w:bookmarkStart w:id="409" w:name="page410"/>
    <w:bookmarkEnd w:id="409"/>
    <w:p>
      <w:pPr>
        <w:spacing w:after="0" w:line="3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 xml:space="preserve">Board, the </w:t>
      </w:r>
      <w:r>
        <w:rPr>
          <w:rFonts w:ascii="Times New Roman" w:cs="Times New Roman" w:eastAsia="Times New Roman" w:hAnsi="Times New Roman"/>
          <w:sz w:val="14"/>
          <w:szCs w:val="14"/>
          <w:b w:val="1"/>
          <w:bCs w:val="1"/>
          <w:u w:val="single" w:color="auto"/>
          <w:color w:val="auto"/>
        </w:rPr>
        <w:t>closing sales price</w:t>
      </w:r>
      <w:r>
        <w:rPr>
          <w:rFonts w:ascii="Times New Roman" w:cs="Times New Roman" w:eastAsia="Times New Roman" w:hAnsi="Times New Roman"/>
          <w:sz w:val="14"/>
          <w:szCs w:val="14"/>
          <w:color w:val="auto"/>
        </w:rPr>
        <w:t xml:space="preserve"> for such stock as quoted on such exchange or market (or the exchange or market with the greatest volume of trading in the Common Stock) </w:t>
      </w:r>
      <w:r>
        <w:rPr>
          <w:rFonts w:ascii="Times New Roman" w:cs="Times New Roman" w:eastAsia="Times New Roman" w:hAnsi="Times New Roman"/>
          <w:sz w:val="14"/>
          <w:szCs w:val="14"/>
          <w:b w:val="1"/>
          <w:bCs w:val="1"/>
          <w:u w:val="single" w:color="auto"/>
          <w:color w:val="auto"/>
        </w:rPr>
        <w:t>on the date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determination</w:t>
      </w:r>
      <w:r>
        <w:rPr>
          <w:rFonts w:ascii="Times New Roman" w:cs="Times New Roman" w:eastAsia="Times New Roman" w:hAnsi="Times New Roman"/>
          <w:sz w:val="14"/>
          <w:szCs w:val="14"/>
          <w:color w:val="auto"/>
        </w:rPr>
        <w:t>, as reported in such source as the Board deems reliable. Unless otherwise provided by the Board, if there is no closing sales price for the Common Stock on the date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determination, then the Fair Market Value will be the closing sales price on the last preceding date for which such quotation exists.</w:t>
      </w:r>
    </w:p>
    <w:p>
      <w:pPr>
        <w:spacing w:after="0" w:line="116" w:lineRule="exact"/>
        <w:rPr>
          <w:sz w:val="20"/>
          <w:szCs w:val="20"/>
          <w:color w:val="auto"/>
        </w:rPr>
      </w:pPr>
    </w:p>
    <w:p>
      <w:pPr>
        <w:ind w:right="100" w:firstLine="925"/>
        <w:spacing w:after="0" w:line="293" w:lineRule="auto"/>
        <w:tabs>
          <w:tab w:leader="none" w:pos="1244" w:val="left"/>
        </w:tabs>
        <w:numPr>
          <w:ilvl w:val="1"/>
          <w:numId w:val="5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 409A of the Code.</w:t>
      </w:r>
    </w:p>
    <w:p>
      <w:pPr>
        <w:spacing w:after="0" w:line="104" w:lineRule="exact"/>
        <w:rPr>
          <w:rFonts w:ascii="Times New Roman" w:cs="Times New Roman" w:eastAsia="Times New Roman" w:hAnsi="Times New Roman"/>
          <w:sz w:val="14"/>
          <w:szCs w:val="14"/>
          <w:b w:val="1"/>
          <w:bCs w:val="1"/>
          <w:color w:val="auto"/>
        </w:rPr>
      </w:pPr>
    </w:p>
    <w:p>
      <w:pPr>
        <w:ind w:right="80" w:firstLine="925"/>
        <w:spacing w:after="0" w:line="293" w:lineRule="auto"/>
        <w:tabs>
          <w:tab w:leader="none" w:pos="1282" w:val="left"/>
        </w:tabs>
        <w:numPr>
          <w:ilvl w:val="1"/>
          <w:numId w:val="5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Notwithstanding the foregoing, for any Offering that commences on the IPO Date, the Fair Market Value of the Shares on the Offering Date will be the price per Share at which Shares are first sold to the public in the Company’s initial public offering as specified in the final prospectus for that initial public offering.</w:t>
      </w:r>
    </w:p>
    <w:p>
      <w:pPr>
        <w:spacing w:after="0" w:line="100" w:lineRule="exact"/>
        <w:rPr>
          <w:rFonts w:ascii="Times New Roman" w:cs="Times New Roman" w:eastAsia="Times New Roman" w:hAnsi="Times New Roman"/>
          <w:sz w:val="14"/>
          <w:szCs w:val="14"/>
          <w:b w:val="1"/>
          <w:bCs w:val="1"/>
          <w:color w:val="auto"/>
        </w:rPr>
      </w:pPr>
    </w:p>
    <w:p>
      <w:pPr>
        <w:ind w:left="780" w:hanging="314"/>
        <w:spacing w:after="0"/>
        <w:tabs>
          <w:tab w:leader="none" w:pos="780" w:val="left"/>
        </w:tabs>
        <w:numPr>
          <w:ilvl w:val="0"/>
          <w:numId w:val="5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Fiscal Year</w:t>
      </w:r>
      <w:r>
        <w:rPr>
          <w:rFonts w:ascii="Times New Roman" w:cs="Times New Roman" w:eastAsia="Times New Roman" w:hAnsi="Times New Roman"/>
          <w:sz w:val="14"/>
          <w:szCs w:val="14"/>
          <w:color w:val="auto"/>
        </w:rPr>
        <w:t>” means a fiscal year of the Company.</w:t>
      </w:r>
    </w:p>
    <w:p>
      <w:pPr>
        <w:spacing w:after="0" w:line="164" w:lineRule="exact"/>
        <w:rPr>
          <w:rFonts w:ascii="Times New Roman" w:cs="Times New Roman" w:eastAsia="Times New Roman" w:hAnsi="Times New Roman"/>
          <w:sz w:val="14"/>
          <w:szCs w:val="14"/>
          <w:b w:val="1"/>
          <w:bCs w:val="1"/>
          <w:color w:val="auto"/>
        </w:rPr>
      </w:pPr>
    </w:p>
    <w:p>
      <w:pPr>
        <w:jc w:val="both"/>
        <w:ind w:right="80" w:firstLine="466"/>
        <w:spacing w:after="0" w:line="267" w:lineRule="auto"/>
        <w:tabs>
          <w:tab w:leader="none" w:pos="823" w:val="left"/>
        </w:tabs>
        <w:numPr>
          <w:ilvl w:val="0"/>
          <w:numId w:val="5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Governmental Body</w:t>
      </w:r>
      <w:r>
        <w:rPr>
          <w:rFonts w:ascii="Times New Roman" w:cs="Times New Roman" w:eastAsia="Times New Roman" w:hAnsi="Times New Roman"/>
          <w:sz w:val="14"/>
          <w:szCs w:val="14"/>
          <w:color w:val="auto"/>
        </w:rPr>
        <w:t>” 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New York Stock Exchange, the Nasdaq Stock Market and the Financial Industry Regulatory Authority).</w:t>
      </w:r>
    </w:p>
    <w:p>
      <w:pPr>
        <w:spacing w:after="0" w:line="118" w:lineRule="exact"/>
        <w:rPr>
          <w:rFonts w:ascii="Times New Roman" w:cs="Times New Roman" w:eastAsia="Times New Roman" w:hAnsi="Times New Roman"/>
          <w:sz w:val="14"/>
          <w:szCs w:val="14"/>
          <w:b w:val="1"/>
          <w:bCs w:val="1"/>
          <w:color w:val="auto"/>
        </w:rPr>
      </w:pPr>
    </w:p>
    <w:p>
      <w:pPr>
        <w:ind w:right="60" w:firstLine="466"/>
        <w:spacing w:after="0" w:line="299" w:lineRule="auto"/>
        <w:tabs>
          <w:tab w:leader="none" w:pos="794" w:val="left"/>
        </w:tabs>
        <w:numPr>
          <w:ilvl w:val="0"/>
          <w:numId w:val="5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IPO Date</w:t>
      </w:r>
      <w:r>
        <w:rPr>
          <w:rFonts w:ascii="Times New Roman" w:cs="Times New Roman" w:eastAsia="Times New Roman" w:hAnsi="Times New Roman"/>
          <w:sz w:val="14"/>
          <w:szCs w:val="14"/>
          <w:color w:val="auto"/>
        </w:rPr>
        <w:t>” means the effective date of the registration statement on Form S-1 filed with the Securities and Exchange Commission for the initial public offering of the Common Stock.</w:t>
      </w:r>
    </w:p>
    <w:p>
      <w:pPr>
        <w:spacing w:after="0" w:line="100" w:lineRule="exact"/>
        <w:rPr>
          <w:rFonts w:ascii="Times New Roman" w:cs="Times New Roman" w:eastAsia="Times New Roman" w:hAnsi="Times New Roman"/>
          <w:sz w:val="14"/>
          <w:szCs w:val="14"/>
          <w:b w:val="1"/>
          <w:bCs w:val="1"/>
          <w:color w:val="auto"/>
        </w:rPr>
      </w:pPr>
    </w:p>
    <w:p>
      <w:pPr>
        <w:ind w:right="80" w:firstLine="466"/>
        <w:spacing w:after="0" w:line="293" w:lineRule="auto"/>
        <w:tabs>
          <w:tab w:leader="none" w:pos="765" w:val="left"/>
        </w:tabs>
        <w:numPr>
          <w:ilvl w:val="0"/>
          <w:numId w:val="5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“Non-423 Component” means the part of the Plan, which excludes the 423 Component, pursuant to which Purchase Rights that are not intended to satisfy the requirements for an Employee Stock Purchase Plan may be granted to Eligible Employees.</w:t>
      </w:r>
    </w:p>
    <w:p>
      <w:pPr>
        <w:spacing w:after="0" w:line="100" w:lineRule="exact"/>
        <w:rPr>
          <w:sz w:val="20"/>
          <w:szCs w:val="20"/>
          <w:color w:val="auto"/>
        </w:rPr>
      </w:pPr>
    </w:p>
    <w:p>
      <w:pPr>
        <w:ind w:right="60" w:firstLine="466"/>
        <w:spacing w:after="0" w:line="299" w:lineRule="auto"/>
        <w:tabs>
          <w:tab w:leader="none" w:pos="536" w:val="left"/>
        </w:tabs>
        <w:numPr>
          <w:ilvl w:val="0"/>
          <w:numId w:val="5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z )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Offering</w:t>
      </w:r>
      <w:r>
        <w:rPr>
          <w:rFonts w:ascii="Times New Roman" w:cs="Times New Roman" w:eastAsia="Times New Roman" w:hAnsi="Times New Roman"/>
          <w:sz w:val="14"/>
          <w:szCs w:val="14"/>
          <w:color w:val="auto"/>
        </w:rPr>
        <w:t>” means the grant to Eligible Employees of Purchase Rights, with the exercise of those Purchase Rights automatically occurring at the end of one or more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Purchase Periods. The terms and conditions of an Offering will generally be set forth in the “</w:t>
      </w:r>
      <w:r>
        <w:rPr>
          <w:rFonts w:ascii="Times New Roman" w:cs="Times New Roman" w:eastAsia="Times New Roman" w:hAnsi="Times New Roman"/>
          <w:sz w:val="14"/>
          <w:szCs w:val="14"/>
          <w:b w:val="1"/>
          <w:bCs w:val="1"/>
          <w:i w:val="1"/>
          <w:iCs w:val="1"/>
          <w:color w:val="auto"/>
        </w:rPr>
        <w:t>Offering Document</w:t>
      </w:r>
      <w:r>
        <w:rPr>
          <w:rFonts w:ascii="Times New Roman" w:cs="Times New Roman" w:eastAsia="Times New Roman" w:hAnsi="Times New Roman"/>
          <w:sz w:val="14"/>
          <w:szCs w:val="14"/>
          <w:color w:val="auto"/>
        </w:rPr>
        <w:t>” approved by the Board for that Offering.</w:t>
      </w:r>
    </w:p>
    <w:p>
      <w:pPr>
        <w:spacing w:after="0" w:line="96" w:lineRule="exact"/>
        <w:rPr>
          <w:sz w:val="20"/>
          <w:szCs w:val="20"/>
          <w:color w:val="auto"/>
        </w:rPr>
      </w:pPr>
    </w:p>
    <w:p>
      <w:pPr>
        <w:ind w:left="840" w:hanging="374"/>
        <w:spacing w:after="0"/>
        <w:tabs>
          <w:tab w:leader="none" w:pos="840" w:val="left"/>
        </w:tabs>
        <w:numPr>
          <w:ilvl w:val="0"/>
          <w:numId w:val="5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Offering Date</w:t>
      </w:r>
      <w:r>
        <w:rPr>
          <w:rFonts w:ascii="Times New Roman" w:cs="Times New Roman" w:eastAsia="Times New Roman" w:hAnsi="Times New Roman"/>
          <w:sz w:val="14"/>
          <w:szCs w:val="14"/>
          <w:color w:val="auto"/>
        </w:rPr>
        <w:t>” means a date selected by the Board for an Offering to commence.</w:t>
      </w:r>
    </w:p>
    <w:p>
      <w:pPr>
        <w:spacing w:after="0" w:line="164" w:lineRule="exact"/>
        <w:rPr>
          <w:rFonts w:ascii="Times New Roman" w:cs="Times New Roman" w:eastAsia="Times New Roman" w:hAnsi="Times New Roman"/>
          <w:sz w:val="14"/>
          <w:szCs w:val="14"/>
          <w:b w:val="1"/>
          <w:bCs w:val="1"/>
          <w:color w:val="auto"/>
        </w:rPr>
      </w:pPr>
    </w:p>
    <w:p>
      <w:pPr>
        <w:ind w:left="860" w:hanging="394"/>
        <w:spacing w:after="0"/>
        <w:tabs>
          <w:tab w:leader="none" w:pos="860" w:val="left"/>
        </w:tabs>
        <w:numPr>
          <w:ilvl w:val="0"/>
          <w:numId w:val="5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Officer</w:t>
      </w:r>
      <w:r>
        <w:rPr>
          <w:rFonts w:ascii="Times New Roman" w:cs="Times New Roman" w:eastAsia="Times New Roman" w:hAnsi="Times New Roman"/>
          <w:sz w:val="14"/>
          <w:szCs w:val="14"/>
          <w:color w:val="auto"/>
        </w:rPr>
        <w:t>” means a person who is an officer of the Company or a Related Corporation within the meaning of Section 16 of the Exchange Act.</w:t>
      </w:r>
    </w:p>
    <w:p>
      <w:pPr>
        <w:spacing w:after="0" w:line="164" w:lineRule="exact"/>
        <w:rPr>
          <w:rFonts w:ascii="Times New Roman" w:cs="Times New Roman" w:eastAsia="Times New Roman" w:hAnsi="Times New Roman"/>
          <w:sz w:val="14"/>
          <w:szCs w:val="14"/>
          <w:b w:val="1"/>
          <w:bCs w:val="1"/>
          <w:color w:val="auto"/>
        </w:rPr>
      </w:pPr>
    </w:p>
    <w:p>
      <w:pPr>
        <w:ind w:left="820" w:hanging="354"/>
        <w:spacing w:after="0"/>
        <w:tabs>
          <w:tab w:leader="none" w:pos="820" w:val="left"/>
        </w:tabs>
        <w:numPr>
          <w:ilvl w:val="0"/>
          <w:numId w:val="5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Participant</w:t>
      </w:r>
      <w:r>
        <w:rPr>
          <w:rFonts w:ascii="Times New Roman" w:cs="Times New Roman" w:eastAsia="Times New Roman" w:hAnsi="Times New Roman"/>
          <w:sz w:val="14"/>
          <w:szCs w:val="14"/>
          <w:color w:val="auto"/>
        </w:rPr>
        <w:t>” means an Eligible Employee who holds an outstanding Purchase Right.</w:t>
      </w:r>
    </w:p>
    <w:p>
      <w:pPr>
        <w:spacing w:after="0" w:line="164" w:lineRule="exact"/>
        <w:rPr>
          <w:rFonts w:ascii="Times New Roman" w:cs="Times New Roman" w:eastAsia="Times New Roman" w:hAnsi="Times New Roman"/>
          <w:sz w:val="14"/>
          <w:szCs w:val="14"/>
          <w:b w:val="1"/>
          <w:bCs w:val="1"/>
          <w:color w:val="auto"/>
        </w:rPr>
      </w:pPr>
    </w:p>
    <w:p>
      <w:pPr>
        <w:ind w:left="860" w:hanging="394"/>
        <w:spacing w:after="0"/>
        <w:tabs>
          <w:tab w:leader="none" w:pos="860" w:val="left"/>
        </w:tabs>
        <w:numPr>
          <w:ilvl w:val="0"/>
          <w:numId w:val="5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Plan</w:t>
      </w:r>
      <w:r>
        <w:rPr>
          <w:rFonts w:ascii="Times New Roman" w:cs="Times New Roman" w:eastAsia="Times New Roman" w:hAnsi="Times New Roman"/>
          <w:sz w:val="14"/>
          <w:szCs w:val="14"/>
          <w:color w:val="auto"/>
        </w:rPr>
        <w:t>” means this Navan, Inc. 2025 Employee Stock Purchase Plan, as amended from time to time, including both the 423 Component and the Non-423 Component.</w:t>
      </w:r>
    </w:p>
    <w:p>
      <w:pPr>
        <w:sectPr>
          <w:pgSz w:w="11900" w:h="16840" w:orient="portrait"/>
          <w:cols w:equalWidth="0" w:num="1">
            <w:col w:w="10680"/>
          </w:cols>
          <w:pgMar w:left="640" w:top="1440" w:right="580" w:bottom="1440" w:gutter="0" w:footer="0" w:header="0"/>
        </w:sectPr>
      </w:pPr>
    </w:p>
    <w:bookmarkStart w:id="410" w:name="page411"/>
    <w:bookmarkEnd w:id="410"/>
    <w:p>
      <w:pPr>
        <w:spacing w:after="0" w:line="35" w:lineRule="exact"/>
        <w:rPr>
          <w:sz w:val="20"/>
          <w:szCs w:val="20"/>
          <w:color w:val="auto"/>
        </w:rPr>
      </w:pPr>
    </w:p>
    <w:p>
      <w:pPr>
        <w:ind w:left="-466" w:firstLine="466"/>
        <w:spacing w:after="0" w:line="299" w:lineRule="auto"/>
        <w:tabs>
          <w:tab w:leader="none" w:pos="367" w:val="left"/>
        </w:tabs>
        <w:numPr>
          <w:ilvl w:val="0"/>
          <w:numId w:val="5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Purchase Date</w:t>
      </w:r>
      <w:r>
        <w:rPr>
          <w:rFonts w:ascii="Times New Roman" w:cs="Times New Roman" w:eastAsia="Times New Roman" w:hAnsi="Times New Roman"/>
          <w:sz w:val="14"/>
          <w:szCs w:val="14"/>
          <w:color w:val="auto"/>
        </w:rPr>
        <w:t>” means one or more dates during an Offering selected by the Board on which Purchase Rights will be exercised and on which purchases of Shares will be carried out in accordance with such Offering.</w:t>
      </w:r>
    </w:p>
    <w:p>
      <w:pPr>
        <w:spacing w:after="0" w:line="96" w:lineRule="exact"/>
        <w:rPr>
          <w:rFonts w:ascii="Times New Roman" w:cs="Times New Roman" w:eastAsia="Times New Roman" w:hAnsi="Times New Roman"/>
          <w:sz w:val="14"/>
          <w:szCs w:val="14"/>
          <w:b w:val="1"/>
          <w:bCs w:val="1"/>
          <w:color w:val="auto"/>
        </w:rPr>
      </w:pPr>
    </w:p>
    <w:p>
      <w:pPr>
        <w:ind w:left="-466" w:firstLine="466"/>
        <w:spacing w:after="0" w:line="299" w:lineRule="auto"/>
        <w:tabs>
          <w:tab w:leader="none" w:pos="338" w:val="left"/>
        </w:tabs>
        <w:numPr>
          <w:ilvl w:val="0"/>
          <w:numId w:val="5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Purchase Period</w:t>
      </w:r>
      <w:r>
        <w:rPr>
          <w:rFonts w:ascii="Times New Roman" w:cs="Times New Roman" w:eastAsia="Times New Roman" w:hAnsi="Times New Roman"/>
          <w:sz w:val="14"/>
          <w:szCs w:val="14"/>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96" w:lineRule="exact"/>
        <w:rPr>
          <w:rFonts w:ascii="Times New Roman" w:cs="Times New Roman" w:eastAsia="Times New Roman" w:hAnsi="Times New Roman"/>
          <w:sz w:val="14"/>
          <w:szCs w:val="14"/>
          <w:b w:val="1"/>
          <w:bCs w:val="1"/>
          <w:color w:val="auto"/>
        </w:rPr>
      </w:pPr>
    </w:p>
    <w:p>
      <w:pPr>
        <w:ind w:left="374" w:hanging="374"/>
        <w:spacing w:after="0"/>
        <w:tabs>
          <w:tab w:leader="none" w:pos="374" w:val="left"/>
        </w:tabs>
        <w:numPr>
          <w:ilvl w:val="0"/>
          <w:numId w:val="5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Purchase Right</w:t>
      </w:r>
      <w:r>
        <w:rPr>
          <w:rFonts w:ascii="Times New Roman" w:cs="Times New Roman" w:eastAsia="Times New Roman" w:hAnsi="Times New Roman"/>
          <w:sz w:val="14"/>
          <w:szCs w:val="14"/>
          <w:color w:val="auto"/>
        </w:rPr>
        <w:t>” means an option to purchase Shares granted pursuant to the Plan.</w:t>
      </w:r>
    </w:p>
    <w:p>
      <w:pPr>
        <w:spacing w:after="0" w:line="164" w:lineRule="exact"/>
        <w:rPr>
          <w:rFonts w:ascii="Times New Roman" w:cs="Times New Roman" w:eastAsia="Times New Roman" w:hAnsi="Times New Roman"/>
          <w:sz w:val="14"/>
          <w:szCs w:val="14"/>
          <w:b w:val="1"/>
          <w:bCs w:val="1"/>
          <w:color w:val="auto"/>
        </w:rPr>
      </w:pPr>
    </w:p>
    <w:p>
      <w:pPr>
        <w:ind w:left="-466" w:firstLine="466"/>
        <w:spacing w:after="0" w:line="299" w:lineRule="auto"/>
        <w:tabs>
          <w:tab w:leader="none" w:pos="395" w:val="left"/>
        </w:tabs>
        <w:numPr>
          <w:ilvl w:val="0"/>
          <w:numId w:val="5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Related Corporation</w:t>
      </w:r>
      <w:r>
        <w:rPr>
          <w:rFonts w:ascii="Times New Roman" w:cs="Times New Roman" w:eastAsia="Times New Roman" w:hAnsi="Times New Roman"/>
          <w:sz w:val="14"/>
          <w:szCs w:val="14"/>
          <w:color w:val="auto"/>
        </w:rPr>
        <w:t>” means any “parent corporation” or “subsidiary corporation” of the Company whether now or subsequently established, as those terms are defined in Sections 424(e) and (f), respectively, of the Code.</w:t>
      </w:r>
    </w:p>
    <w:p>
      <w:pPr>
        <w:spacing w:after="0" w:line="96" w:lineRule="exact"/>
        <w:rPr>
          <w:rFonts w:ascii="Times New Roman" w:cs="Times New Roman" w:eastAsia="Times New Roman" w:hAnsi="Times New Roman"/>
          <w:sz w:val="14"/>
          <w:szCs w:val="14"/>
          <w:b w:val="1"/>
          <w:bCs w:val="1"/>
          <w:color w:val="auto"/>
        </w:rPr>
      </w:pPr>
    </w:p>
    <w:p>
      <w:pPr>
        <w:ind w:left="314" w:hanging="314"/>
        <w:spacing w:after="0"/>
        <w:tabs>
          <w:tab w:leader="none" w:pos="314" w:val="left"/>
        </w:tabs>
        <w:numPr>
          <w:ilvl w:val="0"/>
          <w:numId w:val="5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means the U.S. Securities Act of 1933, as amended.</w:t>
      </w:r>
    </w:p>
    <w:p>
      <w:pPr>
        <w:spacing w:after="0" w:line="164" w:lineRule="exact"/>
        <w:rPr>
          <w:rFonts w:ascii="Times New Roman" w:cs="Times New Roman" w:eastAsia="Times New Roman" w:hAnsi="Times New Roman"/>
          <w:sz w:val="14"/>
          <w:szCs w:val="14"/>
          <w:b w:val="1"/>
          <w:bCs w:val="1"/>
          <w:color w:val="auto"/>
        </w:rPr>
      </w:pPr>
    </w:p>
    <w:p>
      <w:pPr>
        <w:ind w:left="334" w:hanging="334"/>
        <w:spacing w:after="0"/>
        <w:tabs>
          <w:tab w:leader="none" w:pos="334" w:val="left"/>
        </w:tabs>
        <w:numPr>
          <w:ilvl w:val="0"/>
          <w:numId w:val="5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Share</w:t>
      </w:r>
      <w:r>
        <w:rPr>
          <w:rFonts w:ascii="Times New Roman" w:cs="Times New Roman" w:eastAsia="Times New Roman" w:hAnsi="Times New Roman"/>
          <w:sz w:val="14"/>
          <w:szCs w:val="14"/>
          <w:color w:val="auto"/>
        </w:rPr>
        <w:t>” means a share of the Common Stock, as adjusted for a Capitalization Adjustment.</w:t>
      </w:r>
    </w:p>
    <w:p>
      <w:pPr>
        <w:spacing w:after="0" w:line="164" w:lineRule="exact"/>
        <w:rPr>
          <w:rFonts w:ascii="Times New Roman" w:cs="Times New Roman" w:eastAsia="Times New Roman" w:hAnsi="Times New Roman"/>
          <w:sz w:val="14"/>
          <w:szCs w:val="14"/>
          <w:b w:val="1"/>
          <w:bCs w:val="1"/>
          <w:color w:val="auto"/>
        </w:rPr>
      </w:pPr>
    </w:p>
    <w:p>
      <w:pPr>
        <w:jc w:val="both"/>
        <w:ind w:left="-466" w:firstLine="466"/>
        <w:spacing w:after="0" w:line="278" w:lineRule="auto"/>
        <w:tabs>
          <w:tab w:leader="none" w:pos="395" w:val="left"/>
        </w:tabs>
        <w:numPr>
          <w:ilvl w:val="0"/>
          <w:numId w:val="5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Tax-Related Items</w:t>
      </w:r>
      <w:r>
        <w:rPr>
          <w:rFonts w:ascii="Times New Roman" w:cs="Times New Roman" w:eastAsia="Times New Roman" w:hAnsi="Times New Roman"/>
          <w:sz w:val="14"/>
          <w:szCs w:val="14"/>
          <w:color w:val="auto"/>
        </w:rPr>
        <w:t>” means any income tax, social insurance, payroll tax, fringe benefit tax, payment on account or other tax-related items arising out of or in relation to a Participant’s participation in the Plan, including, but not limited to, the exercise of a Purchase Right and the receipt of Shares or the sale or other disposition of Shares acquired under the Plan.</w:t>
      </w:r>
    </w:p>
    <w:p>
      <w:pPr>
        <w:spacing w:after="0" w:line="110" w:lineRule="exact"/>
        <w:rPr>
          <w:rFonts w:ascii="Times New Roman" w:cs="Times New Roman" w:eastAsia="Times New Roman" w:hAnsi="Times New Roman"/>
          <w:sz w:val="14"/>
          <w:szCs w:val="14"/>
          <w:b w:val="1"/>
          <w:bCs w:val="1"/>
          <w:color w:val="auto"/>
        </w:rPr>
      </w:pPr>
    </w:p>
    <w:p>
      <w:pPr>
        <w:ind w:left="-466" w:firstLine="466"/>
        <w:spacing w:after="0" w:line="299" w:lineRule="auto"/>
        <w:tabs>
          <w:tab w:leader="none" w:pos="347" w:val="left"/>
        </w:tabs>
        <w:numPr>
          <w:ilvl w:val="0"/>
          <w:numId w:val="5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Trading Day</w:t>
      </w:r>
      <w:r>
        <w:rPr>
          <w:rFonts w:ascii="Times New Roman" w:cs="Times New Roman" w:eastAsia="Times New Roman" w:hAnsi="Times New Roman"/>
          <w:sz w:val="14"/>
          <w:szCs w:val="14"/>
          <w:color w:val="auto"/>
        </w:rPr>
        <w:t>” means any day on which the exchange(s) or market(s) on which Shares are listed, including but not limited to the New York Stock Exchange, Nasdaq Global Select Market, the Nasdaq Global Market, the Nasdaq Capital Market or any successors thereto, is open for trading.</w:t>
      </w:r>
    </w:p>
    <w:p>
      <w:pPr>
        <w:sectPr>
          <w:pgSz w:w="11900" w:h="16840" w:orient="portrait"/>
          <w:cols w:equalWidth="0" w:num="1">
            <w:col w:w="10134"/>
          </w:cols>
          <w:pgMar w:left="1106" w:top="1440" w:right="660" w:bottom="1440" w:gutter="0" w:footer="0" w:header="0"/>
        </w:sectPr>
      </w:pPr>
    </w:p>
    <w:bookmarkStart w:id="411" w:name="page412"/>
    <w:bookmarkEnd w:id="411"/>
    <w:p>
      <w:pPr>
        <w:jc w:val="right"/>
        <w:spacing w:after="0"/>
        <w:rPr>
          <w:sz w:val="20"/>
          <w:szCs w:val="20"/>
          <w:color w:val="auto"/>
        </w:rPr>
      </w:pPr>
      <w:r>
        <w:rPr>
          <w:rFonts w:ascii="Times New Roman" w:cs="Times New Roman" w:eastAsia="Times New Roman" w:hAnsi="Times New Roman"/>
          <w:sz w:val="12"/>
          <w:szCs w:val="12"/>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3060700</wp:posOffset>
            </wp:positionH>
            <wp:positionV relativeFrom="paragraph">
              <wp:posOffset>600710</wp:posOffset>
            </wp:positionV>
            <wp:extent cx="626110" cy="1397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626110" cy="13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color w:val="auto"/>
        </w:rPr>
        <w:t>August 7, 2025</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Ariel Cohen</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Via Email</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 Confirmatory Offer Letter</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Dear Ariel,</w:t>
      </w:r>
    </w:p>
    <w:p>
      <w:pPr>
        <w:spacing w:after="0" w:line="159" w:lineRule="exact"/>
        <w:rPr>
          <w:sz w:val="20"/>
          <w:szCs w:val="20"/>
          <w:color w:val="auto"/>
        </w:rPr>
      </w:pPr>
    </w:p>
    <w:p>
      <w:pPr>
        <w:spacing w:after="0" w:line="295" w:lineRule="auto"/>
        <w:rPr>
          <w:sz w:val="20"/>
          <w:szCs w:val="20"/>
          <w:color w:val="auto"/>
        </w:rPr>
      </w:pPr>
      <w:r>
        <w:rPr>
          <w:rFonts w:ascii="Arial" w:cs="Arial" w:eastAsia="Arial" w:hAnsi="Arial"/>
          <w:sz w:val="12"/>
          <w:szCs w:val="12"/>
          <w:color w:val="auto"/>
        </w:rPr>
        <w:t xml:space="preserve">You are currently employed by Navan, Inc. (the “ </w:t>
      </w:r>
      <w:r>
        <w:rPr>
          <w:rFonts w:ascii="Arial" w:cs="Arial" w:eastAsia="Arial" w:hAnsi="Arial"/>
          <w:sz w:val="12"/>
          <w:szCs w:val="12"/>
          <w:b w:val="1"/>
          <w:bCs w:val="1"/>
          <w:color w:val="auto"/>
        </w:rPr>
        <w:t>Company</w:t>
      </w:r>
      <w:r>
        <w:rPr>
          <w:rFonts w:ascii="Arial" w:cs="Arial" w:eastAsia="Arial" w:hAnsi="Arial"/>
          <w:sz w:val="12"/>
          <w:szCs w:val="12"/>
          <w:color w:val="auto"/>
        </w:rPr>
        <w:t>”) as its Founder and Chief Executive Officer. This confirmatory offer letter confirms the terms and conditions of your employment in that role and is intended to replace and supersede prior agreements between you and the Company.</w:t>
      </w:r>
    </w:p>
    <w:p>
      <w:pPr>
        <w:spacing w:after="0" w:line="101" w:lineRule="exact"/>
        <w:rPr>
          <w:sz w:val="20"/>
          <w:szCs w:val="20"/>
          <w:color w:val="auto"/>
        </w:rPr>
      </w:pPr>
    </w:p>
    <w:p>
      <w:pPr>
        <w:ind w:left="480" w:hanging="244"/>
        <w:spacing w:after="0"/>
        <w:tabs>
          <w:tab w:leader="none" w:pos="480" w:val="left"/>
        </w:tabs>
        <w:numPr>
          <w:ilvl w:val="0"/>
          <w:numId w:val="536"/>
        </w:numPr>
        <w:rPr>
          <w:rFonts w:ascii="Arial" w:cs="Arial" w:eastAsia="Arial" w:hAnsi="Arial"/>
          <w:sz w:val="12"/>
          <w:szCs w:val="12"/>
          <w:color w:val="auto"/>
        </w:rPr>
      </w:pPr>
      <w:r>
        <w:rPr>
          <w:rFonts w:ascii="Arial" w:cs="Arial" w:eastAsia="Arial" w:hAnsi="Arial"/>
          <w:sz w:val="12"/>
          <w:szCs w:val="12"/>
          <w:b w:val="1"/>
          <w:bCs w:val="1"/>
          <w:color w:val="auto"/>
        </w:rPr>
        <w:t>Position</w:t>
      </w:r>
      <w:r>
        <w:rPr>
          <w:rFonts w:ascii="Arial" w:cs="Arial" w:eastAsia="Arial" w:hAnsi="Arial"/>
          <w:sz w:val="12"/>
          <w:szCs w:val="12"/>
          <w:color w:val="auto"/>
        </w:rPr>
        <w:t>. You will continue to serve in a full-time capacity, reporting to the Board (as defined below).</w:t>
      </w:r>
    </w:p>
    <w:p>
      <w:pPr>
        <w:spacing w:after="0" w:line="158" w:lineRule="exact"/>
        <w:rPr>
          <w:rFonts w:ascii="Arial" w:cs="Arial" w:eastAsia="Arial" w:hAnsi="Arial"/>
          <w:sz w:val="12"/>
          <w:szCs w:val="12"/>
          <w:color w:val="auto"/>
        </w:rPr>
      </w:pPr>
    </w:p>
    <w:p>
      <w:pPr>
        <w:ind w:left="480" w:hanging="244"/>
        <w:spacing w:after="0"/>
        <w:tabs>
          <w:tab w:leader="none" w:pos="480" w:val="left"/>
        </w:tabs>
        <w:numPr>
          <w:ilvl w:val="0"/>
          <w:numId w:val="536"/>
        </w:numPr>
        <w:rPr>
          <w:rFonts w:ascii="Arial" w:cs="Arial" w:eastAsia="Arial" w:hAnsi="Arial"/>
          <w:sz w:val="12"/>
          <w:szCs w:val="12"/>
          <w:color w:val="auto"/>
        </w:rPr>
      </w:pPr>
      <w:r>
        <w:rPr>
          <w:rFonts w:ascii="Arial" w:cs="Arial" w:eastAsia="Arial" w:hAnsi="Arial"/>
          <w:sz w:val="12"/>
          <w:szCs w:val="12"/>
          <w:b w:val="1"/>
          <w:bCs w:val="1"/>
          <w:color w:val="auto"/>
        </w:rPr>
        <w:t>Cash Compensation</w:t>
      </w:r>
      <w:r>
        <w:rPr>
          <w:rFonts w:ascii="Arial" w:cs="Arial" w:eastAsia="Arial" w:hAnsi="Arial"/>
          <w:sz w:val="12"/>
          <w:szCs w:val="12"/>
          <w:color w:val="auto"/>
        </w:rPr>
        <w:t>.</w:t>
      </w:r>
    </w:p>
    <w:p>
      <w:pPr>
        <w:spacing w:after="0" w:line="158" w:lineRule="exact"/>
        <w:rPr>
          <w:rFonts w:ascii="Arial" w:cs="Arial" w:eastAsia="Arial" w:hAnsi="Arial"/>
          <w:sz w:val="12"/>
          <w:szCs w:val="12"/>
          <w:color w:val="auto"/>
        </w:rPr>
      </w:pPr>
    </w:p>
    <w:p>
      <w:pPr>
        <w:ind w:left="460"/>
        <w:spacing w:after="0" w:line="295" w:lineRule="auto"/>
        <w:rPr>
          <w:rFonts w:ascii="Arial" w:cs="Arial" w:eastAsia="Arial" w:hAnsi="Arial"/>
          <w:sz w:val="12"/>
          <w:szCs w:val="12"/>
          <w:color w:val="auto"/>
        </w:rPr>
      </w:pPr>
      <w:r>
        <w:rPr>
          <w:rFonts w:ascii="Arial" w:cs="Arial" w:eastAsia="Arial" w:hAnsi="Arial"/>
          <w:sz w:val="12"/>
          <w:szCs w:val="12"/>
          <w:color w:val="auto"/>
        </w:rPr>
        <w:t>Your salary will continue to be paid at the rate of USD $1,000,000 on an annualized basis, which will be paid in accordance with the Company’s normal payroll procedures and subject to applicable payroll withholdings and deductions.</w:t>
      </w:r>
    </w:p>
    <w:p>
      <w:pPr>
        <w:spacing w:after="0" w:line="100" w:lineRule="exact"/>
        <w:rPr>
          <w:rFonts w:ascii="Arial" w:cs="Arial" w:eastAsia="Arial" w:hAnsi="Arial"/>
          <w:sz w:val="12"/>
          <w:szCs w:val="12"/>
          <w:color w:val="auto"/>
        </w:rPr>
      </w:pPr>
    </w:p>
    <w:p>
      <w:pPr>
        <w:ind w:left="460"/>
        <w:spacing w:after="0" w:line="295" w:lineRule="auto"/>
        <w:rPr>
          <w:rFonts w:ascii="Arial" w:cs="Arial" w:eastAsia="Arial" w:hAnsi="Arial"/>
          <w:sz w:val="12"/>
          <w:szCs w:val="12"/>
          <w:color w:val="auto"/>
        </w:rPr>
      </w:pPr>
      <w:r>
        <w:rPr>
          <w:rFonts w:ascii="Arial" w:cs="Arial" w:eastAsia="Arial" w:hAnsi="Arial"/>
          <w:sz w:val="12"/>
          <w:szCs w:val="12"/>
          <w:color w:val="auto"/>
        </w:rPr>
        <w:t>As an exempt salaried employee, you will be expected to work the Company’s normal business hours as well as additional hours as required by the nature of your work assignments, and you will not be eligible for overtime compensation.</w:t>
      </w:r>
    </w:p>
    <w:p>
      <w:pPr>
        <w:spacing w:after="0" w:line="100" w:lineRule="exact"/>
        <w:rPr>
          <w:rFonts w:ascii="Arial" w:cs="Arial" w:eastAsia="Arial" w:hAnsi="Arial"/>
          <w:sz w:val="12"/>
          <w:szCs w:val="12"/>
          <w:color w:val="auto"/>
        </w:rPr>
      </w:pPr>
    </w:p>
    <w:p>
      <w:pPr>
        <w:jc w:val="both"/>
        <w:ind w:left="460"/>
        <w:spacing w:after="0" w:line="256" w:lineRule="auto"/>
        <w:rPr>
          <w:rFonts w:ascii="Arial" w:cs="Arial" w:eastAsia="Arial" w:hAnsi="Arial"/>
          <w:sz w:val="12"/>
          <w:szCs w:val="12"/>
          <w:color w:val="auto"/>
        </w:rPr>
      </w:pPr>
      <w:r>
        <w:rPr>
          <w:rFonts w:ascii="Arial" w:cs="Arial" w:eastAsia="Arial" w:hAnsi="Arial"/>
          <w:sz w:val="12"/>
          <w:szCs w:val="12"/>
          <w:color w:val="auto"/>
        </w:rPr>
        <w:t>You will also continue to be eligible to earn a discretionary bonus, which for fiscal 2026 is an annual award. The amount of each bonus will be determined in the sole discretion by the Compensation Committee (the “</w:t>
      </w:r>
      <w:r>
        <w:rPr>
          <w:rFonts w:ascii="Arial" w:cs="Arial" w:eastAsia="Arial" w:hAnsi="Arial"/>
          <w:sz w:val="12"/>
          <w:szCs w:val="12"/>
          <w:b w:val="1"/>
          <w:bCs w:val="1"/>
          <w:color w:val="auto"/>
        </w:rPr>
        <w:t>Committee</w:t>
      </w:r>
      <w:r>
        <w:rPr>
          <w:rFonts w:ascii="Arial" w:cs="Arial" w:eastAsia="Arial" w:hAnsi="Arial"/>
          <w:sz w:val="12"/>
          <w:szCs w:val="12"/>
          <w:color w:val="auto"/>
        </w:rPr>
        <w:t xml:space="preserve">”) of the Company’s Board of Directors (the “ </w:t>
      </w:r>
      <w:r>
        <w:rPr>
          <w:rFonts w:ascii="Arial" w:cs="Arial" w:eastAsia="Arial" w:hAnsi="Arial"/>
          <w:sz w:val="12"/>
          <w:szCs w:val="12"/>
          <w:b w:val="1"/>
          <w:bCs w:val="1"/>
          <w:color w:val="auto"/>
        </w:rPr>
        <w:t>Board</w:t>
      </w:r>
      <w:r>
        <w:rPr>
          <w:rFonts w:ascii="Arial" w:cs="Arial" w:eastAsia="Arial" w:hAnsi="Arial"/>
          <w:sz w:val="12"/>
          <w:szCs w:val="12"/>
          <w:color w:val="auto"/>
        </w:rPr>
        <w:t>”) or the Board, in their respective discretion and based, in part, on your performance or the performance of the Company during the applicable fiscal year, as well as any other criteria the Board or Committee deems relevant. If the Board or Committee determines that a bonus is payable for any fiscal year, the Company will pay you this bonus (subject to applicable payroll withholdings and deductions) no later than the 15th day of the third month following the end of the applicable fiscal year. Please note, however, that the bonus is not earned until it is paid, and no pro-rated amount will be paid if your employment terminates for any reason prior to the payment date, except as may be provided in your Severance Agreement (as defined below). The current target bonus opportunity for you for fiscal 2026 is $400,000. Your bonus opportunity for future fiscal years will be determined by the Committee or the Board in their respective discretion. In addition, the Board or the Committee may, in their respective direction, grant you discretionary bonuses from time to time.</w:t>
      </w:r>
    </w:p>
    <w:p>
      <w:pPr>
        <w:spacing w:after="0" w:line="123"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2"/>
          <w:szCs w:val="12"/>
          <w:color w:val="auto"/>
        </w:rPr>
        <w:t>Your compensation is subject to annual review and adjustment by the Company in its sole discretion.</w:t>
      </w:r>
    </w:p>
    <w:p>
      <w:pPr>
        <w:spacing w:after="0" w:line="158" w:lineRule="exact"/>
        <w:rPr>
          <w:rFonts w:ascii="Arial" w:cs="Arial" w:eastAsia="Arial" w:hAnsi="Arial"/>
          <w:sz w:val="12"/>
          <w:szCs w:val="12"/>
          <w:color w:val="auto"/>
        </w:rPr>
      </w:pPr>
    </w:p>
    <w:p>
      <w:pPr>
        <w:ind w:left="460" w:hanging="224"/>
        <w:spacing w:after="0" w:line="295" w:lineRule="auto"/>
        <w:tabs>
          <w:tab w:leader="none" w:pos="537" w:val="left"/>
        </w:tabs>
        <w:numPr>
          <w:ilvl w:val="0"/>
          <w:numId w:val="536"/>
        </w:numPr>
        <w:rPr>
          <w:rFonts w:ascii="Arial" w:cs="Arial" w:eastAsia="Arial" w:hAnsi="Arial"/>
          <w:sz w:val="12"/>
          <w:szCs w:val="12"/>
          <w:color w:val="auto"/>
        </w:rPr>
      </w:pPr>
      <w:r>
        <w:rPr>
          <w:rFonts w:ascii="Arial" w:cs="Arial" w:eastAsia="Arial" w:hAnsi="Arial"/>
          <w:sz w:val="12"/>
          <w:szCs w:val="12"/>
          <w:b w:val="1"/>
          <w:bCs w:val="1"/>
          <w:color w:val="auto"/>
        </w:rPr>
        <w:t>Equity</w:t>
      </w:r>
      <w:r>
        <w:rPr>
          <w:rFonts w:ascii="Arial" w:cs="Arial" w:eastAsia="Arial" w:hAnsi="Arial"/>
          <w:sz w:val="12"/>
          <w:szCs w:val="12"/>
          <w:color w:val="auto"/>
        </w:rPr>
        <w:t>. You have previously been granted one or more equity awards by the Company, which will continue to be governed in all respects by the terms of the applicable equity</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agreements, grant notices, and equity plans, except to the extent superseded by the Severance Agreement (as defined below).</w:t>
      </w:r>
    </w:p>
    <w:p>
      <w:pPr>
        <w:sectPr>
          <w:pgSz w:w="11900" w:h="16840" w:orient="portrait"/>
          <w:cols w:equalWidth="0" w:num="1">
            <w:col w:w="10600"/>
          </w:cols>
          <w:pgMar w:left="640" w:top="557" w:right="660" w:bottom="1440" w:gutter="0" w:footer="0" w:header="0"/>
        </w:sectPr>
      </w:pPr>
    </w:p>
    <w:bookmarkStart w:id="412" w:name="page413"/>
    <w:bookmarkEnd w:id="412"/>
    <w:p>
      <w:pPr>
        <w:spacing w:after="0" w:line="39" w:lineRule="exact"/>
        <w:rPr>
          <w:sz w:val="20"/>
          <w:szCs w:val="20"/>
          <w:color w:val="auto"/>
        </w:rPr>
      </w:pPr>
    </w:p>
    <w:p>
      <w:pPr>
        <w:jc w:val="both"/>
        <w:ind w:left="224" w:right="60" w:hanging="224"/>
        <w:spacing w:after="0" w:line="265" w:lineRule="auto"/>
        <w:tabs>
          <w:tab w:leader="none" w:pos="243" w:val="left"/>
        </w:tabs>
        <w:numPr>
          <w:ilvl w:val="0"/>
          <w:numId w:val="537"/>
        </w:numPr>
        <w:rPr>
          <w:rFonts w:ascii="Arial" w:cs="Arial" w:eastAsia="Arial" w:hAnsi="Arial"/>
          <w:sz w:val="12"/>
          <w:szCs w:val="12"/>
          <w:color w:val="auto"/>
        </w:rPr>
      </w:pPr>
      <w:r>
        <w:rPr>
          <w:rFonts w:ascii="Arial" w:cs="Arial" w:eastAsia="Arial" w:hAnsi="Arial"/>
          <w:sz w:val="12"/>
          <w:szCs w:val="12"/>
          <w:b w:val="1"/>
          <w:bCs w:val="1"/>
          <w:color w:val="auto"/>
        </w:rPr>
        <w:t>Employee Benefits</w:t>
      </w:r>
      <w:r>
        <w:rPr>
          <w:rFonts w:ascii="Arial" w:cs="Arial" w:eastAsia="Arial" w:hAnsi="Arial"/>
          <w:sz w:val="12"/>
          <w:szCs w:val="12"/>
          <w:color w:val="auto"/>
        </w:rPr>
        <w:t>. As a regular full-time employee of the Company, you will continue to be eligible to participate in Company-sponsored benefits in accordance with the terms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Company’s policies and benefits plans. In addition, you will continue to be entitled to paid-time off in accordance with the Company’s policies, as in effect from time to time. Information regarding coverage, eligibility, and other information regarding these benefits is set forth in more detailed documents that are available from the Company. The Company may, from time to time, in its sole discretion, modify or eliminate its policies and benefits offered to employees.</w:t>
      </w:r>
    </w:p>
    <w:p>
      <w:pPr>
        <w:spacing w:after="0" w:line="117" w:lineRule="exact"/>
        <w:rPr>
          <w:rFonts w:ascii="Arial" w:cs="Arial" w:eastAsia="Arial" w:hAnsi="Arial"/>
          <w:sz w:val="12"/>
          <w:szCs w:val="12"/>
          <w:color w:val="auto"/>
        </w:rPr>
      </w:pPr>
    </w:p>
    <w:p>
      <w:pPr>
        <w:ind w:left="244" w:hanging="244"/>
        <w:spacing w:after="0"/>
        <w:tabs>
          <w:tab w:leader="none" w:pos="244" w:val="left"/>
        </w:tabs>
        <w:numPr>
          <w:ilvl w:val="0"/>
          <w:numId w:val="537"/>
        </w:numPr>
        <w:rPr>
          <w:rFonts w:ascii="Arial" w:cs="Arial" w:eastAsia="Arial" w:hAnsi="Arial"/>
          <w:sz w:val="12"/>
          <w:szCs w:val="12"/>
          <w:color w:val="auto"/>
        </w:rPr>
      </w:pPr>
      <w:r>
        <w:rPr>
          <w:rFonts w:ascii="Arial" w:cs="Arial" w:eastAsia="Arial" w:hAnsi="Arial"/>
          <w:sz w:val="12"/>
          <w:szCs w:val="12"/>
          <w:b w:val="1"/>
          <w:bCs w:val="1"/>
          <w:color w:val="212121"/>
        </w:rPr>
        <w:t xml:space="preserve">Company Policies. </w:t>
      </w:r>
      <w:r>
        <w:rPr>
          <w:rFonts w:ascii="Arial" w:cs="Arial" w:eastAsia="Arial" w:hAnsi="Arial"/>
          <w:sz w:val="12"/>
          <w:szCs w:val="12"/>
          <w:color w:val="212121"/>
        </w:rPr>
        <w:t>You will continue to be expected to abide by Company policies and procedures, as in effect from time to time.</w:t>
      </w:r>
    </w:p>
    <w:p>
      <w:pPr>
        <w:spacing w:after="0" w:line="158" w:lineRule="exact"/>
        <w:rPr>
          <w:rFonts w:ascii="Arial" w:cs="Arial" w:eastAsia="Arial" w:hAnsi="Arial"/>
          <w:sz w:val="12"/>
          <w:szCs w:val="12"/>
          <w:color w:val="auto"/>
        </w:rPr>
      </w:pPr>
    </w:p>
    <w:p>
      <w:pPr>
        <w:ind w:left="224" w:right="80" w:hanging="224"/>
        <w:spacing w:after="0" w:line="295" w:lineRule="auto"/>
        <w:tabs>
          <w:tab w:leader="none" w:pos="272" w:val="left"/>
        </w:tabs>
        <w:numPr>
          <w:ilvl w:val="0"/>
          <w:numId w:val="537"/>
        </w:numPr>
        <w:rPr>
          <w:rFonts w:ascii="Arial" w:cs="Arial" w:eastAsia="Arial" w:hAnsi="Arial"/>
          <w:sz w:val="12"/>
          <w:szCs w:val="12"/>
          <w:color w:val="auto"/>
        </w:rPr>
      </w:pPr>
      <w:r>
        <w:rPr>
          <w:rFonts w:ascii="Arial" w:cs="Arial" w:eastAsia="Arial" w:hAnsi="Arial"/>
          <w:sz w:val="12"/>
          <w:szCs w:val="12"/>
          <w:b w:val="1"/>
          <w:bCs w:val="1"/>
          <w:color w:val="auto"/>
        </w:rPr>
        <w:t>At-Will Employment</w:t>
      </w:r>
      <w:r>
        <w:rPr>
          <w:rFonts w:ascii="Arial" w:cs="Arial" w:eastAsia="Arial" w:hAnsi="Arial"/>
          <w:sz w:val="12"/>
          <w:szCs w:val="12"/>
          <w:color w:val="auto"/>
        </w:rPr>
        <w:t>. Your employment with the Company is for no specified period and constitutes at-will employment. Accordingly, you may terminate your employment with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at any time simply by notifying the Company, and the Company may terminate your employment at any time for any reason, with or without advance notice.</w:t>
      </w:r>
    </w:p>
    <w:p>
      <w:pPr>
        <w:spacing w:after="0" w:line="100" w:lineRule="exact"/>
        <w:rPr>
          <w:rFonts w:ascii="Arial" w:cs="Arial" w:eastAsia="Arial" w:hAnsi="Arial"/>
          <w:sz w:val="12"/>
          <w:szCs w:val="12"/>
          <w:color w:val="auto"/>
        </w:rPr>
      </w:pPr>
    </w:p>
    <w:p>
      <w:pPr>
        <w:jc w:val="both"/>
        <w:ind w:left="224" w:right="60" w:hanging="224"/>
        <w:spacing w:after="0" w:line="268" w:lineRule="auto"/>
        <w:tabs>
          <w:tab w:leader="none" w:pos="243" w:val="left"/>
        </w:tabs>
        <w:numPr>
          <w:ilvl w:val="0"/>
          <w:numId w:val="537"/>
        </w:numPr>
        <w:rPr>
          <w:rFonts w:ascii="Arial" w:cs="Arial" w:eastAsia="Arial" w:hAnsi="Arial"/>
          <w:sz w:val="12"/>
          <w:szCs w:val="12"/>
          <w:color w:val="auto"/>
        </w:rPr>
      </w:pPr>
      <w:r>
        <w:rPr>
          <w:rFonts w:ascii="Arial" w:cs="Arial" w:eastAsia="Arial" w:hAnsi="Arial"/>
          <w:sz w:val="12"/>
          <w:szCs w:val="12"/>
          <w:b w:val="1"/>
          <w:bCs w:val="1"/>
          <w:color w:val="auto"/>
        </w:rPr>
        <w:t>Employee Confidentiality and Invention Assignment</w:t>
      </w:r>
      <w:r>
        <w:rPr>
          <w:rFonts w:ascii="Arial" w:cs="Arial" w:eastAsia="Arial" w:hAnsi="Arial"/>
          <w:sz w:val="12"/>
          <w:szCs w:val="12"/>
          <w:color w:val="auto"/>
        </w:rPr>
        <w:t>. As an employee of the Company, you will continue to have access to certain confidential information of the Company and you</w:t>
      </w:r>
      <w:r>
        <w:rPr>
          <w:rFonts w:ascii="Arial" w:cs="Arial" w:eastAsia="Arial" w:hAnsi="Arial"/>
          <w:sz w:val="12"/>
          <w:szCs w:val="12"/>
          <w:b w:val="1"/>
          <w:bCs w:val="1"/>
          <w:color w:val="auto"/>
        </w:rPr>
        <w:t xml:space="preserve"> </w:t>
      </w:r>
      <w:r>
        <w:rPr>
          <w:rFonts w:ascii="Arial" w:cs="Arial" w:eastAsia="Arial" w:hAnsi="Arial"/>
          <w:sz w:val="12"/>
          <w:szCs w:val="12"/>
          <w:color w:val="auto"/>
        </w:rPr>
        <w:t>may, during the course of your employment, develop certain information or inventions that will be the property of the Company. To protect the interests of the Company, your acceptance of this letter agreement confirms that the terms of the Employee Invention Assignment and Confidentiality Agreement you previously signed with the Company (the “</w:t>
      </w:r>
      <w:r>
        <w:rPr>
          <w:rFonts w:ascii="Arial" w:cs="Arial" w:eastAsia="Arial" w:hAnsi="Arial"/>
          <w:sz w:val="12"/>
          <w:szCs w:val="12"/>
          <w:b w:val="1"/>
          <w:bCs w:val="1"/>
          <w:color w:val="auto"/>
        </w:rPr>
        <w:t>EIACA</w:t>
      </w:r>
      <w:r>
        <w:rPr>
          <w:rFonts w:ascii="Arial" w:cs="Arial" w:eastAsia="Arial" w:hAnsi="Arial"/>
          <w:sz w:val="12"/>
          <w:szCs w:val="12"/>
          <w:color w:val="auto"/>
        </w:rPr>
        <w:t>”) still apply.</w:t>
      </w:r>
    </w:p>
    <w:p>
      <w:pPr>
        <w:spacing w:after="0" w:line="264" w:lineRule="exact"/>
        <w:rPr>
          <w:rFonts w:ascii="Arial" w:cs="Arial" w:eastAsia="Arial" w:hAnsi="Arial"/>
          <w:sz w:val="12"/>
          <w:szCs w:val="12"/>
          <w:color w:val="auto"/>
        </w:rPr>
      </w:pPr>
    </w:p>
    <w:p>
      <w:pPr>
        <w:jc w:val="both"/>
        <w:ind w:left="224" w:right="60" w:hanging="224"/>
        <w:spacing w:after="0" w:line="272" w:lineRule="auto"/>
        <w:tabs>
          <w:tab w:leader="none" w:pos="272" w:val="left"/>
        </w:tabs>
        <w:numPr>
          <w:ilvl w:val="0"/>
          <w:numId w:val="537"/>
        </w:numPr>
        <w:rPr>
          <w:rFonts w:ascii="Arial" w:cs="Arial" w:eastAsia="Arial" w:hAnsi="Arial"/>
          <w:sz w:val="12"/>
          <w:szCs w:val="12"/>
          <w:color w:val="auto"/>
        </w:rPr>
      </w:pPr>
      <w:r>
        <w:rPr>
          <w:rFonts w:ascii="Arial" w:cs="Arial" w:eastAsia="Arial" w:hAnsi="Arial"/>
          <w:sz w:val="12"/>
          <w:szCs w:val="12"/>
          <w:b w:val="1"/>
          <w:bCs w:val="1"/>
          <w:color w:val="auto"/>
        </w:rPr>
        <w:t>Severance</w:t>
      </w:r>
      <w:r>
        <w:rPr>
          <w:rFonts w:ascii="Arial" w:cs="Arial" w:eastAsia="Arial" w:hAnsi="Arial"/>
          <w:sz w:val="12"/>
          <w:szCs w:val="12"/>
          <w:color w:val="auto"/>
        </w:rPr>
        <w:t>. The Change in Control and Severance Agreement (the “</w:t>
      </w:r>
      <w:r>
        <w:rPr>
          <w:rFonts w:ascii="Arial" w:cs="Arial" w:eastAsia="Arial" w:hAnsi="Arial"/>
          <w:sz w:val="12"/>
          <w:szCs w:val="12"/>
          <w:b w:val="1"/>
          <w:bCs w:val="1"/>
          <w:color w:val="auto"/>
        </w:rPr>
        <w:t xml:space="preserve"> Severance Agreement</w:t>
      </w:r>
      <w:r>
        <w:rPr>
          <w:rFonts w:ascii="Arial" w:cs="Arial" w:eastAsia="Arial" w:hAnsi="Arial"/>
          <w:sz w:val="12"/>
          <w:szCs w:val="12"/>
          <w:color w:val="auto"/>
        </w:rPr>
        <w:t>”) you previously entered into with the Company will continue to apply. The Severance</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supersedes all other severance payments and benefits you would otherwise be eligible for, or would become eligible for in the future, under any plan, program or policy that the Company may have in effect from time to time.</w:t>
      </w:r>
    </w:p>
    <w:p>
      <w:pPr>
        <w:spacing w:after="0" w:line="114" w:lineRule="exact"/>
        <w:rPr>
          <w:rFonts w:ascii="Arial" w:cs="Arial" w:eastAsia="Arial" w:hAnsi="Arial"/>
          <w:sz w:val="12"/>
          <w:szCs w:val="12"/>
          <w:color w:val="auto"/>
        </w:rPr>
      </w:pPr>
    </w:p>
    <w:p>
      <w:pPr>
        <w:ind w:left="224" w:hanging="224"/>
        <w:spacing w:after="0" w:line="261" w:lineRule="auto"/>
        <w:tabs>
          <w:tab w:leader="none" w:pos="233" w:val="left"/>
        </w:tabs>
        <w:numPr>
          <w:ilvl w:val="0"/>
          <w:numId w:val="537"/>
        </w:numPr>
        <w:rPr>
          <w:rFonts w:ascii="Arial" w:cs="Arial" w:eastAsia="Arial" w:hAnsi="Arial"/>
          <w:sz w:val="12"/>
          <w:szCs w:val="12"/>
          <w:color w:val="auto"/>
        </w:rPr>
      </w:pPr>
      <w:r>
        <w:rPr>
          <w:rFonts w:ascii="Arial" w:cs="Arial" w:eastAsia="Arial" w:hAnsi="Arial"/>
          <w:sz w:val="12"/>
          <w:szCs w:val="12"/>
          <w:b w:val="1"/>
          <w:bCs w:val="1"/>
          <w:color w:val="212121"/>
        </w:rPr>
        <w:t xml:space="preserve">No Prior Conflicts and Duty of Loyalty. Y </w:t>
      </w:r>
      <w:r>
        <w:rPr>
          <w:rFonts w:ascii="Arial" w:cs="Arial" w:eastAsia="Arial" w:hAnsi="Arial"/>
          <w:sz w:val="12"/>
          <w:szCs w:val="12"/>
          <w:color w:val="212121"/>
        </w:rPr>
        <w:t>ou confirm that you are able to carry out your duties without breaching any legal restrictions imposed by a current or former employer or other</w:t>
      </w:r>
      <w:r>
        <w:rPr>
          <w:rFonts w:ascii="Arial" w:cs="Arial" w:eastAsia="Arial" w:hAnsi="Arial"/>
          <w:sz w:val="12"/>
          <w:szCs w:val="12"/>
          <w:b w:val="1"/>
          <w:bCs w:val="1"/>
          <w:color w:val="212121"/>
        </w:rPr>
        <w:t xml:space="preserve"> </w:t>
      </w:r>
      <w:r>
        <w:rPr>
          <w:rFonts w:ascii="Arial" w:cs="Arial" w:eastAsia="Arial" w:hAnsi="Arial"/>
          <w:sz w:val="12"/>
          <w:szCs w:val="12"/>
          <w:color w:val="212121"/>
        </w:rPr>
        <w:t>third party to whom you have contractual obligations. You also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the performance of your duties hereunder or present a conflict of interest with the Company, nor will you assist any other person or organization in competing with the Company or in preparing to engage in competition with the business or proposed business of the Company.</w:t>
      </w:r>
    </w:p>
    <w:p>
      <w:pPr>
        <w:spacing w:after="0" w:line="120" w:lineRule="exact"/>
        <w:rPr>
          <w:rFonts w:ascii="Arial" w:cs="Arial" w:eastAsia="Arial" w:hAnsi="Arial"/>
          <w:sz w:val="12"/>
          <w:szCs w:val="12"/>
          <w:color w:val="auto"/>
        </w:rPr>
      </w:pPr>
    </w:p>
    <w:p>
      <w:pPr>
        <w:jc w:val="both"/>
        <w:ind w:left="224" w:right="40" w:hanging="224"/>
        <w:spacing w:after="0" w:line="256" w:lineRule="auto"/>
        <w:tabs>
          <w:tab w:leader="none" w:pos="310" w:val="left"/>
        </w:tabs>
        <w:numPr>
          <w:ilvl w:val="0"/>
          <w:numId w:val="537"/>
        </w:numPr>
        <w:rPr>
          <w:rFonts w:ascii="Arial" w:cs="Arial" w:eastAsia="Arial" w:hAnsi="Arial"/>
          <w:sz w:val="12"/>
          <w:szCs w:val="12"/>
          <w:color w:val="auto"/>
        </w:rPr>
      </w:pPr>
      <w:r>
        <w:rPr>
          <w:rFonts w:ascii="Arial" w:cs="Arial" w:eastAsia="Arial" w:hAnsi="Arial"/>
          <w:sz w:val="12"/>
          <w:szCs w:val="12"/>
          <w:b w:val="1"/>
          <w:bCs w:val="1"/>
          <w:color w:val="auto"/>
        </w:rPr>
        <w:t xml:space="preserve">Protected Activity Not Prohibited </w:t>
      </w:r>
      <w:r>
        <w:rPr>
          <w:rFonts w:ascii="Arial" w:cs="Arial" w:eastAsia="Arial" w:hAnsi="Arial"/>
          <w:sz w:val="12"/>
          <w:szCs w:val="12"/>
          <w:color w:val="auto"/>
        </w:rPr>
        <w:t>. You understand that nothing in this letter agreement or the EIACA limits or prohibits you from filing and/or pursuing a charge or complaint with, or</w:t>
      </w:r>
      <w:r>
        <w:rPr>
          <w:rFonts w:ascii="Arial" w:cs="Arial" w:eastAsia="Arial" w:hAnsi="Arial"/>
          <w:sz w:val="12"/>
          <w:szCs w:val="12"/>
          <w:b w:val="1"/>
          <w:bCs w:val="1"/>
          <w:color w:val="auto"/>
        </w:rPr>
        <w:t xml:space="preserve"> </w:t>
      </w:r>
      <w:r>
        <w:rPr>
          <w:rFonts w:ascii="Arial" w:cs="Arial" w:eastAsia="Arial" w:hAnsi="Arial"/>
          <w:sz w:val="12"/>
          <w:szCs w:val="12"/>
          <w:color w:val="auto"/>
        </w:rPr>
        <w:t>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Arial" w:cs="Arial" w:eastAsia="Arial" w:hAnsi="Arial"/>
          <w:sz w:val="12"/>
          <w:szCs w:val="12"/>
          <w:b w:val="1"/>
          <w:bCs w:val="1"/>
          <w:color w:val="auto"/>
        </w:rPr>
        <w:t>Government Agencies</w:t>
      </w:r>
      <w:r>
        <w:rPr>
          <w:rFonts w:ascii="Arial" w:cs="Arial" w:eastAsia="Arial" w:hAnsi="Arial"/>
          <w:sz w:val="12"/>
          <w:szCs w:val="12"/>
          <w:color w:val="auto"/>
        </w:rPr>
        <w:t>”), including disclosing documents or other information as permitted by law. Further, nothing in this letter agreement or the EIACA will in any way limit or prohibit you from discussing or disclosing either orally or in writing, any alleged discriminatory or unfair employment practice (including, without limitation, any underlying facts of any alleged discriminatory or unfair employment practice). In addition, you understand that nothing in this letter agreement or the EIACA, including its definition of “Proprietary Information,” prevents you from discussing or disclosing information about unlawful acts in the workplace, such as harassment or discrimination or any other conduct that you have reason to believe is unlawful. Notwithstanding the preceding,</w:t>
      </w:r>
    </w:p>
    <w:p>
      <w:pPr>
        <w:sectPr>
          <w:pgSz w:w="11900" w:h="16840" w:orient="portrait"/>
          <w:cols w:equalWidth="0" w:num="1">
            <w:col w:w="10424"/>
          </w:cols>
          <w:pgMar w:left="876" w:top="1440" w:right="600" w:bottom="1440" w:gutter="0" w:footer="0" w:header="0"/>
        </w:sectPr>
      </w:pPr>
    </w:p>
    <w:bookmarkStart w:id="413" w:name="page414"/>
    <w:bookmarkEnd w:id="413"/>
    <w:p>
      <w:pPr>
        <w:spacing w:after="0" w:line="39" w:lineRule="exact"/>
        <w:rPr>
          <w:sz w:val="20"/>
          <w:szCs w:val="20"/>
          <w:color w:val="auto"/>
        </w:rPr>
      </w:pPr>
    </w:p>
    <w:p>
      <w:pPr>
        <w:jc w:val="both"/>
        <w:ind w:left="224" w:right="20"/>
        <w:spacing w:after="0" w:line="257" w:lineRule="auto"/>
        <w:rPr>
          <w:sz w:val="20"/>
          <w:szCs w:val="20"/>
          <w:color w:val="auto"/>
        </w:rPr>
      </w:pPr>
      <w:r>
        <w:rPr>
          <w:rFonts w:ascii="Arial" w:cs="Arial" w:eastAsia="Arial" w:hAnsi="Arial"/>
          <w:sz w:val="12"/>
          <w:szCs w:val="12"/>
          <w:color w:val="auto"/>
        </w:rPr>
        <w:t xml:space="preserve">you agree to take all reasonable precautions to prevent any unauthorized use or disclosure of any Company trade secrets, proprietary information, or confidential information that does not involve unlawful acts in the workplace or the activity otherwise protected herein. You further understand that you are not permitted to disclose the Company’s attorney-client privileged communications or attorney work product. In addition, you hereby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12"/>
          <w:szCs w:val="12"/>
          <w:u w:val="single" w:color="auto"/>
          <w:color w:val="auto"/>
        </w:rPr>
        <w:t>Exhibit A</w:t>
      </w:r>
      <w:r>
        <w:rPr>
          <w:rFonts w:ascii="Arial" w:cs="Arial" w:eastAsia="Arial" w:hAnsi="Arial"/>
          <w:sz w:val="12"/>
          <w:szCs w:val="12"/>
          <w:color w:val="auto"/>
        </w:rPr>
        <w:t>. Finally, you understand that nothing in this letter agreement or the EIACA, including its definition of “Proprietary Information,” (i) limits employees’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w:t>
      </w:r>
    </w:p>
    <w:p>
      <w:pPr>
        <w:spacing w:after="0" w:line="200" w:lineRule="exact"/>
        <w:rPr>
          <w:sz w:val="20"/>
          <w:szCs w:val="20"/>
          <w:color w:val="auto"/>
        </w:rPr>
      </w:pPr>
    </w:p>
    <w:p>
      <w:pPr>
        <w:spacing w:after="0" w:line="201" w:lineRule="exact"/>
        <w:rPr>
          <w:sz w:val="20"/>
          <w:szCs w:val="20"/>
          <w:color w:val="auto"/>
        </w:rPr>
      </w:pPr>
    </w:p>
    <w:p>
      <w:pPr>
        <w:ind w:left="224" w:hanging="224"/>
        <w:spacing w:after="0" w:line="257" w:lineRule="auto"/>
        <w:tabs>
          <w:tab w:leader="none" w:pos="300" w:val="left"/>
        </w:tabs>
        <w:numPr>
          <w:ilvl w:val="0"/>
          <w:numId w:val="538"/>
        </w:numPr>
        <w:rPr>
          <w:rFonts w:ascii="Arial" w:cs="Arial" w:eastAsia="Arial" w:hAnsi="Arial"/>
          <w:sz w:val="12"/>
          <w:szCs w:val="12"/>
          <w:color w:val="212121"/>
        </w:rPr>
      </w:pPr>
      <w:r>
        <w:rPr>
          <w:rFonts w:ascii="Arial" w:cs="Arial" w:eastAsia="Arial" w:hAnsi="Arial"/>
          <w:sz w:val="12"/>
          <w:szCs w:val="12"/>
          <w:b w:val="1"/>
          <w:bCs w:val="1"/>
          <w:color w:val="212121"/>
        </w:rPr>
        <w:t>Dispute Resolution</w:t>
      </w:r>
      <w:r>
        <w:rPr>
          <w:rFonts w:ascii="Arial" w:cs="Arial" w:eastAsia="Arial" w:hAnsi="Arial"/>
          <w:sz w:val="12"/>
          <w:szCs w:val="12"/>
          <w:color w:val="212121"/>
        </w:rPr>
        <w:t>. There may be times when you and the Company have differences or disputes come up that need to be resolved through a more formal process. We all hope that</w:t>
      </w:r>
      <w:r>
        <w:rPr>
          <w:rFonts w:ascii="Arial" w:cs="Arial" w:eastAsia="Arial" w:hAnsi="Arial"/>
          <w:sz w:val="12"/>
          <w:szCs w:val="12"/>
          <w:b w:val="1"/>
          <w:bCs w:val="1"/>
          <w:color w:val="212121"/>
        </w:rPr>
        <w:t xml:space="preserve"> </w:t>
      </w:r>
      <w:r>
        <w:rPr>
          <w:rFonts w:ascii="Arial" w:cs="Arial" w:eastAsia="Arial" w:hAnsi="Arial"/>
          <w:sz w:val="12"/>
          <w:szCs w:val="12"/>
          <w:color w:val="212121"/>
        </w:rPr>
        <w:t xml:space="preserve">doesn’t happen. But in case it does, both you and the Company agree to resolve any and all claims, disputes or controversies that either you may have against the Company or that the Company have against you arising out of, relating to, or having any connection to your application for employment, your employment with the Company, and/or the cessation of your employment exclusively through binding arbitration; the arbitration will be held before a single arbitrator to be administered by a neutral dispute resolution agency agreed upon by the parties at the time of the dispute. If you and the Company cannot agree, the American Arbitration Association (“ </w:t>
      </w:r>
      <w:r>
        <w:rPr>
          <w:rFonts w:ascii="Arial" w:cs="Arial" w:eastAsia="Arial" w:hAnsi="Arial"/>
          <w:sz w:val="12"/>
          <w:szCs w:val="12"/>
          <w:b w:val="1"/>
          <w:bCs w:val="1"/>
          <w:color w:val="212121"/>
        </w:rPr>
        <w:t>AAA</w:t>
      </w:r>
      <w:r>
        <w:rPr>
          <w:rFonts w:ascii="Arial" w:cs="Arial" w:eastAsia="Arial" w:hAnsi="Arial"/>
          <w:sz w:val="12"/>
          <w:szCs w:val="12"/>
          <w:color w:val="212121"/>
        </w:rPr>
        <w:t>”) will administer the arbitration pursuant to the AAA’s Employment Arbitration Rules (“</w:t>
      </w:r>
      <w:r>
        <w:rPr>
          <w:rFonts w:ascii="Arial" w:cs="Arial" w:eastAsia="Arial" w:hAnsi="Arial"/>
          <w:sz w:val="12"/>
          <w:szCs w:val="12"/>
          <w:b w:val="1"/>
          <w:bCs w:val="1"/>
          <w:color w:val="212121"/>
        </w:rPr>
        <w:t>AAA Rules</w:t>
      </w:r>
      <w:r>
        <w:rPr>
          <w:rFonts w:ascii="Arial" w:cs="Arial" w:eastAsia="Arial" w:hAnsi="Arial"/>
          <w:sz w:val="12"/>
          <w:szCs w:val="12"/>
          <w:color w:val="212121"/>
        </w:rPr>
        <w:t>”). Copies of AAA’s Rules are available on AAA’s website (www.adr.org) or upon request to the Legal Team (legal@navan.com). If there is any conflict between the Rules and the terms of this letter agreement, the language in this letter agreement will control.</w:t>
      </w:r>
    </w:p>
    <w:p>
      <w:pPr>
        <w:spacing w:after="0" w:line="123" w:lineRule="exact"/>
        <w:rPr>
          <w:sz w:val="20"/>
          <w:szCs w:val="20"/>
          <w:color w:val="auto"/>
        </w:rPr>
      </w:pPr>
    </w:p>
    <w:p>
      <w:pPr>
        <w:jc w:val="both"/>
        <w:ind w:left="224"/>
        <w:spacing w:after="0" w:line="265" w:lineRule="auto"/>
        <w:rPr>
          <w:sz w:val="20"/>
          <w:szCs w:val="20"/>
          <w:color w:val="auto"/>
        </w:rPr>
      </w:pPr>
      <w:r>
        <w:rPr>
          <w:rFonts w:ascii="Arial" w:cs="Arial" w:eastAsia="Arial" w:hAnsi="Arial"/>
          <w:sz w:val="12"/>
          <w:szCs w:val="12"/>
          <w:color w:val="212121"/>
        </w:rPr>
        <w:t>Some, but not all, of the types of claims covered are: unpaid wages, overtime, or other compensation; discrimination or harassment on the basis of race, sex, age, national origin, religion, disability or any other protected category; breach of contract; unlawful retaliation; wrongful discharge; employment-related tort claims such as defamation; and claims arising under any state and federal statutes or regulations applicable to employees or applicable to the employment relationship and the cessation of the employment relationship, such as the Age Discrimination in Employment Act, or the Family and Medical Leave Act.</w:t>
      </w:r>
    </w:p>
    <w:p>
      <w:pPr>
        <w:spacing w:after="0" w:line="118" w:lineRule="exact"/>
        <w:rPr>
          <w:sz w:val="20"/>
          <w:szCs w:val="20"/>
          <w:color w:val="auto"/>
        </w:rPr>
      </w:pPr>
    </w:p>
    <w:p>
      <w:pPr>
        <w:ind w:left="224"/>
        <w:spacing w:after="0"/>
        <w:rPr>
          <w:sz w:val="20"/>
          <w:szCs w:val="20"/>
          <w:color w:val="auto"/>
        </w:rPr>
      </w:pPr>
      <w:r>
        <w:rPr>
          <w:rFonts w:ascii="Arial" w:cs="Arial" w:eastAsia="Arial" w:hAnsi="Arial"/>
          <w:sz w:val="12"/>
          <w:szCs w:val="12"/>
          <w:color w:val="212121"/>
        </w:rPr>
        <w:t xml:space="preserve">Claims </w:t>
      </w:r>
      <w:r>
        <w:rPr>
          <w:rFonts w:ascii="Arial" w:cs="Arial" w:eastAsia="Arial" w:hAnsi="Arial"/>
          <w:sz w:val="12"/>
          <w:szCs w:val="12"/>
          <w:b w:val="1"/>
          <w:bCs w:val="1"/>
          <w:u w:val="single" w:color="auto"/>
          <w:color w:val="212121"/>
        </w:rPr>
        <w:t>not</w:t>
      </w:r>
      <w:r>
        <w:rPr>
          <w:rFonts w:ascii="Arial" w:cs="Arial" w:eastAsia="Arial" w:hAnsi="Arial"/>
          <w:sz w:val="12"/>
          <w:szCs w:val="12"/>
          <w:color w:val="212121"/>
        </w:rPr>
        <w:t xml:space="preserve"> covered by this agreement are:</w:t>
      </w:r>
    </w:p>
    <w:p>
      <w:pPr>
        <w:spacing w:after="0" w:line="159" w:lineRule="exact"/>
        <w:rPr>
          <w:sz w:val="20"/>
          <w:szCs w:val="20"/>
          <w:color w:val="auto"/>
        </w:rPr>
      </w:pPr>
    </w:p>
    <w:p>
      <w:pPr>
        <w:ind w:left="684" w:right="20" w:hanging="225"/>
        <w:spacing w:after="0" w:line="267" w:lineRule="auto"/>
        <w:tabs>
          <w:tab w:leader="none" w:pos="831" w:val="left"/>
        </w:tabs>
        <w:numPr>
          <w:ilvl w:val="0"/>
          <w:numId w:val="539"/>
        </w:numPr>
        <w:rPr>
          <w:rFonts w:ascii="Arial" w:cs="Arial" w:eastAsia="Arial" w:hAnsi="Arial"/>
          <w:sz w:val="12"/>
          <w:szCs w:val="12"/>
          <w:color w:val="212121"/>
        </w:rPr>
      </w:pPr>
      <w:r>
        <w:rPr>
          <w:rFonts w:ascii="Arial" w:cs="Arial" w:eastAsia="Arial" w:hAnsi="Arial"/>
          <w:sz w:val="12"/>
          <w:szCs w:val="12"/>
          <w:color w:val="212121"/>
        </w:rPr>
        <w:t>claims for workers’ compensation benefits, for unemployment benefits, or for other benefits under a benefit plan or program that provides its own process for dispute resolution;</w:t>
      </w:r>
    </w:p>
    <w:p>
      <w:pPr>
        <w:spacing w:after="0" w:line="286" w:lineRule="exact"/>
        <w:rPr>
          <w:rFonts w:ascii="Arial" w:cs="Arial" w:eastAsia="Arial" w:hAnsi="Arial"/>
          <w:sz w:val="12"/>
          <w:szCs w:val="12"/>
          <w:color w:val="212121"/>
        </w:rPr>
      </w:pPr>
    </w:p>
    <w:p>
      <w:pPr>
        <w:ind w:left="744" w:hanging="285"/>
        <w:spacing w:after="0"/>
        <w:tabs>
          <w:tab w:leader="none" w:pos="744" w:val="left"/>
        </w:tabs>
        <w:numPr>
          <w:ilvl w:val="0"/>
          <w:numId w:val="539"/>
        </w:numPr>
        <w:rPr>
          <w:rFonts w:ascii="Arial" w:cs="Arial" w:eastAsia="Arial" w:hAnsi="Arial"/>
          <w:sz w:val="12"/>
          <w:szCs w:val="12"/>
          <w:color w:val="212121"/>
        </w:rPr>
      </w:pPr>
      <w:r>
        <w:rPr>
          <w:rFonts w:ascii="Arial" w:cs="Arial" w:eastAsia="Arial" w:hAnsi="Arial"/>
          <w:sz w:val="12"/>
          <w:szCs w:val="12"/>
          <w:color w:val="212121"/>
        </w:rPr>
        <w:t>claims for which this agreement would be prohibited or invalid as a matter of federal law, or state law to the extent not preempted by federal law;</w:t>
      </w:r>
    </w:p>
    <w:p>
      <w:pPr>
        <w:spacing w:after="0" w:line="158" w:lineRule="exact"/>
        <w:rPr>
          <w:rFonts w:ascii="Arial" w:cs="Arial" w:eastAsia="Arial" w:hAnsi="Arial"/>
          <w:sz w:val="12"/>
          <w:szCs w:val="12"/>
          <w:color w:val="212121"/>
        </w:rPr>
      </w:pPr>
    </w:p>
    <w:p>
      <w:pPr>
        <w:ind w:left="744" w:hanging="285"/>
        <w:spacing w:after="0"/>
        <w:tabs>
          <w:tab w:leader="none" w:pos="744" w:val="left"/>
        </w:tabs>
        <w:numPr>
          <w:ilvl w:val="0"/>
          <w:numId w:val="539"/>
        </w:numPr>
        <w:rPr>
          <w:rFonts w:ascii="Arial" w:cs="Arial" w:eastAsia="Arial" w:hAnsi="Arial"/>
          <w:sz w:val="12"/>
          <w:szCs w:val="12"/>
          <w:color w:val="212121"/>
        </w:rPr>
      </w:pPr>
      <w:r>
        <w:rPr>
          <w:rFonts w:ascii="Arial" w:cs="Arial" w:eastAsia="Arial" w:hAnsi="Arial"/>
          <w:sz w:val="12"/>
          <w:szCs w:val="12"/>
          <w:color w:val="212121"/>
        </w:rPr>
        <w:t>actions to enforce this agreement, compel arbitration, or enforce or vacate an arbitrator’s award under this agreement;</w:t>
      </w:r>
    </w:p>
    <w:p>
      <w:pPr>
        <w:spacing w:after="0" w:line="158" w:lineRule="exact"/>
        <w:rPr>
          <w:rFonts w:ascii="Arial" w:cs="Arial" w:eastAsia="Arial" w:hAnsi="Arial"/>
          <w:sz w:val="12"/>
          <w:szCs w:val="12"/>
          <w:color w:val="212121"/>
        </w:rPr>
      </w:pPr>
    </w:p>
    <w:p>
      <w:pPr>
        <w:ind w:left="744" w:hanging="285"/>
        <w:spacing w:after="0"/>
        <w:tabs>
          <w:tab w:leader="none" w:pos="744" w:val="left"/>
        </w:tabs>
        <w:numPr>
          <w:ilvl w:val="0"/>
          <w:numId w:val="539"/>
        </w:numPr>
        <w:rPr>
          <w:rFonts w:ascii="Arial" w:cs="Arial" w:eastAsia="Arial" w:hAnsi="Arial"/>
          <w:sz w:val="12"/>
          <w:szCs w:val="12"/>
          <w:color w:val="212121"/>
        </w:rPr>
      </w:pPr>
      <w:r>
        <w:rPr>
          <w:rFonts w:ascii="Arial" w:cs="Arial" w:eastAsia="Arial" w:hAnsi="Arial"/>
          <w:sz w:val="12"/>
          <w:szCs w:val="12"/>
          <w:color w:val="212121"/>
        </w:rPr>
        <w:t>claims arising under the National Labor Relations Act;</w:t>
      </w:r>
    </w:p>
    <w:p>
      <w:pPr>
        <w:spacing w:after="0" w:line="158" w:lineRule="exact"/>
        <w:rPr>
          <w:rFonts w:ascii="Arial" w:cs="Arial" w:eastAsia="Arial" w:hAnsi="Arial"/>
          <w:sz w:val="12"/>
          <w:szCs w:val="12"/>
          <w:color w:val="212121"/>
        </w:rPr>
      </w:pPr>
    </w:p>
    <w:p>
      <w:pPr>
        <w:ind w:left="744" w:hanging="285"/>
        <w:spacing w:after="0"/>
        <w:tabs>
          <w:tab w:leader="none" w:pos="744" w:val="left"/>
        </w:tabs>
        <w:numPr>
          <w:ilvl w:val="0"/>
          <w:numId w:val="539"/>
        </w:numPr>
        <w:rPr>
          <w:rFonts w:ascii="Arial" w:cs="Arial" w:eastAsia="Arial" w:hAnsi="Arial"/>
          <w:sz w:val="12"/>
          <w:szCs w:val="12"/>
          <w:color w:val="212121"/>
        </w:rPr>
      </w:pPr>
      <w:r>
        <w:rPr>
          <w:rFonts w:ascii="Arial" w:cs="Arial" w:eastAsia="Arial" w:hAnsi="Arial"/>
          <w:sz w:val="12"/>
          <w:szCs w:val="12"/>
          <w:color w:val="212121"/>
        </w:rPr>
        <w:t>claims by whistleblowers arising pursuant to the Sarbanes-Oxley Act and alleging unlawful retaliation or seeking other relief pursuant to that Act; and</w:t>
      </w:r>
    </w:p>
    <w:p>
      <w:pPr>
        <w:sectPr>
          <w:pgSz w:w="11900" w:h="16840" w:orient="portrait"/>
          <w:cols w:equalWidth="0" w:num="1">
            <w:col w:w="10384"/>
          </w:cols>
          <w:pgMar w:left="876" w:top="1440" w:right="640" w:bottom="1440" w:gutter="0" w:footer="0" w:header="0"/>
        </w:sectPr>
      </w:pPr>
    </w:p>
    <w:bookmarkStart w:id="414" w:name="page415"/>
    <w:bookmarkEnd w:id="414"/>
    <w:p>
      <w:pPr>
        <w:spacing w:after="0" w:line="39" w:lineRule="exact"/>
        <w:rPr>
          <w:sz w:val="20"/>
          <w:szCs w:val="20"/>
          <w:color w:val="auto"/>
        </w:rPr>
      </w:pPr>
    </w:p>
    <w:p>
      <w:pPr>
        <w:ind w:left="960" w:hanging="265"/>
        <w:spacing w:after="0"/>
        <w:tabs>
          <w:tab w:leader="none" w:pos="960" w:val="left"/>
        </w:tabs>
        <w:numPr>
          <w:ilvl w:val="0"/>
          <w:numId w:val="540"/>
        </w:numPr>
        <w:rPr>
          <w:rFonts w:ascii="Arial" w:cs="Arial" w:eastAsia="Arial" w:hAnsi="Arial"/>
          <w:sz w:val="12"/>
          <w:szCs w:val="12"/>
          <w:color w:val="212121"/>
        </w:rPr>
      </w:pPr>
      <w:r>
        <w:rPr>
          <w:rFonts w:ascii="Arial" w:cs="Arial" w:eastAsia="Arial" w:hAnsi="Arial"/>
          <w:sz w:val="12"/>
          <w:szCs w:val="12"/>
          <w:color w:val="212121"/>
        </w:rPr>
        <w:t>an action by either party seeking a provisional remedy in any court of competent jurisdiction.</w:t>
      </w:r>
    </w:p>
    <w:p>
      <w:pPr>
        <w:spacing w:after="0" w:line="159" w:lineRule="exact"/>
        <w:rPr>
          <w:sz w:val="20"/>
          <w:szCs w:val="20"/>
          <w:color w:val="auto"/>
        </w:rPr>
      </w:pPr>
    </w:p>
    <w:p>
      <w:pPr>
        <w:jc w:val="both"/>
        <w:ind w:left="460" w:right="40"/>
        <w:spacing w:after="0" w:line="295" w:lineRule="auto"/>
        <w:rPr>
          <w:sz w:val="20"/>
          <w:szCs w:val="20"/>
          <w:color w:val="auto"/>
        </w:rPr>
      </w:pPr>
      <w:r>
        <w:rPr>
          <w:rFonts w:ascii="Arial" w:cs="Arial" w:eastAsia="Arial" w:hAnsi="Arial"/>
          <w:sz w:val="12"/>
          <w:szCs w:val="12"/>
          <w:color w:val="212121"/>
        </w:rPr>
        <w:t xml:space="preserve">This agreement </w:t>
      </w:r>
      <w:r>
        <w:rPr>
          <w:rFonts w:ascii="Arial" w:cs="Arial" w:eastAsia="Arial" w:hAnsi="Arial"/>
          <w:sz w:val="12"/>
          <w:szCs w:val="12"/>
          <w:u w:val="single" w:color="auto"/>
          <w:color w:val="212121"/>
        </w:rPr>
        <w:t>does not</w:t>
      </w:r>
      <w:r>
        <w:rPr>
          <w:rFonts w:ascii="Arial" w:cs="Arial" w:eastAsia="Arial" w:hAnsi="Arial"/>
          <w:sz w:val="12"/>
          <w:szCs w:val="12"/>
          <w:color w:val="212121"/>
        </w:rPr>
        <w:t xml:space="preserve"> affect or limit your right to file or recover through a complaint, charge, or communication with any federal, state or local governmental or law enforcement agency, such as the National Labor Relations Board or the Equal Employment Opportunity Commission.</w:t>
      </w:r>
    </w:p>
    <w:p>
      <w:pPr>
        <w:spacing w:after="0" w:line="101" w:lineRule="exact"/>
        <w:rPr>
          <w:sz w:val="20"/>
          <w:szCs w:val="20"/>
          <w:color w:val="auto"/>
        </w:rPr>
      </w:pPr>
    </w:p>
    <w:p>
      <w:pPr>
        <w:ind w:left="460"/>
        <w:spacing w:after="0" w:line="295" w:lineRule="auto"/>
        <w:rPr>
          <w:sz w:val="20"/>
          <w:szCs w:val="20"/>
          <w:color w:val="auto"/>
        </w:rPr>
      </w:pPr>
      <w:r>
        <w:rPr>
          <w:rFonts w:ascii="Arial" w:cs="Arial" w:eastAsia="Arial" w:hAnsi="Arial"/>
          <w:sz w:val="12"/>
          <w:szCs w:val="12"/>
          <w:color w:val="212121"/>
        </w:rPr>
        <w:t xml:space="preserve">You and the Company agree that the parties and this agreement are subject to the Federal Arbitration Act (“ </w:t>
      </w:r>
      <w:r>
        <w:rPr>
          <w:rFonts w:ascii="Arial" w:cs="Arial" w:eastAsia="Arial" w:hAnsi="Arial"/>
          <w:sz w:val="12"/>
          <w:szCs w:val="12"/>
          <w:b w:val="1"/>
          <w:bCs w:val="1"/>
          <w:color w:val="212121"/>
        </w:rPr>
        <w:t>FAA</w:t>
      </w:r>
      <w:r>
        <w:rPr>
          <w:rFonts w:ascii="Arial" w:cs="Arial" w:eastAsia="Arial" w:hAnsi="Arial"/>
          <w:sz w:val="12"/>
          <w:szCs w:val="12"/>
          <w:color w:val="212121"/>
        </w:rPr>
        <w:t>”), 9 U.S.C. § 2, and that this agreement will be enforceable pursuant to and interpreted in accordance with the provisions of the FAA.</w:t>
      </w:r>
    </w:p>
    <w:p>
      <w:pPr>
        <w:spacing w:after="0" w:line="101" w:lineRule="exact"/>
        <w:rPr>
          <w:sz w:val="20"/>
          <w:szCs w:val="20"/>
          <w:color w:val="auto"/>
        </w:rPr>
      </w:pPr>
    </w:p>
    <w:p>
      <w:pPr>
        <w:jc w:val="both"/>
        <w:ind w:left="460" w:right="40"/>
        <w:spacing w:after="0" w:line="262" w:lineRule="auto"/>
        <w:rPr>
          <w:sz w:val="20"/>
          <w:szCs w:val="20"/>
          <w:color w:val="auto"/>
        </w:rPr>
      </w:pPr>
      <w:r>
        <w:rPr>
          <w:rFonts w:ascii="Arial" w:cs="Arial" w:eastAsia="Arial" w:hAnsi="Arial"/>
          <w:sz w:val="12"/>
          <w:szCs w:val="12"/>
          <w:color w:val="212121"/>
        </w:rPr>
        <w:t>The Arbitrator will resolve the dispute based solely upon the law that would govern the claims and defenses pleaded if they were adjudicated in a court of competent jurisdiction, and will have the authority to award the same damages and other relief that would have been available either to you as an individual claimant or to the Company in that court. All claims must be brought in a party’s individual capacity, and not as a plaintiff or class member in any purported class, collective or representative proceeding. The Arbitrator will not have the authority to consolidate the claims of other employees into a single proceeding, to fashion a proceeding as a class, collective action, or representative action, or to award relief to a class or group of employees.</w:t>
      </w:r>
    </w:p>
    <w:p>
      <w:pPr>
        <w:spacing w:after="0" w:line="268" w:lineRule="exact"/>
        <w:rPr>
          <w:sz w:val="20"/>
          <w:szCs w:val="20"/>
          <w:color w:val="auto"/>
        </w:rPr>
      </w:pPr>
    </w:p>
    <w:p>
      <w:pPr>
        <w:ind w:left="460"/>
        <w:spacing w:after="0"/>
        <w:rPr>
          <w:sz w:val="20"/>
          <w:szCs w:val="20"/>
          <w:color w:val="auto"/>
        </w:rPr>
      </w:pPr>
      <w:r>
        <w:rPr>
          <w:rFonts w:ascii="Arial" w:cs="Arial" w:eastAsia="Arial" w:hAnsi="Arial"/>
          <w:sz w:val="12"/>
          <w:szCs w:val="12"/>
          <w:color w:val="212121"/>
        </w:rPr>
        <w:t>All disputes concerning the existence, scope, formation, enforceability, revocability or validity of this agreement or any portion of this agreement, will be resolved by the Arbitrator.</w:t>
      </w:r>
    </w:p>
    <w:p>
      <w:pPr>
        <w:spacing w:after="0" w:line="159" w:lineRule="exact"/>
        <w:rPr>
          <w:sz w:val="20"/>
          <w:szCs w:val="20"/>
          <w:color w:val="auto"/>
        </w:rPr>
      </w:pPr>
    </w:p>
    <w:p>
      <w:pPr>
        <w:jc w:val="both"/>
        <w:ind w:left="460" w:right="20"/>
        <w:spacing w:after="0" w:line="258" w:lineRule="auto"/>
        <w:rPr>
          <w:sz w:val="20"/>
          <w:szCs w:val="20"/>
          <w:color w:val="auto"/>
        </w:rPr>
      </w:pPr>
      <w:r>
        <w:rPr>
          <w:rFonts w:ascii="Arial" w:cs="Arial" w:eastAsia="Arial" w:hAnsi="Arial"/>
          <w:sz w:val="12"/>
          <w:szCs w:val="12"/>
          <w:color w:val="212121"/>
        </w:rPr>
        <w:t>By acknowledging / signing below, and/or by continuing employment and/or reporting to work, you agree to be bound to this Dispute Resolution agreement, as does the Company. You agree that you have read and understand this agreement and have consulted, or have had the opportunity to consult, with an attorney of your choosing regarding its effect to the extent you deem necessary. You understand that you must arbitrate any and all disputes or claims against the Company that are covered by this agreement; the Company must arbitrate any disputes or claims against you that are covered by this agreement; that both you and the Company are waiving their respective rights to a trial by a jury; and that neither you nor the Company may file a lawsuit in court in regard to any claims or disputes covered by this agreement. This agreement does not constitute a guarantee of employment for any fixed period or under any particular terms except those contained herein and does not alter in any way the at-will nature of any employment relationship.</w:t>
      </w:r>
    </w:p>
    <w:p>
      <w:pPr>
        <w:spacing w:after="0" w:line="124" w:lineRule="exact"/>
        <w:rPr>
          <w:sz w:val="20"/>
          <w:szCs w:val="20"/>
          <w:color w:val="auto"/>
        </w:rPr>
      </w:pPr>
    </w:p>
    <w:p>
      <w:pPr>
        <w:jc w:val="both"/>
        <w:ind w:right="40"/>
        <w:spacing w:after="0" w:line="261" w:lineRule="auto"/>
        <w:rPr>
          <w:sz w:val="20"/>
          <w:szCs w:val="20"/>
          <w:color w:val="auto"/>
        </w:rPr>
      </w:pPr>
      <w:r>
        <w:rPr>
          <w:rFonts w:ascii="Arial" w:cs="Arial" w:eastAsia="Arial" w:hAnsi="Arial"/>
          <w:sz w:val="12"/>
          <w:szCs w:val="12"/>
          <w:color w:val="212121"/>
        </w:rPr>
        <w:t>You acknowledge and agree that upon your execution of this letter agreement, you will no longer be eligible for, nor entitled to, any compensation or benefits (including without limitation, any severance or change in control benefits) under any prior employment terms, offer letter or employment agreement you may have entered into or discussed with the Company. This letter agreement, together with your Severance Agreement, EIACA, equity agreements and other agreements referenced herein, forms the complete and exclusive agreement regarding the subject matter hereof. It supersedes any other representations, promises, or agreements, whether written or oral. Modifications or amendments to this letter agreement, other than those changes expressly reserved to the Company’s discretion herein, must be made in a written agreement signed by you and an officer of the Company (other than you).</w:t>
      </w:r>
    </w:p>
    <w:p>
      <w:pPr>
        <w:spacing w:after="0" w:line="120" w:lineRule="exact"/>
        <w:rPr>
          <w:sz w:val="20"/>
          <w:szCs w:val="20"/>
          <w:color w:val="auto"/>
        </w:rPr>
      </w:pPr>
    </w:p>
    <w:p>
      <w:pPr>
        <w:jc w:val="both"/>
        <w:ind w:right="20"/>
        <w:spacing w:after="0" w:line="265" w:lineRule="auto"/>
        <w:rPr>
          <w:sz w:val="20"/>
          <w:szCs w:val="20"/>
          <w:color w:val="auto"/>
        </w:rPr>
      </w:pPr>
      <w:r>
        <w:rPr>
          <w:rFonts w:ascii="Arial" w:cs="Arial" w:eastAsia="Arial" w:hAnsi="Arial"/>
          <w:sz w:val="12"/>
          <w:szCs w:val="12"/>
          <w:color w:val="212121"/>
        </w:rPr>
        <w:t>All questions concerning the construction, validity and interpretation of this letter agreement and the exhibits hereto will be governed by and construed in accordance with the domestic laws of the State of California, without giving effect to any choice of law or conflict of law provision or rule (whether of the State of California or any other jurisdiction) that would cause the application of the laws of any jurisdiction other than the State of California. Any lawsuit arising out of or in any way related to this letter agreement to the parties’ relationship hereunder (to the extent permitted under this letter agreement) will be brought only in those state or federal courts having jurisdiction over actions arising in Santa Clara County in the State of California.</w:t>
      </w:r>
    </w:p>
    <w:p>
      <w:pPr>
        <w:sectPr>
          <w:pgSz w:w="11900" w:h="16840" w:orient="portrait"/>
          <w:cols w:equalWidth="0" w:num="1">
            <w:col w:w="10640"/>
          </w:cols>
          <w:pgMar w:left="640" w:top="1440" w:right="620" w:bottom="1440" w:gutter="0" w:footer="0" w:header="0"/>
        </w:sectPr>
      </w:pPr>
    </w:p>
    <w:bookmarkStart w:id="415" w:name="page416"/>
    <w:bookmarkEnd w:id="415"/>
    <w:p>
      <w:pPr>
        <w:spacing w:after="0" w:line="3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212121"/>
        </w:rPr>
        <w:t>If any provision of this letter agreement is determined to be invalid or unenforceable, in whole or in part, this determination will not affect any other provision of this letter agreement and the provision in question will be modified so as to be rendered enforceable in a manner consistent with the intent of the parties insofar as possible under applicable law. This letter may be delivered and executed via facsimile, electronic mail (including pdf or any electronic signature complying with the U.S. federal ESIGN Act of 2000, Uniform Electronic Transactions Act or other applicable law) or other transmission method and will be deemed to have been duly and validly delivered and executed and be valid and effective for all purposes.</w:t>
      </w:r>
    </w:p>
    <w:p>
      <w:pPr>
        <w:spacing w:after="0" w:line="39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Please </w:t>
      </w:r>
      <w:r>
        <w:rPr>
          <w:rFonts w:ascii="Arial" w:cs="Arial" w:eastAsia="Arial" w:hAnsi="Arial"/>
          <w:sz w:val="12"/>
          <w:szCs w:val="12"/>
          <w:color w:val="212121"/>
        </w:rPr>
        <w:t>sign</w:t>
      </w:r>
      <w:r>
        <w:rPr>
          <w:rFonts w:ascii="Arial" w:cs="Arial" w:eastAsia="Arial" w:hAnsi="Arial"/>
          <w:sz w:val="12"/>
          <w:szCs w:val="12"/>
          <w:color w:val="auto"/>
        </w:rPr>
        <w:t xml:space="preserve"> below and return this letter to me to indicate your agreement with its terms.</w:t>
      </w:r>
    </w:p>
    <w:p>
      <w:pPr>
        <w:spacing w:after="0" w:line="197" w:lineRule="exact"/>
        <w:rPr>
          <w:sz w:val="20"/>
          <w:szCs w:val="20"/>
          <w:color w:val="auto"/>
        </w:rPr>
      </w:pPr>
    </w:p>
    <w:p>
      <w:pPr>
        <w:ind w:left="5300"/>
        <w:spacing w:after="0"/>
        <w:rPr>
          <w:sz w:val="20"/>
          <w:szCs w:val="20"/>
          <w:color w:val="auto"/>
        </w:rPr>
      </w:pPr>
      <w:r>
        <w:rPr>
          <w:rFonts w:ascii="Arial" w:cs="Arial" w:eastAsia="Arial" w:hAnsi="Arial"/>
          <w:sz w:val="12"/>
          <w:szCs w:val="12"/>
          <w:color w:val="auto"/>
        </w:rPr>
        <w:t>Very truly yours,</w:t>
      </w:r>
    </w:p>
    <w:p>
      <w:pPr>
        <w:spacing w:after="0" w:line="44" w:lineRule="exact"/>
        <w:rPr>
          <w:sz w:val="20"/>
          <w:szCs w:val="20"/>
          <w:color w:val="auto"/>
        </w:rPr>
      </w:pPr>
    </w:p>
    <w:p>
      <w:pPr>
        <w:ind w:left="5300"/>
        <w:spacing w:after="0"/>
        <w:rPr>
          <w:sz w:val="20"/>
          <w:szCs w:val="20"/>
          <w:color w:val="auto"/>
        </w:rPr>
      </w:pPr>
      <w:r>
        <w:rPr>
          <w:rFonts w:ascii="Arial" w:cs="Arial" w:eastAsia="Arial" w:hAnsi="Arial"/>
          <w:sz w:val="12"/>
          <w:szCs w:val="12"/>
          <w:color w:val="auto"/>
        </w:rPr>
        <w:t>Navan, Inc.</w:t>
      </w:r>
    </w:p>
    <w:p>
      <w:pPr>
        <w:spacing w:after="0" w:line="200" w:lineRule="exact"/>
        <w:rPr>
          <w:sz w:val="20"/>
          <w:szCs w:val="20"/>
          <w:color w:val="auto"/>
        </w:rPr>
      </w:pPr>
    </w:p>
    <w:p>
      <w:pPr>
        <w:spacing w:after="0" w:line="227" w:lineRule="exact"/>
        <w:rPr>
          <w:sz w:val="20"/>
          <w:szCs w:val="20"/>
          <w:color w:val="auto"/>
        </w:rPr>
      </w:pPr>
    </w:p>
    <w:p>
      <w:pPr>
        <w:ind w:left="5300"/>
        <w:spacing w:after="0"/>
        <w:tabs>
          <w:tab w:leader="none" w:pos="58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i w:val="1"/>
          <w:iCs w:val="1"/>
          <w:color w:val="auto"/>
        </w:rPr>
        <w:t>/s/ Howard Baik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3722370</wp:posOffset>
            </wp:positionH>
            <wp:positionV relativeFrom="paragraph">
              <wp:posOffset>21590</wp:posOffset>
            </wp:positionV>
            <wp:extent cx="3013710"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3013710" cy="6350"/>
                    </a:xfrm>
                    <a:prstGeom prst="rect">
                      <a:avLst/>
                    </a:prstGeom>
                    <a:noFill/>
                  </pic:spPr>
                </pic:pic>
              </a:graphicData>
            </a:graphic>
          </wp:anchor>
        </w:drawing>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Howard Baik</w:t>
      </w:r>
    </w:p>
    <w:p>
      <w:pPr>
        <w:spacing w:after="0" w:line="27"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General Counsel &amp; Corporate Secretary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Arial" w:cs="Arial" w:eastAsia="Arial" w:hAnsi="Arial"/>
          <w:sz w:val="12"/>
          <w:szCs w:val="12"/>
          <w:color w:val="auto"/>
        </w:rPr>
        <w:t>I have read and accept these terms of employment.</w:t>
      </w:r>
    </w:p>
    <w:p>
      <w:pPr>
        <w:spacing w:after="0" w:line="200" w:lineRule="exact"/>
        <w:rPr>
          <w:sz w:val="20"/>
          <w:szCs w:val="20"/>
          <w:color w:val="auto"/>
        </w:rPr>
      </w:pPr>
    </w:p>
    <w:p>
      <w:pPr>
        <w:spacing w:after="0" w:line="227" w:lineRule="exact"/>
        <w:rPr>
          <w:sz w:val="20"/>
          <w:szCs w:val="20"/>
          <w:color w:val="auto"/>
        </w:rPr>
      </w:pPr>
    </w:p>
    <w:tbl>
      <w:tblPr>
        <w:tblLayout w:type="fixed"/>
        <w:tblInd w:w="140" w:type="dxa"/>
        <w:tblCellMar>
          <w:top w:w="0" w:type="dxa"/>
          <w:left w:w="0" w:type="dxa"/>
          <w:bottom w:w="0" w:type="dxa"/>
          <w:right w:w="0" w:type="dxa"/>
        </w:tblCellMar>
      </w:tblPr>
      <w:tr>
        <w:trPr>
          <w:trHeight w:val="168"/>
        </w:trPr>
        <w:tc>
          <w:tcPr>
            <w:tcW w:w="3380" w:type="dxa"/>
            <w:vAlign w:val="bottom"/>
          </w:tcPr>
          <w:p>
            <w:pPr>
              <w:ind w:left="40"/>
              <w:spacing w:after="0"/>
              <w:rPr>
                <w:sz w:val="20"/>
                <w:szCs w:val="20"/>
                <w:color w:val="auto"/>
              </w:rPr>
            </w:pPr>
            <w:r>
              <w:rPr>
                <w:rFonts w:ascii="Arial" w:cs="Arial" w:eastAsia="Arial" w:hAnsi="Arial"/>
                <w:sz w:val="12"/>
                <w:szCs w:val="12"/>
                <w:i w:val="1"/>
                <w:iCs w:val="1"/>
                <w:color w:val="auto"/>
              </w:rPr>
              <w:t>/s/ Ariel Cohen</w:t>
            </w:r>
          </w:p>
        </w:tc>
        <w:tc>
          <w:tcPr>
            <w:tcW w:w="6280" w:type="dxa"/>
            <w:vAlign w:val="bottom"/>
            <w:gridSpan w:val="2"/>
          </w:tcPr>
          <w:p>
            <w:pPr>
              <w:ind w:left="2760"/>
              <w:spacing w:after="0"/>
              <w:rPr>
                <w:sz w:val="20"/>
                <w:szCs w:val="20"/>
                <w:color w:val="auto"/>
              </w:rPr>
            </w:pPr>
            <w:r>
              <w:rPr>
                <w:rFonts w:ascii="Arial" w:cs="Arial" w:eastAsia="Arial" w:hAnsi="Arial"/>
                <w:sz w:val="12"/>
                <w:szCs w:val="12"/>
                <w:color w:val="auto"/>
              </w:rPr>
              <w:t>9/19/2025</w:t>
            </w:r>
          </w:p>
        </w:tc>
      </w:tr>
      <w:tr>
        <w:trPr>
          <w:trHeight w:val="177"/>
        </w:trPr>
        <w:tc>
          <w:tcPr>
            <w:tcW w:w="33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Ariel Cohen</w:t>
            </w:r>
          </w:p>
        </w:tc>
        <w:tc>
          <w:tcPr>
            <w:tcW w:w="2760" w:type="dxa"/>
            <w:vAlign w:val="bottom"/>
          </w:tcPr>
          <w:p>
            <w:pPr>
              <w:spacing w:after="0"/>
              <w:rPr>
                <w:sz w:val="15"/>
                <w:szCs w:val="15"/>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DATE</w:t>
            </w:r>
          </w:p>
        </w:tc>
      </w:tr>
    </w:tbl>
    <w:p>
      <w:pPr>
        <w:sectPr>
          <w:pgSz w:w="11900" w:h="16840" w:orient="portrait"/>
          <w:cols w:equalWidth="0" w:num="1">
            <w:col w:w="10600"/>
          </w:cols>
          <w:pgMar w:left="640" w:top="1440" w:right="660" w:bottom="1440" w:gutter="0" w:footer="0" w:header="0"/>
        </w:sectPr>
      </w:pPr>
    </w:p>
    <w:bookmarkStart w:id="416" w:name="page417"/>
    <w:bookmarkEnd w:id="416"/>
    <w:p>
      <w:pPr>
        <w:spacing w:after="0" w:line="3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Exhibit A</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SECTION 7 OF THE DEFEND TRADE SECRETS ACT OF 2016</w:t>
      </w:r>
    </w:p>
    <w:p>
      <w:pPr>
        <w:spacing w:after="0" w:line="159" w:lineRule="exact"/>
        <w:rPr>
          <w:sz w:val="20"/>
          <w:szCs w:val="20"/>
          <w:color w:val="auto"/>
        </w:rPr>
      </w:pPr>
    </w:p>
    <w:p>
      <w:pPr>
        <w:jc w:val="both"/>
        <w:ind w:firstLine="459"/>
        <w:spacing w:after="0" w:line="261" w:lineRule="auto"/>
        <w:rPr>
          <w:sz w:val="20"/>
          <w:szCs w:val="20"/>
          <w:color w:val="auto"/>
        </w:rPr>
      </w:pPr>
      <w:r>
        <w:rPr>
          <w:rFonts w:ascii="Arial" w:cs="Arial" w:eastAsia="Arial" w:hAnsi="Arial"/>
          <w:sz w:val="12"/>
          <w:szCs w:val="12"/>
          <w:color w:val="auto"/>
        </w:rPr>
        <w:t>“ . . . An individual will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ectPr>
          <w:pgSz w:w="11900" w:h="16840" w:orient="portrait"/>
          <w:cols w:equalWidth="0" w:num="1">
            <w:col w:w="10600"/>
          </w:cols>
          <w:pgMar w:left="640" w:top="1440" w:right="660" w:bottom="1440" w:gutter="0" w:footer="0" w:header="0"/>
        </w:sectPr>
      </w:pPr>
    </w:p>
    <w:bookmarkStart w:id="417" w:name="page418"/>
    <w:bookmarkEnd w:id="417"/>
    <w:p>
      <w:pPr>
        <w:ind w:left="9960"/>
        <w:spacing w:after="0"/>
        <w:rPr>
          <w:sz w:val="20"/>
          <w:szCs w:val="20"/>
          <w:color w:val="auto"/>
        </w:rPr>
      </w:pPr>
      <w:r>
        <w:rPr>
          <w:rFonts w:ascii="Times New Roman" w:cs="Times New Roman" w:eastAsia="Times New Roman" w:hAnsi="Times New Roman"/>
          <w:sz w:val="12"/>
          <w:szCs w:val="12"/>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3060700</wp:posOffset>
            </wp:positionH>
            <wp:positionV relativeFrom="paragraph">
              <wp:posOffset>600710</wp:posOffset>
            </wp:positionV>
            <wp:extent cx="626110" cy="139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626110" cy="13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color w:val="auto"/>
        </w:rPr>
        <w:t>August 7, 2025</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Michael Sindicich</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Via Email</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 Confirmatory Offer Letter</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Dear Michael,</w:t>
      </w:r>
    </w:p>
    <w:p>
      <w:pPr>
        <w:spacing w:after="0" w:line="159" w:lineRule="exact"/>
        <w:rPr>
          <w:sz w:val="20"/>
          <w:szCs w:val="20"/>
          <w:color w:val="auto"/>
        </w:rPr>
      </w:pPr>
    </w:p>
    <w:p>
      <w:pPr>
        <w:spacing w:after="0" w:line="306" w:lineRule="auto"/>
        <w:rPr>
          <w:sz w:val="20"/>
          <w:szCs w:val="20"/>
          <w:color w:val="auto"/>
        </w:rPr>
      </w:pPr>
      <w:r>
        <w:rPr>
          <w:rFonts w:ascii="Arial" w:cs="Arial" w:eastAsia="Arial" w:hAnsi="Arial"/>
          <w:sz w:val="12"/>
          <w:szCs w:val="12"/>
          <w:color w:val="auto"/>
        </w:rPr>
        <w:t xml:space="preserve">You are currently employed by Navan, Inc. (the “ </w:t>
      </w:r>
      <w:r>
        <w:rPr>
          <w:rFonts w:ascii="Arial" w:cs="Arial" w:eastAsia="Arial" w:hAnsi="Arial"/>
          <w:sz w:val="12"/>
          <w:szCs w:val="12"/>
          <w:b w:val="1"/>
          <w:bCs w:val="1"/>
          <w:color w:val="auto"/>
        </w:rPr>
        <w:t>Company</w:t>
      </w:r>
      <w:r>
        <w:rPr>
          <w:rFonts w:ascii="Arial" w:cs="Arial" w:eastAsia="Arial" w:hAnsi="Arial"/>
          <w:sz w:val="12"/>
          <w:szCs w:val="12"/>
          <w:color w:val="auto"/>
        </w:rPr>
        <w:t>”) as its President, Navan. This confirmatory offer letter confirms and amends the terms and conditions of your employment in that role and is intended to replace and supersede your offer letter between you and the Company dated March 18, 2016 (the “</w:t>
      </w:r>
      <w:r>
        <w:rPr>
          <w:rFonts w:ascii="Arial" w:cs="Arial" w:eastAsia="Arial" w:hAnsi="Arial"/>
          <w:sz w:val="12"/>
          <w:szCs w:val="12"/>
          <w:b w:val="1"/>
          <w:bCs w:val="1"/>
          <w:color w:val="auto"/>
        </w:rPr>
        <w:t>Prior Agreement</w:t>
      </w:r>
      <w:r>
        <w:rPr>
          <w:rFonts w:ascii="Arial" w:cs="Arial" w:eastAsia="Arial" w:hAnsi="Arial"/>
          <w:sz w:val="12"/>
          <w:szCs w:val="12"/>
          <w:color w:val="auto"/>
        </w:rPr>
        <w:t>”).</w:t>
      </w:r>
    </w:p>
    <w:p>
      <w:pPr>
        <w:spacing w:after="0" w:line="88" w:lineRule="exact"/>
        <w:rPr>
          <w:sz w:val="20"/>
          <w:szCs w:val="20"/>
          <w:color w:val="auto"/>
        </w:rPr>
      </w:pPr>
    </w:p>
    <w:p>
      <w:pPr>
        <w:ind w:left="480" w:hanging="244"/>
        <w:spacing w:after="0"/>
        <w:tabs>
          <w:tab w:leader="none" w:pos="480" w:val="left"/>
        </w:tabs>
        <w:numPr>
          <w:ilvl w:val="0"/>
          <w:numId w:val="542"/>
        </w:numPr>
        <w:rPr>
          <w:rFonts w:ascii="Arial" w:cs="Arial" w:eastAsia="Arial" w:hAnsi="Arial"/>
          <w:sz w:val="12"/>
          <w:szCs w:val="12"/>
          <w:color w:val="auto"/>
        </w:rPr>
      </w:pPr>
      <w:r>
        <w:rPr>
          <w:rFonts w:ascii="Arial" w:cs="Arial" w:eastAsia="Arial" w:hAnsi="Arial"/>
          <w:sz w:val="12"/>
          <w:szCs w:val="12"/>
          <w:b w:val="1"/>
          <w:bCs w:val="1"/>
          <w:color w:val="auto"/>
        </w:rPr>
        <w:t>Position</w:t>
      </w:r>
      <w:r>
        <w:rPr>
          <w:rFonts w:ascii="Arial" w:cs="Arial" w:eastAsia="Arial" w:hAnsi="Arial"/>
          <w:sz w:val="12"/>
          <w:szCs w:val="12"/>
          <w:color w:val="auto"/>
        </w:rPr>
        <w:t>. You will continue to serve in a full-time capacity, reporting to Ariel Cohen, the Company’s Founder &amp; Chief Executive Officer.</w:t>
      </w:r>
    </w:p>
    <w:p>
      <w:pPr>
        <w:spacing w:after="0" w:line="158" w:lineRule="exact"/>
        <w:rPr>
          <w:rFonts w:ascii="Arial" w:cs="Arial" w:eastAsia="Arial" w:hAnsi="Arial"/>
          <w:sz w:val="12"/>
          <w:szCs w:val="12"/>
          <w:color w:val="auto"/>
        </w:rPr>
      </w:pPr>
    </w:p>
    <w:p>
      <w:pPr>
        <w:ind w:left="480" w:hanging="244"/>
        <w:spacing w:after="0"/>
        <w:tabs>
          <w:tab w:leader="none" w:pos="480" w:val="left"/>
        </w:tabs>
        <w:numPr>
          <w:ilvl w:val="0"/>
          <w:numId w:val="542"/>
        </w:numPr>
        <w:rPr>
          <w:rFonts w:ascii="Arial" w:cs="Arial" w:eastAsia="Arial" w:hAnsi="Arial"/>
          <w:sz w:val="12"/>
          <w:szCs w:val="12"/>
          <w:color w:val="auto"/>
        </w:rPr>
      </w:pPr>
      <w:r>
        <w:rPr>
          <w:rFonts w:ascii="Arial" w:cs="Arial" w:eastAsia="Arial" w:hAnsi="Arial"/>
          <w:sz w:val="12"/>
          <w:szCs w:val="12"/>
          <w:b w:val="1"/>
          <w:bCs w:val="1"/>
          <w:color w:val="auto"/>
        </w:rPr>
        <w:t>Cash Compensation</w:t>
      </w:r>
      <w:r>
        <w:rPr>
          <w:rFonts w:ascii="Arial" w:cs="Arial" w:eastAsia="Arial" w:hAnsi="Arial"/>
          <w:sz w:val="12"/>
          <w:szCs w:val="12"/>
          <w:color w:val="auto"/>
        </w:rPr>
        <w:t>.</w:t>
      </w:r>
    </w:p>
    <w:p>
      <w:pPr>
        <w:spacing w:after="0" w:line="158" w:lineRule="exact"/>
        <w:rPr>
          <w:rFonts w:ascii="Arial" w:cs="Arial" w:eastAsia="Arial" w:hAnsi="Arial"/>
          <w:sz w:val="12"/>
          <w:szCs w:val="12"/>
          <w:color w:val="auto"/>
        </w:rPr>
      </w:pPr>
    </w:p>
    <w:p>
      <w:pPr>
        <w:ind w:left="460" w:right="40"/>
        <w:spacing w:after="0" w:line="295" w:lineRule="auto"/>
        <w:rPr>
          <w:rFonts w:ascii="Arial" w:cs="Arial" w:eastAsia="Arial" w:hAnsi="Arial"/>
          <w:sz w:val="12"/>
          <w:szCs w:val="12"/>
          <w:color w:val="auto"/>
        </w:rPr>
      </w:pPr>
      <w:r>
        <w:rPr>
          <w:rFonts w:ascii="Arial" w:cs="Arial" w:eastAsia="Arial" w:hAnsi="Arial"/>
          <w:sz w:val="12"/>
          <w:szCs w:val="12"/>
          <w:color w:val="auto"/>
        </w:rPr>
        <w:t>Your salary will continue to be paid at the rate of USD $750,000 on an annualized basis, which will be paid in accordance with the Company’s normal payroll procedures and subject to applicable payroll withholdings and deductions.</w:t>
      </w:r>
    </w:p>
    <w:p>
      <w:pPr>
        <w:spacing w:after="0" w:line="100" w:lineRule="exact"/>
        <w:rPr>
          <w:rFonts w:ascii="Arial" w:cs="Arial" w:eastAsia="Arial" w:hAnsi="Arial"/>
          <w:sz w:val="12"/>
          <w:szCs w:val="12"/>
          <w:color w:val="auto"/>
        </w:rPr>
      </w:pPr>
    </w:p>
    <w:p>
      <w:pPr>
        <w:ind w:left="460" w:right="40"/>
        <w:spacing w:after="0" w:line="295" w:lineRule="auto"/>
        <w:rPr>
          <w:rFonts w:ascii="Arial" w:cs="Arial" w:eastAsia="Arial" w:hAnsi="Arial"/>
          <w:sz w:val="12"/>
          <w:szCs w:val="12"/>
          <w:color w:val="auto"/>
        </w:rPr>
      </w:pPr>
      <w:r>
        <w:rPr>
          <w:rFonts w:ascii="Arial" w:cs="Arial" w:eastAsia="Arial" w:hAnsi="Arial"/>
          <w:sz w:val="12"/>
          <w:szCs w:val="12"/>
          <w:color w:val="auto"/>
        </w:rPr>
        <w:t>As an exempt salaried employee, you will be expected to work the Company’s normal business hours as well as additional hours as required by the nature of your work assignments, and you will not be eligible for overtime compensation.</w:t>
      </w:r>
    </w:p>
    <w:p>
      <w:pPr>
        <w:spacing w:after="0" w:line="100" w:lineRule="exact"/>
        <w:rPr>
          <w:rFonts w:ascii="Arial" w:cs="Arial" w:eastAsia="Arial" w:hAnsi="Arial"/>
          <w:sz w:val="12"/>
          <w:szCs w:val="12"/>
          <w:color w:val="auto"/>
        </w:rPr>
      </w:pPr>
    </w:p>
    <w:p>
      <w:pPr>
        <w:jc w:val="both"/>
        <w:ind w:left="460" w:right="40"/>
        <w:spacing w:after="0" w:line="258" w:lineRule="auto"/>
        <w:rPr>
          <w:rFonts w:ascii="Arial" w:cs="Arial" w:eastAsia="Arial" w:hAnsi="Arial"/>
          <w:sz w:val="12"/>
          <w:szCs w:val="12"/>
          <w:color w:val="auto"/>
        </w:rPr>
      </w:pPr>
      <w:r>
        <w:rPr>
          <w:rFonts w:ascii="Arial" w:cs="Arial" w:eastAsia="Arial" w:hAnsi="Arial"/>
          <w:sz w:val="12"/>
          <w:szCs w:val="12"/>
          <w:color w:val="auto"/>
        </w:rPr>
        <w:t xml:space="preserve">You will also may be eligible to earn a discretionary bonus in future fiscal years as determined in the sole discretion by the Compensation Committee (the “ </w:t>
      </w:r>
      <w:r>
        <w:rPr>
          <w:rFonts w:ascii="Arial" w:cs="Arial" w:eastAsia="Arial" w:hAnsi="Arial"/>
          <w:sz w:val="12"/>
          <w:szCs w:val="12"/>
          <w:b w:val="1"/>
          <w:bCs w:val="1"/>
          <w:color w:val="auto"/>
        </w:rPr>
        <w:t>Committee</w:t>
      </w:r>
      <w:r>
        <w:rPr>
          <w:rFonts w:ascii="Arial" w:cs="Arial" w:eastAsia="Arial" w:hAnsi="Arial"/>
          <w:sz w:val="12"/>
          <w:szCs w:val="12"/>
          <w:color w:val="auto"/>
        </w:rPr>
        <w:t>”) of the Company’s Board of Directors (the “</w:t>
      </w:r>
      <w:r>
        <w:rPr>
          <w:rFonts w:ascii="Arial" w:cs="Arial" w:eastAsia="Arial" w:hAnsi="Arial"/>
          <w:sz w:val="12"/>
          <w:szCs w:val="12"/>
          <w:b w:val="1"/>
          <w:bCs w:val="1"/>
          <w:color w:val="auto"/>
        </w:rPr>
        <w:t>Board</w:t>
      </w:r>
      <w:r>
        <w:rPr>
          <w:rFonts w:ascii="Arial" w:cs="Arial" w:eastAsia="Arial" w:hAnsi="Arial"/>
          <w:sz w:val="12"/>
          <w:szCs w:val="12"/>
          <w:color w:val="auto"/>
        </w:rPr>
        <w:t>”) or the Board, in their respective discretion based in part on your performance during the calendar year, the Company’s performance, as well as any other criteria the Company deems relevant. If the Board or Committee determines that a bonus is payable for any fiscal year, the Company will pay you this bonus (subject to applicable payroll withholdings and deductions) no later than the 15th day of the third month following the end of the applicable fiscal year. Please note, however, that the bonus is not earned until it is paid, and no pro-rated amount will be paid if your employment terminates for any reason prior to the payment date, except as may be provided in your Severance Agreement (as defined below). In addition, the Board or the Committee may, in their respective direction, grant you discretionary bonuses from time to time.</w:t>
      </w:r>
    </w:p>
    <w:p>
      <w:pPr>
        <w:spacing w:after="0" w:line="124"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2"/>
          <w:szCs w:val="12"/>
          <w:color w:val="auto"/>
        </w:rPr>
        <w:t>Your compensation is subject to annual review and adjustment by the Company in its sole discretion.</w:t>
      </w:r>
    </w:p>
    <w:p>
      <w:pPr>
        <w:spacing w:after="0" w:line="158" w:lineRule="exact"/>
        <w:rPr>
          <w:rFonts w:ascii="Arial" w:cs="Arial" w:eastAsia="Arial" w:hAnsi="Arial"/>
          <w:sz w:val="12"/>
          <w:szCs w:val="12"/>
          <w:color w:val="auto"/>
        </w:rPr>
      </w:pPr>
    </w:p>
    <w:p>
      <w:pPr>
        <w:ind w:left="460" w:right="40" w:hanging="224"/>
        <w:spacing w:after="0" w:line="295" w:lineRule="auto"/>
        <w:tabs>
          <w:tab w:leader="none" w:pos="537" w:val="left"/>
        </w:tabs>
        <w:numPr>
          <w:ilvl w:val="0"/>
          <w:numId w:val="542"/>
        </w:numPr>
        <w:rPr>
          <w:rFonts w:ascii="Arial" w:cs="Arial" w:eastAsia="Arial" w:hAnsi="Arial"/>
          <w:sz w:val="12"/>
          <w:szCs w:val="12"/>
          <w:color w:val="auto"/>
        </w:rPr>
      </w:pPr>
      <w:r>
        <w:rPr>
          <w:rFonts w:ascii="Arial" w:cs="Arial" w:eastAsia="Arial" w:hAnsi="Arial"/>
          <w:sz w:val="12"/>
          <w:szCs w:val="12"/>
          <w:b w:val="1"/>
          <w:bCs w:val="1"/>
          <w:color w:val="auto"/>
        </w:rPr>
        <w:t>Equity</w:t>
      </w:r>
      <w:r>
        <w:rPr>
          <w:rFonts w:ascii="Arial" w:cs="Arial" w:eastAsia="Arial" w:hAnsi="Arial"/>
          <w:sz w:val="12"/>
          <w:szCs w:val="12"/>
          <w:color w:val="auto"/>
        </w:rPr>
        <w:t>. You have previously been granted one or more equity awards by the Company, which will continue to be governed in all respects by the terms of the applicable equity</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agreements, grant notices, and equity plans, except to the extent superseded by the Severance Agreement (as defined below).</w:t>
      </w:r>
    </w:p>
    <w:p>
      <w:pPr>
        <w:sectPr>
          <w:pgSz w:w="11900" w:h="16840" w:orient="portrait"/>
          <w:cols w:equalWidth="0" w:num="1">
            <w:col w:w="10640"/>
          </w:cols>
          <w:pgMar w:left="640" w:top="557" w:right="620" w:bottom="1440" w:gutter="0" w:footer="0" w:header="0"/>
        </w:sectPr>
      </w:pPr>
    </w:p>
    <w:bookmarkStart w:id="418" w:name="page419"/>
    <w:bookmarkEnd w:id="418"/>
    <w:p>
      <w:pPr>
        <w:spacing w:after="0" w:line="39" w:lineRule="exact"/>
        <w:rPr>
          <w:sz w:val="20"/>
          <w:szCs w:val="20"/>
          <w:color w:val="auto"/>
        </w:rPr>
      </w:pPr>
    </w:p>
    <w:p>
      <w:pPr>
        <w:jc w:val="both"/>
        <w:ind w:left="224" w:right="20" w:hanging="224"/>
        <w:spacing w:after="0" w:line="265" w:lineRule="auto"/>
        <w:tabs>
          <w:tab w:leader="none" w:pos="243" w:val="left"/>
        </w:tabs>
        <w:numPr>
          <w:ilvl w:val="0"/>
          <w:numId w:val="543"/>
        </w:numPr>
        <w:rPr>
          <w:rFonts w:ascii="Arial" w:cs="Arial" w:eastAsia="Arial" w:hAnsi="Arial"/>
          <w:sz w:val="12"/>
          <w:szCs w:val="12"/>
          <w:color w:val="auto"/>
        </w:rPr>
      </w:pPr>
      <w:r>
        <w:rPr>
          <w:rFonts w:ascii="Arial" w:cs="Arial" w:eastAsia="Arial" w:hAnsi="Arial"/>
          <w:sz w:val="12"/>
          <w:szCs w:val="12"/>
          <w:b w:val="1"/>
          <w:bCs w:val="1"/>
          <w:color w:val="auto"/>
        </w:rPr>
        <w:t>Employee Benefits</w:t>
      </w:r>
      <w:r>
        <w:rPr>
          <w:rFonts w:ascii="Arial" w:cs="Arial" w:eastAsia="Arial" w:hAnsi="Arial"/>
          <w:sz w:val="12"/>
          <w:szCs w:val="12"/>
          <w:color w:val="auto"/>
        </w:rPr>
        <w:t>. As a regular full-time employee of the Company, you will continue to be eligible to participate in Company-sponsored benefits in accordance with the terms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Company’s policies and benefits plans. In addition, you will continue to be entitled to paid-time off in accordance with the Company’s policies, as in effect from time to time. Information regarding coverage, eligibility, and other information regarding these benefits is set forth in more detailed documents that are available from the Company. The Company may, from time to time, in its sole discretion, modify or eliminate its policies and benefits offered to employees.</w:t>
      </w:r>
    </w:p>
    <w:p>
      <w:pPr>
        <w:spacing w:after="0" w:line="117" w:lineRule="exact"/>
        <w:rPr>
          <w:rFonts w:ascii="Arial" w:cs="Arial" w:eastAsia="Arial" w:hAnsi="Arial"/>
          <w:sz w:val="12"/>
          <w:szCs w:val="12"/>
          <w:color w:val="auto"/>
        </w:rPr>
      </w:pPr>
    </w:p>
    <w:p>
      <w:pPr>
        <w:ind w:left="244" w:hanging="244"/>
        <w:spacing w:after="0"/>
        <w:tabs>
          <w:tab w:leader="none" w:pos="244" w:val="left"/>
        </w:tabs>
        <w:numPr>
          <w:ilvl w:val="0"/>
          <w:numId w:val="543"/>
        </w:numPr>
        <w:rPr>
          <w:rFonts w:ascii="Arial" w:cs="Arial" w:eastAsia="Arial" w:hAnsi="Arial"/>
          <w:sz w:val="12"/>
          <w:szCs w:val="12"/>
          <w:color w:val="auto"/>
        </w:rPr>
      </w:pPr>
      <w:r>
        <w:rPr>
          <w:rFonts w:ascii="Arial" w:cs="Arial" w:eastAsia="Arial" w:hAnsi="Arial"/>
          <w:sz w:val="12"/>
          <w:szCs w:val="12"/>
          <w:b w:val="1"/>
          <w:bCs w:val="1"/>
          <w:color w:val="212121"/>
        </w:rPr>
        <w:t xml:space="preserve">Company Policies. </w:t>
      </w:r>
      <w:r>
        <w:rPr>
          <w:rFonts w:ascii="Arial" w:cs="Arial" w:eastAsia="Arial" w:hAnsi="Arial"/>
          <w:sz w:val="12"/>
          <w:szCs w:val="12"/>
          <w:color w:val="212121"/>
        </w:rPr>
        <w:t>You will continue to be expected to abide by Company policies and procedures, as in effect from time to time.</w:t>
      </w:r>
    </w:p>
    <w:p>
      <w:pPr>
        <w:spacing w:after="0" w:line="158" w:lineRule="exact"/>
        <w:rPr>
          <w:rFonts w:ascii="Arial" w:cs="Arial" w:eastAsia="Arial" w:hAnsi="Arial"/>
          <w:sz w:val="12"/>
          <w:szCs w:val="12"/>
          <w:color w:val="auto"/>
        </w:rPr>
      </w:pPr>
    </w:p>
    <w:p>
      <w:pPr>
        <w:ind w:left="224" w:right="40" w:hanging="224"/>
        <w:spacing w:after="0" w:line="295" w:lineRule="auto"/>
        <w:tabs>
          <w:tab w:leader="none" w:pos="272" w:val="left"/>
        </w:tabs>
        <w:numPr>
          <w:ilvl w:val="0"/>
          <w:numId w:val="543"/>
        </w:numPr>
        <w:rPr>
          <w:rFonts w:ascii="Arial" w:cs="Arial" w:eastAsia="Arial" w:hAnsi="Arial"/>
          <w:sz w:val="12"/>
          <w:szCs w:val="12"/>
          <w:color w:val="auto"/>
        </w:rPr>
      </w:pPr>
      <w:r>
        <w:rPr>
          <w:rFonts w:ascii="Arial" w:cs="Arial" w:eastAsia="Arial" w:hAnsi="Arial"/>
          <w:sz w:val="12"/>
          <w:szCs w:val="12"/>
          <w:b w:val="1"/>
          <w:bCs w:val="1"/>
          <w:color w:val="auto"/>
        </w:rPr>
        <w:t>At-Will Employment</w:t>
      </w:r>
      <w:r>
        <w:rPr>
          <w:rFonts w:ascii="Arial" w:cs="Arial" w:eastAsia="Arial" w:hAnsi="Arial"/>
          <w:sz w:val="12"/>
          <w:szCs w:val="12"/>
          <w:color w:val="auto"/>
        </w:rPr>
        <w:t>. Your employment with the Company is for no specified period and constitutes at-will employment. Accordingly, you may terminate your employment with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at any time simply by notifying the Company, and the Company may terminate your employment at any time for any reason, with or without advance notice.</w:t>
      </w:r>
    </w:p>
    <w:p>
      <w:pPr>
        <w:spacing w:after="0" w:line="100" w:lineRule="exact"/>
        <w:rPr>
          <w:rFonts w:ascii="Arial" w:cs="Arial" w:eastAsia="Arial" w:hAnsi="Arial"/>
          <w:sz w:val="12"/>
          <w:szCs w:val="12"/>
          <w:color w:val="auto"/>
        </w:rPr>
      </w:pPr>
    </w:p>
    <w:p>
      <w:pPr>
        <w:jc w:val="both"/>
        <w:ind w:left="224" w:right="20" w:hanging="224"/>
        <w:spacing w:after="0" w:line="268" w:lineRule="auto"/>
        <w:tabs>
          <w:tab w:leader="none" w:pos="243" w:val="left"/>
        </w:tabs>
        <w:numPr>
          <w:ilvl w:val="0"/>
          <w:numId w:val="543"/>
        </w:numPr>
        <w:rPr>
          <w:rFonts w:ascii="Arial" w:cs="Arial" w:eastAsia="Arial" w:hAnsi="Arial"/>
          <w:sz w:val="12"/>
          <w:szCs w:val="12"/>
          <w:color w:val="auto"/>
        </w:rPr>
      </w:pPr>
      <w:r>
        <w:rPr>
          <w:rFonts w:ascii="Arial" w:cs="Arial" w:eastAsia="Arial" w:hAnsi="Arial"/>
          <w:sz w:val="12"/>
          <w:szCs w:val="12"/>
          <w:b w:val="1"/>
          <w:bCs w:val="1"/>
          <w:color w:val="auto"/>
        </w:rPr>
        <w:t>Employee Confidentiality and Invention Assignment</w:t>
      </w:r>
      <w:r>
        <w:rPr>
          <w:rFonts w:ascii="Arial" w:cs="Arial" w:eastAsia="Arial" w:hAnsi="Arial"/>
          <w:sz w:val="12"/>
          <w:szCs w:val="12"/>
          <w:color w:val="auto"/>
        </w:rPr>
        <w:t>. As an employee of the Company, you will continue to have access to certain confidential information of the Company and you</w:t>
      </w:r>
      <w:r>
        <w:rPr>
          <w:rFonts w:ascii="Arial" w:cs="Arial" w:eastAsia="Arial" w:hAnsi="Arial"/>
          <w:sz w:val="12"/>
          <w:szCs w:val="12"/>
          <w:b w:val="1"/>
          <w:bCs w:val="1"/>
          <w:color w:val="auto"/>
        </w:rPr>
        <w:t xml:space="preserve"> </w:t>
      </w:r>
      <w:r>
        <w:rPr>
          <w:rFonts w:ascii="Arial" w:cs="Arial" w:eastAsia="Arial" w:hAnsi="Arial"/>
          <w:sz w:val="12"/>
          <w:szCs w:val="12"/>
          <w:color w:val="auto"/>
        </w:rPr>
        <w:t>may, during the course of your employment, develop certain information or inventions that will be the property of the Company. To protect the interests of the Company, your acceptance of this letter agreement confirms that the terms of the Employee Invention Assignment and Confidentiality Agreement you previously signed with the Company (the “</w:t>
      </w:r>
      <w:r>
        <w:rPr>
          <w:rFonts w:ascii="Arial" w:cs="Arial" w:eastAsia="Arial" w:hAnsi="Arial"/>
          <w:sz w:val="12"/>
          <w:szCs w:val="12"/>
          <w:b w:val="1"/>
          <w:bCs w:val="1"/>
          <w:color w:val="auto"/>
        </w:rPr>
        <w:t>EIACA</w:t>
      </w:r>
      <w:r>
        <w:rPr>
          <w:rFonts w:ascii="Arial" w:cs="Arial" w:eastAsia="Arial" w:hAnsi="Arial"/>
          <w:sz w:val="12"/>
          <w:szCs w:val="12"/>
          <w:color w:val="auto"/>
        </w:rPr>
        <w:t>”) still apply.</w:t>
      </w:r>
    </w:p>
    <w:p>
      <w:pPr>
        <w:spacing w:after="0" w:line="264" w:lineRule="exact"/>
        <w:rPr>
          <w:rFonts w:ascii="Arial" w:cs="Arial" w:eastAsia="Arial" w:hAnsi="Arial"/>
          <w:sz w:val="12"/>
          <w:szCs w:val="12"/>
          <w:color w:val="auto"/>
        </w:rPr>
      </w:pPr>
    </w:p>
    <w:p>
      <w:pPr>
        <w:jc w:val="both"/>
        <w:ind w:left="224" w:right="20" w:hanging="224"/>
        <w:spacing w:after="0" w:line="272" w:lineRule="auto"/>
        <w:tabs>
          <w:tab w:leader="none" w:pos="272" w:val="left"/>
        </w:tabs>
        <w:numPr>
          <w:ilvl w:val="0"/>
          <w:numId w:val="543"/>
        </w:numPr>
        <w:rPr>
          <w:rFonts w:ascii="Arial" w:cs="Arial" w:eastAsia="Arial" w:hAnsi="Arial"/>
          <w:sz w:val="12"/>
          <w:szCs w:val="12"/>
          <w:color w:val="auto"/>
        </w:rPr>
      </w:pPr>
      <w:r>
        <w:rPr>
          <w:rFonts w:ascii="Arial" w:cs="Arial" w:eastAsia="Arial" w:hAnsi="Arial"/>
          <w:sz w:val="12"/>
          <w:szCs w:val="12"/>
          <w:b w:val="1"/>
          <w:bCs w:val="1"/>
          <w:color w:val="auto"/>
        </w:rPr>
        <w:t>Severance</w:t>
      </w:r>
      <w:r>
        <w:rPr>
          <w:rFonts w:ascii="Arial" w:cs="Arial" w:eastAsia="Arial" w:hAnsi="Arial"/>
          <w:sz w:val="12"/>
          <w:szCs w:val="12"/>
          <w:color w:val="auto"/>
        </w:rPr>
        <w:t>. The Change in Control and Severance Agreement (the “</w:t>
      </w:r>
      <w:r>
        <w:rPr>
          <w:rFonts w:ascii="Arial" w:cs="Arial" w:eastAsia="Arial" w:hAnsi="Arial"/>
          <w:sz w:val="12"/>
          <w:szCs w:val="12"/>
          <w:b w:val="1"/>
          <w:bCs w:val="1"/>
          <w:color w:val="auto"/>
        </w:rPr>
        <w:t xml:space="preserve"> Severance Agreement</w:t>
      </w:r>
      <w:r>
        <w:rPr>
          <w:rFonts w:ascii="Arial" w:cs="Arial" w:eastAsia="Arial" w:hAnsi="Arial"/>
          <w:sz w:val="12"/>
          <w:szCs w:val="12"/>
          <w:color w:val="auto"/>
        </w:rPr>
        <w:t>”) you previously entered into with the Company will continue to apply. The Severance</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supersedes all other severance payments and benefits you would otherwise be eligible for, or would become eligible for in the future, under any plan, program or policy that the Company may have in effect from time to time.</w:t>
      </w:r>
    </w:p>
    <w:p>
      <w:pPr>
        <w:spacing w:after="0" w:line="114" w:lineRule="exact"/>
        <w:rPr>
          <w:rFonts w:ascii="Arial" w:cs="Arial" w:eastAsia="Arial" w:hAnsi="Arial"/>
          <w:sz w:val="12"/>
          <w:szCs w:val="12"/>
          <w:color w:val="auto"/>
        </w:rPr>
      </w:pPr>
    </w:p>
    <w:p>
      <w:pPr>
        <w:jc w:val="both"/>
        <w:ind w:left="224" w:right="20" w:hanging="224"/>
        <w:spacing w:after="0" w:line="261" w:lineRule="auto"/>
        <w:tabs>
          <w:tab w:leader="none" w:pos="262" w:val="left"/>
        </w:tabs>
        <w:numPr>
          <w:ilvl w:val="0"/>
          <w:numId w:val="543"/>
        </w:numPr>
        <w:rPr>
          <w:rFonts w:ascii="Arial" w:cs="Arial" w:eastAsia="Arial" w:hAnsi="Arial"/>
          <w:sz w:val="12"/>
          <w:szCs w:val="12"/>
          <w:color w:val="auto"/>
        </w:rPr>
      </w:pPr>
      <w:r>
        <w:rPr>
          <w:rFonts w:ascii="Arial" w:cs="Arial" w:eastAsia="Arial" w:hAnsi="Arial"/>
          <w:sz w:val="12"/>
          <w:szCs w:val="12"/>
          <w:b w:val="1"/>
          <w:bCs w:val="1"/>
          <w:color w:val="212121"/>
        </w:rPr>
        <w:t xml:space="preserve">No Prior Conflicts and Duty of Loyalty. </w:t>
      </w:r>
      <w:r>
        <w:rPr>
          <w:rFonts w:ascii="Arial" w:cs="Arial" w:eastAsia="Arial" w:hAnsi="Arial"/>
          <w:sz w:val="12"/>
          <w:szCs w:val="12"/>
          <w:color w:val="212121"/>
        </w:rPr>
        <w:t>You confirm that you are able to carry out your duties without breaching any legal restrictions imposed by a current or former employer or</w:t>
      </w:r>
      <w:r>
        <w:rPr>
          <w:rFonts w:ascii="Arial" w:cs="Arial" w:eastAsia="Arial" w:hAnsi="Arial"/>
          <w:sz w:val="12"/>
          <w:szCs w:val="12"/>
          <w:b w:val="1"/>
          <w:bCs w:val="1"/>
          <w:color w:val="212121"/>
        </w:rPr>
        <w:t xml:space="preserve"> </w:t>
      </w:r>
      <w:r>
        <w:rPr>
          <w:rFonts w:ascii="Arial" w:cs="Arial" w:eastAsia="Arial" w:hAnsi="Arial"/>
          <w:sz w:val="12"/>
          <w:szCs w:val="12"/>
          <w:color w:val="212121"/>
        </w:rPr>
        <w:t>other third party to whom you have contractual obligations. You also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the performance of your duties hereunder or present a conflict of interest with the Company, nor will you assist any other person or organization in competing with the Company or in preparing to engage in competition with the business or proposed business of the Company.</w:t>
      </w:r>
    </w:p>
    <w:p>
      <w:pPr>
        <w:spacing w:after="0" w:line="120" w:lineRule="exact"/>
        <w:rPr>
          <w:rFonts w:ascii="Arial" w:cs="Arial" w:eastAsia="Arial" w:hAnsi="Arial"/>
          <w:sz w:val="12"/>
          <w:szCs w:val="12"/>
          <w:color w:val="auto"/>
        </w:rPr>
      </w:pPr>
    </w:p>
    <w:p>
      <w:pPr>
        <w:jc w:val="both"/>
        <w:ind w:left="224" w:hanging="224"/>
        <w:spacing w:after="0" w:line="256" w:lineRule="auto"/>
        <w:tabs>
          <w:tab w:leader="none" w:pos="310" w:val="left"/>
        </w:tabs>
        <w:numPr>
          <w:ilvl w:val="0"/>
          <w:numId w:val="543"/>
        </w:numPr>
        <w:rPr>
          <w:rFonts w:ascii="Arial" w:cs="Arial" w:eastAsia="Arial" w:hAnsi="Arial"/>
          <w:sz w:val="12"/>
          <w:szCs w:val="12"/>
          <w:color w:val="auto"/>
        </w:rPr>
      </w:pPr>
      <w:r>
        <w:rPr>
          <w:rFonts w:ascii="Arial" w:cs="Arial" w:eastAsia="Arial" w:hAnsi="Arial"/>
          <w:sz w:val="12"/>
          <w:szCs w:val="12"/>
          <w:b w:val="1"/>
          <w:bCs w:val="1"/>
          <w:color w:val="auto"/>
        </w:rPr>
        <w:t xml:space="preserve">Protected Activity Not Prohibited </w:t>
      </w:r>
      <w:r>
        <w:rPr>
          <w:rFonts w:ascii="Arial" w:cs="Arial" w:eastAsia="Arial" w:hAnsi="Arial"/>
          <w:sz w:val="12"/>
          <w:szCs w:val="12"/>
          <w:color w:val="auto"/>
        </w:rPr>
        <w:t>. You understand that nothing in this letter agreement or the EIACA limits or prohibits you from filing and/or pursuing a charge or complaint with, or</w:t>
      </w:r>
      <w:r>
        <w:rPr>
          <w:rFonts w:ascii="Arial" w:cs="Arial" w:eastAsia="Arial" w:hAnsi="Arial"/>
          <w:sz w:val="12"/>
          <w:szCs w:val="12"/>
          <w:b w:val="1"/>
          <w:bCs w:val="1"/>
          <w:color w:val="auto"/>
        </w:rPr>
        <w:t xml:space="preserve"> </w:t>
      </w:r>
      <w:r>
        <w:rPr>
          <w:rFonts w:ascii="Arial" w:cs="Arial" w:eastAsia="Arial" w:hAnsi="Arial"/>
          <w:sz w:val="12"/>
          <w:szCs w:val="12"/>
          <w:color w:val="auto"/>
        </w:rPr>
        <w:t>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Arial" w:cs="Arial" w:eastAsia="Arial" w:hAnsi="Arial"/>
          <w:sz w:val="12"/>
          <w:szCs w:val="12"/>
          <w:b w:val="1"/>
          <w:bCs w:val="1"/>
          <w:color w:val="auto"/>
        </w:rPr>
        <w:t>Government Agencies</w:t>
      </w:r>
      <w:r>
        <w:rPr>
          <w:rFonts w:ascii="Arial" w:cs="Arial" w:eastAsia="Arial" w:hAnsi="Arial"/>
          <w:sz w:val="12"/>
          <w:szCs w:val="12"/>
          <w:color w:val="auto"/>
        </w:rPr>
        <w:t>”), including disclosing documents or other information as permitted by law. Further, nothing in this letter agreement or the EIACA will in any way limit or prohibit you from discussing or disclosing either orally or in writing, any alleged discriminatory or unfair employment practice (including, without limitation, any underlying facts of any alleged discriminatory or unfair employment practice). In addition, you understand that nothing in this letter agreement or the EIACA, including its definition of “Proprietary Information,” prevents you from discussing or disclosing information about unlawful acts in the workplace, such as harassment or discrimination or any other conduct that you have reason to believe is unlawful. Notwithstanding the preceding,</w:t>
      </w:r>
    </w:p>
    <w:p>
      <w:pPr>
        <w:sectPr>
          <w:pgSz w:w="11900" w:h="16840" w:orient="portrait"/>
          <w:cols w:equalWidth="0" w:num="1">
            <w:col w:w="10384"/>
          </w:cols>
          <w:pgMar w:left="876" w:top="1440" w:right="640" w:bottom="1440" w:gutter="0" w:footer="0" w:header="0"/>
        </w:sectPr>
      </w:pPr>
    </w:p>
    <w:bookmarkStart w:id="419" w:name="page420"/>
    <w:bookmarkEnd w:id="419"/>
    <w:p>
      <w:pPr>
        <w:spacing w:after="0" w:line="39" w:lineRule="exact"/>
        <w:rPr>
          <w:sz w:val="20"/>
          <w:szCs w:val="20"/>
          <w:color w:val="auto"/>
        </w:rPr>
      </w:pPr>
    </w:p>
    <w:p>
      <w:pPr>
        <w:jc w:val="both"/>
        <w:ind w:left="224" w:right="20"/>
        <w:spacing w:after="0" w:line="257" w:lineRule="auto"/>
        <w:rPr>
          <w:sz w:val="20"/>
          <w:szCs w:val="20"/>
          <w:color w:val="auto"/>
        </w:rPr>
      </w:pPr>
      <w:r>
        <w:rPr>
          <w:rFonts w:ascii="Arial" w:cs="Arial" w:eastAsia="Arial" w:hAnsi="Arial"/>
          <w:sz w:val="12"/>
          <w:szCs w:val="12"/>
          <w:color w:val="auto"/>
        </w:rPr>
        <w:t xml:space="preserve">you agree to take all reasonable precautions to prevent any unauthorized use or disclosure of any Company trade secrets, proprietary information, or confidential information that does not involve unlawful acts in the workplace or the activity otherwise protected herein. You further understand that you are not permitted to disclose the Company’s attorney-client privileged communications or attorney work product. In addition, you hereby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12"/>
          <w:szCs w:val="12"/>
          <w:u w:val="single" w:color="auto"/>
          <w:color w:val="auto"/>
        </w:rPr>
        <w:t>Exhibit A</w:t>
      </w:r>
      <w:r>
        <w:rPr>
          <w:rFonts w:ascii="Arial" w:cs="Arial" w:eastAsia="Arial" w:hAnsi="Arial"/>
          <w:sz w:val="12"/>
          <w:szCs w:val="12"/>
          <w:color w:val="auto"/>
        </w:rPr>
        <w:t>. Finally, you understand that nothing in this letter agreement or the EIACA, including its definition of “Proprietary Information,” (i) limits employees’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w:t>
      </w:r>
    </w:p>
    <w:p>
      <w:pPr>
        <w:spacing w:after="0" w:line="123" w:lineRule="exact"/>
        <w:rPr>
          <w:sz w:val="20"/>
          <w:szCs w:val="20"/>
          <w:color w:val="auto"/>
        </w:rPr>
      </w:pPr>
    </w:p>
    <w:p>
      <w:pPr>
        <w:ind w:left="224" w:hanging="224"/>
        <w:spacing w:after="0" w:line="257" w:lineRule="auto"/>
        <w:tabs>
          <w:tab w:leader="none" w:pos="300" w:val="left"/>
        </w:tabs>
        <w:numPr>
          <w:ilvl w:val="0"/>
          <w:numId w:val="544"/>
        </w:numPr>
        <w:rPr>
          <w:rFonts w:ascii="Arial" w:cs="Arial" w:eastAsia="Arial" w:hAnsi="Arial"/>
          <w:sz w:val="12"/>
          <w:szCs w:val="12"/>
          <w:color w:val="212121"/>
        </w:rPr>
      </w:pPr>
      <w:r>
        <w:rPr>
          <w:rFonts w:ascii="Arial" w:cs="Arial" w:eastAsia="Arial" w:hAnsi="Arial"/>
          <w:sz w:val="12"/>
          <w:szCs w:val="12"/>
          <w:b w:val="1"/>
          <w:bCs w:val="1"/>
          <w:color w:val="212121"/>
        </w:rPr>
        <w:t>Dispute Resolution</w:t>
      </w:r>
      <w:r>
        <w:rPr>
          <w:rFonts w:ascii="Arial" w:cs="Arial" w:eastAsia="Arial" w:hAnsi="Arial"/>
          <w:sz w:val="12"/>
          <w:szCs w:val="12"/>
          <w:color w:val="212121"/>
        </w:rPr>
        <w:t>. There may be times when you and the Company have differences or disputes come up that need to be resolved through a more formal process. We all hope that</w:t>
      </w:r>
      <w:r>
        <w:rPr>
          <w:rFonts w:ascii="Arial" w:cs="Arial" w:eastAsia="Arial" w:hAnsi="Arial"/>
          <w:sz w:val="12"/>
          <w:szCs w:val="12"/>
          <w:b w:val="1"/>
          <w:bCs w:val="1"/>
          <w:color w:val="212121"/>
        </w:rPr>
        <w:t xml:space="preserve"> </w:t>
      </w:r>
      <w:r>
        <w:rPr>
          <w:rFonts w:ascii="Arial" w:cs="Arial" w:eastAsia="Arial" w:hAnsi="Arial"/>
          <w:sz w:val="12"/>
          <w:szCs w:val="12"/>
          <w:color w:val="212121"/>
        </w:rPr>
        <w:t xml:space="preserve">doesn’t happen. But in case it does, both you and the Company agree to resolve any and all claims, disputes or controversies that either you may have against the Company or that the Company have against you arising out of, relating to, or having any connection to your application for employment, your employment with the Company, and/or the cessation of your employment exclusively through binding arbitration; the arbitration will be held before a single arbitrator to be administered by a neutral dispute resolution agency agreed upon by the parties at the time of the dispute. If you and the Company cannot agree, the American Arbitration Association (“ </w:t>
      </w:r>
      <w:r>
        <w:rPr>
          <w:rFonts w:ascii="Arial" w:cs="Arial" w:eastAsia="Arial" w:hAnsi="Arial"/>
          <w:sz w:val="12"/>
          <w:szCs w:val="12"/>
          <w:b w:val="1"/>
          <w:bCs w:val="1"/>
          <w:color w:val="212121"/>
        </w:rPr>
        <w:t>AAA</w:t>
      </w:r>
      <w:r>
        <w:rPr>
          <w:rFonts w:ascii="Arial" w:cs="Arial" w:eastAsia="Arial" w:hAnsi="Arial"/>
          <w:sz w:val="12"/>
          <w:szCs w:val="12"/>
          <w:color w:val="212121"/>
        </w:rPr>
        <w:t>”) will administer the arbitration pursuant to the AAA’s Employment Arbitration Rules (“</w:t>
      </w:r>
      <w:r>
        <w:rPr>
          <w:rFonts w:ascii="Arial" w:cs="Arial" w:eastAsia="Arial" w:hAnsi="Arial"/>
          <w:sz w:val="12"/>
          <w:szCs w:val="12"/>
          <w:b w:val="1"/>
          <w:bCs w:val="1"/>
          <w:color w:val="212121"/>
        </w:rPr>
        <w:t>AAA Rules</w:t>
      </w:r>
      <w:r>
        <w:rPr>
          <w:rFonts w:ascii="Arial" w:cs="Arial" w:eastAsia="Arial" w:hAnsi="Arial"/>
          <w:sz w:val="12"/>
          <w:szCs w:val="12"/>
          <w:color w:val="212121"/>
        </w:rPr>
        <w:t>”). Copies of AAA’s Rules are available on AAA’s website (www.adr.org) or upon request to the Legal Team (legal@navan.com). If there is any conflict between the Rules and the terms of this letter agreement, the language in this letter agreement will control.</w:t>
      </w:r>
    </w:p>
    <w:p>
      <w:pPr>
        <w:spacing w:after="0" w:line="123" w:lineRule="exact"/>
        <w:rPr>
          <w:sz w:val="20"/>
          <w:szCs w:val="20"/>
          <w:color w:val="auto"/>
        </w:rPr>
      </w:pPr>
    </w:p>
    <w:p>
      <w:pPr>
        <w:jc w:val="both"/>
        <w:ind w:left="224"/>
        <w:spacing w:after="0" w:line="265" w:lineRule="auto"/>
        <w:rPr>
          <w:sz w:val="20"/>
          <w:szCs w:val="20"/>
          <w:color w:val="auto"/>
        </w:rPr>
      </w:pPr>
      <w:r>
        <w:rPr>
          <w:rFonts w:ascii="Arial" w:cs="Arial" w:eastAsia="Arial" w:hAnsi="Arial"/>
          <w:sz w:val="12"/>
          <w:szCs w:val="12"/>
          <w:color w:val="212121"/>
        </w:rPr>
        <w:t>Some, but not all, of the types of claims covered are: unpaid wages, overtime, or other compensation; discrimination or harassment on the basis of race, sex, age, national origin, religion, disability or any other protected category; breach of contract; unlawful retaliation; wrongful discharge; employment-related tort claims such as defamation; and claims arising under any state and federal statutes or regulations applicable to employees or applicable to the employment relationship and the cessation of the employment relationship, such as the Age Discrimination in Employment Act, or the Family and Medical Leave Act.</w:t>
      </w:r>
    </w:p>
    <w:p>
      <w:pPr>
        <w:spacing w:after="0" w:line="118" w:lineRule="exact"/>
        <w:rPr>
          <w:sz w:val="20"/>
          <w:szCs w:val="20"/>
          <w:color w:val="auto"/>
        </w:rPr>
      </w:pPr>
    </w:p>
    <w:p>
      <w:pPr>
        <w:ind w:left="224"/>
        <w:spacing w:after="0"/>
        <w:rPr>
          <w:sz w:val="20"/>
          <w:szCs w:val="20"/>
          <w:color w:val="auto"/>
        </w:rPr>
      </w:pPr>
      <w:r>
        <w:rPr>
          <w:rFonts w:ascii="Arial" w:cs="Arial" w:eastAsia="Arial" w:hAnsi="Arial"/>
          <w:sz w:val="12"/>
          <w:szCs w:val="12"/>
          <w:color w:val="212121"/>
        </w:rPr>
        <w:t xml:space="preserve">Claims </w:t>
      </w:r>
      <w:r>
        <w:rPr>
          <w:rFonts w:ascii="Arial" w:cs="Arial" w:eastAsia="Arial" w:hAnsi="Arial"/>
          <w:sz w:val="12"/>
          <w:szCs w:val="12"/>
          <w:b w:val="1"/>
          <w:bCs w:val="1"/>
          <w:u w:val="single" w:color="auto"/>
          <w:color w:val="212121"/>
        </w:rPr>
        <w:t>not</w:t>
      </w:r>
      <w:r>
        <w:rPr>
          <w:rFonts w:ascii="Arial" w:cs="Arial" w:eastAsia="Arial" w:hAnsi="Arial"/>
          <w:sz w:val="12"/>
          <w:szCs w:val="12"/>
          <w:color w:val="212121"/>
        </w:rPr>
        <w:t xml:space="preserve"> covered by this agreement are:</w:t>
      </w:r>
    </w:p>
    <w:p>
      <w:pPr>
        <w:spacing w:after="0" w:line="159" w:lineRule="exact"/>
        <w:rPr>
          <w:sz w:val="20"/>
          <w:szCs w:val="20"/>
          <w:color w:val="auto"/>
        </w:rPr>
      </w:pPr>
    </w:p>
    <w:p>
      <w:pPr>
        <w:ind w:left="684" w:right="20" w:hanging="225"/>
        <w:spacing w:after="0" w:line="267" w:lineRule="auto"/>
        <w:tabs>
          <w:tab w:leader="none" w:pos="831" w:val="left"/>
        </w:tabs>
        <w:numPr>
          <w:ilvl w:val="0"/>
          <w:numId w:val="545"/>
        </w:numPr>
        <w:rPr>
          <w:rFonts w:ascii="Arial" w:cs="Arial" w:eastAsia="Arial" w:hAnsi="Arial"/>
          <w:sz w:val="12"/>
          <w:szCs w:val="12"/>
          <w:color w:val="212121"/>
        </w:rPr>
      </w:pPr>
      <w:r>
        <w:rPr>
          <w:rFonts w:ascii="Arial" w:cs="Arial" w:eastAsia="Arial" w:hAnsi="Arial"/>
          <w:sz w:val="12"/>
          <w:szCs w:val="12"/>
          <w:color w:val="212121"/>
        </w:rPr>
        <w:t>claims for workers’ compensation benefits, for unemployment benefits, or for other benefits under a benefit plan or program that provides its own process for dispute resolution;</w:t>
      </w:r>
    </w:p>
    <w:p>
      <w:pPr>
        <w:spacing w:after="0" w:line="286" w:lineRule="exact"/>
        <w:rPr>
          <w:rFonts w:ascii="Arial" w:cs="Arial" w:eastAsia="Arial" w:hAnsi="Arial"/>
          <w:sz w:val="12"/>
          <w:szCs w:val="12"/>
          <w:color w:val="212121"/>
        </w:rPr>
      </w:pPr>
    </w:p>
    <w:p>
      <w:pPr>
        <w:ind w:left="744" w:hanging="285"/>
        <w:spacing w:after="0"/>
        <w:tabs>
          <w:tab w:leader="none" w:pos="744" w:val="left"/>
        </w:tabs>
        <w:numPr>
          <w:ilvl w:val="0"/>
          <w:numId w:val="545"/>
        </w:numPr>
        <w:rPr>
          <w:rFonts w:ascii="Arial" w:cs="Arial" w:eastAsia="Arial" w:hAnsi="Arial"/>
          <w:sz w:val="12"/>
          <w:szCs w:val="12"/>
          <w:color w:val="212121"/>
        </w:rPr>
      </w:pPr>
      <w:r>
        <w:rPr>
          <w:rFonts w:ascii="Arial" w:cs="Arial" w:eastAsia="Arial" w:hAnsi="Arial"/>
          <w:sz w:val="12"/>
          <w:szCs w:val="12"/>
          <w:color w:val="212121"/>
        </w:rPr>
        <w:t>claims for which this agreement would be prohibited or invalid as a matter of federal law, or state law to the extent not preempted by federal law;</w:t>
      </w:r>
    </w:p>
    <w:p>
      <w:pPr>
        <w:spacing w:after="0" w:line="158" w:lineRule="exact"/>
        <w:rPr>
          <w:rFonts w:ascii="Arial" w:cs="Arial" w:eastAsia="Arial" w:hAnsi="Arial"/>
          <w:sz w:val="12"/>
          <w:szCs w:val="12"/>
          <w:color w:val="212121"/>
        </w:rPr>
      </w:pPr>
    </w:p>
    <w:p>
      <w:pPr>
        <w:ind w:left="744" w:hanging="285"/>
        <w:spacing w:after="0"/>
        <w:tabs>
          <w:tab w:leader="none" w:pos="744" w:val="left"/>
        </w:tabs>
        <w:numPr>
          <w:ilvl w:val="0"/>
          <w:numId w:val="545"/>
        </w:numPr>
        <w:rPr>
          <w:rFonts w:ascii="Arial" w:cs="Arial" w:eastAsia="Arial" w:hAnsi="Arial"/>
          <w:sz w:val="12"/>
          <w:szCs w:val="12"/>
          <w:color w:val="212121"/>
        </w:rPr>
      </w:pPr>
      <w:r>
        <w:rPr>
          <w:rFonts w:ascii="Arial" w:cs="Arial" w:eastAsia="Arial" w:hAnsi="Arial"/>
          <w:sz w:val="12"/>
          <w:szCs w:val="12"/>
          <w:color w:val="212121"/>
        </w:rPr>
        <w:t>actions to enforce this agreement, compel arbitration, or enforce or vacate an arbitrator’s award under this agreement;</w:t>
      </w:r>
    </w:p>
    <w:p>
      <w:pPr>
        <w:spacing w:after="0" w:line="158" w:lineRule="exact"/>
        <w:rPr>
          <w:rFonts w:ascii="Arial" w:cs="Arial" w:eastAsia="Arial" w:hAnsi="Arial"/>
          <w:sz w:val="12"/>
          <w:szCs w:val="12"/>
          <w:color w:val="212121"/>
        </w:rPr>
      </w:pPr>
    </w:p>
    <w:p>
      <w:pPr>
        <w:ind w:left="744" w:hanging="285"/>
        <w:spacing w:after="0"/>
        <w:tabs>
          <w:tab w:leader="none" w:pos="744" w:val="left"/>
        </w:tabs>
        <w:numPr>
          <w:ilvl w:val="0"/>
          <w:numId w:val="545"/>
        </w:numPr>
        <w:rPr>
          <w:rFonts w:ascii="Arial" w:cs="Arial" w:eastAsia="Arial" w:hAnsi="Arial"/>
          <w:sz w:val="12"/>
          <w:szCs w:val="12"/>
          <w:color w:val="212121"/>
        </w:rPr>
      </w:pPr>
      <w:r>
        <w:rPr>
          <w:rFonts w:ascii="Arial" w:cs="Arial" w:eastAsia="Arial" w:hAnsi="Arial"/>
          <w:sz w:val="12"/>
          <w:szCs w:val="12"/>
          <w:color w:val="212121"/>
        </w:rPr>
        <w:t>claims arising under the National Labor Relations Act;</w:t>
      </w:r>
    </w:p>
    <w:p>
      <w:pPr>
        <w:spacing w:after="0" w:line="158" w:lineRule="exact"/>
        <w:rPr>
          <w:rFonts w:ascii="Arial" w:cs="Arial" w:eastAsia="Arial" w:hAnsi="Arial"/>
          <w:sz w:val="12"/>
          <w:szCs w:val="12"/>
          <w:color w:val="212121"/>
        </w:rPr>
      </w:pPr>
    </w:p>
    <w:p>
      <w:pPr>
        <w:ind w:left="744" w:hanging="285"/>
        <w:spacing w:after="0"/>
        <w:tabs>
          <w:tab w:leader="none" w:pos="744" w:val="left"/>
        </w:tabs>
        <w:numPr>
          <w:ilvl w:val="0"/>
          <w:numId w:val="545"/>
        </w:numPr>
        <w:rPr>
          <w:rFonts w:ascii="Arial" w:cs="Arial" w:eastAsia="Arial" w:hAnsi="Arial"/>
          <w:sz w:val="12"/>
          <w:szCs w:val="12"/>
          <w:color w:val="212121"/>
        </w:rPr>
      </w:pPr>
      <w:r>
        <w:rPr>
          <w:rFonts w:ascii="Arial" w:cs="Arial" w:eastAsia="Arial" w:hAnsi="Arial"/>
          <w:sz w:val="12"/>
          <w:szCs w:val="12"/>
          <w:color w:val="212121"/>
        </w:rPr>
        <w:t>claims by whistleblowers arising pursuant to the Sarbanes-Oxley Act and alleging unlawful retaliation or seeking other relief pursuant to that Act; and</w:t>
      </w:r>
    </w:p>
    <w:p>
      <w:pPr>
        <w:sectPr>
          <w:pgSz w:w="11900" w:h="16840" w:orient="portrait"/>
          <w:cols w:equalWidth="0" w:num="1">
            <w:col w:w="10384"/>
          </w:cols>
          <w:pgMar w:left="876" w:top="1440" w:right="640" w:bottom="1440" w:gutter="0" w:footer="0" w:header="0"/>
        </w:sectPr>
      </w:pPr>
    </w:p>
    <w:bookmarkStart w:id="420" w:name="page421"/>
    <w:bookmarkEnd w:id="420"/>
    <w:p>
      <w:pPr>
        <w:spacing w:after="0" w:line="39" w:lineRule="exact"/>
        <w:rPr>
          <w:sz w:val="20"/>
          <w:szCs w:val="20"/>
          <w:color w:val="auto"/>
        </w:rPr>
      </w:pPr>
    </w:p>
    <w:p>
      <w:pPr>
        <w:ind w:left="960" w:hanging="265"/>
        <w:spacing w:after="0"/>
        <w:tabs>
          <w:tab w:leader="none" w:pos="960" w:val="left"/>
        </w:tabs>
        <w:numPr>
          <w:ilvl w:val="0"/>
          <w:numId w:val="546"/>
        </w:numPr>
        <w:rPr>
          <w:rFonts w:ascii="Arial" w:cs="Arial" w:eastAsia="Arial" w:hAnsi="Arial"/>
          <w:sz w:val="12"/>
          <w:szCs w:val="12"/>
          <w:color w:val="212121"/>
        </w:rPr>
      </w:pPr>
      <w:r>
        <w:rPr>
          <w:rFonts w:ascii="Arial" w:cs="Arial" w:eastAsia="Arial" w:hAnsi="Arial"/>
          <w:sz w:val="12"/>
          <w:szCs w:val="12"/>
          <w:color w:val="212121"/>
        </w:rPr>
        <w:t>an action by either party seeking a provisional remedy in any court of competent jurisdiction.</w:t>
      </w:r>
    </w:p>
    <w:p>
      <w:pPr>
        <w:spacing w:after="0" w:line="159" w:lineRule="exact"/>
        <w:rPr>
          <w:sz w:val="20"/>
          <w:szCs w:val="20"/>
          <w:color w:val="auto"/>
        </w:rPr>
      </w:pPr>
    </w:p>
    <w:p>
      <w:pPr>
        <w:jc w:val="both"/>
        <w:ind w:left="460" w:right="40"/>
        <w:spacing w:after="0" w:line="295" w:lineRule="auto"/>
        <w:rPr>
          <w:sz w:val="20"/>
          <w:szCs w:val="20"/>
          <w:color w:val="auto"/>
        </w:rPr>
      </w:pPr>
      <w:r>
        <w:rPr>
          <w:rFonts w:ascii="Arial" w:cs="Arial" w:eastAsia="Arial" w:hAnsi="Arial"/>
          <w:sz w:val="12"/>
          <w:szCs w:val="12"/>
          <w:color w:val="212121"/>
        </w:rPr>
        <w:t xml:space="preserve">This agreement </w:t>
      </w:r>
      <w:r>
        <w:rPr>
          <w:rFonts w:ascii="Arial" w:cs="Arial" w:eastAsia="Arial" w:hAnsi="Arial"/>
          <w:sz w:val="12"/>
          <w:szCs w:val="12"/>
          <w:u w:val="single" w:color="auto"/>
          <w:color w:val="212121"/>
        </w:rPr>
        <w:t>does not</w:t>
      </w:r>
      <w:r>
        <w:rPr>
          <w:rFonts w:ascii="Arial" w:cs="Arial" w:eastAsia="Arial" w:hAnsi="Arial"/>
          <w:sz w:val="12"/>
          <w:szCs w:val="12"/>
          <w:color w:val="212121"/>
        </w:rPr>
        <w:t xml:space="preserve"> affect or limit your right to file or recover through a complaint, charge, or communication with any federal, state or local governmental or law enforcement agency, such as the National Labor Relations Board or the Equal Employment Opportunity Commission.</w:t>
      </w:r>
    </w:p>
    <w:p>
      <w:pPr>
        <w:spacing w:after="0" w:line="101" w:lineRule="exact"/>
        <w:rPr>
          <w:sz w:val="20"/>
          <w:szCs w:val="20"/>
          <w:color w:val="auto"/>
        </w:rPr>
      </w:pPr>
    </w:p>
    <w:p>
      <w:pPr>
        <w:ind w:left="460"/>
        <w:spacing w:after="0" w:line="295" w:lineRule="auto"/>
        <w:rPr>
          <w:sz w:val="20"/>
          <w:szCs w:val="20"/>
          <w:color w:val="auto"/>
        </w:rPr>
      </w:pPr>
      <w:r>
        <w:rPr>
          <w:rFonts w:ascii="Arial" w:cs="Arial" w:eastAsia="Arial" w:hAnsi="Arial"/>
          <w:sz w:val="12"/>
          <w:szCs w:val="12"/>
          <w:color w:val="212121"/>
        </w:rPr>
        <w:t xml:space="preserve">You and the Company agree that the parties and this agreement are subject to the Federal Arbitration Act (“ </w:t>
      </w:r>
      <w:r>
        <w:rPr>
          <w:rFonts w:ascii="Arial" w:cs="Arial" w:eastAsia="Arial" w:hAnsi="Arial"/>
          <w:sz w:val="12"/>
          <w:szCs w:val="12"/>
          <w:b w:val="1"/>
          <w:bCs w:val="1"/>
          <w:color w:val="212121"/>
        </w:rPr>
        <w:t>FAA</w:t>
      </w:r>
      <w:r>
        <w:rPr>
          <w:rFonts w:ascii="Arial" w:cs="Arial" w:eastAsia="Arial" w:hAnsi="Arial"/>
          <w:sz w:val="12"/>
          <w:szCs w:val="12"/>
          <w:color w:val="212121"/>
        </w:rPr>
        <w:t>”), 9 U.S.C. § 2, and that this agreement will be enforceable pursuant to and interpreted in accordance with the provisions of the FAA.</w:t>
      </w:r>
    </w:p>
    <w:p>
      <w:pPr>
        <w:spacing w:after="0" w:line="101" w:lineRule="exact"/>
        <w:rPr>
          <w:sz w:val="20"/>
          <w:szCs w:val="20"/>
          <w:color w:val="auto"/>
        </w:rPr>
      </w:pPr>
    </w:p>
    <w:p>
      <w:pPr>
        <w:jc w:val="both"/>
        <w:ind w:left="460" w:right="40"/>
        <w:spacing w:after="0" w:line="262" w:lineRule="auto"/>
        <w:rPr>
          <w:sz w:val="20"/>
          <w:szCs w:val="20"/>
          <w:color w:val="auto"/>
        </w:rPr>
      </w:pPr>
      <w:r>
        <w:rPr>
          <w:rFonts w:ascii="Arial" w:cs="Arial" w:eastAsia="Arial" w:hAnsi="Arial"/>
          <w:sz w:val="12"/>
          <w:szCs w:val="12"/>
          <w:color w:val="212121"/>
        </w:rPr>
        <w:t>The Arbitrator will resolve the dispute based solely upon the law that would govern the claims and defenses pleaded if they were adjudicated in a court of competent jurisdiction, and will have the authority to award the same damages and other relief that would have been available either to you as an individual claimant or to the Company in that court. All claims must be brought in a party’s individual capacity, and not as a plaintiff or class member in any purported class, collective or representative proceeding. The Arbitrator will not have the authority to consolidate the claims of other employees into a single proceeding, to fashion a proceeding as a class, collective action, or representative action, or to award relief to a class or group of employees.</w:t>
      </w:r>
    </w:p>
    <w:p>
      <w:pPr>
        <w:spacing w:after="0" w:line="268" w:lineRule="exact"/>
        <w:rPr>
          <w:sz w:val="20"/>
          <w:szCs w:val="20"/>
          <w:color w:val="auto"/>
        </w:rPr>
      </w:pPr>
    </w:p>
    <w:p>
      <w:pPr>
        <w:ind w:left="460"/>
        <w:spacing w:after="0"/>
        <w:rPr>
          <w:sz w:val="20"/>
          <w:szCs w:val="20"/>
          <w:color w:val="auto"/>
        </w:rPr>
      </w:pPr>
      <w:r>
        <w:rPr>
          <w:rFonts w:ascii="Arial" w:cs="Arial" w:eastAsia="Arial" w:hAnsi="Arial"/>
          <w:sz w:val="12"/>
          <w:szCs w:val="12"/>
          <w:color w:val="212121"/>
        </w:rPr>
        <w:t>All disputes concerning the existence, scope, formation, enforceability, revocability or validity of this agreement or any portion of this agreement, will be resolved by the Arbitrator.</w:t>
      </w:r>
    </w:p>
    <w:p>
      <w:pPr>
        <w:spacing w:after="0" w:line="159" w:lineRule="exact"/>
        <w:rPr>
          <w:sz w:val="20"/>
          <w:szCs w:val="20"/>
          <w:color w:val="auto"/>
        </w:rPr>
      </w:pPr>
    </w:p>
    <w:p>
      <w:pPr>
        <w:jc w:val="both"/>
        <w:ind w:left="460" w:right="20"/>
        <w:spacing w:after="0" w:line="258" w:lineRule="auto"/>
        <w:rPr>
          <w:sz w:val="20"/>
          <w:szCs w:val="20"/>
          <w:color w:val="auto"/>
        </w:rPr>
      </w:pPr>
      <w:r>
        <w:rPr>
          <w:rFonts w:ascii="Arial" w:cs="Arial" w:eastAsia="Arial" w:hAnsi="Arial"/>
          <w:sz w:val="12"/>
          <w:szCs w:val="12"/>
          <w:color w:val="212121"/>
        </w:rPr>
        <w:t>By acknowledging / signing below, and/or by continuing employment and/or reporting to work, you agree to be bound to this Dispute Resolution agreement, as does the Company. You agree that you have read and understand this agreement and have consulted, or have had the opportunity to consult, with an attorney of your choosing regarding its effect to the extent you deem necessary. You understand that you must arbitrate any and all disputes or claims against the Company that are covered by this agreement; the Company must arbitrate any disputes or claims against you that are covered by this agreement; that both you and the Company are waiving their respective rights to a trial by a jury; and that neither you nor the Company may file a lawsuit in court in regard to any claims or disputes covered by this agreement. This agreement does not constitute a guarantee of employment for any fixed period or under any particular terms except those contained herein and does not alter in any way the at-will nature of any employment relationship.</w:t>
      </w:r>
    </w:p>
    <w:p>
      <w:pPr>
        <w:spacing w:after="0" w:line="124" w:lineRule="exact"/>
        <w:rPr>
          <w:sz w:val="20"/>
          <w:szCs w:val="20"/>
          <w:color w:val="auto"/>
        </w:rPr>
      </w:pPr>
    </w:p>
    <w:p>
      <w:pPr>
        <w:jc w:val="both"/>
        <w:ind w:right="20"/>
        <w:spacing w:after="0" w:line="259" w:lineRule="auto"/>
        <w:rPr>
          <w:sz w:val="20"/>
          <w:szCs w:val="20"/>
          <w:color w:val="auto"/>
        </w:rPr>
      </w:pPr>
      <w:r>
        <w:rPr>
          <w:rFonts w:ascii="Arial" w:cs="Arial" w:eastAsia="Arial" w:hAnsi="Arial"/>
          <w:sz w:val="12"/>
          <w:szCs w:val="12"/>
          <w:color w:val="212121"/>
        </w:rPr>
        <w:t>You acknowledge and agree that upon your execution of this letter agreement, you will no longer be eligible for, nor entitled to, any compensation or benefits (including without limitation, any severance or change in control benefits) under any prior employment terms, offer letter or employment agreement you may have entered into or discussed with the Company, including but not limited to your Prior Agreement. This letter agreement, together with your Severance Agreement, EIACA, equity agreements and other agreements referenced herein, forms the complete and exclusive agreement regarding the subject matter hereof. It supersedes any other representations, promises, or agreements, whether written or oral, including the Prior Agreement. Modifications or amendments to this letter agreement, other than those changes expressly reserved to the Company’s discretion herein, must be made in a written agreement signed by you and an officer of the Company (other than you).</w:t>
      </w:r>
    </w:p>
    <w:p>
      <w:pPr>
        <w:spacing w:after="0" w:line="270" w:lineRule="exact"/>
        <w:rPr>
          <w:sz w:val="20"/>
          <w:szCs w:val="20"/>
          <w:color w:val="auto"/>
        </w:rPr>
      </w:pPr>
    </w:p>
    <w:p>
      <w:pPr>
        <w:jc w:val="both"/>
        <w:ind w:right="20"/>
        <w:spacing w:after="0" w:line="265" w:lineRule="auto"/>
        <w:rPr>
          <w:sz w:val="20"/>
          <w:szCs w:val="20"/>
          <w:color w:val="auto"/>
        </w:rPr>
      </w:pPr>
      <w:r>
        <w:rPr>
          <w:rFonts w:ascii="Arial" w:cs="Arial" w:eastAsia="Arial" w:hAnsi="Arial"/>
          <w:sz w:val="12"/>
          <w:szCs w:val="12"/>
          <w:color w:val="212121"/>
        </w:rPr>
        <w:t>All questions concerning the construction, validity and interpretation of this letter agreement and the exhibits hereto will be governed by and construed in accordance with the domestic laws of the State of California, without giving effect to any choice of law or conflict of law provision or rule (whether of the State of California or any other jurisdiction) that would cause the application of the laws of any jurisdiction other than the State of California. Any lawsuit arising out of or in any way related to this letter agreement to the parties’ relationship hereunder (to the extent permitted under this letter agreement) will be brought</w:t>
      </w:r>
    </w:p>
    <w:p>
      <w:pPr>
        <w:sectPr>
          <w:pgSz w:w="11900" w:h="16840" w:orient="portrait"/>
          <w:cols w:equalWidth="0" w:num="1">
            <w:col w:w="10640"/>
          </w:cols>
          <w:pgMar w:left="640" w:top="1440" w:right="620" w:bottom="1440" w:gutter="0" w:footer="0" w:header="0"/>
        </w:sectPr>
      </w:pPr>
    </w:p>
    <w:bookmarkStart w:id="421" w:name="page422"/>
    <w:bookmarkEnd w:id="421"/>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212121"/>
        </w:rPr>
        <w:t>only in those state or federal courts having jurisdiction over actions arising in Santa Clara County in the State of California.</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212121"/>
        </w:rPr>
        <w:t>If any provision of this letter agreement is determined to be invalid or unenforceable, in whole or in part, this determination will not affect any other provision of this letter agreement and the provision in question will be modified so as to be rendered enforceable in a manner consistent with the intent of the parties insofar as possible under applicable law. This letter may be delivered and executed via facsimile, electronic mail (including pdf or any electronic signature complying with the U.S. federal ESIGN Act of 2000, Uniform Electronic Transactions Act or other applicable law) or other transmission method and will be deemed to have been duly and validly delivered and executed and be valid and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color w:val="212121"/>
        </w:rPr>
        <w:t>Please sign below and return this letter to me to indicate your agreement with its terms.</w:t>
      </w:r>
    </w:p>
    <w:p>
      <w:pPr>
        <w:spacing w:after="0" w:line="197" w:lineRule="exact"/>
        <w:rPr>
          <w:sz w:val="20"/>
          <w:szCs w:val="20"/>
          <w:color w:val="auto"/>
        </w:rPr>
      </w:pPr>
    </w:p>
    <w:p>
      <w:pPr>
        <w:ind w:left="5260"/>
        <w:spacing w:after="0"/>
        <w:rPr>
          <w:sz w:val="20"/>
          <w:szCs w:val="20"/>
          <w:color w:val="auto"/>
        </w:rPr>
      </w:pPr>
      <w:r>
        <w:rPr>
          <w:rFonts w:ascii="Arial" w:cs="Arial" w:eastAsia="Arial" w:hAnsi="Arial"/>
          <w:sz w:val="12"/>
          <w:szCs w:val="12"/>
          <w:color w:val="auto"/>
        </w:rPr>
        <w:t>Very truly yours,</w:t>
      </w:r>
    </w:p>
    <w:p>
      <w:pPr>
        <w:spacing w:after="0" w:line="44" w:lineRule="exact"/>
        <w:rPr>
          <w:sz w:val="20"/>
          <w:szCs w:val="20"/>
          <w:color w:val="auto"/>
        </w:rPr>
      </w:pPr>
    </w:p>
    <w:p>
      <w:pPr>
        <w:ind w:left="5260"/>
        <w:spacing w:after="0"/>
        <w:rPr>
          <w:sz w:val="20"/>
          <w:szCs w:val="20"/>
          <w:color w:val="auto"/>
        </w:rPr>
      </w:pPr>
      <w:r>
        <w:rPr>
          <w:rFonts w:ascii="Arial" w:cs="Arial" w:eastAsia="Arial" w:hAnsi="Arial"/>
          <w:sz w:val="12"/>
          <w:szCs w:val="12"/>
          <w:color w:val="auto"/>
        </w:rPr>
        <w:t>Navan, Inc.</w:t>
      </w:r>
    </w:p>
    <w:p>
      <w:pPr>
        <w:spacing w:after="0" w:line="200" w:lineRule="exact"/>
        <w:rPr>
          <w:sz w:val="20"/>
          <w:szCs w:val="20"/>
          <w:color w:val="auto"/>
        </w:rPr>
      </w:pPr>
    </w:p>
    <w:p>
      <w:pPr>
        <w:spacing w:after="0" w:line="227" w:lineRule="exact"/>
        <w:rPr>
          <w:sz w:val="20"/>
          <w:szCs w:val="20"/>
          <w:color w:val="auto"/>
        </w:rPr>
      </w:pPr>
    </w:p>
    <w:p>
      <w:pPr>
        <w:ind w:left="5260"/>
        <w:spacing w:after="0"/>
        <w:tabs>
          <w:tab w:leader="none" w:pos="584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i w:val="1"/>
          <w:iCs w:val="1"/>
          <w:color w:val="auto"/>
        </w:rPr>
        <w:t>/s/ Ariel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21590</wp:posOffset>
            </wp:positionV>
            <wp:extent cx="303784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3037840" cy="6350"/>
                    </a:xfrm>
                    <a:prstGeom prst="rect">
                      <a:avLst/>
                    </a:prstGeom>
                    <a:noFill/>
                  </pic:spPr>
                </pic:pic>
              </a:graphicData>
            </a:graphic>
          </wp:anchor>
        </w:drawing>
      </w:r>
    </w:p>
    <w:p>
      <w:pPr>
        <w:spacing w:after="0" w:line="33"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Ariel Cohen</w:t>
      </w:r>
    </w:p>
    <w:p>
      <w:pPr>
        <w:spacing w:after="0" w:line="44"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2"/>
          <w:szCs w:val="12"/>
          <w:color w:val="auto"/>
        </w:rPr>
        <w:t>I have read and accept these terms of employment.</w:t>
      </w:r>
    </w:p>
    <w:p>
      <w:pPr>
        <w:spacing w:after="0" w:line="200" w:lineRule="exact"/>
        <w:rPr>
          <w:sz w:val="20"/>
          <w:szCs w:val="20"/>
          <w:color w:val="auto"/>
        </w:rPr>
      </w:pPr>
    </w:p>
    <w:p>
      <w:pPr>
        <w:spacing w:after="0" w:line="227" w:lineRule="exact"/>
        <w:rPr>
          <w:sz w:val="20"/>
          <w:szCs w:val="20"/>
          <w:color w:val="auto"/>
        </w:rPr>
      </w:pPr>
    </w:p>
    <w:tbl>
      <w:tblPr>
        <w:tblLayout w:type="fixed"/>
        <w:tblInd w:w="140" w:type="dxa"/>
        <w:tblCellMar>
          <w:top w:w="0" w:type="dxa"/>
          <w:left w:w="0" w:type="dxa"/>
          <w:bottom w:w="0" w:type="dxa"/>
          <w:right w:w="0" w:type="dxa"/>
        </w:tblCellMar>
      </w:tblPr>
      <w:tr>
        <w:trPr>
          <w:trHeight w:val="168"/>
        </w:trPr>
        <w:tc>
          <w:tcPr>
            <w:tcW w:w="3440" w:type="dxa"/>
            <w:vAlign w:val="bottom"/>
          </w:tcPr>
          <w:p>
            <w:pPr>
              <w:ind w:left="40"/>
              <w:spacing w:after="0"/>
              <w:rPr>
                <w:sz w:val="20"/>
                <w:szCs w:val="20"/>
                <w:color w:val="auto"/>
              </w:rPr>
            </w:pPr>
            <w:r>
              <w:rPr>
                <w:rFonts w:ascii="Arial" w:cs="Arial" w:eastAsia="Arial" w:hAnsi="Arial"/>
                <w:sz w:val="12"/>
                <w:szCs w:val="12"/>
                <w:i w:val="1"/>
                <w:iCs w:val="1"/>
                <w:color w:val="auto"/>
              </w:rPr>
              <w:t>/s/ Michael Sindicich</w:t>
            </w:r>
          </w:p>
        </w:tc>
        <w:tc>
          <w:tcPr>
            <w:tcW w:w="6220" w:type="dxa"/>
            <w:vAlign w:val="bottom"/>
            <w:gridSpan w:val="2"/>
          </w:tcPr>
          <w:p>
            <w:pPr>
              <w:ind w:left="2740"/>
              <w:spacing w:after="0"/>
              <w:rPr>
                <w:sz w:val="20"/>
                <w:szCs w:val="20"/>
                <w:color w:val="auto"/>
              </w:rPr>
            </w:pPr>
            <w:r>
              <w:rPr>
                <w:rFonts w:ascii="Arial" w:cs="Arial" w:eastAsia="Arial" w:hAnsi="Arial"/>
                <w:sz w:val="12"/>
                <w:szCs w:val="12"/>
                <w:color w:val="auto"/>
              </w:rPr>
              <w:t>8/11/2025</w:t>
            </w:r>
          </w:p>
        </w:tc>
      </w:tr>
      <w:tr>
        <w:trPr>
          <w:trHeight w:val="177"/>
        </w:trPr>
        <w:tc>
          <w:tcPr>
            <w:tcW w:w="34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Michael Sindicich</w:t>
            </w:r>
          </w:p>
        </w:tc>
        <w:tc>
          <w:tcPr>
            <w:tcW w:w="2720" w:type="dxa"/>
            <w:vAlign w:val="bottom"/>
          </w:tcPr>
          <w:p>
            <w:pPr>
              <w:spacing w:after="0"/>
              <w:rPr>
                <w:sz w:val="15"/>
                <w:szCs w:val="15"/>
                <w:color w:val="auto"/>
              </w:rPr>
            </w:pPr>
          </w:p>
        </w:tc>
        <w:tc>
          <w:tcPr>
            <w:tcW w:w="35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DATE</w:t>
            </w:r>
          </w:p>
        </w:tc>
      </w:tr>
    </w:tbl>
    <w:p>
      <w:pPr>
        <w:sectPr>
          <w:pgSz w:w="11900" w:h="16840" w:orient="portrait"/>
          <w:cols w:equalWidth="0" w:num="1">
            <w:col w:w="10600"/>
          </w:cols>
          <w:pgMar w:left="640" w:top="1440" w:right="660" w:bottom="1440" w:gutter="0" w:footer="0" w:header="0"/>
        </w:sectPr>
      </w:pPr>
    </w:p>
    <w:bookmarkStart w:id="422" w:name="page423"/>
    <w:bookmarkEnd w:id="422"/>
    <w:p>
      <w:pPr>
        <w:spacing w:after="0" w:line="3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Exhibit A</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SECTION 7 OF THE DEFEND TRADE SECRETS ACT OF 2016</w:t>
      </w:r>
    </w:p>
    <w:p>
      <w:pPr>
        <w:spacing w:after="0" w:line="159" w:lineRule="exact"/>
        <w:rPr>
          <w:sz w:val="20"/>
          <w:szCs w:val="20"/>
          <w:color w:val="auto"/>
        </w:rPr>
      </w:pPr>
    </w:p>
    <w:p>
      <w:pPr>
        <w:jc w:val="both"/>
        <w:ind w:firstLine="459"/>
        <w:spacing w:after="0" w:line="261" w:lineRule="auto"/>
        <w:rPr>
          <w:sz w:val="20"/>
          <w:szCs w:val="20"/>
          <w:color w:val="auto"/>
        </w:rPr>
      </w:pPr>
      <w:r>
        <w:rPr>
          <w:rFonts w:ascii="Arial" w:cs="Arial" w:eastAsia="Arial" w:hAnsi="Arial"/>
          <w:sz w:val="12"/>
          <w:szCs w:val="12"/>
          <w:color w:val="auto"/>
        </w:rPr>
        <w:t>“ . . . An individual will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ectPr>
          <w:pgSz w:w="11900" w:h="16840" w:orient="portrait"/>
          <w:cols w:equalWidth="0" w:num="1">
            <w:col w:w="10600"/>
          </w:cols>
          <w:pgMar w:left="640" w:top="1440" w:right="660" w:bottom="1440" w:gutter="0" w:footer="0" w:header="0"/>
        </w:sectPr>
      </w:pPr>
    </w:p>
    <w:bookmarkStart w:id="423" w:name="page424"/>
    <w:bookmarkEnd w:id="423"/>
    <w:p>
      <w:pPr>
        <w:ind w:left="9960"/>
        <w:spacing w:after="0"/>
        <w:rPr>
          <w:sz w:val="20"/>
          <w:szCs w:val="20"/>
          <w:color w:val="auto"/>
        </w:rPr>
      </w:pPr>
      <w:r>
        <w:rPr>
          <w:rFonts w:ascii="Times New Roman" w:cs="Times New Roman" w:eastAsia="Times New Roman" w:hAnsi="Times New Roman"/>
          <w:sz w:val="12"/>
          <w:szCs w:val="12"/>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3060700</wp:posOffset>
            </wp:positionH>
            <wp:positionV relativeFrom="paragraph">
              <wp:posOffset>600710</wp:posOffset>
            </wp:positionV>
            <wp:extent cx="626110" cy="1397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626110" cy="13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color w:val="auto"/>
        </w:rPr>
        <w:t>August 7, 2025</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Ilan Twig</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Via Email</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 Confirmatory Offer Letter</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Dear Ilan,</w:t>
      </w:r>
    </w:p>
    <w:p>
      <w:pPr>
        <w:spacing w:after="0" w:line="159" w:lineRule="exact"/>
        <w:rPr>
          <w:sz w:val="20"/>
          <w:szCs w:val="20"/>
          <w:color w:val="auto"/>
        </w:rPr>
      </w:pPr>
    </w:p>
    <w:p>
      <w:pPr>
        <w:ind w:right="20"/>
        <w:spacing w:after="0" w:line="306" w:lineRule="auto"/>
        <w:rPr>
          <w:sz w:val="20"/>
          <w:szCs w:val="20"/>
          <w:color w:val="auto"/>
        </w:rPr>
      </w:pPr>
      <w:r>
        <w:rPr>
          <w:rFonts w:ascii="Arial" w:cs="Arial" w:eastAsia="Arial" w:hAnsi="Arial"/>
          <w:sz w:val="12"/>
          <w:szCs w:val="12"/>
          <w:color w:val="auto"/>
        </w:rPr>
        <w:t xml:space="preserve">You are currently employed by Navan, Inc. (the “ </w:t>
      </w:r>
      <w:r>
        <w:rPr>
          <w:rFonts w:ascii="Arial" w:cs="Arial" w:eastAsia="Arial" w:hAnsi="Arial"/>
          <w:sz w:val="12"/>
          <w:szCs w:val="12"/>
          <w:b w:val="1"/>
          <w:bCs w:val="1"/>
          <w:color w:val="auto"/>
        </w:rPr>
        <w:t>Company</w:t>
      </w:r>
      <w:r>
        <w:rPr>
          <w:rFonts w:ascii="Arial" w:cs="Arial" w:eastAsia="Arial" w:hAnsi="Arial"/>
          <w:sz w:val="12"/>
          <w:szCs w:val="12"/>
          <w:color w:val="auto"/>
        </w:rPr>
        <w:t>”) as its Chief Technology Officer, Navan. This confirmatory offer letter confirms and amends the terms and conditions of your employment in that role and is intended to replace and supersede your offer letter between you and the Company dated February 5, 2024 (the “</w:t>
      </w:r>
      <w:r>
        <w:rPr>
          <w:rFonts w:ascii="Arial" w:cs="Arial" w:eastAsia="Arial" w:hAnsi="Arial"/>
          <w:sz w:val="12"/>
          <w:szCs w:val="12"/>
          <w:b w:val="1"/>
          <w:bCs w:val="1"/>
          <w:color w:val="auto"/>
        </w:rPr>
        <w:t>Prior Agreement</w:t>
      </w:r>
      <w:r>
        <w:rPr>
          <w:rFonts w:ascii="Arial" w:cs="Arial" w:eastAsia="Arial" w:hAnsi="Arial"/>
          <w:sz w:val="12"/>
          <w:szCs w:val="12"/>
          <w:color w:val="auto"/>
        </w:rPr>
        <w:t>”).</w:t>
      </w:r>
    </w:p>
    <w:p>
      <w:pPr>
        <w:spacing w:after="0" w:line="88" w:lineRule="exact"/>
        <w:rPr>
          <w:sz w:val="20"/>
          <w:szCs w:val="20"/>
          <w:color w:val="auto"/>
        </w:rPr>
      </w:pPr>
    </w:p>
    <w:p>
      <w:pPr>
        <w:ind w:left="460" w:hanging="224"/>
        <w:spacing w:after="0" w:line="277" w:lineRule="auto"/>
        <w:tabs>
          <w:tab w:leader="none" w:pos="470" w:val="left"/>
        </w:tabs>
        <w:numPr>
          <w:ilvl w:val="0"/>
          <w:numId w:val="548"/>
        </w:numPr>
        <w:rPr>
          <w:rFonts w:ascii="Arial" w:cs="Arial" w:eastAsia="Arial" w:hAnsi="Arial"/>
          <w:sz w:val="12"/>
          <w:szCs w:val="12"/>
          <w:color w:val="auto"/>
        </w:rPr>
      </w:pPr>
      <w:r>
        <w:rPr>
          <w:rFonts w:ascii="Arial" w:cs="Arial" w:eastAsia="Arial" w:hAnsi="Arial"/>
          <w:sz w:val="12"/>
          <w:szCs w:val="12"/>
          <w:b w:val="1"/>
          <w:bCs w:val="1"/>
          <w:color w:val="auto"/>
        </w:rPr>
        <w:t>Position</w:t>
      </w:r>
      <w:r>
        <w:rPr>
          <w:rFonts w:ascii="Arial" w:cs="Arial" w:eastAsia="Arial" w:hAnsi="Arial"/>
          <w:sz w:val="12"/>
          <w:szCs w:val="12"/>
          <w:color w:val="auto"/>
        </w:rPr>
        <w:t>. You will continue to serve in a full-time capacity, reporting to Ariel Cohen, the Company’s Founder &amp; Chief Executive Officer. You will continue to remain employed as Head of</w:t>
      </w:r>
      <w:r>
        <w:rPr>
          <w:rFonts w:ascii="Arial" w:cs="Arial" w:eastAsia="Arial" w:hAnsi="Arial"/>
          <w:sz w:val="12"/>
          <w:szCs w:val="12"/>
          <w:b w:val="1"/>
          <w:bCs w:val="1"/>
          <w:color w:val="auto"/>
        </w:rPr>
        <w:t xml:space="preserve"> </w:t>
      </w:r>
      <w:r>
        <w:rPr>
          <w:rFonts w:ascii="Arial" w:cs="Arial" w:eastAsia="Arial" w:hAnsi="Arial"/>
          <w:sz w:val="12"/>
          <w:szCs w:val="12"/>
          <w:color w:val="auto"/>
        </w:rPr>
        <w:t>Innovation for Navan Labs Israel Limited, the Company’s wholly owned subsidiary (“</w:t>
      </w:r>
      <w:r>
        <w:rPr>
          <w:rFonts w:ascii="Arial" w:cs="Arial" w:eastAsia="Arial" w:hAnsi="Arial"/>
          <w:sz w:val="12"/>
          <w:szCs w:val="12"/>
          <w:b w:val="1"/>
          <w:bCs w:val="1"/>
          <w:color w:val="auto"/>
        </w:rPr>
        <w:t>Navan Labs</w:t>
      </w:r>
      <w:r>
        <w:rPr>
          <w:rFonts w:ascii="Arial" w:cs="Arial" w:eastAsia="Arial" w:hAnsi="Arial"/>
          <w:sz w:val="12"/>
          <w:szCs w:val="12"/>
          <w:color w:val="auto"/>
        </w:rPr>
        <w:t>”), pursuant to the agreement between you and Navan Labs dated February 9, 2024 (the “</w:t>
      </w:r>
      <w:r>
        <w:rPr>
          <w:rFonts w:ascii="Arial" w:cs="Arial" w:eastAsia="Arial" w:hAnsi="Arial"/>
          <w:sz w:val="12"/>
          <w:szCs w:val="12"/>
          <w:b w:val="1"/>
          <w:bCs w:val="1"/>
          <w:color w:val="auto"/>
        </w:rPr>
        <w:t>Navan Labs Agreement</w:t>
      </w:r>
      <w:r>
        <w:rPr>
          <w:rFonts w:ascii="Arial" w:cs="Arial" w:eastAsia="Arial" w:hAnsi="Arial"/>
          <w:sz w:val="12"/>
          <w:szCs w:val="12"/>
          <w:color w:val="auto"/>
        </w:rPr>
        <w:t>”).</w:t>
      </w:r>
    </w:p>
    <w:p>
      <w:pPr>
        <w:spacing w:after="0" w:line="105" w:lineRule="exact"/>
        <w:rPr>
          <w:rFonts w:ascii="Arial" w:cs="Arial" w:eastAsia="Arial" w:hAnsi="Arial"/>
          <w:sz w:val="12"/>
          <w:szCs w:val="12"/>
          <w:color w:val="auto"/>
        </w:rPr>
      </w:pPr>
    </w:p>
    <w:p>
      <w:pPr>
        <w:ind w:left="480" w:hanging="244"/>
        <w:spacing w:after="0"/>
        <w:tabs>
          <w:tab w:leader="none" w:pos="480" w:val="left"/>
        </w:tabs>
        <w:numPr>
          <w:ilvl w:val="0"/>
          <w:numId w:val="548"/>
        </w:numPr>
        <w:rPr>
          <w:rFonts w:ascii="Arial" w:cs="Arial" w:eastAsia="Arial" w:hAnsi="Arial"/>
          <w:sz w:val="12"/>
          <w:szCs w:val="12"/>
          <w:color w:val="auto"/>
        </w:rPr>
      </w:pPr>
      <w:r>
        <w:rPr>
          <w:rFonts w:ascii="Arial" w:cs="Arial" w:eastAsia="Arial" w:hAnsi="Arial"/>
          <w:sz w:val="12"/>
          <w:szCs w:val="12"/>
          <w:b w:val="1"/>
          <w:bCs w:val="1"/>
          <w:color w:val="auto"/>
        </w:rPr>
        <w:t>Cash Compensation and Benefits</w:t>
      </w:r>
      <w:r>
        <w:rPr>
          <w:rFonts w:ascii="Arial" w:cs="Arial" w:eastAsia="Arial" w:hAnsi="Arial"/>
          <w:sz w:val="12"/>
          <w:szCs w:val="12"/>
          <w:color w:val="auto"/>
        </w:rPr>
        <w:t>.</w:t>
      </w:r>
    </w:p>
    <w:p>
      <w:pPr>
        <w:spacing w:after="0" w:line="158" w:lineRule="exact"/>
        <w:rPr>
          <w:rFonts w:ascii="Arial" w:cs="Arial" w:eastAsia="Arial" w:hAnsi="Arial"/>
          <w:sz w:val="12"/>
          <w:szCs w:val="12"/>
          <w:color w:val="auto"/>
        </w:rPr>
      </w:pPr>
    </w:p>
    <w:p>
      <w:pPr>
        <w:jc w:val="both"/>
        <w:ind w:left="460"/>
        <w:spacing w:after="0" w:line="272" w:lineRule="auto"/>
        <w:rPr>
          <w:rFonts w:ascii="Arial" w:cs="Arial" w:eastAsia="Arial" w:hAnsi="Arial"/>
          <w:sz w:val="12"/>
          <w:szCs w:val="12"/>
          <w:color w:val="auto"/>
        </w:rPr>
      </w:pPr>
      <w:r>
        <w:rPr>
          <w:rFonts w:ascii="Arial" w:cs="Arial" w:eastAsia="Arial" w:hAnsi="Arial"/>
          <w:sz w:val="12"/>
          <w:szCs w:val="12"/>
          <w:color w:val="auto"/>
        </w:rPr>
        <w:t>Your salary will continue to be paid at the rate of USD $280,000 on an annualized basis, which will be paid in accordance with the Company’s normal payroll procedures and subject to applicable payroll withholdings and deductions. For avoidance of doubt and purposes of clarification, you will continue to be paid at the rate of 1,533,000.00 Israeli new shekel (ILS) on an annualized basis in accordance with the Navan Labs Agreement.</w:t>
      </w:r>
    </w:p>
    <w:p>
      <w:pPr>
        <w:spacing w:after="0" w:line="114" w:lineRule="exact"/>
        <w:rPr>
          <w:rFonts w:ascii="Arial" w:cs="Arial" w:eastAsia="Arial" w:hAnsi="Arial"/>
          <w:sz w:val="12"/>
          <w:szCs w:val="12"/>
          <w:color w:val="auto"/>
        </w:rPr>
      </w:pPr>
    </w:p>
    <w:p>
      <w:pPr>
        <w:ind w:left="460"/>
        <w:spacing w:after="0" w:line="295" w:lineRule="auto"/>
        <w:rPr>
          <w:rFonts w:ascii="Arial" w:cs="Arial" w:eastAsia="Arial" w:hAnsi="Arial"/>
          <w:sz w:val="12"/>
          <w:szCs w:val="12"/>
          <w:color w:val="auto"/>
        </w:rPr>
      </w:pPr>
      <w:r>
        <w:rPr>
          <w:rFonts w:ascii="Arial" w:cs="Arial" w:eastAsia="Arial" w:hAnsi="Arial"/>
          <w:sz w:val="12"/>
          <w:szCs w:val="12"/>
          <w:color w:val="auto"/>
        </w:rPr>
        <w:t>As an exempt salaried employee, you will be expected to work the Company’s normal business hours as well as additional hours as required by the nature of your work assignments, and you will not be eligible for overtime compensation.</w:t>
      </w:r>
    </w:p>
    <w:p>
      <w:pPr>
        <w:spacing w:after="0" w:line="100" w:lineRule="exact"/>
        <w:rPr>
          <w:rFonts w:ascii="Arial" w:cs="Arial" w:eastAsia="Arial" w:hAnsi="Arial"/>
          <w:sz w:val="12"/>
          <w:szCs w:val="12"/>
          <w:color w:val="auto"/>
        </w:rPr>
      </w:pPr>
    </w:p>
    <w:p>
      <w:pPr>
        <w:jc w:val="both"/>
        <w:ind w:left="460"/>
        <w:spacing w:after="0" w:line="256" w:lineRule="auto"/>
        <w:rPr>
          <w:rFonts w:ascii="Arial" w:cs="Arial" w:eastAsia="Arial" w:hAnsi="Arial"/>
          <w:sz w:val="12"/>
          <w:szCs w:val="12"/>
          <w:color w:val="auto"/>
        </w:rPr>
      </w:pPr>
      <w:r>
        <w:rPr>
          <w:rFonts w:ascii="Arial" w:cs="Arial" w:eastAsia="Arial" w:hAnsi="Arial"/>
          <w:sz w:val="12"/>
          <w:szCs w:val="12"/>
          <w:color w:val="auto"/>
        </w:rPr>
        <w:t>You will also continue to be eligible to earn a discretionary bonus, which for fiscal 2026 is an annual award. The amount of each bonus will be determined in the sole discretion by the Compensation Committee (the “</w:t>
      </w:r>
      <w:r>
        <w:rPr>
          <w:rFonts w:ascii="Arial" w:cs="Arial" w:eastAsia="Arial" w:hAnsi="Arial"/>
          <w:sz w:val="12"/>
          <w:szCs w:val="12"/>
          <w:b w:val="1"/>
          <w:bCs w:val="1"/>
          <w:color w:val="auto"/>
        </w:rPr>
        <w:t>Committee</w:t>
      </w:r>
      <w:r>
        <w:rPr>
          <w:rFonts w:ascii="Arial" w:cs="Arial" w:eastAsia="Arial" w:hAnsi="Arial"/>
          <w:sz w:val="12"/>
          <w:szCs w:val="12"/>
          <w:color w:val="auto"/>
        </w:rPr>
        <w:t xml:space="preserve">”) of the Company’s Board of Directors (the “ </w:t>
      </w:r>
      <w:r>
        <w:rPr>
          <w:rFonts w:ascii="Arial" w:cs="Arial" w:eastAsia="Arial" w:hAnsi="Arial"/>
          <w:sz w:val="12"/>
          <w:szCs w:val="12"/>
          <w:b w:val="1"/>
          <w:bCs w:val="1"/>
          <w:color w:val="auto"/>
        </w:rPr>
        <w:t>Board</w:t>
      </w:r>
      <w:r>
        <w:rPr>
          <w:rFonts w:ascii="Arial" w:cs="Arial" w:eastAsia="Arial" w:hAnsi="Arial"/>
          <w:sz w:val="12"/>
          <w:szCs w:val="12"/>
          <w:color w:val="auto"/>
        </w:rPr>
        <w:t>”) or the Board, in their respective discretion and based, in part, on your performance or the performance of the Company during the applicable fiscal year, as well as any other criteria the Board or Committee deems relevant. If the Board or Committee determines that a bonus is payable for any fiscal year, the Company will pay you this bonus (subject to applicable payroll withholdings and deductions) no later than the 15th day of the third month following the end of the applicable fiscal year. Please note, however, that the bonus is not earned until it is paid, and no pro-rated amount will be paid if your employment terminates for any reason prior to the payment date, except as may be provided in your Severance Agreement (as defined below). The current target bonus opportunity for you for fiscal 2026 is US$120,000 (and 657,000.00 ILS, which would be paid in accordance with the Navan Labs Agreement). Your bonus opportunity for future fiscal years will be determined by the Committee or the Board in their respective discretion. In addition, the Board or the Committee may, in their respective direction, grant you discretionary bonuses from time to time.</w:t>
      </w:r>
    </w:p>
    <w:p>
      <w:pPr>
        <w:sectPr>
          <w:pgSz w:w="11900" w:h="16840" w:orient="portrait"/>
          <w:cols w:equalWidth="0" w:num="1">
            <w:col w:w="10600"/>
          </w:cols>
          <w:pgMar w:left="640" w:top="557" w:right="660" w:bottom="1440" w:gutter="0" w:footer="0" w:header="0"/>
        </w:sectPr>
      </w:pPr>
    </w:p>
    <w:bookmarkStart w:id="424" w:name="page425"/>
    <w:bookmarkEnd w:id="424"/>
    <w:p>
      <w:pPr>
        <w:spacing w:after="0" w:line="39" w:lineRule="exact"/>
        <w:rPr>
          <w:sz w:val="20"/>
          <w:szCs w:val="20"/>
          <w:color w:val="auto"/>
        </w:rPr>
      </w:pPr>
    </w:p>
    <w:p>
      <w:pPr>
        <w:ind w:left="224"/>
        <w:spacing w:after="0"/>
        <w:rPr>
          <w:sz w:val="20"/>
          <w:szCs w:val="20"/>
          <w:color w:val="auto"/>
        </w:rPr>
      </w:pPr>
      <w:r>
        <w:rPr>
          <w:rFonts w:ascii="Arial" w:cs="Arial" w:eastAsia="Arial" w:hAnsi="Arial"/>
          <w:sz w:val="12"/>
          <w:szCs w:val="12"/>
          <w:color w:val="auto"/>
        </w:rPr>
        <w:t>Your compensation is subject to annual review and adjustment by the Company in its sole discretion.</w:t>
      </w:r>
    </w:p>
    <w:p>
      <w:pPr>
        <w:spacing w:after="0" w:line="159" w:lineRule="exact"/>
        <w:rPr>
          <w:sz w:val="20"/>
          <w:szCs w:val="20"/>
          <w:color w:val="auto"/>
        </w:rPr>
      </w:pPr>
    </w:p>
    <w:p>
      <w:pPr>
        <w:ind w:left="224" w:right="20" w:hanging="224"/>
        <w:spacing w:after="0" w:line="295" w:lineRule="auto"/>
        <w:tabs>
          <w:tab w:leader="none" w:pos="300" w:val="left"/>
        </w:tabs>
        <w:numPr>
          <w:ilvl w:val="0"/>
          <w:numId w:val="549"/>
        </w:numPr>
        <w:rPr>
          <w:rFonts w:ascii="Arial" w:cs="Arial" w:eastAsia="Arial" w:hAnsi="Arial"/>
          <w:sz w:val="12"/>
          <w:szCs w:val="12"/>
          <w:color w:val="auto"/>
        </w:rPr>
      </w:pPr>
      <w:r>
        <w:rPr>
          <w:rFonts w:ascii="Arial" w:cs="Arial" w:eastAsia="Arial" w:hAnsi="Arial"/>
          <w:sz w:val="12"/>
          <w:szCs w:val="12"/>
          <w:b w:val="1"/>
          <w:bCs w:val="1"/>
          <w:color w:val="auto"/>
        </w:rPr>
        <w:t>Equity</w:t>
      </w:r>
      <w:r>
        <w:rPr>
          <w:rFonts w:ascii="Arial" w:cs="Arial" w:eastAsia="Arial" w:hAnsi="Arial"/>
          <w:sz w:val="12"/>
          <w:szCs w:val="12"/>
          <w:color w:val="auto"/>
        </w:rPr>
        <w:t>. You have previously been granted one or more equity awards by the Company, which will continue to be governed in all respects by the terms of the applicable equity</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agreements, grant notices, and equity plans, except to the extent superseded by the Severance Agreement (as defined below).</w:t>
      </w:r>
    </w:p>
    <w:p>
      <w:pPr>
        <w:spacing w:after="0" w:line="100" w:lineRule="exact"/>
        <w:rPr>
          <w:rFonts w:ascii="Arial" w:cs="Arial" w:eastAsia="Arial" w:hAnsi="Arial"/>
          <w:sz w:val="12"/>
          <w:szCs w:val="12"/>
          <w:color w:val="auto"/>
        </w:rPr>
      </w:pPr>
    </w:p>
    <w:p>
      <w:pPr>
        <w:jc w:val="both"/>
        <w:ind w:left="224" w:right="20" w:hanging="224"/>
        <w:spacing w:after="0" w:line="265" w:lineRule="auto"/>
        <w:tabs>
          <w:tab w:leader="none" w:pos="243" w:val="left"/>
        </w:tabs>
        <w:numPr>
          <w:ilvl w:val="0"/>
          <w:numId w:val="549"/>
        </w:numPr>
        <w:rPr>
          <w:rFonts w:ascii="Arial" w:cs="Arial" w:eastAsia="Arial" w:hAnsi="Arial"/>
          <w:sz w:val="12"/>
          <w:szCs w:val="12"/>
          <w:color w:val="auto"/>
        </w:rPr>
      </w:pPr>
      <w:r>
        <w:rPr>
          <w:rFonts w:ascii="Arial" w:cs="Arial" w:eastAsia="Arial" w:hAnsi="Arial"/>
          <w:sz w:val="12"/>
          <w:szCs w:val="12"/>
          <w:b w:val="1"/>
          <w:bCs w:val="1"/>
          <w:color w:val="auto"/>
        </w:rPr>
        <w:t>Employee Benefits</w:t>
      </w:r>
      <w:r>
        <w:rPr>
          <w:rFonts w:ascii="Arial" w:cs="Arial" w:eastAsia="Arial" w:hAnsi="Arial"/>
          <w:sz w:val="12"/>
          <w:szCs w:val="12"/>
          <w:color w:val="auto"/>
        </w:rPr>
        <w:t>. As a regular full-time employee of the Company, you will continue to be eligible to participate in Company-sponsored benefits in accordance with the terms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Company’s policies and benefits plans. In addition, you will continue to be entitled to paid-time off in accordance with the Company’s policies, as in effect from time to time. Information regarding coverage, eligibility, and other information regarding these benefits is set forth in more detailed documents that are available from the Company. The Company may, from time to time, in its sole discretion, modify or eliminate its policies and benefits offered to employees.</w:t>
      </w:r>
    </w:p>
    <w:p>
      <w:pPr>
        <w:spacing w:after="0" w:line="118" w:lineRule="exact"/>
        <w:rPr>
          <w:sz w:val="20"/>
          <w:szCs w:val="20"/>
          <w:color w:val="auto"/>
        </w:rPr>
      </w:pPr>
    </w:p>
    <w:p>
      <w:pPr>
        <w:ind w:left="4"/>
        <w:spacing w:after="0"/>
        <w:tabs>
          <w:tab w:leader="none" w:pos="223" w:val="left"/>
          <w:tab w:leader="none" w:pos="7203" w:val="left"/>
        </w:tabs>
        <w:rPr>
          <w:sz w:val="20"/>
          <w:szCs w:val="20"/>
          <w:color w:val="auto"/>
        </w:rPr>
      </w:pPr>
      <w:r>
        <w:rPr>
          <w:rFonts w:ascii="Arial" w:cs="Arial" w:eastAsia="Arial" w:hAnsi="Arial"/>
          <w:sz w:val="12"/>
          <w:szCs w:val="12"/>
          <w:color w:val="auto"/>
        </w:rPr>
        <w:t>5.</w:t>
      </w:r>
      <w:r>
        <w:rPr>
          <w:sz w:val="20"/>
          <w:szCs w:val="20"/>
          <w:color w:val="auto"/>
        </w:rPr>
        <w:tab/>
      </w:r>
      <w:r>
        <w:rPr>
          <w:rFonts w:ascii="Arial" w:cs="Arial" w:eastAsia="Arial" w:hAnsi="Arial"/>
          <w:sz w:val="12"/>
          <w:szCs w:val="12"/>
          <w:b w:val="1"/>
          <w:bCs w:val="1"/>
          <w:color w:val="212121"/>
        </w:rPr>
        <w:t xml:space="preserve">Company Policies. </w:t>
      </w:r>
      <w:r>
        <w:rPr>
          <w:rFonts w:ascii="Arial" w:cs="Arial" w:eastAsia="Arial" w:hAnsi="Arial"/>
          <w:sz w:val="12"/>
          <w:szCs w:val="12"/>
          <w:color w:val="212121"/>
        </w:rPr>
        <w:t>You will continue to be expected to abide by Company policies and procedures, as in effect from time to</w:t>
      </w:r>
      <w:r>
        <w:rPr>
          <w:sz w:val="20"/>
          <w:szCs w:val="20"/>
          <w:color w:val="auto"/>
        </w:rPr>
        <w:tab/>
      </w:r>
      <w:r>
        <w:rPr>
          <w:rFonts w:ascii="Arial" w:cs="Arial" w:eastAsia="Arial" w:hAnsi="Arial"/>
          <w:sz w:val="11"/>
          <w:szCs w:val="11"/>
          <w:color w:val="auto"/>
        </w:rPr>
        <w:t>time</w:t>
      </w:r>
      <w:r>
        <w:rPr>
          <w:rFonts w:ascii="Arial" w:cs="Arial" w:eastAsia="Arial" w:hAnsi="Arial"/>
          <w:sz w:val="11"/>
          <w:szCs w:val="11"/>
          <w:color w:val="212121"/>
        </w:rPr>
        <w:t>.</w:t>
      </w:r>
    </w:p>
    <w:p>
      <w:pPr>
        <w:spacing w:after="0" w:line="159" w:lineRule="exact"/>
        <w:rPr>
          <w:sz w:val="20"/>
          <w:szCs w:val="20"/>
          <w:color w:val="auto"/>
        </w:rPr>
      </w:pPr>
    </w:p>
    <w:p>
      <w:pPr>
        <w:ind w:left="224" w:right="40" w:hanging="224"/>
        <w:spacing w:after="0" w:line="295" w:lineRule="auto"/>
        <w:tabs>
          <w:tab w:leader="none" w:pos="272" w:val="left"/>
        </w:tabs>
        <w:numPr>
          <w:ilvl w:val="0"/>
          <w:numId w:val="550"/>
        </w:numPr>
        <w:rPr>
          <w:rFonts w:ascii="Arial" w:cs="Arial" w:eastAsia="Arial" w:hAnsi="Arial"/>
          <w:sz w:val="12"/>
          <w:szCs w:val="12"/>
          <w:color w:val="auto"/>
        </w:rPr>
      </w:pPr>
      <w:r>
        <w:rPr>
          <w:rFonts w:ascii="Arial" w:cs="Arial" w:eastAsia="Arial" w:hAnsi="Arial"/>
          <w:sz w:val="12"/>
          <w:szCs w:val="12"/>
          <w:b w:val="1"/>
          <w:bCs w:val="1"/>
          <w:color w:val="auto"/>
        </w:rPr>
        <w:t>At-Will Employment</w:t>
      </w:r>
      <w:r>
        <w:rPr>
          <w:rFonts w:ascii="Arial" w:cs="Arial" w:eastAsia="Arial" w:hAnsi="Arial"/>
          <w:sz w:val="12"/>
          <w:szCs w:val="12"/>
          <w:color w:val="auto"/>
        </w:rPr>
        <w:t>. Your employment with the Company is for no specified period and constitutes at-will employment. Accordingly, you may terminate your employment with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at any time simply by notifying the Company, and the Company may terminate your employment at any time for any reason, with or without advance notice.</w:t>
      </w:r>
    </w:p>
    <w:p>
      <w:pPr>
        <w:spacing w:after="0" w:line="100" w:lineRule="exact"/>
        <w:rPr>
          <w:rFonts w:ascii="Arial" w:cs="Arial" w:eastAsia="Arial" w:hAnsi="Arial"/>
          <w:sz w:val="12"/>
          <w:szCs w:val="12"/>
          <w:color w:val="auto"/>
        </w:rPr>
      </w:pPr>
    </w:p>
    <w:p>
      <w:pPr>
        <w:jc w:val="both"/>
        <w:ind w:left="224" w:right="20" w:hanging="224"/>
        <w:spacing w:after="0" w:line="260" w:lineRule="auto"/>
        <w:tabs>
          <w:tab w:leader="none" w:pos="253" w:val="left"/>
        </w:tabs>
        <w:numPr>
          <w:ilvl w:val="0"/>
          <w:numId w:val="550"/>
        </w:numPr>
        <w:rPr>
          <w:rFonts w:ascii="Arial" w:cs="Arial" w:eastAsia="Arial" w:hAnsi="Arial"/>
          <w:sz w:val="12"/>
          <w:szCs w:val="12"/>
          <w:color w:val="auto"/>
        </w:rPr>
      </w:pPr>
      <w:r>
        <w:rPr>
          <w:rFonts w:ascii="Arial" w:cs="Arial" w:eastAsia="Arial" w:hAnsi="Arial"/>
          <w:sz w:val="12"/>
          <w:szCs w:val="12"/>
          <w:b w:val="1"/>
          <w:bCs w:val="1"/>
          <w:color w:val="auto"/>
        </w:rPr>
        <w:t xml:space="preserve">Employee Confidentiality and Invention Assignment &amp; Dispute Resolution Agreement </w:t>
      </w:r>
      <w:r>
        <w:rPr>
          <w:rFonts w:ascii="Arial" w:cs="Arial" w:eastAsia="Arial" w:hAnsi="Arial"/>
          <w:sz w:val="12"/>
          <w:szCs w:val="12"/>
          <w:color w:val="auto"/>
        </w:rPr>
        <w:t>. As an employee of the Company, you will continue to have access to certain confidential</w:t>
      </w:r>
      <w:r>
        <w:rPr>
          <w:rFonts w:ascii="Arial" w:cs="Arial" w:eastAsia="Arial" w:hAnsi="Arial"/>
          <w:sz w:val="12"/>
          <w:szCs w:val="12"/>
          <w:b w:val="1"/>
          <w:bCs w:val="1"/>
          <w:color w:val="auto"/>
        </w:rPr>
        <w:t xml:space="preserve"> </w:t>
      </w:r>
      <w:r>
        <w:rPr>
          <w:rFonts w:ascii="Arial" w:cs="Arial" w:eastAsia="Arial" w:hAnsi="Arial"/>
          <w:sz w:val="12"/>
          <w:szCs w:val="12"/>
          <w:color w:val="auto"/>
        </w:rPr>
        <w:t>information of the Company and you may, during the course of your employment, develop certain information or inventions that will be the property of the Company. To protect the interests of the Company, your acceptance of this letter agreement confirms that the terms of the Employee Invention Assignment and Confidentiality Agreement you previously signed with the Company (the “</w:t>
      </w:r>
      <w:r>
        <w:rPr>
          <w:rFonts w:ascii="Arial" w:cs="Arial" w:eastAsia="Arial" w:hAnsi="Arial"/>
          <w:sz w:val="12"/>
          <w:szCs w:val="12"/>
          <w:b w:val="1"/>
          <w:bCs w:val="1"/>
          <w:color w:val="auto"/>
        </w:rPr>
        <w:t>EIACA</w:t>
      </w:r>
      <w:r>
        <w:rPr>
          <w:rFonts w:ascii="Arial" w:cs="Arial" w:eastAsia="Arial" w:hAnsi="Arial"/>
          <w:sz w:val="12"/>
          <w:szCs w:val="12"/>
          <w:color w:val="auto"/>
        </w:rPr>
        <w:t>”) still apply. Further, you and the Company 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will be resolved Navan Dispute Resolution Agreement you previously signed with the Company (the “</w:t>
      </w:r>
      <w:r>
        <w:rPr>
          <w:rFonts w:ascii="Arial" w:cs="Arial" w:eastAsia="Arial" w:hAnsi="Arial"/>
          <w:sz w:val="12"/>
          <w:szCs w:val="12"/>
          <w:b w:val="1"/>
          <w:bCs w:val="1"/>
          <w:color w:val="auto"/>
        </w:rPr>
        <w:t>Resolution Agreement</w:t>
      </w:r>
      <w:r>
        <w:rPr>
          <w:rFonts w:ascii="Arial" w:cs="Arial" w:eastAsia="Arial" w:hAnsi="Arial"/>
          <w:sz w:val="12"/>
          <w:szCs w:val="12"/>
          <w:color w:val="auto"/>
        </w:rPr>
        <w:t>”).</w:t>
      </w:r>
    </w:p>
    <w:p>
      <w:pPr>
        <w:spacing w:after="0" w:line="117" w:lineRule="exact"/>
        <w:rPr>
          <w:rFonts w:ascii="Arial" w:cs="Arial" w:eastAsia="Arial" w:hAnsi="Arial"/>
          <w:sz w:val="12"/>
          <w:szCs w:val="12"/>
          <w:color w:val="auto"/>
        </w:rPr>
      </w:pPr>
    </w:p>
    <w:p>
      <w:pPr>
        <w:jc w:val="both"/>
        <w:ind w:left="224" w:right="20" w:hanging="224"/>
        <w:spacing w:after="0" w:line="272" w:lineRule="auto"/>
        <w:tabs>
          <w:tab w:leader="none" w:pos="272" w:val="left"/>
        </w:tabs>
        <w:numPr>
          <w:ilvl w:val="0"/>
          <w:numId w:val="550"/>
        </w:numPr>
        <w:rPr>
          <w:rFonts w:ascii="Arial" w:cs="Arial" w:eastAsia="Arial" w:hAnsi="Arial"/>
          <w:sz w:val="12"/>
          <w:szCs w:val="12"/>
          <w:color w:val="auto"/>
        </w:rPr>
      </w:pPr>
      <w:r>
        <w:rPr>
          <w:rFonts w:ascii="Arial" w:cs="Arial" w:eastAsia="Arial" w:hAnsi="Arial"/>
          <w:sz w:val="12"/>
          <w:szCs w:val="12"/>
          <w:b w:val="1"/>
          <w:bCs w:val="1"/>
          <w:color w:val="auto"/>
        </w:rPr>
        <w:t>Severance</w:t>
      </w:r>
      <w:r>
        <w:rPr>
          <w:rFonts w:ascii="Arial" w:cs="Arial" w:eastAsia="Arial" w:hAnsi="Arial"/>
          <w:sz w:val="12"/>
          <w:szCs w:val="12"/>
          <w:color w:val="auto"/>
        </w:rPr>
        <w:t>. The Change in Control and Severance Agreement (the “</w:t>
      </w:r>
      <w:r>
        <w:rPr>
          <w:rFonts w:ascii="Arial" w:cs="Arial" w:eastAsia="Arial" w:hAnsi="Arial"/>
          <w:sz w:val="12"/>
          <w:szCs w:val="12"/>
          <w:b w:val="1"/>
          <w:bCs w:val="1"/>
          <w:color w:val="auto"/>
        </w:rPr>
        <w:t xml:space="preserve"> Severance Agreement</w:t>
      </w:r>
      <w:r>
        <w:rPr>
          <w:rFonts w:ascii="Arial" w:cs="Arial" w:eastAsia="Arial" w:hAnsi="Arial"/>
          <w:sz w:val="12"/>
          <w:szCs w:val="12"/>
          <w:color w:val="auto"/>
        </w:rPr>
        <w:t>”) you previously entered into with the Company will continue to apply. The Severance</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supersedes all other severance payments and benefits you would otherwise be eligible for, or would become eligible for in the future, under any plan, program or policy that the Company may have in effect from time to time.</w:t>
      </w:r>
    </w:p>
    <w:p>
      <w:pPr>
        <w:spacing w:after="0" w:line="115" w:lineRule="exact"/>
        <w:rPr>
          <w:sz w:val="20"/>
          <w:szCs w:val="20"/>
          <w:color w:val="auto"/>
        </w:rPr>
      </w:pPr>
    </w:p>
    <w:p>
      <w:pPr>
        <w:jc w:val="both"/>
        <w:ind w:left="224" w:hanging="229"/>
        <w:spacing w:after="0" w:line="261" w:lineRule="auto"/>
        <w:tabs>
          <w:tab w:leader="none" w:pos="203" w:val="left"/>
        </w:tabs>
        <w:rPr>
          <w:sz w:val="20"/>
          <w:szCs w:val="20"/>
          <w:color w:val="auto"/>
        </w:rPr>
      </w:pPr>
      <w:r>
        <w:rPr>
          <w:rFonts w:ascii="Arial" w:cs="Arial" w:eastAsia="Arial" w:hAnsi="Arial"/>
          <w:sz w:val="12"/>
          <w:szCs w:val="12"/>
          <w:color w:val="auto"/>
        </w:rPr>
        <w:t>9.</w:t>
      </w:r>
      <w:r>
        <w:rPr>
          <w:sz w:val="20"/>
          <w:szCs w:val="20"/>
          <w:color w:val="auto"/>
        </w:rPr>
        <w:tab/>
      </w:r>
      <w:r>
        <w:rPr>
          <w:rFonts w:ascii="Arial" w:cs="Arial" w:eastAsia="Arial" w:hAnsi="Arial"/>
          <w:sz w:val="12"/>
          <w:szCs w:val="12"/>
          <w:b w:val="1"/>
          <w:bCs w:val="1"/>
          <w:color w:val="212121"/>
        </w:rPr>
        <w:t xml:space="preserve">No Prior Conflicts and Duty of Loyalty. </w:t>
      </w:r>
      <w:r>
        <w:rPr>
          <w:rFonts w:ascii="Arial" w:cs="Arial" w:eastAsia="Arial" w:hAnsi="Arial"/>
          <w:sz w:val="12"/>
          <w:szCs w:val="12"/>
          <w:color w:val="212121"/>
        </w:rPr>
        <w:t>You confirm that you are able to carry out your duties without breaching any legal</w:t>
      </w:r>
      <w:r>
        <w:rPr>
          <w:rFonts w:ascii="Arial" w:cs="Arial" w:eastAsia="Arial" w:hAnsi="Arial"/>
          <w:sz w:val="12"/>
          <w:szCs w:val="12"/>
          <w:b w:val="1"/>
          <w:bCs w:val="1"/>
          <w:color w:val="212121"/>
        </w:rPr>
        <w:t xml:space="preserve"> </w:t>
      </w:r>
      <w:r>
        <w:rPr>
          <w:rFonts w:ascii="Arial" w:cs="Arial" w:eastAsia="Arial" w:hAnsi="Arial"/>
          <w:sz w:val="12"/>
          <w:szCs w:val="12"/>
          <w:color w:val="000000"/>
        </w:rPr>
        <w:t>restrictions</w:t>
      </w:r>
      <w:r>
        <w:rPr>
          <w:rFonts w:ascii="Arial" w:cs="Arial" w:eastAsia="Arial" w:hAnsi="Arial"/>
          <w:sz w:val="12"/>
          <w:szCs w:val="12"/>
          <w:b w:val="1"/>
          <w:bCs w:val="1"/>
          <w:color w:val="212121"/>
        </w:rPr>
        <w:t xml:space="preserve"> </w:t>
      </w:r>
      <w:r>
        <w:rPr>
          <w:rFonts w:ascii="Arial" w:cs="Arial" w:eastAsia="Arial" w:hAnsi="Arial"/>
          <w:sz w:val="12"/>
          <w:szCs w:val="12"/>
          <w:color w:val="212121"/>
        </w:rPr>
        <w:t>imposed by a current or former employer or</w:t>
      </w:r>
      <w:r>
        <w:rPr>
          <w:rFonts w:ascii="Arial" w:cs="Arial" w:eastAsia="Arial" w:hAnsi="Arial"/>
          <w:sz w:val="12"/>
          <w:szCs w:val="12"/>
          <w:b w:val="1"/>
          <w:bCs w:val="1"/>
          <w:color w:val="212121"/>
        </w:rPr>
        <w:t xml:space="preserve"> </w:t>
      </w:r>
      <w:r>
        <w:rPr>
          <w:rFonts w:ascii="Arial" w:cs="Arial" w:eastAsia="Arial" w:hAnsi="Arial"/>
          <w:sz w:val="12"/>
          <w:szCs w:val="12"/>
          <w:color w:val="212121"/>
        </w:rPr>
        <w:t>other third party to whom you have contractual obligations. You also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the performance of your duties hereunder or present a conflict of interest with the Company</w:t>
      </w:r>
      <w:r>
        <w:rPr>
          <w:rFonts w:ascii="Arial" w:cs="Arial" w:eastAsia="Arial" w:hAnsi="Arial"/>
          <w:sz w:val="12"/>
          <w:szCs w:val="12"/>
          <w:color w:val="000000"/>
        </w:rPr>
        <w:t>, nor will you assist any other person or</w:t>
      </w:r>
      <w:r>
        <w:rPr>
          <w:rFonts w:ascii="Arial" w:cs="Arial" w:eastAsia="Arial" w:hAnsi="Arial"/>
          <w:sz w:val="12"/>
          <w:szCs w:val="12"/>
          <w:color w:val="212121"/>
        </w:rPr>
        <w:t xml:space="preserve"> </w:t>
      </w:r>
      <w:r>
        <w:rPr>
          <w:rFonts w:ascii="Arial" w:cs="Arial" w:eastAsia="Arial" w:hAnsi="Arial"/>
          <w:sz w:val="12"/>
          <w:szCs w:val="12"/>
          <w:color w:val="000000"/>
        </w:rPr>
        <w:t>organization in competing with the Company or in preparing to engage in competition with the business or proposed business of the Company.</w:t>
      </w:r>
    </w:p>
    <w:p>
      <w:pPr>
        <w:sectPr>
          <w:pgSz w:w="11900" w:h="16840" w:orient="portrait"/>
          <w:cols w:equalWidth="0" w:num="1">
            <w:col w:w="10384"/>
          </w:cols>
          <w:pgMar w:left="876" w:top="1440" w:right="640" w:bottom="1440" w:gutter="0" w:footer="0" w:header="0"/>
        </w:sectPr>
      </w:pPr>
    </w:p>
    <w:bookmarkStart w:id="425" w:name="page426"/>
    <w:bookmarkEnd w:id="425"/>
    <w:p>
      <w:pPr>
        <w:spacing w:after="0" w:line="39" w:lineRule="exact"/>
        <w:rPr>
          <w:sz w:val="20"/>
          <w:szCs w:val="20"/>
          <w:color w:val="auto"/>
        </w:rPr>
      </w:pPr>
    </w:p>
    <w:p>
      <w:pPr>
        <w:jc w:val="both"/>
        <w:ind w:left="224" w:hanging="224"/>
        <w:spacing w:after="0" w:line="253" w:lineRule="auto"/>
        <w:tabs>
          <w:tab w:leader="none" w:pos="310" w:val="left"/>
        </w:tabs>
        <w:numPr>
          <w:ilvl w:val="0"/>
          <w:numId w:val="551"/>
        </w:numPr>
        <w:rPr>
          <w:rFonts w:ascii="Arial" w:cs="Arial" w:eastAsia="Arial" w:hAnsi="Arial"/>
          <w:sz w:val="12"/>
          <w:szCs w:val="12"/>
          <w:color w:val="auto"/>
        </w:rPr>
      </w:pPr>
      <w:r>
        <w:rPr>
          <w:rFonts w:ascii="Arial" w:cs="Arial" w:eastAsia="Arial" w:hAnsi="Arial"/>
          <w:sz w:val="12"/>
          <w:szCs w:val="12"/>
          <w:b w:val="1"/>
          <w:bCs w:val="1"/>
          <w:color w:val="auto"/>
        </w:rPr>
        <w:t xml:space="preserve">Protected Activity Not Prohibited </w:t>
      </w:r>
      <w:r>
        <w:rPr>
          <w:rFonts w:ascii="Arial" w:cs="Arial" w:eastAsia="Arial" w:hAnsi="Arial"/>
          <w:sz w:val="12"/>
          <w:szCs w:val="12"/>
          <w:color w:val="auto"/>
        </w:rPr>
        <w:t>. You understand that nothing in this letter agreement or the EIACA limits or prohibits you from filing and/or pursuing a charge or complaint with, or</w:t>
      </w:r>
      <w:r>
        <w:rPr>
          <w:rFonts w:ascii="Arial" w:cs="Arial" w:eastAsia="Arial" w:hAnsi="Arial"/>
          <w:sz w:val="12"/>
          <w:szCs w:val="12"/>
          <w:b w:val="1"/>
          <w:bCs w:val="1"/>
          <w:color w:val="auto"/>
        </w:rPr>
        <w:t xml:space="preserve"> </w:t>
      </w:r>
      <w:r>
        <w:rPr>
          <w:rFonts w:ascii="Arial" w:cs="Arial" w:eastAsia="Arial" w:hAnsi="Arial"/>
          <w:sz w:val="12"/>
          <w:szCs w:val="12"/>
          <w:color w:val="auto"/>
        </w:rPr>
        <w:t>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Arial" w:cs="Arial" w:eastAsia="Arial" w:hAnsi="Arial"/>
          <w:sz w:val="12"/>
          <w:szCs w:val="12"/>
          <w:b w:val="1"/>
          <w:bCs w:val="1"/>
          <w:color w:val="auto"/>
        </w:rPr>
        <w:t>Government Agencies</w:t>
      </w:r>
      <w:r>
        <w:rPr>
          <w:rFonts w:ascii="Arial" w:cs="Arial" w:eastAsia="Arial" w:hAnsi="Arial"/>
          <w:sz w:val="12"/>
          <w:szCs w:val="12"/>
          <w:color w:val="auto"/>
        </w:rPr>
        <w:t xml:space="preserve">”), including disclosing documents or other information as permitted by law. Further, nothing in this letter agreement or the EIACA will in any way limit or prohibit you from discussing or disclosing either orally or in writing, any alleged discriminatory or unfair employment practice (including, without limitation, any underlying facts of any alleged discriminatory or unfair employment practice). In addition, you understand that nothing in this letter agreement or the EIACA, including its definition of “Proprietary Information,” prevents you from discussing or disclosing information about unlawful acts in the workplace, such as harassment or discrimination or any other conduct that you have reason to believe is unlawful. Notwithstanding the preceding, you agree to take all reasonable precautions to prevent any unauthorized use or disclosure of any Company trade secrets, proprietary information, or confidential information that does not involve unlawful acts in the workplace or the activity otherwise protected herein. You further understand that you are not permitted to disclose the Company’s attorney-client privileged communications or attorney work product. In addition, you hereby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12"/>
          <w:szCs w:val="12"/>
          <w:u w:val="single" w:color="auto"/>
          <w:color w:val="auto"/>
        </w:rPr>
        <w:t>Exhibit</w:t>
      </w:r>
      <w:r>
        <w:rPr>
          <w:rFonts w:ascii="Arial" w:cs="Arial" w:eastAsia="Arial" w:hAnsi="Arial"/>
          <w:sz w:val="12"/>
          <w:szCs w:val="12"/>
          <w:color w:val="auto"/>
        </w:rPr>
        <w:t xml:space="preserve"> </w:t>
      </w:r>
      <w:r>
        <w:rPr>
          <w:rFonts w:ascii="Arial" w:cs="Arial" w:eastAsia="Arial" w:hAnsi="Arial"/>
          <w:sz w:val="12"/>
          <w:szCs w:val="12"/>
          <w:u w:val="single" w:color="auto"/>
          <w:color w:val="auto"/>
        </w:rPr>
        <w:t>A</w:t>
      </w:r>
      <w:r>
        <w:rPr>
          <w:rFonts w:ascii="Arial" w:cs="Arial" w:eastAsia="Arial" w:hAnsi="Arial"/>
          <w:sz w:val="12"/>
          <w:szCs w:val="12"/>
          <w:color w:val="auto"/>
        </w:rPr>
        <w:t>. Finally, you understand that nothing in this letter agreement or the EIACA, including its definition of “Proprietary Information,” (i) limits employees’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w:t>
      </w:r>
    </w:p>
    <w:p>
      <w:pPr>
        <w:spacing w:after="0" w:line="126" w:lineRule="exact"/>
        <w:rPr>
          <w:sz w:val="20"/>
          <w:szCs w:val="20"/>
          <w:color w:val="auto"/>
        </w:rPr>
      </w:pPr>
    </w:p>
    <w:p>
      <w:pPr>
        <w:jc w:val="both"/>
        <w:ind w:left="4"/>
        <w:spacing w:after="0" w:line="258" w:lineRule="auto"/>
        <w:rPr>
          <w:sz w:val="20"/>
          <w:szCs w:val="20"/>
          <w:color w:val="auto"/>
        </w:rPr>
      </w:pPr>
      <w:r>
        <w:rPr>
          <w:rFonts w:ascii="Arial" w:cs="Arial" w:eastAsia="Arial" w:hAnsi="Arial"/>
          <w:sz w:val="12"/>
          <w:szCs w:val="12"/>
          <w:color w:val="auto"/>
        </w:rPr>
        <w:t xml:space="preserve">You acknowledge and agree that upon your execution of this letter agreement, you will no longer be eligible for, nor entitled to, any compensation or benefits (including without limitation, any severance or change in control benefits) under any prior employment terms, offer letter or employment agreement you may have entered into or discussed with the Company, including but not limited to your Prior Agreement. </w:t>
      </w:r>
      <w:r>
        <w:rPr>
          <w:rFonts w:ascii="Arial" w:cs="Arial" w:eastAsia="Arial" w:hAnsi="Arial"/>
          <w:sz w:val="12"/>
          <w:szCs w:val="12"/>
          <w:color w:val="212121"/>
        </w:rPr>
        <w:t>This letter agreement, together with your Severance Agreement, EIACA, Resolution Agreement,</w:t>
      </w:r>
      <w:r>
        <w:rPr>
          <w:rFonts w:ascii="Arial" w:cs="Arial" w:eastAsia="Arial" w:hAnsi="Arial"/>
          <w:sz w:val="12"/>
          <w:szCs w:val="12"/>
          <w:color w:val="auto"/>
        </w:rPr>
        <w:t xml:space="preserve"> equity agreements and other agreements referenced herein, </w:t>
      </w:r>
      <w:r>
        <w:rPr>
          <w:rFonts w:ascii="Arial" w:cs="Arial" w:eastAsia="Arial" w:hAnsi="Arial"/>
          <w:sz w:val="12"/>
          <w:szCs w:val="12"/>
          <w:color w:val="212121"/>
        </w:rPr>
        <w:t>forms the complete and exclusive agreement regarding the subject matter hereof. It supersedes any other representations, promises, or agreements, whether written or oral,</w:t>
      </w:r>
      <w:r>
        <w:rPr>
          <w:rFonts w:ascii="Arial" w:cs="Arial" w:eastAsia="Arial" w:hAnsi="Arial"/>
          <w:sz w:val="12"/>
          <w:szCs w:val="12"/>
          <w:color w:val="auto"/>
        </w:rPr>
        <w:t xml:space="preserve"> </w:t>
      </w:r>
      <w:r>
        <w:rPr>
          <w:rFonts w:ascii="Arial" w:cs="Arial" w:eastAsia="Arial" w:hAnsi="Arial"/>
          <w:sz w:val="12"/>
          <w:szCs w:val="12"/>
          <w:color w:val="212121"/>
        </w:rPr>
        <w:t>including the Prior Agreement. Modifications or amendments to this letter agreement, other than those changes expressly reserved to the Company’s discretion herein, must be made in a written agreement signed by you and an officer of the Company (other than you).</w:t>
      </w:r>
    </w:p>
    <w:p>
      <w:pPr>
        <w:spacing w:after="0" w:line="124" w:lineRule="exact"/>
        <w:rPr>
          <w:sz w:val="20"/>
          <w:szCs w:val="20"/>
          <w:color w:val="auto"/>
        </w:rPr>
      </w:pPr>
    </w:p>
    <w:p>
      <w:pPr>
        <w:jc w:val="both"/>
        <w:ind w:left="4"/>
        <w:spacing w:after="0" w:line="265" w:lineRule="auto"/>
        <w:rPr>
          <w:sz w:val="20"/>
          <w:szCs w:val="20"/>
          <w:color w:val="auto"/>
        </w:rPr>
      </w:pPr>
      <w:r>
        <w:rPr>
          <w:rFonts w:ascii="Arial" w:cs="Arial" w:eastAsia="Arial" w:hAnsi="Arial"/>
          <w:sz w:val="12"/>
          <w:szCs w:val="12"/>
          <w:color w:val="212121"/>
        </w:rPr>
        <w:t xml:space="preserve">All questions concerning the construction, validity and interpretation of this letter agreement and the exhibits hereto will be </w:t>
      </w:r>
      <w:r>
        <w:rPr>
          <w:rFonts w:ascii="Arial" w:cs="Arial" w:eastAsia="Arial" w:hAnsi="Arial"/>
          <w:sz w:val="12"/>
          <w:szCs w:val="12"/>
          <w:color w:val="000000"/>
        </w:rPr>
        <w:t>governed</w:t>
      </w:r>
      <w:r>
        <w:rPr>
          <w:rFonts w:ascii="Arial" w:cs="Arial" w:eastAsia="Arial" w:hAnsi="Arial"/>
          <w:sz w:val="12"/>
          <w:szCs w:val="12"/>
          <w:color w:val="212121"/>
        </w:rPr>
        <w:t xml:space="preserve"> by and construed in accordance with the domestic laws of the State of California, without giving effect to any choice of law or conflict of law provision or rule (whether of the State of California or any other jurisdiction) that would cause the application of the laws of any jurisdiction other than the State of California. Any lawsuit arising out of or in any way related to this letter agreement to the parties’ relationship hereunder (to the extent permitted under this letter agreement) will be brought only in those state or federal courts having jurisdiction over actions arising in Santa Clara County in the State of California.</w:t>
      </w:r>
    </w:p>
    <w:p>
      <w:pPr>
        <w:spacing w:after="0" w:line="118" w:lineRule="exact"/>
        <w:rPr>
          <w:sz w:val="20"/>
          <w:szCs w:val="20"/>
          <w:color w:val="auto"/>
        </w:rPr>
      </w:pPr>
    </w:p>
    <w:p>
      <w:pPr>
        <w:jc w:val="both"/>
        <w:ind w:left="4" w:right="20"/>
        <w:spacing w:after="0" w:line="272" w:lineRule="auto"/>
        <w:rPr>
          <w:sz w:val="20"/>
          <w:szCs w:val="20"/>
          <w:color w:val="auto"/>
        </w:rPr>
      </w:pPr>
      <w:r>
        <w:rPr>
          <w:rFonts w:ascii="Arial" w:cs="Arial" w:eastAsia="Arial" w:hAnsi="Arial"/>
          <w:sz w:val="12"/>
          <w:szCs w:val="12"/>
          <w:color w:val="212121"/>
        </w:rPr>
        <w:t xml:space="preserve">If any provision of this letter agreement is determined to be invalid or unenforceable, in whole or in part, this determination will not affect any other provision of this letter agreement and the provision in question will be modified so as to be rendered enforceable in a manner consistent with the intent of the parties </w:t>
      </w:r>
      <w:r>
        <w:rPr>
          <w:rFonts w:ascii="Arial" w:cs="Arial" w:eastAsia="Arial" w:hAnsi="Arial"/>
          <w:sz w:val="12"/>
          <w:szCs w:val="12"/>
          <w:color w:val="000000"/>
        </w:rPr>
        <w:t>insofar</w:t>
      </w:r>
      <w:r>
        <w:rPr>
          <w:rFonts w:ascii="Arial" w:cs="Arial" w:eastAsia="Arial" w:hAnsi="Arial"/>
          <w:sz w:val="12"/>
          <w:szCs w:val="12"/>
          <w:color w:val="212121"/>
        </w:rPr>
        <w:t xml:space="preserve"> as possible under applicable law. This letter may be delivered and executed via facsimile, electronic mail (including pdf or any electronic signature complying with the U.S. federal</w:t>
      </w:r>
    </w:p>
    <w:p>
      <w:pPr>
        <w:sectPr>
          <w:pgSz w:w="11900" w:h="16840" w:orient="portrait"/>
          <w:cols w:equalWidth="0" w:num="1">
            <w:col w:w="10384"/>
          </w:cols>
          <w:pgMar w:left="876" w:top="1440" w:right="640" w:bottom="1440" w:gutter="0" w:footer="0" w:header="0"/>
        </w:sectPr>
      </w:pPr>
    </w:p>
    <w:bookmarkStart w:id="426" w:name="page427"/>
    <w:bookmarkEnd w:id="426"/>
    <w:p>
      <w:pPr>
        <w:spacing w:after="0" w:line="39" w:lineRule="exact"/>
        <w:rPr>
          <w:sz w:val="20"/>
          <w:szCs w:val="20"/>
          <w:color w:val="auto"/>
        </w:rPr>
      </w:pPr>
    </w:p>
    <w:p>
      <w:pPr>
        <w:spacing w:after="0" w:line="295" w:lineRule="auto"/>
        <w:rPr>
          <w:sz w:val="20"/>
          <w:szCs w:val="20"/>
          <w:color w:val="auto"/>
        </w:rPr>
      </w:pPr>
      <w:r>
        <w:rPr>
          <w:rFonts w:ascii="Arial" w:cs="Arial" w:eastAsia="Arial" w:hAnsi="Arial"/>
          <w:sz w:val="12"/>
          <w:szCs w:val="12"/>
          <w:color w:val="212121"/>
        </w:rPr>
        <w:t>ESIGN Act of 2000, Uniform Electronic Transactions Act or other applicable law) or other transmission method and will be deemed to have been duly and validly delivered and executed and be valid and effective for all purposes.</w:t>
      </w:r>
    </w:p>
    <w:p>
      <w:pPr>
        <w:sectPr>
          <w:pgSz w:w="11900" w:h="16840" w:orient="portrait"/>
          <w:cols w:equalWidth="0" w:num="1">
            <w:col w:w="10340"/>
          </w:cols>
          <w:pgMar w:left="880" w:top="1440" w:right="680" w:bottom="1440" w:gutter="0" w:footer="0" w:header="0"/>
        </w:sectPr>
      </w:pPr>
    </w:p>
    <w:bookmarkStart w:id="427" w:name="page428"/>
    <w:bookmarkEnd w:id="427"/>
    <w:p>
      <w:pPr>
        <w:spacing w:after="0" w:line="3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Please sign below and return this letter to me to indicate your agreement with its terms.</w:t>
      </w:r>
    </w:p>
    <w:p>
      <w:pPr>
        <w:spacing w:after="0" w:line="350" w:lineRule="exact"/>
        <w:rPr>
          <w:sz w:val="20"/>
          <w:szCs w:val="20"/>
          <w:color w:val="auto"/>
        </w:rPr>
      </w:pPr>
    </w:p>
    <w:p>
      <w:pPr>
        <w:ind w:left="5200"/>
        <w:spacing w:after="0"/>
        <w:rPr>
          <w:sz w:val="20"/>
          <w:szCs w:val="20"/>
          <w:color w:val="auto"/>
        </w:rPr>
      </w:pPr>
      <w:r>
        <w:rPr>
          <w:rFonts w:ascii="Arial" w:cs="Arial" w:eastAsia="Arial" w:hAnsi="Arial"/>
          <w:sz w:val="12"/>
          <w:szCs w:val="12"/>
          <w:color w:val="auto"/>
        </w:rPr>
        <w:t>Very truly yours,</w:t>
      </w:r>
    </w:p>
    <w:p>
      <w:pPr>
        <w:spacing w:after="0" w:line="44" w:lineRule="exact"/>
        <w:rPr>
          <w:sz w:val="20"/>
          <w:szCs w:val="20"/>
          <w:color w:val="auto"/>
        </w:rPr>
      </w:pPr>
    </w:p>
    <w:p>
      <w:pPr>
        <w:ind w:left="5200"/>
        <w:spacing w:after="0"/>
        <w:rPr>
          <w:sz w:val="20"/>
          <w:szCs w:val="20"/>
          <w:color w:val="auto"/>
        </w:rPr>
      </w:pPr>
      <w:r>
        <w:rPr>
          <w:rFonts w:ascii="Arial" w:cs="Arial" w:eastAsia="Arial" w:hAnsi="Arial"/>
          <w:sz w:val="12"/>
          <w:szCs w:val="12"/>
          <w:color w:val="auto"/>
        </w:rPr>
        <w:t>Navan, Inc.</w:t>
      </w:r>
    </w:p>
    <w:p>
      <w:pPr>
        <w:spacing w:after="0" w:line="200" w:lineRule="exact"/>
        <w:rPr>
          <w:sz w:val="20"/>
          <w:szCs w:val="20"/>
          <w:color w:val="auto"/>
        </w:rPr>
      </w:pPr>
    </w:p>
    <w:p>
      <w:pPr>
        <w:spacing w:after="0" w:line="227" w:lineRule="exact"/>
        <w:rPr>
          <w:sz w:val="20"/>
          <w:szCs w:val="20"/>
          <w:color w:val="auto"/>
        </w:rPr>
      </w:pPr>
    </w:p>
    <w:p>
      <w:pPr>
        <w:ind w:left="5200"/>
        <w:spacing w:after="0"/>
        <w:tabs>
          <w:tab w:leader="none" w:pos="57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i w:val="1"/>
          <w:iCs w:val="1"/>
          <w:color w:val="auto"/>
        </w:rPr>
        <w:t>/s/ Ariel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21590</wp:posOffset>
            </wp:positionV>
            <wp:extent cx="3037840"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3037840" cy="6350"/>
                    </a:xfrm>
                    <a:prstGeom prst="rect">
                      <a:avLst/>
                    </a:prstGeom>
                    <a:noFill/>
                  </pic:spPr>
                </pic:pic>
              </a:graphicData>
            </a:graphic>
          </wp:anchor>
        </w:drawing>
      </w:r>
    </w:p>
    <w:p>
      <w:pPr>
        <w:spacing w:after="0" w:line="33" w:lineRule="exact"/>
        <w:rPr>
          <w:sz w:val="20"/>
          <w:szCs w:val="20"/>
          <w:color w:val="auto"/>
        </w:rPr>
      </w:pPr>
    </w:p>
    <w:p>
      <w:pPr>
        <w:ind w:left="5820"/>
        <w:spacing w:after="0"/>
        <w:rPr>
          <w:sz w:val="20"/>
          <w:szCs w:val="20"/>
          <w:color w:val="auto"/>
        </w:rPr>
      </w:pPr>
      <w:r>
        <w:rPr>
          <w:rFonts w:ascii="Arial" w:cs="Arial" w:eastAsia="Arial" w:hAnsi="Arial"/>
          <w:sz w:val="12"/>
          <w:szCs w:val="12"/>
          <w:color w:val="auto"/>
        </w:rPr>
        <w:t>Ariel Cohen</w:t>
      </w:r>
    </w:p>
    <w:p>
      <w:pPr>
        <w:spacing w:after="0" w:line="44"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color w:val="auto"/>
        </w:rPr>
        <w:t>I have read and accept these terms of employment.</w:t>
      </w: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3320" w:type="dxa"/>
            <w:vAlign w:val="bottom"/>
          </w:tcPr>
          <w:p>
            <w:pPr>
              <w:ind w:left="40"/>
              <w:spacing w:after="0"/>
              <w:rPr>
                <w:sz w:val="20"/>
                <w:szCs w:val="20"/>
                <w:color w:val="auto"/>
              </w:rPr>
            </w:pPr>
            <w:r>
              <w:rPr>
                <w:rFonts w:ascii="Arial" w:cs="Arial" w:eastAsia="Arial" w:hAnsi="Arial"/>
                <w:sz w:val="12"/>
                <w:szCs w:val="12"/>
                <w:i w:val="1"/>
                <w:iCs w:val="1"/>
                <w:color w:val="auto"/>
              </w:rPr>
              <w:t>/s/ Ilan Twig</w:t>
            </w:r>
          </w:p>
        </w:tc>
        <w:tc>
          <w:tcPr>
            <w:tcW w:w="6280" w:type="dxa"/>
            <w:vAlign w:val="bottom"/>
            <w:gridSpan w:val="2"/>
          </w:tcPr>
          <w:p>
            <w:pPr>
              <w:ind w:left="2760"/>
              <w:spacing w:after="0"/>
              <w:rPr>
                <w:sz w:val="20"/>
                <w:szCs w:val="20"/>
                <w:color w:val="auto"/>
              </w:rPr>
            </w:pPr>
            <w:r>
              <w:rPr>
                <w:rFonts w:ascii="Arial" w:cs="Arial" w:eastAsia="Arial" w:hAnsi="Arial"/>
                <w:sz w:val="12"/>
                <w:szCs w:val="12"/>
                <w:color w:val="auto"/>
              </w:rPr>
              <w:t>8/22/2025</w:t>
            </w:r>
          </w:p>
        </w:tc>
      </w:tr>
      <w:tr>
        <w:trPr>
          <w:trHeight w:val="177"/>
        </w:trPr>
        <w:tc>
          <w:tcPr>
            <w:tcW w:w="33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Ilan Twig</w:t>
            </w:r>
          </w:p>
        </w:tc>
        <w:tc>
          <w:tcPr>
            <w:tcW w:w="2740" w:type="dxa"/>
            <w:vAlign w:val="bottom"/>
          </w:tcPr>
          <w:p>
            <w:pPr>
              <w:spacing w:after="0"/>
              <w:rPr>
                <w:sz w:val="15"/>
                <w:szCs w:val="15"/>
                <w:color w:val="auto"/>
              </w:rPr>
            </w:pPr>
          </w:p>
        </w:tc>
        <w:tc>
          <w:tcPr>
            <w:tcW w:w="354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DATE</w:t>
            </w:r>
          </w:p>
        </w:tc>
      </w:tr>
    </w:tbl>
    <w:p>
      <w:pPr>
        <w:sectPr>
          <w:pgSz w:w="11900" w:h="16840" w:orient="portrait"/>
          <w:cols w:equalWidth="0" w:num="1">
            <w:col w:w="9760"/>
          </w:cols>
          <w:pgMar w:left="700" w:top="1440" w:right="1440" w:bottom="1440" w:gutter="0" w:footer="0" w:header="0"/>
        </w:sectPr>
      </w:pPr>
    </w:p>
    <w:bookmarkStart w:id="428" w:name="page429"/>
    <w:bookmarkEnd w:id="428"/>
    <w:p>
      <w:pPr>
        <w:spacing w:after="0" w:line="3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Exhibit A</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SECTION 7 OF THE DEFEND TRADE SECRETS ACT OF 2016</w:t>
      </w:r>
    </w:p>
    <w:p>
      <w:pPr>
        <w:spacing w:after="0" w:line="159" w:lineRule="exact"/>
        <w:rPr>
          <w:sz w:val="20"/>
          <w:szCs w:val="20"/>
          <w:color w:val="auto"/>
        </w:rPr>
      </w:pPr>
    </w:p>
    <w:p>
      <w:pPr>
        <w:jc w:val="both"/>
        <w:ind w:firstLine="459"/>
        <w:spacing w:after="0" w:line="261" w:lineRule="auto"/>
        <w:rPr>
          <w:sz w:val="20"/>
          <w:szCs w:val="20"/>
          <w:color w:val="auto"/>
        </w:rPr>
      </w:pPr>
      <w:r>
        <w:rPr>
          <w:rFonts w:ascii="Arial" w:cs="Arial" w:eastAsia="Arial" w:hAnsi="Arial"/>
          <w:sz w:val="12"/>
          <w:szCs w:val="12"/>
          <w:color w:val="auto"/>
        </w:rPr>
        <w:t>“ . . . An individual will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ectPr>
          <w:pgSz w:w="11900" w:h="16840" w:orient="portrait"/>
          <w:cols w:equalWidth="0" w:num="1">
            <w:col w:w="10600"/>
          </w:cols>
          <w:pgMar w:left="640" w:top="1440" w:right="660" w:bottom="1440" w:gutter="0" w:footer="0" w:header="0"/>
        </w:sectPr>
      </w:pPr>
    </w:p>
    <w:bookmarkStart w:id="429" w:name="page430"/>
    <w:bookmarkEnd w:id="429"/>
    <w:p>
      <w:pPr>
        <w:ind w:left="9960"/>
        <w:spacing w:after="0"/>
        <w:rPr>
          <w:sz w:val="20"/>
          <w:szCs w:val="20"/>
          <w:color w:val="auto"/>
        </w:rPr>
      </w:pPr>
      <w:r>
        <w:rPr>
          <w:rFonts w:ascii="Times New Roman" w:cs="Times New Roman" w:eastAsia="Times New Roman" w:hAnsi="Times New Roman"/>
          <w:sz w:val="12"/>
          <w:szCs w:val="12"/>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NAVAN, INC.</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CHANGE IN CONTROL AND SEVERANCE AGREEMENT</w:t>
      </w:r>
    </w:p>
    <w:p>
      <w:pPr>
        <w:spacing w:after="0" w:line="162" w:lineRule="exact"/>
        <w:rPr>
          <w:sz w:val="20"/>
          <w:szCs w:val="20"/>
          <w:color w:val="auto"/>
        </w:rPr>
      </w:pPr>
    </w:p>
    <w:p>
      <w:pPr>
        <w:ind w:right="20" w:firstLine="459"/>
        <w:spacing w:after="0" w:line="294" w:lineRule="auto"/>
        <w:rPr>
          <w:sz w:val="20"/>
          <w:szCs w:val="20"/>
          <w:color w:val="auto"/>
        </w:rPr>
      </w:pPr>
      <w:r>
        <w:rPr>
          <w:rFonts w:ascii="Times New Roman" w:cs="Times New Roman" w:eastAsia="Times New Roman" w:hAnsi="Times New Roman"/>
          <w:sz w:val="15"/>
          <w:szCs w:val="15"/>
          <w:color w:val="auto"/>
        </w:rPr>
        <w:t>This Change in Control and Severance Agreement (the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is made between Navan, Inc.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and [NAME] (the “</w:t>
      </w:r>
      <w:r>
        <w:rPr>
          <w:rFonts w:ascii="Times New Roman" w:cs="Times New Roman" w:eastAsia="Times New Roman" w:hAnsi="Times New Roman"/>
          <w:sz w:val="15"/>
          <w:szCs w:val="15"/>
          <w:b w:val="1"/>
          <w:bCs w:val="1"/>
          <w:color w:val="auto"/>
        </w:rPr>
        <w:t>Executive</w:t>
      </w:r>
      <w:r>
        <w:rPr>
          <w:rFonts w:ascii="Times New Roman" w:cs="Times New Roman" w:eastAsia="Times New Roman" w:hAnsi="Times New Roman"/>
          <w:sz w:val="15"/>
          <w:szCs w:val="15"/>
          <w:color w:val="auto"/>
        </w:rPr>
        <w:t>”), effective as of [DATE] (the “</w:t>
      </w:r>
      <w:r>
        <w:rPr>
          <w:rFonts w:ascii="Times New Roman" w:cs="Times New Roman" w:eastAsia="Times New Roman" w:hAnsi="Times New Roman"/>
          <w:sz w:val="15"/>
          <w:szCs w:val="15"/>
          <w:b w:val="1"/>
          <w:bCs w:val="1"/>
          <w:color w:val="auto"/>
        </w:rPr>
        <w:t>Effective Date</w:t>
      </w:r>
      <w:r>
        <w:rPr>
          <w:rFonts w:ascii="Times New Roman" w:cs="Times New Roman" w:eastAsia="Times New Roman" w:hAnsi="Times New Roman"/>
          <w:sz w:val="15"/>
          <w:szCs w:val="15"/>
          <w:color w:val="auto"/>
        </w:rPr>
        <w:t>”).</w:t>
      </w:r>
    </w:p>
    <w:p>
      <w:pPr>
        <w:spacing w:after="0" w:line="98" w:lineRule="exact"/>
        <w:rPr>
          <w:sz w:val="20"/>
          <w:szCs w:val="20"/>
          <w:color w:val="auto"/>
        </w:rPr>
      </w:pPr>
    </w:p>
    <w:p>
      <w:pPr>
        <w:ind w:right="20" w:firstLine="459"/>
        <w:spacing w:after="0" w:line="289" w:lineRule="auto"/>
        <w:rPr>
          <w:sz w:val="20"/>
          <w:szCs w:val="20"/>
          <w:color w:val="auto"/>
        </w:rPr>
      </w:pPr>
      <w:r>
        <w:rPr>
          <w:rFonts w:ascii="Times New Roman" w:cs="Times New Roman" w:eastAsia="Times New Roman" w:hAnsi="Times New Roman"/>
          <w:sz w:val="15"/>
          <w:szCs w:val="15"/>
          <w:color w:val="auto"/>
        </w:rPr>
        <w:t>The Agreement provides certain protections to the Executive in connection with the involuntary termination of the Executive’s employment under the circumstances described in the Agreement.</w:t>
      </w:r>
    </w:p>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The Company and the Executive agree as follows:</w:t>
      </w:r>
    </w:p>
    <w:p>
      <w:pPr>
        <w:spacing w:after="0" w:line="162" w:lineRule="exact"/>
        <w:rPr>
          <w:sz w:val="20"/>
          <w:szCs w:val="20"/>
          <w:color w:val="auto"/>
        </w:rPr>
      </w:pPr>
    </w:p>
    <w:p>
      <w:pPr>
        <w:ind w:right="40" w:firstLine="466"/>
        <w:spacing w:after="0" w:line="289" w:lineRule="auto"/>
        <w:tabs>
          <w:tab w:leader="none" w:pos="737" w:val="left"/>
        </w:tabs>
        <w:numPr>
          <w:ilvl w:val="0"/>
          <w:numId w:val="5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 of Agreement</w:t>
      </w:r>
      <w:r>
        <w:rPr>
          <w:rFonts w:ascii="Times New Roman" w:cs="Times New Roman" w:eastAsia="Times New Roman" w:hAnsi="Times New Roman"/>
          <w:sz w:val="15"/>
          <w:szCs w:val="15"/>
          <w:color w:val="auto"/>
        </w:rPr>
        <w:t>. The Agreement will continue indefinitely until terminated by written consent of the parties hereto, or if earlier, upon the date that all of the obligations of the parties hereto with respect to the Agreement have been satisfied.</w:t>
      </w:r>
    </w:p>
    <w:p>
      <w:pPr>
        <w:spacing w:after="0" w:line="101" w:lineRule="exact"/>
        <w:rPr>
          <w:sz w:val="20"/>
          <w:szCs w:val="20"/>
          <w:color w:val="auto"/>
        </w:rPr>
      </w:pPr>
    </w:p>
    <w:p>
      <w:pPr>
        <w:ind w:right="20" w:firstLine="466"/>
        <w:spacing w:after="0" w:line="289" w:lineRule="auto"/>
        <w:tabs>
          <w:tab w:leader="none" w:pos="612" w:val="left"/>
        </w:tabs>
        <w:numPr>
          <w:ilvl w:val="0"/>
          <w:numId w:val="5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At-Will Employment</w:t>
      </w:r>
      <w:r>
        <w:rPr>
          <w:rFonts w:ascii="Times New Roman" w:cs="Times New Roman" w:eastAsia="Times New Roman" w:hAnsi="Times New Roman"/>
          <w:sz w:val="15"/>
          <w:szCs w:val="15"/>
          <w:color w:val="auto"/>
        </w:rPr>
        <w:t>. The Company and the Executive acknowledge that the Executive’s employment is and will continue to be at-will, as defined under applicable law.</w:t>
      </w:r>
    </w:p>
    <w:p>
      <w:pPr>
        <w:spacing w:after="0" w:line="101" w:lineRule="exact"/>
        <w:rPr>
          <w:sz w:val="20"/>
          <w:szCs w:val="20"/>
          <w:color w:val="auto"/>
        </w:rPr>
      </w:pPr>
    </w:p>
    <w:p>
      <w:pPr>
        <w:ind w:left="740" w:hanging="274"/>
        <w:spacing w:after="0"/>
        <w:tabs>
          <w:tab w:leader="none" w:pos="740" w:val="left"/>
        </w:tabs>
        <w:numPr>
          <w:ilvl w:val="0"/>
          <w:numId w:val="5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Severance Benefits</w:t>
      </w:r>
      <w:r>
        <w:rPr>
          <w:rFonts w:ascii="Times New Roman" w:cs="Times New Roman" w:eastAsia="Times New Roman" w:hAnsi="Times New Roman"/>
          <w:sz w:val="15"/>
          <w:szCs w:val="15"/>
          <w:color w:val="auto"/>
        </w:rPr>
        <w:t>.</w:t>
      </w:r>
    </w:p>
    <w:p>
      <w:pPr>
        <w:spacing w:after="0" w:line="162" w:lineRule="exact"/>
        <w:rPr>
          <w:sz w:val="20"/>
          <w:szCs w:val="20"/>
          <w:color w:val="auto"/>
        </w:rPr>
      </w:pPr>
    </w:p>
    <w:p>
      <w:pPr>
        <w:ind w:right="20" w:firstLine="925"/>
        <w:spacing w:after="0" w:line="289" w:lineRule="auto"/>
        <w:tabs>
          <w:tab w:leader="none" w:pos="993" w:val="left"/>
        </w:tabs>
        <w:numPr>
          <w:ilvl w:val="0"/>
          <w:numId w:val="5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 </w:t>
      </w:r>
      <w:r>
        <w:rPr>
          <w:rFonts w:ascii="Times New Roman" w:cs="Times New Roman" w:eastAsia="Times New Roman" w:hAnsi="Times New Roman"/>
          <w:sz w:val="15"/>
          <w:szCs w:val="15"/>
          <w:u w:val="single" w:color="auto"/>
          <w:color w:val="auto"/>
        </w:rPr>
        <w:t>Qualifying Non-CIC Termination</w:t>
      </w:r>
      <w:r>
        <w:rPr>
          <w:rFonts w:ascii="Times New Roman" w:cs="Times New Roman" w:eastAsia="Times New Roman" w:hAnsi="Times New Roman"/>
          <w:sz w:val="15"/>
          <w:szCs w:val="15"/>
          <w:color w:val="auto"/>
        </w:rPr>
        <w:t>. On a Qualifying Non-CIC Termination (as defined below), the Executive will be eligible to receive the following payments and benefits from the Company:</w:t>
      </w:r>
    </w:p>
    <w:p>
      <w:pPr>
        <w:spacing w:after="0" w:line="101" w:lineRule="exact"/>
        <w:rPr>
          <w:rFonts w:ascii="Times New Roman" w:cs="Times New Roman" w:eastAsia="Times New Roman" w:hAnsi="Times New Roman"/>
          <w:sz w:val="15"/>
          <w:szCs w:val="15"/>
          <w:color w:val="auto"/>
        </w:rPr>
      </w:pPr>
    </w:p>
    <w:p>
      <w:pPr>
        <w:ind w:left="1800" w:hanging="301"/>
        <w:spacing w:after="0"/>
        <w:tabs>
          <w:tab w:leader="none" w:pos="1800" w:val="left"/>
        </w:tabs>
        <w:numPr>
          <w:ilvl w:val="1"/>
          <w:numId w:val="5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Salary Severance</w:t>
      </w:r>
      <w:r>
        <w:rPr>
          <w:rFonts w:ascii="Times New Roman" w:cs="Times New Roman" w:eastAsia="Times New Roman" w:hAnsi="Times New Roman"/>
          <w:sz w:val="15"/>
          <w:szCs w:val="15"/>
          <w:color w:val="auto"/>
        </w:rPr>
        <w:t>. A single lump-sum payment equal to [CEO: 12/Others: 6] months of the Executive’s Salary (as defined below).</w:t>
      </w:r>
    </w:p>
    <w:p>
      <w:pPr>
        <w:spacing w:after="0" w:line="162" w:lineRule="exact"/>
        <w:rPr>
          <w:rFonts w:ascii="Times New Roman" w:cs="Times New Roman" w:eastAsia="Times New Roman" w:hAnsi="Times New Roman"/>
          <w:sz w:val="15"/>
          <w:szCs w:val="15"/>
          <w:color w:val="auto"/>
        </w:rPr>
      </w:pPr>
    </w:p>
    <w:p>
      <w:pPr>
        <w:ind w:left="1800" w:hanging="349"/>
        <w:spacing w:after="0"/>
        <w:tabs>
          <w:tab w:leader="none" w:pos="1800" w:val="left"/>
        </w:tabs>
        <w:numPr>
          <w:ilvl w:val="1"/>
          <w:numId w:val="5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Bonus Severance</w:t>
      </w:r>
      <w:r>
        <w:rPr>
          <w:rFonts w:ascii="Times New Roman" w:cs="Times New Roman" w:eastAsia="Times New Roman" w:hAnsi="Times New Roman"/>
          <w:sz w:val="15"/>
          <w:szCs w:val="15"/>
          <w:color w:val="auto"/>
        </w:rPr>
        <w:t>.</w:t>
      </w:r>
    </w:p>
    <w:p>
      <w:pPr>
        <w:spacing w:after="0" w:line="162" w:lineRule="exact"/>
        <w:rPr>
          <w:rFonts w:ascii="Times New Roman" w:cs="Times New Roman" w:eastAsia="Times New Roman" w:hAnsi="Times New Roman"/>
          <w:sz w:val="15"/>
          <w:szCs w:val="15"/>
          <w:color w:val="auto"/>
        </w:rPr>
      </w:pPr>
    </w:p>
    <w:p>
      <w:pPr>
        <w:ind w:right="40" w:firstLine="1844"/>
        <w:spacing w:after="0" w:line="289" w:lineRule="auto"/>
        <w:tabs>
          <w:tab w:leader="none" w:pos="2202" w:val="left"/>
        </w:tabs>
        <w:numPr>
          <w:ilvl w:val="2"/>
          <w:numId w:val="5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single lump-sum payment equal to a prorated portion of the annual bonus that the Executive otherwise would have received for the year in which the Qualifying Non-CIC Termination occurs had the Executive remained employed through the date required to earn such bonus.</w:t>
      </w:r>
    </w:p>
    <w:p>
      <w:pPr>
        <w:spacing w:after="0" w:line="97" w:lineRule="exact"/>
        <w:rPr>
          <w:rFonts w:ascii="Times New Roman" w:cs="Times New Roman" w:eastAsia="Times New Roman" w:hAnsi="Times New Roman"/>
          <w:sz w:val="15"/>
          <w:szCs w:val="15"/>
          <w:color w:val="auto"/>
        </w:rPr>
      </w:pPr>
    </w:p>
    <w:p>
      <w:pPr>
        <w:jc w:val="both"/>
        <w:ind w:firstLine="1844"/>
        <w:spacing w:after="0" w:line="263" w:lineRule="auto"/>
        <w:tabs>
          <w:tab w:leader="none" w:pos="2185" w:val="left"/>
        </w:tabs>
        <w:numPr>
          <w:ilvl w:val="2"/>
          <w:numId w:val="5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Qualifying Termination occurs following the end of a performance period to which a cash performance incentive or bonus (“</w:t>
      </w:r>
      <w:r>
        <w:rPr>
          <w:rFonts w:ascii="Times New Roman" w:cs="Times New Roman" w:eastAsia="Times New Roman" w:hAnsi="Times New Roman"/>
          <w:sz w:val="15"/>
          <w:szCs w:val="15"/>
          <w:b w:val="1"/>
          <w:bCs w:val="1"/>
          <w:color w:val="auto"/>
        </w:rPr>
        <w:t>Cash</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Performance Incentive</w:t>
      </w:r>
      <w:r>
        <w:rPr>
          <w:rFonts w:ascii="Times New Roman" w:cs="Times New Roman" w:eastAsia="Times New Roman" w:hAnsi="Times New Roman"/>
          <w:sz w:val="15"/>
          <w:szCs w:val="15"/>
          <w:color w:val="auto"/>
        </w:rPr>
        <w:t>”) relates and before payments with respect to such performance period have been paid to the Executive by the Company, the Executive will receive,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addition to the payment in Section 3(a)(ii)(1), a single lump-sum cash payment equal to the Cash Performance Incentive that the Executive would have otherwise been paid had the Executive remained employed by the Company through the date required to receive such Cash Performance Incentive (such payment, the “</w:t>
      </w:r>
      <w:r>
        <w:rPr>
          <w:rFonts w:ascii="Times New Roman" w:cs="Times New Roman" w:eastAsia="Times New Roman" w:hAnsi="Times New Roman"/>
          <w:sz w:val="15"/>
          <w:szCs w:val="15"/>
          <w:b w:val="1"/>
          <w:bCs w:val="1"/>
          <w:color w:val="auto"/>
        </w:rPr>
        <w:t>Unpaid Cash</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Performance Incentive Payment</w:t>
      </w:r>
      <w:r>
        <w:rPr>
          <w:rFonts w:ascii="Times New Roman" w:cs="Times New Roman" w:eastAsia="Times New Roman" w:hAnsi="Times New Roman"/>
          <w:sz w:val="15"/>
          <w:szCs w:val="15"/>
          <w:color w:val="auto"/>
        </w:rPr>
        <w:t>”).</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57" w:lineRule="exact"/>
        <w:rPr>
          <w:rFonts w:ascii="Times New Roman" w:cs="Times New Roman" w:eastAsia="Times New Roman" w:hAnsi="Times New Roman"/>
          <w:sz w:val="15"/>
          <w:szCs w:val="15"/>
          <w:color w:val="auto"/>
        </w:rPr>
      </w:pPr>
    </w:p>
    <w:p>
      <w:pPr>
        <w:ind w:left="5280" w:hanging="97"/>
        <w:spacing w:after="0"/>
        <w:tabs>
          <w:tab w:leader="none" w:pos="5280" w:val="left"/>
        </w:tabs>
        <w:numPr>
          <w:ilvl w:val="3"/>
          <w:numId w:val="5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1 -</w:t>
      </w:r>
    </w:p>
    <w:p>
      <w:pPr>
        <w:sectPr>
          <w:pgSz w:w="11900" w:h="16840" w:orient="portrait"/>
          <w:cols w:equalWidth="0" w:num="1">
            <w:col w:w="10620"/>
          </w:cols>
          <w:pgMar w:left="640" w:top="557" w:right="640" w:bottom="1440" w:gutter="0" w:footer="0" w:header="0"/>
        </w:sectPr>
      </w:pPr>
    </w:p>
    <w:bookmarkStart w:id="430" w:name="page431"/>
    <w:bookmarkEnd w:id="430"/>
    <w:p>
      <w:pPr>
        <w:spacing w:after="0" w:line="40" w:lineRule="exact"/>
        <w:rPr>
          <w:sz w:val="20"/>
          <w:szCs w:val="20"/>
          <w:color w:val="auto"/>
        </w:rPr>
      </w:pPr>
    </w:p>
    <w:p>
      <w:pPr>
        <w:jc w:val="both"/>
        <w:ind w:firstLine="1413"/>
        <w:spacing w:after="0" w:line="261" w:lineRule="auto"/>
        <w:tabs>
          <w:tab w:leader="none" w:pos="1477" w:val="left"/>
        </w:tabs>
        <w:numPr>
          <w:ilvl w:val="1"/>
          <w:numId w:val="5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iii) </w:t>
      </w:r>
      <w:r>
        <w:rPr>
          <w:rFonts w:ascii="Times New Roman" w:cs="Times New Roman" w:eastAsia="Times New Roman" w:hAnsi="Times New Roman"/>
          <w:sz w:val="15"/>
          <w:szCs w:val="15"/>
          <w:u w:val="single" w:color="auto"/>
          <w:color w:val="auto"/>
        </w:rPr>
        <w:t>COBRA Coverage</w:t>
      </w:r>
      <w:r>
        <w:rPr>
          <w:rFonts w:ascii="Times New Roman" w:cs="Times New Roman" w:eastAsia="Times New Roman" w:hAnsi="Times New Roman"/>
          <w:sz w:val="15"/>
          <w:szCs w:val="15"/>
          <w:color w:val="auto"/>
        </w:rPr>
        <w:t>. Subject to Section 3(d), the Company will pay the premiums for coverage under COBRA (as defined below) for the Executive and the Executive’s eligible dependents, if any, at the rates then in effect, subject to any subsequent changes in rates that are generally applicable to the Company’s active employees (the “</w:t>
      </w:r>
      <w:r>
        <w:rPr>
          <w:rFonts w:ascii="Times New Roman" w:cs="Times New Roman" w:eastAsia="Times New Roman" w:hAnsi="Times New Roman"/>
          <w:sz w:val="15"/>
          <w:szCs w:val="15"/>
          <w:b w:val="1"/>
          <w:bCs w:val="1"/>
          <w:color w:val="auto"/>
        </w:rPr>
        <w:t>COBRA Coverage</w:t>
      </w:r>
      <w:r>
        <w:rPr>
          <w:rFonts w:ascii="Times New Roman" w:cs="Times New Roman" w:eastAsia="Times New Roman" w:hAnsi="Times New Roman"/>
          <w:sz w:val="15"/>
          <w:szCs w:val="15"/>
          <w:color w:val="auto"/>
        </w:rPr>
        <w:t>”), until the earliest of (A) a period of [CEO: 18/Others: 12] months from the first day of the next month following the date of the Executive’s termination of employment, (B) the date upon which the Executive (and the Executive’s eligible dependents, as applicable) becomes covered under similar plans, or (C) the date upon which the Executive ceases to be eligible for coverage under COBRA.</w:t>
      </w:r>
    </w:p>
    <w:p>
      <w:pPr>
        <w:spacing w:after="0" w:line="124" w:lineRule="exact"/>
        <w:rPr>
          <w:rFonts w:ascii="Times New Roman" w:cs="Times New Roman" w:eastAsia="Times New Roman" w:hAnsi="Times New Roman"/>
          <w:sz w:val="15"/>
          <w:szCs w:val="15"/>
          <w:color w:val="auto"/>
        </w:rPr>
      </w:pPr>
    </w:p>
    <w:p>
      <w:pPr>
        <w:jc w:val="both"/>
        <w:ind w:firstLine="1423"/>
        <w:spacing w:after="0" w:line="270" w:lineRule="auto"/>
        <w:tabs>
          <w:tab w:leader="none" w:pos="1799" w:val="left"/>
        </w:tabs>
        <w:numPr>
          <w:ilvl w:val="3"/>
          <w:numId w:val="5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Equity Vesting</w:t>
      </w:r>
      <w:r>
        <w:rPr>
          <w:rFonts w:ascii="Times New Roman" w:cs="Times New Roman" w:eastAsia="Times New Roman" w:hAnsi="Times New Roman"/>
          <w:sz w:val="15"/>
          <w:szCs w:val="15"/>
          <w:color w:val="auto"/>
        </w:rPr>
        <w:t>. Accelerated vesting (and exercisability, as applicable) of each of the Executive’s then-outstanding Time-Based Equity Awards as to the number of shares subject to the equity award that were otherwise scheduled to vest had the Executive remained employed with the Company Group for 12 months following the date of the Executive’s Qualifying Non-CIC Termination.</w:t>
      </w:r>
    </w:p>
    <w:p>
      <w:pPr>
        <w:spacing w:after="0" w:line="116" w:lineRule="exact"/>
        <w:rPr>
          <w:rFonts w:ascii="Times New Roman" w:cs="Times New Roman" w:eastAsia="Times New Roman" w:hAnsi="Times New Roman"/>
          <w:sz w:val="15"/>
          <w:szCs w:val="15"/>
          <w:color w:val="auto"/>
        </w:rPr>
      </w:pPr>
    </w:p>
    <w:p>
      <w:pPr>
        <w:jc w:val="both"/>
        <w:ind w:firstLine="1461"/>
        <w:spacing w:after="0" w:line="260" w:lineRule="auto"/>
        <w:tabs>
          <w:tab w:leader="none" w:pos="1799" w:val="left"/>
        </w:tabs>
        <w:numPr>
          <w:ilvl w:val="3"/>
          <w:numId w:val="5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Extension of Post-Termination Exercise Period</w:t>
      </w:r>
      <w:r>
        <w:rPr>
          <w:rFonts w:ascii="Times New Roman" w:cs="Times New Roman" w:eastAsia="Times New Roman" w:hAnsi="Times New Roman"/>
          <w:sz w:val="15"/>
          <w:szCs w:val="15"/>
          <w:color w:val="auto"/>
        </w:rPr>
        <w:t>. With respect to the Executive’s Equity Awards that are stock options or similar equity awards, the portion of each such Equity Award that is outstanding and vested (including as a result of any vesting acceleration provided under the Agreement) as of the date of Executive’s Qualifying Termination will expire on the earlier of (i) the original term of such Equity Award as set forth in the applicable award agreement or equity incentive plan, subject to earlier termination in the event of a Change in Control or other similar transaction as set forth in the terms of the applicable award agreement and equity incentive plan, or (ii) 24 months following the Executive’s Qualifying Termination (or if the Qualifying Termination occurs when the Company’s common stock is not listed on any established stock exchange or a national market system, 7 years following the Executive’s Qualifying Termination) (the “</w:t>
      </w:r>
      <w:r>
        <w:rPr>
          <w:rFonts w:ascii="Times New Roman" w:cs="Times New Roman" w:eastAsia="Times New Roman" w:hAnsi="Times New Roman"/>
          <w:sz w:val="15"/>
          <w:szCs w:val="15"/>
          <w:b w:val="1"/>
          <w:bCs w:val="1"/>
          <w:color w:val="auto"/>
        </w:rPr>
        <w:t>PTEP Extension</w:t>
      </w:r>
      <w:r>
        <w:rPr>
          <w:rFonts w:ascii="Times New Roman" w:cs="Times New Roman" w:eastAsia="Times New Roman" w:hAnsi="Times New Roman"/>
          <w:sz w:val="15"/>
          <w:szCs w:val="15"/>
          <w:color w:val="auto"/>
        </w:rPr>
        <w:t>”).</w:t>
      </w:r>
    </w:p>
    <w:p>
      <w:pPr>
        <w:spacing w:after="0" w:line="122" w:lineRule="exact"/>
        <w:rPr>
          <w:rFonts w:ascii="Times New Roman" w:cs="Times New Roman" w:eastAsia="Times New Roman" w:hAnsi="Times New Roman"/>
          <w:sz w:val="15"/>
          <w:szCs w:val="15"/>
          <w:color w:val="auto"/>
        </w:rPr>
      </w:pPr>
    </w:p>
    <w:p>
      <w:pPr>
        <w:ind w:left="1260" w:hanging="335"/>
        <w:spacing w:after="0"/>
        <w:tabs>
          <w:tab w:leader="none" w:pos="1260" w:val="left"/>
        </w:tabs>
        <w:numPr>
          <w:ilvl w:val="0"/>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Qualifying CIC Termination</w:t>
      </w:r>
      <w:r>
        <w:rPr>
          <w:rFonts w:ascii="Times New Roman" w:cs="Times New Roman" w:eastAsia="Times New Roman" w:hAnsi="Times New Roman"/>
          <w:sz w:val="15"/>
          <w:szCs w:val="15"/>
          <w:color w:val="auto"/>
        </w:rPr>
        <w:t>. On a Qualifying CIC Termination, the Executive will be eligible to receive the following payments and benefits from the</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w:t>
      </w:r>
    </w:p>
    <w:p>
      <w:pPr>
        <w:spacing w:after="0" w:line="146" w:lineRule="exact"/>
        <w:rPr>
          <w:rFonts w:ascii="Times New Roman" w:cs="Times New Roman" w:eastAsia="Times New Roman" w:hAnsi="Times New Roman"/>
          <w:sz w:val="15"/>
          <w:szCs w:val="15"/>
          <w:color w:val="auto"/>
        </w:rPr>
      </w:pPr>
    </w:p>
    <w:p>
      <w:pPr>
        <w:ind w:left="1800" w:hanging="301"/>
        <w:spacing w:after="0"/>
        <w:tabs>
          <w:tab w:leader="none" w:pos="1800" w:val="left"/>
        </w:tabs>
        <w:numPr>
          <w:ilvl w:val="2"/>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Salary Severance</w:t>
      </w:r>
      <w:r>
        <w:rPr>
          <w:rFonts w:ascii="Times New Roman" w:cs="Times New Roman" w:eastAsia="Times New Roman" w:hAnsi="Times New Roman"/>
          <w:sz w:val="15"/>
          <w:szCs w:val="15"/>
          <w:color w:val="auto"/>
        </w:rPr>
        <w:t>. A single lump-sum payment equal to [CEO: 18/Others: 12] months of the Executive’s Salary.</w:t>
      </w:r>
    </w:p>
    <w:p>
      <w:pPr>
        <w:spacing w:after="0" w:line="162" w:lineRule="exact"/>
        <w:rPr>
          <w:rFonts w:ascii="Times New Roman" w:cs="Times New Roman" w:eastAsia="Times New Roman" w:hAnsi="Times New Roman"/>
          <w:sz w:val="15"/>
          <w:szCs w:val="15"/>
          <w:color w:val="auto"/>
        </w:rPr>
      </w:pPr>
    </w:p>
    <w:p>
      <w:pPr>
        <w:ind w:left="1800" w:hanging="349"/>
        <w:spacing w:after="0"/>
        <w:tabs>
          <w:tab w:leader="none" w:pos="1800" w:val="left"/>
        </w:tabs>
        <w:numPr>
          <w:ilvl w:val="2"/>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Bonus Severance</w:t>
      </w:r>
      <w:r>
        <w:rPr>
          <w:rFonts w:ascii="Times New Roman" w:cs="Times New Roman" w:eastAsia="Times New Roman" w:hAnsi="Times New Roman"/>
          <w:sz w:val="15"/>
          <w:szCs w:val="15"/>
          <w:color w:val="auto"/>
        </w:rPr>
        <w:t>.</w:t>
      </w:r>
    </w:p>
    <w:p>
      <w:pPr>
        <w:spacing w:after="0" w:line="162" w:lineRule="exact"/>
        <w:rPr>
          <w:rFonts w:ascii="Times New Roman" w:cs="Times New Roman" w:eastAsia="Times New Roman" w:hAnsi="Times New Roman"/>
          <w:sz w:val="15"/>
          <w:szCs w:val="15"/>
          <w:color w:val="auto"/>
        </w:rPr>
      </w:pPr>
    </w:p>
    <w:p>
      <w:pPr>
        <w:ind w:right="20" w:firstLine="1844"/>
        <w:spacing w:after="0" w:line="289" w:lineRule="auto"/>
        <w:tabs>
          <w:tab w:leader="none" w:pos="2163" w:val="left"/>
        </w:tabs>
        <w:numPr>
          <w:ilvl w:val="4"/>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single lump-sum payment equal to [CEO: 150%/Others: 100%] of the Executive’s target annual bonus as in effect for the fiscal year in which the Qualifying CIC Termination occurs or as in effect immediately prior to the Change in Control, whichever is greater.</w:t>
      </w:r>
    </w:p>
    <w:p>
      <w:pPr>
        <w:spacing w:after="0" w:line="101" w:lineRule="exact"/>
        <w:rPr>
          <w:rFonts w:ascii="Times New Roman" w:cs="Times New Roman" w:eastAsia="Times New Roman" w:hAnsi="Times New Roman"/>
          <w:sz w:val="15"/>
          <w:szCs w:val="15"/>
          <w:color w:val="auto"/>
        </w:rPr>
      </w:pPr>
    </w:p>
    <w:p>
      <w:pPr>
        <w:ind w:left="2180" w:hanging="336"/>
        <w:spacing w:after="0"/>
        <w:tabs>
          <w:tab w:leader="none" w:pos="2180" w:val="left"/>
        </w:tabs>
        <w:numPr>
          <w:ilvl w:val="4"/>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Executive will receive the Unpaid Cash Performance Incentive Payment, if any.</w:t>
      </w:r>
    </w:p>
    <w:p>
      <w:pPr>
        <w:spacing w:after="0" w:line="162" w:lineRule="exact"/>
        <w:rPr>
          <w:rFonts w:ascii="Times New Roman" w:cs="Times New Roman" w:eastAsia="Times New Roman" w:hAnsi="Times New Roman"/>
          <w:sz w:val="15"/>
          <w:szCs w:val="15"/>
          <w:color w:val="auto"/>
        </w:rPr>
      </w:pPr>
    </w:p>
    <w:p>
      <w:pPr>
        <w:ind w:left="1800" w:hanging="387"/>
        <w:spacing w:after="0"/>
        <w:tabs>
          <w:tab w:leader="none" w:pos="1800" w:val="left"/>
        </w:tabs>
        <w:numPr>
          <w:ilvl w:val="2"/>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COBRA Coverage</w:t>
      </w:r>
      <w:r>
        <w:rPr>
          <w:rFonts w:ascii="Times New Roman" w:cs="Times New Roman" w:eastAsia="Times New Roman" w:hAnsi="Times New Roman"/>
          <w:sz w:val="15"/>
          <w:szCs w:val="15"/>
          <w:color w:val="auto"/>
        </w:rPr>
        <w:t>. Subject to Section 3(d), the Company will provide COBRA Coverage until the earliest of (A) a period of [CEO: 18/Others:</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12] months</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83" w:lineRule="exact"/>
        <w:rPr>
          <w:rFonts w:ascii="Times New Roman" w:cs="Times New Roman" w:eastAsia="Times New Roman" w:hAnsi="Times New Roman"/>
          <w:sz w:val="15"/>
          <w:szCs w:val="15"/>
          <w:color w:val="auto"/>
        </w:rPr>
      </w:pPr>
    </w:p>
    <w:p>
      <w:pPr>
        <w:ind w:left="5280" w:hanging="97"/>
        <w:spacing w:after="0"/>
        <w:tabs>
          <w:tab w:leader="none" w:pos="5280" w:val="left"/>
        </w:tabs>
        <w:numPr>
          <w:ilvl w:val="5"/>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2 -</w:t>
      </w:r>
    </w:p>
    <w:p>
      <w:pPr>
        <w:sectPr>
          <w:pgSz w:w="11900" w:h="16840" w:orient="portrait"/>
          <w:cols w:equalWidth="0" w:num="1">
            <w:col w:w="10600"/>
          </w:cols>
          <w:pgMar w:left="640" w:top="1440" w:right="660" w:bottom="1440" w:gutter="0" w:footer="0" w:header="0"/>
        </w:sectPr>
      </w:pPr>
    </w:p>
    <w:bookmarkStart w:id="431" w:name="page432"/>
    <w:bookmarkEnd w:id="431"/>
    <w:p>
      <w:pPr>
        <w:spacing w:after="0" w:line="40"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5"/>
          <w:szCs w:val="15"/>
          <w:color w:val="auto"/>
        </w:rPr>
        <w:t>from the first day of the next month following the date of the Executive’s termination of employment, (B) the date upon which the Executive (and the Executive’s eligible dependents, as applicable) becomes covered under similar plans, or (C) the date upon which the Executive ceases to be eligible for coverage under COBRA.</w:t>
      </w:r>
    </w:p>
    <w:p>
      <w:pPr>
        <w:spacing w:after="0" w:line="101" w:lineRule="exact"/>
        <w:rPr>
          <w:sz w:val="20"/>
          <w:szCs w:val="20"/>
          <w:color w:val="auto"/>
        </w:rPr>
      </w:pPr>
    </w:p>
    <w:p>
      <w:pPr>
        <w:jc w:val="both"/>
        <w:ind w:firstLine="1423"/>
        <w:spacing w:after="0" w:line="258" w:lineRule="auto"/>
        <w:tabs>
          <w:tab w:leader="none" w:pos="1789" w:val="left"/>
        </w:tabs>
        <w:numPr>
          <w:ilvl w:val="0"/>
          <w:numId w:val="5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Equity Vesting</w:t>
      </w:r>
      <w:r>
        <w:rPr>
          <w:rFonts w:ascii="Times New Roman" w:cs="Times New Roman" w:eastAsia="Times New Roman" w:hAnsi="Times New Roman"/>
          <w:sz w:val="15"/>
          <w:szCs w:val="15"/>
          <w:color w:val="auto"/>
        </w:rPr>
        <w:t>. Accelerated vesting (and exercisability, as applicable) as to 100% of the then-unvested shares subject to each of the Executive’s then-outstanding Time-Based Equity Awards. For the avoidance of doubt, in the event the Executive’s Qualifying Termination occurs before the occurrence of a Change in Control, any unvested portion of the Executive’s then-outstanding Time-Based Equity Awards will remain outstanding until the earlier of (x) 3 months following the Qualifying Termination or (y) the occurrence of a Change in Control, solely so that the accelerated vesting (and exercisability, as applicable) under this Section 3(b)(iv) can be provided if a Change in Control occurs within 3 months following the Qualifying Termination (provided that in no event will the Executive’s stock options or similar equity awards remain outstanding beyond the equity award’s maximum term to expiration). If no Change in Control occurs within 3 months following the Qualifying Termination, any unvested portion of the Executive’s Time-Based Equity Awards automatically and permanently will be forfeited on the 3-month anniversary of the Qualifying Termination without having vested.</w:t>
      </w:r>
    </w:p>
    <w:p>
      <w:pPr>
        <w:spacing w:after="0" w:line="124" w:lineRule="exact"/>
        <w:rPr>
          <w:rFonts w:ascii="Times New Roman" w:cs="Times New Roman" w:eastAsia="Times New Roman" w:hAnsi="Times New Roman"/>
          <w:sz w:val="15"/>
          <w:szCs w:val="15"/>
          <w:color w:val="auto"/>
        </w:rPr>
      </w:pPr>
    </w:p>
    <w:p>
      <w:pPr>
        <w:ind w:left="1800" w:hanging="339"/>
        <w:spacing w:after="0"/>
        <w:tabs>
          <w:tab w:leader="none" w:pos="1800" w:val="left"/>
        </w:tabs>
        <w:numPr>
          <w:ilvl w:val="0"/>
          <w:numId w:val="5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Extension of Post-Termination Exercise Period</w:t>
      </w:r>
      <w:r>
        <w:rPr>
          <w:rFonts w:ascii="Times New Roman" w:cs="Times New Roman" w:eastAsia="Times New Roman" w:hAnsi="Times New Roman"/>
          <w:sz w:val="15"/>
          <w:szCs w:val="15"/>
          <w:color w:val="auto"/>
        </w:rPr>
        <w:t>. The Executive will receive the PTEP Extension.</w:t>
      </w:r>
    </w:p>
    <w:p>
      <w:pPr>
        <w:spacing w:after="0" w:line="162" w:lineRule="exact"/>
        <w:rPr>
          <w:sz w:val="20"/>
          <w:szCs w:val="20"/>
          <w:color w:val="auto"/>
        </w:rPr>
      </w:pPr>
    </w:p>
    <w:p>
      <w:pPr>
        <w:ind w:right="20" w:firstLine="925"/>
        <w:spacing w:after="0" w:line="289" w:lineRule="auto"/>
        <w:tabs>
          <w:tab w:leader="none" w:pos="998" w:val="left"/>
        </w:tabs>
        <w:numPr>
          <w:ilvl w:val="0"/>
          <w:numId w:val="5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 ) </w:t>
      </w:r>
      <w:r>
        <w:rPr>
          <w:rFonts w:ascii="Times New Roman" w:cs="Times New Roman" w:eastAsia="Times New Roman" w:hAnsi="Times New Roman"/>
          <w:sz w:val="15"/>
          <w:szCs w:val="15"/>
          <w:u w:val="single" w:color="auto"/>
          <w:color w:val="auto"/>
        </w:rPr>
        <w:t>Termination Other Than a Qualifying Termination</w:t>
      </w:r>
      <w:r>
        <w:rPr>
          <w:rFonts w:ascii="Times New Roman" w:cs="Times New Roman" w:eastAsia="Times New Roman" w:hAnsi="Times New Roman"/>
          <w:sz w:val="15"/>
          <w:szCs w:val="15"/>
          <w:color w:val="auto"/>
        </w:rPr>
        <w:t>. If the termination of the Executive’s employment with the Company Group is not a Qualifying Termination, then the Executive will not be entitled to receive severance or other benefits.</w:t>
      </w:r>
    </w:p>
    <w:p>
      <w:pPr>
        <w:spacing w:after="0" w:line="101" w:lineRule="exact"/>
        <w:rPr>
          <w:sz w:val="20"/>
          <w:szCs w:val="20"/>
          <w:color w:val="auto"/>
        </w:rPr>
      </w:pPr>
    </w:p>
    <w:p>
      <w:pPr>
        <w:jc w:val="both"/>
        <w:ind w:right="20" w:firstLine="925"/>
        <w:spacing w:after="0" w:line="256" w:lineRule="auto"/>
        <w:tabs>
          <w:tab w:leader="none" w:pos="989" w:val="left"/>
        </w:tabs>
        <w:numPr>
          <w:ilvl w:val="0"/>
          <w:numId w:val="5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d ) </w:t>
      </w:r>
      <w:r>
        <w:rPr>
          <w:rFonts w:ascii="Times New Roman" w:cs="Times New Roman" w:eastAsia="Times New Roman" w:hAnsi="Times New Roman"/>
          <w:sz w:val="15"/>
          <w:szCs w:val="15"/>
          <w:u w:val="single" w:color="auto"/>
          <w:color w:val="auto"/>
        </w:rPr>
        <w:t>Conditions to Receipt of COBRA Coverage</w:t>
      </w:r>
      <w:r>
        <w:rPr>
          <w:rFonts w:ascii="Times New Roman" w:cs="Times New Roman" w:eastAsia="Times New Roman" w:hAnsi="Times New Roman"/>
          <w:sz w:val="15"/>
          <w:szCs w:val="15"/>
          <w:color w:val="auto"/>
        </w:rPr>
        <w:t>. The Executive’s receipt of COBRA Coverage is subject to the Executive electing COBRA continuation coverage within the time period prescribed pursuant to COBRA for the Executive and the Executive’s eligible dependents, if any. If the Company determines in its sole discretion that it cannot provide the COBRA Coverage without potentially violating, or being subject to an excise tax under, applicable law (including, without limitation, Section 2716 of the Public Health Service Act), then in lieu of any COBRA Coverage, the Company will provide to the Executive a taxable monthly payment payable on the last day of a given month (except as provided by the last sentence of this paragraph), in an amount equal to the monthly COBRA premium that the Executive would be required to pay to continue his or her group health coverage in effect on the date of his or her Qualifying Termination (which amount will be based on the premium rates applicable for the first month of COBRA Coverage for the Executive and any of eligible dependents of the Executive) (each, a “</w:t>
      </w:r>
      <w:r>
        <w:rPr>
          <w:rFonts w:ascii="Times New Roman" w:cs="Times New Roman" w:eastAsia="Times New Roman" w:hAnsi="Times New Roman"/>
          <w:sz w:val="15"/>
          <w:szCs w:val="15"/>
          <w:b w:val="1"/>
          <w:bCs w:val="1"/>
          <w:color w:val="auto"/>
        </w:rPr>
        <w:t>COBRA Replacement Payment</w:t>
      </w:r>
      <w:r>
        <w:rPr>
          <w:rFonts w:ascii="Times New Roman" w:cs="Times New Roman" w:eastAsia="Times New Roman" w:hAnsi="Times New Roman"/>
          <w:sz w:val="15"/>
          <w:szCs w:val="15"/>
          <w:color w:val="auto"/>
        </w:rPr>
        <w:t>”), which COBRA Replacement Payments will be made regardless of whether the Executive elects COBRA continuation coverage and will end on the earlier of (x) the date upon which the Executive obtains other employment or (y) the date the Company has paid an amount totaling the number of COBRA Replacement Payments equal to the number of months in the applicable COBRA Coverage period. For the avoidance of doubt, the COBRA Replacement Payments may be used</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67" w:lineRule="exact"/>
        <w:rPr>
          <w:rFonts w:ascii="Times New Roman" w:cs="Times New Roman" w:eastAsia="Times New Roman" w:hAnsi="Times New Roman"/>
          <w:sz w:val="15"/>
          <w:szCs w:val="15"/>
          <w:color w:val="auto"/>
        </w:rPr>
      </w:pPr>
    </w:p>
    <w:p>
      <w:pPr>
        <w:ind w:left="5280" w:hanging="97"/>
        <w:spacing w:after="0"/>
        <w:tabs>
          <w:tab w:leader="none" w:pos="5280" w:val="left"/>
        </w:tabs>
        <w:numPr>
          <w:ilvl w:val="1"/>
          <w:numId w:val="5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3 -</w:t>
      </w:r>
    </w:p>
    <w:p>
      <w:pPr>
        <w:sectPr>
          <w:pgSz w:w="11900" w:h="16840" w:orient="portrait"/>
          <w:cols w:equalWidth="0" w:num="1">
            <w:col w:w="10620"/>
          </w:cols>
          <w:pgMar w:left="640" w:top="1440" w:right="640" w:bottom="1440" w:gutter="0" w:footer="0" w:header="0"/>
        </w:sectPr>
      </w:pPr>
    </w:p>
    <w:bookmarkStart w:id="432" w:name="page433"/>
    <w:bookmarkEnd w:id="432"/>
    <w:p>
      <w:pPr>
        <w:spacing w:after="0" w:line="4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5"/>
          <w:szCs w:val="15"/>
          <w:color w:val="auto"/>
        </w:rPr>
        <w:t>for any purpose, including, but not limited to continuation coverage under COBRA, and will be subject to any applicable withholdings. Notwithstanding anything to the contrary under the Agreement, if the Company determines in its sole discretion at any time that it cannot provide the COBRA Replacement Payments without violating applicable law (including, without limitation, Section 2716 of the Public Health Service Act), the Executive will not receive the COBRA Replacement Payments or any further COBRA Coverage.</w:t>
      </w:r>
    </w:p>
    <w:p>
      <w:pPr>
        <w:spacing w:after="0" w:line="121" w:lineRule="exact"/>
        <w:rPr>
          <w:sz w:val="20"/>
          <w:szCs w:val="20"/>
          <w:color w:val="auto"/>
        </w:rPr>
      </w:pPr>
    </w:p>
    <w:p>
      <w:pPr>
        <w:jc w:val="both"/>
        <w:ind w:right="20" w:firstLine="925"/>
        <w:spacing w:after="0" w:line="260" w:lineRule="auto"/>
        <w:tabs>
          <w:tab w:leader="none" w:pos="1008" w:val="left"/>
        </w:tabs>
        <w:numPr>
          <w:ilvl w:val="0"/>
          <w:numId w:val="5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 ) </w:t>
      </w:r>
      <w:r>
        <w:rPr>
          <w:rFonts w:ascii="Times New Roman" w:cs="Times New Roman" w:eastAsia="Times New Roman" w:hAnsi="Times New Roman"/>
          <w:sz w:val="15"/>
          <w:szCs w:val="15"/>
          <w:u w:val="single" w:color="auto"/>
          <w:color w:val="auto"/>
        </w:rPr>
        <w:t>Non-Duplication of Payment or Benefits</w:t>
      </w:r>
      <w:r>
        <w:rPr>
          <w:rFonts w:ascii="Times New Roman" w:cs="Times New Roman" w:eastAsia="Times New Roman" w:hAnsi="Times New Roman"/>
          <w:sz w:val="15"/>
          <w:szCs w:val="15"/>
          <w:color w:val="auto"/>
        </w:rPr>
        <w:t xml:space="preserve">. For purposes of clarity, in the event of a Qualifying Pre-CIC Termination, any severance payments and benefits to be provided to the Executive under Section 3(b) will be reduced by any amounts that already were provided to the Executive under Section 3(a). [Notwithstanding any provision of this Agreement to the contrary, if the Executive is entitled to any cash severance, continued health coverage benefits, or vesting acceleration of any equity awards (other than under this Agreement) by operation of applicable law or under a plan, policy, contract, or arrangement sponsored by or to which any member of the Company Group is a party, including, but not limited to, Statutory Severance Benefits (collectively, “ </w:t>
      </w:r>
      <w:r>
        <w:rPr>
          <w:rFonts w:ascii="Times New Roman" w:cs="Times New Roman" w:eastAsia="Times New Roman" w:hAnsi="Times New Roman"/>
          <w:sz w:val="15"/>
          <w:szCs w:val="15"/>
          <w:b w:val="1"/>
          <w:bCs w:val="1"/>
          <w:color w:val="auto"/>
        </w:rPr>
        <w:t>Other Benefits</w:t>
      </w:r>
      <w:r>
        <w:rPr>
          <w:rFonts w:ascii="Times New Roman" w:cs="Times New Roman" w:eastAsia="Times New Roman" w:hAnsi="Times New Roman"/>
          <w:sz w:val="15"/>
          <w:szCs w:val="15"/>
          <w:color w:val="auto"/>
        </w:rPr>
        <w:t>”), then the corresponding severance payments and benefits under this Agreement will be reduced by the amount of Other Benefits paid or provided to the Executive.]</w:t>
      </w:r>
    </w:p>
    <w:p>
      <w:pPr>
        <w:spacing w:after="0" w:line="123" w:lineRule="exact"/>
        <w:rPr>
          <w:sz w:val="20"/>
          <w:szCs w:val="20"/>
          <w:color w:val="auto"/>
        </w:rPr>
      </w:pPr>
    </w:p>
    <w:p>
      <w:pPr>
        <w:jc w:val="both"/>
        <w:ind w:right="40" w:firstLine="925"/>
        <w:spacing w:after="0" w:line="270" w:lineRule="auto"/>
        <w:tabs>
          <w:tab w:leader="none" w:pos="1253" w:val="left"/>
        </w:tabs>
        <w:numPr>
          <w:ilvl w:val="0"/>
          <w:numId w:val="5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Death of the Executive</w:t>
      </w:r>
      <w:r>
        <w:rPr>
          <w:rFonts w:ascii="Times New Roman" w:cs="Times New Roman" w:eastAsia="Times New Roman" w:hAnsi="Times New Roman"/>
          <w:sz w:val="15"/>
          <w:szCs w:val="15"/>
          <w:color w:val="auto"/>
        </w:rPr>
        <w:t>. In the event of the Executive’s death before all payments or benefits the Executive is entitled to receive under the Agreement have been provided, the unpaid amounts will be provided to the Executive’s designated beneficiary, if living, or otherwise to the Executive’s personal representative in a single lump sum as soon as possible following the Executive’s death.</w:t>
      </w:r>
    </w:p>
    <w:p>
      <w:pPr>
        <w:spacing w:after="0" w:line="116" w:lineRule="exact"/>
        <w:rPr>
          <w:rFonts w:ascii="Times New Roman" w:cs="Times New Roman" w:eastAsia="Times New Roman" w:hAnsi="Times New Roman"/>
          <w:sz w:val="15"/>
          <w:szCs w:val="15"/>
          <w:color w:val="auto"/>
        </w:rPr>
      </w:pPr>
    </w:p>
    <w:p>
      <w:pPr>
        <w:ind w:right="20" w:firstLine="925"/>
        <w:spacing w:after="0" w:line="289" w:lineRule="auto"/>
        <w:tabs>
          <w:tab w:leader="none" w:pos="1282" w:val="left"/>
        </w:tabs>
        <w:numPr>
          <w:ilvl w:val="0"/>
          <w:numId w:val="5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Transfer Between Members of the Company Group</w:t>
      </w:r>
      <w:r>
        <w:rPr>
          <w:rFonts w:ascii="Times New Roman" w:cs="Times New Roman" w:eastAsia="Times New Roman" w:hAnsi="Times New Roman"/>
          <w:sz w:val="15"/>
          <w:szCs w:val="15"/>
          <w:color w:val="auto"/>
        </w:rPr>
        <w:t>. For purposes of the Agreement, if the Executive is involuntarily transferred from one member of the Company Group to another, the transfer will not be a termination without Cause but may give the Executive the ability to resign for Good Reason.</w:t>
      </w:r>
    </w:p>
    <w:p>
      <w:pPr>
        <w:spacing w:after="0" w:line="101" w:lineRule="exact"/>
        <w:rPr>
          <w:sz w:val="20"/>
          <w:szCs w:val="20"/>
          <w:color w:val="auto"/>
        </w:rPr>
      </w:pPr>
    </w:p>
    <w:p>
      <w:pPr>
        <w:jc w:val="both"/>
        <w:ind w:right="20" w:firstLine="925"/>
        <w:spacing w:after="0" w:line="268" w:lineRule="auto"/>
        <w:tabs>
          <w:tab w:leader="none" w:pos="1013" w:val="left"/>
        </w:tabs>
        <w:numPr>
          <w:ilvl w:val="0"/>
          <w:numId w:val="5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h ) </w:t>
      </w:r>
      <w:r>
        <w:rPr>
          <w:rFonts w:ascii="Times New Roman" w:cs="Times New Roman" w:eastAsia="Times New Roman" w:hAnsi="Times New Roman"/>
          <w:sz w:val="15"/>
          <w:szCs w:val="15"/>
          <w:u w:val="single" w:color="auto"/>
          <w:color w:val="auto"/>
        </w:rPr>
        <w:t>Exclusive Remedy</w:t>
      </w:r>
      <w:r>
        <w:rPr>
          <w:rFonts w:ascii="Times New Roman" w:cs="Times New Roman" w:eastAsia="Times New Roman" w:hAnsi="Times New Roman"/>
          <w:sz w:val="15"/>
          <w:szCs w:val="15"/>
          <w:color w:val="auto"/>
        </w:rPr>
        <w:t>. In the event of a termination of the Executive’s employment with the Company Group, the provisions of the Agreement are intended to be and are exclusive and in lieu of any other rights or remedies to which the Executive may otherwise be entitled, whether at law, tort or contract, or in equity. The Executive will be entitled to no benefits, compensation or other payments or rights upon termination of employment other than those benefits expressly set forth in the Agreement.</w:t>
      </w:r>
    </w:p>
    <w:p>
      <w:pPr>
        <w:spacing w:after="0" w:line="302" w:lineRule="exact"/>
        <w:rPr>
          <w:sz w:val="20"/>
          <w:szCs w:val="20"/>
          <w:color w:val="auto"/>
        </w:rPr>
      </w:pPr>
    </w:p>
    <w:p>
      <w:pPr>
        <w:ind w:firstLine="925"/>
        <w:spacing w:after="0" w:line="289" w:lineRule="auto"/>
        <w:tabs>
          <w:tab w:leader="none" w:pos="993" w:val="left"/>
        </w:tabs>
        <w:numPr>
          <w:ilvl w:val="0"/>
          <w:numId w:val="5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 ) </w:t>
      </w:r>
      <w:r>
        <w:rPr>
          <w:rFonts w:ascii="Times New Roman" w:cs="Times New Roman" w:eastAsia="Times New Roman" w:hAnsi="Times New Roman"/>
          <w:sz w:val="15"/>
          <w:szCs w:val="15"/>
          <w:u w:val="single" w:color="auto"/>
          <w:color w:val="auto"/>
        </w:rPr>
        <w:t>[Statutory Severance</w:t>
      </w:r>
      <w:r>
        <w:rPr>
          <w:rFonts w:ascii="Times New Roman" w:cs="Times New Roman" w:eastAsia="Times New Roman" w:hAnsi="Times New Roman"/>
          <w:sz w:val="15"/>
          <w:szCs w:val="15"/>
          <w:color w:val="auto"/>
        </w:rPr>
        <w:t>. In the event that Executive becomes eligible to receive statutory severance payments or benefits required under applicable law (“</w:t>
      </w:r>
      <w:r>
        <w:rPr>
          <w:rFonts w:ascii="Times New Roman" w:cs="Times New Roman" w:eastAsia="Times New Roman" w:hAnsi="Times New Roman"/>
          <w:sz w:val="15"/>
          <w:szCs w:val="15"/>
          <w:b w:val="1"/>
          <w:bCs w:val="1"/>
          <w:color w:val="auto"/>
        </w:rPr>
        <w:t>Statutory Severance Benefits</w:t>
      </w:r>
      <w:r>
        <w:rPr>
          <w:rFonts w:ascii="Times New Roman" w:cs="Times New Roman" w:eastAsia="Times New Roman" w:hAnsi="Times New Roman"/>
          <w:sz w:val="15"/>
          <w:szCs w:val="15"/>
          <w:color w:val="auto"/>
        </w:rPr>
        <w:t>”), such Statutory Severance Benefits will be provided to Executive in accordance with applicable law.]</w:t>
      </w:r>
    </w:p>
    <w:p>
      <w:pPr>
        <w:spacing w:after="0" w:line="101" w:lineRule="exact"/>
        <w:rPr>
          <w:sz w:val="20"/>
          <w:szCs w:val="20"/>
          <w:color w:val="auto"/>
        </w:rPr>
      </w:pPr>
    </w:p>
    <w:p>
      <w:pPr>
        <w:ind w:right="20" w:firstLine="459"/>
        <w:spacing w:after="0" w:line="289" w:lineRule="auto"/>
        <w:rPr>
          <w:sz w:val="20"/>
          <w:szCs w:val="20"/>
          <w:color w:val="auto"/>
        </w:rPr>
      </w:pPr>
      <w:r>
        <w:rPr>
          <w:rFonts w:ascii="Times New Roman" w:cs="Times New Roman" w:eastAsia="Times New Roman" w:hAnsi="Times New Roman"/>
          <w:sz w:val="15"/>
          <w:szCs w:val="15"/>
          <w:color w:val="auto"/>
        </w:rPr>
        <w:t xml:space="preserve">4 . </w:t>
      </w:r>
      <w:r>
        <w:rPr>
          <w:rFonts w:ascii="Times New Roman" w:cs="Times New Roman" w:eastAsia="Times New Roman" w:hAnsi="Times New Roman"/>
          <w:sz w:val="15"/>
          <w:szCs w:val="15"/>
          <w:u w:val="single" w:color="auto"/>
          <w:color w:val="auto"/>
        </w:rPr>
        <w:t>Accrued Compensation</w:t>
      </w:r>
      <w:r>
        <w:rPr>
          <w:rFonts w:ascii="Times New Roman" w:cs="Times New Roman" w:eastAsia="Times New Roman" w:hAnsi="Times New Roman"/>
          <w:sz w:val="15"/>
          <w:szCs w:val="15"/>
          <w:color w:val="auto"/>
        </w:rPr>
        <w:t>. On any termination of the Executive’s employment with the Company Group, the Executive will be entitled to receive all accrued but unpaid vacation, expense reimbursements, wages, and other benefits due to the Executive under any Company-provided plans, policies, and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- 4 -</w:t>
      </w:r>
    </w:p>
    <w:p>
      <w:pPr>
        <w:sectPr>
          <w:pgSz w:w="11900" w:h="16840" w:orient="portrait"/>
          <w:cols w:equalWidth="0" w:num="1">
            <w:col w:w="10620"/>
          </w:cols>
          <w:pgMar w:left="640" w:top="1440" w:right="640" w:bottom="1440" w:gutter="0" w:footer="0" w:header="0"/>
        </w:sectPr>
      </w:pPr>
    </w:p>
    <w:bookmarkStart w:id="433" w:name="page434"/>
    <w:bookmarkEnd w:id="433"/>
    <w:p>
      <w:pPr>
        <w:spacing w:after="0" w:line="40" w:lineRule="exact"/>
        <w:rPr>
          <w:sz w:val="20"/>
          <w:szCs w:val="20"/>
          <w:color w:val="auto"/>
        </w:rPr>
      </w:pPr>
    </w:p>
    <w:p>
      <w:pPr>
        <w:ind w:left="274" w:hanging="274"/>
        <w:spacing w:after="0"/>
        <w:tabs>
          <w:tab w:leader="none" w:pos="274" w:val="left"/>
        </w:tabs>
        <w:numPr>
          <w:ilvl w:val="0"/>
          <w:numId w:val="5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Conditions to Receipt of Severance</w:t>
      </w:r>
      <w:r>
        <w:rPr>
          <w:rFonts w:ascii="Times New Roman" w:cs="Times New Roman" w:eastAsia="Times New Roman" w:hAnsi="Times New Roman"/>
          <w:sz w:val="15"/>
          <w:szCs w:val="15"/>
          <w:color w:val="auto"/>
        </w:rPr>
        <w:t>.</w:t>
      </w:r>
    </w:p>
    <w:p>
      <w:pPr>
        <w:spacing w:after="0" w:line="162" w:lineRule="exact"/>
        <w:rPr>
          <w:sz w:val="20"/>
          <w:szCs w:val="20"/>
          <w:color w:val="auto"/>
        </w:rPr>
      </w:pPr>
    </w:p>
    <w:p>
      <w:pPr>
        <w:jc w:val="both"/>
        <w:ind w:left="-466" w:firstLine="925"/>
        <w:spacing w:after="0" w:line="260" w:lineRule="auto"/>
        <w:tabs>
          <w:tab w:leader="none" w:pos="561" w:val="left"/>
        </w:tabs>
        <w:numPr>
          <w:ilvl w:val="0"/>
          <w:numId w:val="5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 </w:t>
      </w:r>
      <w:r>
        <w:rPr>
          <w:rFonts w:ascii="Times New Roman" w:cs="Times New Roman" w:eastAsia="Times New Roman" w:hAnsi="Times New Roman"/>
          <w:sz w:val="15"/>
          <w:szCs w:val="15"/>
          <w:u w:val="single" w:color="auto"/>
          <w:color w:val="auto"/>
        </w:rPr>
        <w:t>Separation Agreement and Release of Claims</w:t>
      </w:r>
      <w:r>
        <w:rPr>
          <w:rFonts w:ascii="Times New Roman" w:cs="Times New Roman" w:eastAsia="Times New Roman" w:hAnsi="Times New Roman"/>
          <w:sz w:val="15"/>
          <w:szCs w:val="15"/>
          <w:color w:val="auto"/>
        </w:rPr>
        <w:t>. The Executive’s receipt of any severance payments or benefits upon the Executive’s Qualifying Termination under Section 3 is subject to the Executive signing and not revoking the Company’s then-standard separation agreement and release of claims (which may include an agreement not to disparage any member of the Company Group, non-solicit provisions, an agreement to assist in any litigation matters, and other standard terms and conditions) (the “</w:t>
      </w:r>
      <w:r>
        <w:rPr>
          <w:rFonts w:ascii="Times New Roman" w:cs="Times New Roman" w:eastAsia="Times New Roman" w:hAnsi="Times New Roman"/>
          <w:sz w:val="15"/>
          <w:szCs w:val="15"/>
          <w:b w:val="1"/>
          <w:bCs w:val="1"/>
          <w:color w:val="auto"/>
        </w:rPr>
        <w:t>Release</w:t>
      </w:r>
      <w:r>
        <w:rPr>
          <w:rFonts w:ascii="Times New Roman" w:cs="Times New Roman" w:eastAsia="Times New Roman" w:hAnsi="Times New Roman"/>
          <w:sz w:val="15"/>
          <w:szCs w:val="15"/>
          <w:color w:val="auto"/>
        </w:rPr>
        <w:t>” and that requirement, the “</w:t>
      </w:r>
      <w:r>
        <w:rPr>
          <w:rFonts w:ascii="Times New Roman" w:cs="Times New Roman" w:eastAsia="Times New Roman" w:hAnsi="Times New Roman"/>
          <w:sz w:val="15"/>
          <w:szCs w:val="15"/>
          <w:b w:val="1"/>
          <w:bCs w:val="1"/>
          <w:color w:val="auto"/>
        </w:rPr>
        <w:t>Release Requirement</w:t>
      </w:r>
      <w:r>
        <w:rPr>
          <w:rFonts w:ascii="Times New Roman" w:cs="Times New Roman" w:eastAsia="Times New Roman" w:hAnsi="Times New Roman"/>
          <w:sz w:val="15"/>
          <w:szCs w:val="15"/>
          <w:color w:val="auto"/>
        </w:rPr>
        <w:t xml:space="preserve">”), which must become effective and irrevocable no later than the 60th day following the Executive’s Qualifying Termination (the “ </w:t>
      </w:r>
      <w:r>
        <w:rPr>
          <w:rFonts w:ascii="Times New Roman" w:cs="Times New Roman" w:eastAsia="Times New Roman" w:hAnsi="Times New Roman"/>
          <w:sz w:val="15"/>
          <w:szCs w:val="15"/>
          <w:b w:val="1"/>
          <w:bCs w:val="1"/>
          <w:color w:val="auto"/>
        </w:rPr>
        <w:t>Release Deadline</w:t>
      </w:r>
      <w:r>
        <w:rPr>
          <w:rFonts w:ascii="Times New Roman" w:cs="Times New Roman" w:eastAsia="Times New Roman" w:hAnsi="Times New Roman"/>
          <w:sz w:val="15"/>
          <w:szCs w:val="15"/>
          <w:color w:val="auto"/>
        </w:rPr>
        <w:t>”). If the Release does not become effective and irrevocable by the Release Deadline, the Executive will forfeit any right to severance payments or benefits under Section 3.</w:t>
      </w:r>
    </w:p>
    <w:p>
      <w:pPr>
        <w:spacing w:after="0" w:line="123" w:lineRule="exact"/>
        <w:rPr>
          <w:sz w:val="20"/>
          <w:szCs w:val="20"/>
          <w:color w:val="auto"/>
        </w:rPr>
      </w:pPr>
    </w:p>
    <w:p>
      <w:pPr>
        <w:ind w:left="-466" w:right="20" w:firstLine="925"/>
        <w:spacing w:after="0" w:line="289" w:lineRule="auto"/>
        <w:tabs>
          <w:tab w:leader="none" w:pos="528" w:val="left"/>
        </w:tabs>
        <w:numPr>
          <w:ilvl w:val="0"/>
          <w:numId w:val="5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 ) </w:t>
      </w:r>
      <w:r>
        <w:rPr>
          <w:rFonts w:ascii="Times New Roman" w:cs="Times New Roman" w:eastAsia="Times New Roman" w:hAnsi="Times New Roman"/>
          <w:sz w:val="15"/>
          <w:szCs w:val="15"/>
          <w:u w:val="single" w:color="auto"/>
          <w:color w:val="auto"/>
        </w:rPr>
        <w:t>Payment Timing</w:t>
      </w:r>
      <w:r>
        <w:rPr>
          <w:rFonts w:ascii="Times New Roman" w:cs="Times New Roman" w:eastAsia="Times New Roman" w:hAnsi="Times New Roman"/>
          <w:sz w:val="15"/>
          <w:szCs w:val="15"/>
          <w:color w:val="auto"/>
        </w:rPr>
        <w:t>. If the Executive satisfies the conditions to receive any severance payments and benefit under Section 3, then subject to any delay required by Section 5(e) below, such payments and benefits will be provided at the following times:</w:t>
      </w:r>
    </w:p>
    <w:p>
      <w:pPr>
        <w:spacing w:after="0" w:line="101" w:lineRule="exact"/>
        <w:rPr>
          <w:rFonts w:ascii="Times New Roman" w:cs="Times New Roman" w:eastAsia="Times New Roman" w:hAnsi="Times New Roman"/>
          <w:sz w:val="15"/>
          <w:szCs w:val="15"/>
          <w:color w:val="auto"/>
        </w:rPr>
      </w:pPr>
    </w:p>
    <w:p>
      <w:pPr>
        <w:jc w:val="both"/>
        <w:ind w:left="-466" w:firstLine="1499"/>
        <w:spacing w:after="0" w:line="258" w:lineRule="auto"/>
        <w:tabs>
          <w:tab w:leader="none" w:pos="1337" w:val="left"/>
        </w:tabs>
        <w:numPr>
          <w:ilvl w:val="1"/>
          <w:numId w:val="5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payments under Sections 3(a)(i), 3(a)(ii)(2), and 3(b)(ii)(2) will be provided on the first regularly scheduled payroll date of the Company following the date the Release becomes effective and irrevocable (the “</w:t>
      </w:r>
      <w:r>
        <w:rPr>
          <w:rFonts w:ascii="Times New Roman" w:cs="Times New Roman" w:eastAsia="Times New Roman" w:hAnsi="Times New Roman"/>
          <w:sz w:val="15"/>
          <w:szCs w:val="15"/>
          <w:b w:val="1"/>
          <w:bCs w:val="1"/>
          <w:color w:val="auto"/>
        </w:rPr>
        <w:t>Severance Start Date</w:t>
      </w:r>
      <w:r>
        <w:rPr>
          <w:rFonts w:ascii="Times New Roman" w:cs="Times New Roman" w:eastAsia="Times New Roman" w:hAnsi="Times New Roman"/>
          <w:sz w:val="15"/>
          <w:szCs w:val="15"/>
          <w:color w:val="auto"/>
        </w:rPr>
        <w:t>”), but in no event later than March 15 of the calendar year following the year in which the Qualifying Termination occurs. Any payments under Section 3(b)(i) and 3(b)(ii)(1) will be provided on the later of (i) the Severance Start Date or (ii) the date of the closing of the applicable Change in Control (the “</w:t>
      </w:r>
      <w:r>
        <w:rPr>
          <w:rFonts w:ascii="Times New Roman" w:cs="Times New Roman" w:eastAsia="Times New Roman" w:hAnsi="Times New Roman"/>
          <w:sz w:val="15"/>
          <w:szCs w:val="15"/>
          <w:b w:val="1"/>
          <w:bCs w:val="1"/>
          <w:color w:val="auto"/>
        </w:rPr>
        <w:t>Closing Date</w:t>
      </w:r>
      <w:r>
        <w:rPr>
          <w:rFonts w:ascii="Times New Roman" w:cs="Times New Roman" w:eastAsia="Times New Roman" w:hAnsi="Times New Roman"/>
          <w:sz w:val="15"/>
          <w:szCs w:val="15"/>
          <w:color w:val="auto"/>
        </w:rPr>
        <w:t>”); provided, however, that in the event of a Qualifying Pre-CIC Termination, this sentence will not delay the payment of the portion of the Salary severance payment under Section 3(b)(i) that is equal to the amount specified under Section 3(a)(i) (i.e., such portion of the Salary severance payment under Section 3(b)(i) will be paid no later than the latest date for payment of the amount specified under Section 3(a)(i)). Any payment under Section 3(a)(ii)(1) will be provided on the later of (i) the Severance Start Date or (ii) the first payroll date after the amount of such payment is determined; provided, however, that in no event will such payment be provided before or after the calendar year following the calendar year to which the applicable annual bonus relates.</w:t>
      </w:r>
    </w:p>
    <w:p>
      <w:pPr>
        <w:spacing w:after="0" w:line="124" w:lineRule="exact"/>
        <w:rPr>
          <w:rFonts w:ascii="Times New Roman" w:cs="Times New Roman" w:eastAsia="Times New Roman" w:hAnsi="Times New Roman"/>
          <w:sz w:val="15"/>
          <w:szCs w:val="15"/>
          <w:color w:val="auto"/>
        </w:rPr>
      </w:pPr>
    </w:p>
    <w:p>
      <w:pPr>
        <w:ind w:left="-466" w:right="20" w:firstLine="1451"/>
        <w:spacing w:after="0" w:line="289" w:lineRule="auto"/>
        <w:tabs>
          <w:tab w:leader="none" w:pos="1357" w:val="left"/>
        </w:tabs>
        <w:numPr>
          <w:ilvl w:val="1"/>
          <w:numId w:val="5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taxable installments of any COBRA-related severance benefits that otherwise would have been made to the Executive on or before the Severance Start Date will be paid on the Severance Start Date, and any remaining installments thereafter will be provided as specified in the Agreement.</w:t>
      </w:r>
    </w:p>
    <w:p>
      <w:pPr>
        <w:spacing w:after="0" w:line="97" w:lineRule="exact"/>
        <w:rPr>
          <w:rFonts w:ascii="Times New Roman" w:cs="Times New Roman" w:eastAsia="Times New Roman" w:hAnsi="Times New Roman"/>
          <w:sz w:val="15"/>
          <w:szCs w:val="15"/>
          <w:color w:val="auto"/>
        </w:rPr>
      </w:pPr>
    </w:p>
    <w:p>
      <w:pPr>
        <w:ind w:left="-466" w:firstLine="1413"/>
        <w:spacing w:after="0" w:line="263" w:lineRule="auto"/>
        <w:tabs>
          <w:tab w:leader="none" w:pos="1379" w:val="left"/>
        </w:tabs>
        <w:numPr>
          <w:ilvl w:val="1"/>
          <w:numId w:val="5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restricted stock units, performance shares, performance units, and/or similar full value awards (“</w:t>
      </w:r>
      <w:r>
        <w:rPr>
          <w:rFonts w:ascii="Times New Roman" w:cs="Times New Roman" w:eastAsia="Times New Roman" w:hAnsi="Times New Roman"/>
          <w:sz w:val="15"/>
          <w:szCs w:val="15"/>
          <w:b w:val="1"/>
          <w:bCs w:val="1"/>
          <w:color w:val="auto"/>
        </w:rPr>
        <w:t>Full Value Awards</w:t>
      </w:r>
      <w:r>
        <w:rPr>
          <w:rFonts w:ascii="Times New Roman" w:cs="Times New Roman" w:eastAsia="Times New Roman" w:hAnsi="Times New Roman"/>
          <w:sz w:val="15"/>
          <w:szCs w:val="15"/>
          <w:color w:val="auto"/>
        </w:rPr>
        <w:t xml:space="preserve"> ”) that accelerate vesting under Section 3(a)(iv) will be settled on a date no later than 10 days following the date the Release becomes effective and irrevocable. Any Full Value Awards that accelerate vesting under Section 3(b)(iv) will be settled (x) on a date no later than 10 days following the date the Release becomes effective and irrevocable, or (y) in the case of a Qualifying Pre-CIC Termination, if later, on the date of the Change in Control; provided, however, that in the event of a Qualifying Pre-CIC Termination, this sentence will not delay the settlement of any portion of a Full Value Award</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57" w:lineRule="exact"/>
        <w:rPr>
          <w:rFonts w:ascii="Times New Roman" w:cs="Times New Roman" w:eastAsia="Times New Roman" w:hAnsi="Times New Roman"/>
          <w:sz w:val="15"/>
          <w:szCs w:val="15"/>
          <w:color w:val="auto"/>
        </w:rPr>
      </w:pPr>
    </w:p>
    <w:p>
      <w:pPr>
        <w:ind w:left="4814" w:hanging="97"/>
        <w:spacing w:after="0"/>
        <w:tabs>
          <w:tab w:leader="none" w:pos="4814" w:val="left"/>
        </w:tabs>
        <w:numPr>
          <w:ilvl w:val="2"/>
          <w:numId w:val="5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5 -</w:t>
      </w:r>
    </w:p>
    <w:p>
      <w:pPr>
        <w:sectPr>
          <w:pgSz w:w="11900" w:h="16840" w:orient="portrait"/>
          <w:cols w:equalWidth="0" w:num="1">
            <w:col w:w="10154"/>
          </w:cols>
          <w:pgMar w:left="1106" w:top="1440" w:right="640" w:bottom="1440" w:gutter="0" w:footer="0" w:header="0"/>
        </w:sectPr>
      </w:pPr>
    </w:p>
    <w:bookmarkStart w:id="434" w:name="page435"/>
    <w:bookmarkEnd w:id="434"/>
    <w:p>
      <w:pPr>
        <w:spacing w:after="0" w:line="40"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5"/>
          <w:szCs w:val="15"/>
          <w:color w:val="auto"/>
        </w:rPr>
        <w:t>that accelerated vesting under Section 3(a)(i) (i.e., such portion of the Full Value Award will be settled no later than 10 days following the date the Release becomes effective and irrevocable.</w:t>
      </w:r>
    </w:p>
    <w:p>
      <w:pPr>
        <w:spacing w:after="0" w:line="101" w:lineRule="exact"/>
        <w:rPr>
          <w:sz w:val="20"/>
          <w:szCs w:val="20"/>
          <w:color w:val="auto"/>
        </w:rPr>
      </w:pPr>
    </w:p>
    <w:p>
      <w:pPr>
        <w:jc w:val="both"/>
        <w:ind w:right="20" w:firstLine="925"/>
        <w:spacing w:after="0" w:line="264" w:lineRule="auto"/>
        <w:tabs>
          <w:tab w:leader="none" w:pos="1008" w:val="left"/>
        </w:tabs>
        <w:numPr>
          <w:ilvl w:val="0"/>
          <w:numId w:val="5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 ) </w:t>
      </w:r>
      <w:r>
        <w:rPr>
          <w:rFonts w:ascii="Times New Roman" w:cs="Times New Roman" w:eastAsia="Times New Roman" w:hAnsi="Times New Roman"/>
          <w:sz w:val="15"/>
          <w:szCs w:val="15"/>
          <w:u w:val="single" w:color="auto"/>
          <w:color w:val="auto"/>
        </w:rPr>
        <w:t>Return of Company Property</w:t>
      </w:r>
      <w:r>
        <w:rPr>
          <w:rFonts w:ascii="Times New Roman" w:cs="Times New Roman" w:eastAsia="Times New Roman" w:hAnsi="Times New Roman"/>
          <w:sz w:val="15"/>
          <w:szCs w:val="15"/>
          <w:color w:val="auto"/>
        </w:rPr>
        <w:t>. The Executive’s receipt of any severance payments or benefits upon the Executive’s Qualifying Termination under Section 3 is subject to the Executive returning all documents and other property provided to the Executive by any member of the Company Group (with the exception of a copy of the Company employee handbook and personnel documents specifically relating to the Executive), developed or obtained by the Executive in connection with his employment with the Company Group, or otherwise belonging to the Company Group.</w:t>
      </w:r>
    </w:p>
    <w:p>
      <w:pPr>
        <w:spacing w:after="0" w:line="121" w:lineRule="exact"/>
        <w:rPr>
          <w:sz w:val="20"/>
          <w:szCs w:val="20"/>
          <w:color w:val="auto"/>
        </w:rPr>
      </w:pPr>
    </w:p>
    <w:p>
      <w:pPr>
        <w:jc w:val="both"/>
        <w:ind w:right="20" w:firstLine="925"/>
        <w:spacing w:after="0" w:line="264" w:lineRule="auto"/>
        <w:tabs>
          <w:tab w:leader="none" w:pos="1282" w:val="left"/>
        </w:tabs>
        <w:numPr>
          <w:ilvl w:val="0"/>
          <w:numId w:val="5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Employee Invention Assignment and Confidentiality Agreement</w:t>
      </w:r>
      <w:r>
        <w:rPr>
          <w:rFonts w:ascii="Times New Roman" w:cs="Times New Roman" w:eastAsia="Times New Roman" w:hAnsi="Times New Roman"/>
          <w:sz w:val="15"/>
          <w:szCs w:val="15"/>
          <w:color w:val="auto"/>
        </w:rPr>
        <w:t>. The Executive’s receipt of any severance payments or benefits upon the Executive’s Qualifying Termination under Section 3 is subject to the Executive continuing to comply with the terms of any Employee Invention Assignment and Confidentiality Agreement and the provisions of this Agreement. In the event the Executive breaches the provisions of this Section 5(d), any further payments and benefits to which the Executive may otherwise be entitled to under Section 3 will immediately cease.</w:t>
      </w:r>
    </w:p>
    <w:p>
      <w:pPr>
        <w:spacing w:after="0" w:line="121" w:lineRule="exact"/>
        <w:rPr>
          <w:rFonts w:ascii="Times New Roman" w:cs="Times New Roman" w:eastAsia="Times New Roman" w:hAnsi="Times New Roman"/>
          <w:sz w:val="15"/>
          <w:szCs w:val="15"/>
          <w:color w:val="auto"/>
        </w:rPr>
      </w:pPr>
    </w:p>
    <w:p>
      <w:pPr>
        <w:jc w:val="both"/>
        <w:ind w:firstLine="925"/>
        <w:spacing w:after="0" w:line="255" w:lineRule="auto"/>
        <w:tabs>
          <w:tab w:leader="none" w:pos="1263" w:val="left"/>
        </w:tabs>
        <w:numPr>
          <w:ilvl w:val="0"/>
          <w:numId w:val="5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409A</w:t>
      </w:r>
      <w:r>
        <w:rPr>
          <w:rFonts w:ascii="Times New Roman" w:cs="Times New Roman" w:eastAsia="Times New Roman" w:hAnsi="Times New Roman"/>
          <w:sz w:val="15"/>
          <w:szCs w:val="15"/>
          <w:color w:val="auto"/>
        </w:rPr>
        <w:t>. The Company intends that all payments and benefits provided under the Agreement are exempt from, or comply with, the requirements of Section 409A of the Code (“</w:t>
      </w:r>
      <w:r>
        <w:rPr>
          <w:rFonts w:ascii="Times New Roman" w:cs="Times New Roman" w:eastAsia="Times New Roman" w:hAnsi="Times New Roman"/>
          <w:sz w:val="15"/>
          <w:szCs w:val="15"/>
          <w:b w:val="1"/>
          <w:bCs w:val="1"/>
          <w:color w:val="auto"/>
        </w:rPr>
        <w:t>Section 409A</w:t>
      </w:r>
      <w:r>
        <w:rPr>
          <w:rFonts w:ascii="Times New Roman" w:cs="Times New Roman" w:eastAsia="Times New Roman" w:hAnsi="Times New Roman"/>
          <w:sz w:val="15"/>
          <w:szCs w:val="15"/>
          <w:color w:val="auto"/>
        </w:rPr>
        <w:t xml:space="preserve">”) so that none of the payments or benefits will be subject to the additional tax imposed under Section 409A, and any ambiguities in the Agreement will be interpreted in accordance with this intent. No payment or benefits to be paid or provided to the Executive (including settlement of Equity Awards that constitute deferred compensation under Section 409A), if any, under the Agreement, when considered together with any other severance or separation payments and benefits that are considered deferred compensation under Section 409A (together, the “ </w:t>
      </w:r>
      <w:r>
        <w:rPr>
          <w:rFonts w:ascii="Times New Roman" w:cs="Times New Roman" w:eastAsia="Times New Roman" w:hAnsi="Times New Roman"/>
          <w:sz w:val="15"/>
          <w:szCs w:val="15"/>
          <w:b w:val="1"/>
          <w:bCs w:val="1"/>
          <w:color w:val="auto"/>
        </w:rPr>
        <w:t>Deferred Payments</w:t>
      </w:r>
      <w:r>
        <w:rPr>
          <w:rFonts w:ascii="Times New Roman" w:cs="Times New Roman" w:eastAsia="Times New Roman" w:hAnsi="Times New Roman"/>
          <w:sz w:val="15"/>
          <w:szCs w:val="15"/>
          <w:color w:val="auto"/>
        </w:rPr>
        <w:t>”), will be paid or otherwise provided until the Executive has a “separation from service” within the meaning of Section 409A. Similarly, no payments or benefits to be paid or provided under the Agreement that otherwise would be exempt from Section 409A pursuant to Treasury Regulations Section 1.409A-1(b)(9), if any, will be paid or provided until the Executive has a separation from service. For purposes of the Agreement, to the extent required for the payments and benefits under the Agreement to be exempt from or comply with Section 409A, any references to the Executive’s Qualifying Termination or similar phrases relating to the termination of the Executive’s employment will be references to the Executive’s separation from service. If, at the time of the Executive’s separation from service, the Executive is a “specified employee” within the meaning of Section 409A, then the payment of the Deferred Payments will be delayed to the extent necessary to avoid the imposition of the additional tax imposed under Section 409A, which generally means that the Executive will receive payment on the first payroll date that occurs on or after the date that is 6 months and 1 day following the Executive’s separation from service. The Company reserves the right to amend the Agreement as it considers necessary or advisable, in its sole discretion and without the consent of the Executive or any other individual, to comply with any provision required to avoid the imposition of the additional tax imposed under Section 409A or to otherwise avoid income recognition under Section 409A prior to the actual payment of any</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51" w:lineRule="exact"/>
        <w:rPr>
          <w:rFonts w:ascii="Times New Roman" w:cs="Times New Roman" w:eastAsia="Times New Roman" w:hAnsi="Times New Roman"/>
          <w:sz w:val="15"/>
          <w:szCs w:val="15"/>
          <w:color w:val="auto"/>
        </w:rPr>
      </w:pPr>
    </w:p>
    <w:p>
      <w:pPr>
        <w:ind w:left="5280" w:hanging="97"/>
        <w:spacing w:after="0"/>
        <w:tabs>
          <w:tab w:leader="none" w:pos="5280" w:val="left"/>
        </w:tabs>
        <w:numPr>
          <w:ilvl w:val="1"/>
          <w:numId w:val="5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6 -</w:t>
      </w:r>
    </w:p>
    <w:p>
      <w:pPr>
        <w:sectPr>
          <w:pgSz w:w="11900" w:h="16840" w:orient="portrait"/>
          <w:cols w:equalWidth="0" w:num="1">
            <w:col w:w="10620"/>
          </w:cols>
          <w:pgMar w:left="640" w:top="1440" w:right="640" w:bottom="1440" w:gutter="0" w:footer="0" w:header="0"/>
        </w:sectPr>
      </w:pPr>
    </w:p>
    <w:bookmarkStart w:id="435" w:name="page436"/>
    <w:bookmarkEnd w:id="435"/>
    <w:p>
      <w:pPr>
        <w:spacing w:after="0" w:line="4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5"/>
          <w:szCs w:val="15"/>
          <w:color w:val="auto"/>
        </w:rPr>
        <w:t>benefits or imposition of any additional tax. In no event will the Executive have discretion to determine the taxable year of payment of any Deferred Payments. Each payment, installment, and benefit payable under the Agreement is intended to constitute a separate payment for purposes of U.S. Treasury Regulation Section 1.409A-2(b)</w:t>
      </w:r>
    </w:p>
    <w:p>
      <w:pPr>
        <w:ind w:right="20"/>
        <w:spacing w:after="0" w:line="266" w:lineRule="auto"/>
        <w:rPr>
          <w:sz w:val="20"/>
          <w:szCs w:val="20"/>
          <w:color w:val="auto"/>
        </w:rPr>
      </w:pPr>
      <w:r>
        <w:rPr>
          <w:rFonts w:ascii="Times New Roman" w:cs="Times New Roman" w:eastAsia="Times New Roman" w:hAnsi="Times New Roman"/>
          <w:sz w:val="15"/>
          <w:szCs w:val="15"/>
          <w:color w:val="auto"/>
        </w:rPr>
        <w:t>(2). In no event will any member of the Company Group reimburse, indemnify, or hold harmless the Executive for any taxes, penalties and interest that may be imposed, or other costs that may be incurred, as a result of Section 409A.</w:t>
      </w:r>
    </w:p>
    <w:p>
      <w:pPr>
        <w:spacing w:after="0" w:line="118" w:lineRule="exact"/>
        <w:rPr>
          <w:sz w:val="20"/>
          <w:szCs w:val="20"/>
          <w:color w:val="auto"/>
        </w:rPr>
      </w:pPr>
    </w:p>
    <w:p>
      <w:pPr>
        <w:jc w:val="both"/>
        <w:ind w:right="20" w:firstLine="925"/>
        <w:spacing w:after="0" w:line="270" w:lineRule="auto"/>
        <w:tabs>
          <w:tab w:leader="none" w:pos="1027" w:val="left"/>
        </w:tabs>
        <w:numPr>
          <w:ilvl w:val="1"/>
          <w:numId w:val="5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 ) </w:t>
      </w:r>
      <w:r>
        <w:rPr>
          <w:rFonts w:ascii="Times New Roman" w:cs="Times New Roman" w:eastAsia="Times New Roman" w:hAnsi="Times New Roman"/>
          <w:sz w:val="15"/>
          <w:szCs w:val="15"/>
          <w:u w:val="single" w:color="auto"/>
          <w:color w:val="auto"/>
        </w:rPr>
        <w:t>Resignation of Officer and Director Positions</w:t>
      </w:r>
      <w:r>
        <w:rPr>
          <w:rFonts w:ascii="Times New Roman" w:cs="Times New Roman" w:eastAsia="Times New Roman" w:hAnsi="Times New Roman"/>
          <w:sz w:val="15"/>
          <w:szCs w:val="15"/>
          <w:color w:val="auto"/>
        </w:rPr>
        <w:t>. The Executive’s receipt of any severance payments or benefits upon the Executive’s Qualifying Termination under Section 3 is subject to the Executive resigning from all officer and director positions with all members of the Company Group and the Executive executing any documents the Company may require in connection with the same.</w:t>
      </w:r>
    </w:p>
    <w:p>
      <w:pPr>
        <w:spacing w:after="0" w:line="116" w:lineRule="exact"/>
        <w:rPr>
          <w:rFonts w:ascii="Times New Roman" w:cs="Times New Roman" w:eastAsia="Times New Roman" w:hAnsi="Times New Roman"/>
          <w:sz w:val="15"/>
          <w:szCs w:val="15"/>
          <w:color w:val="auto"/>
        </w:rPr>
      </w:pPr>
    </w:p>
    <w:p>
      <w:pPr>
        <w:ind w:left="740" w:hanging="274"/>
        <w:spacing w:after="0"/>
        <w:tabs>
          <w:tab w:leader="none" w:pos="740" w:val="left"/>
        </w:tabs>
        <w:numPr>
          <w:ilvl w:val="0"/>
          <w:numId w:val="5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Limitation on Payments</w:t>
      </w:r>
      <w:r>
        <w:rPr>
          <w:rFonts w:ascii="Times New Roman" w:cs="Times New Roman" w:eastAsia="Times New Roman" w:hAnsi="Times New Roman"/>
          <w:sz w:val="15"/>
          <w:szCs w:val="15"/>
          <w:color w:val="auto"/>
        </w:rPr>
        <w:t>.</w:t>
      </w:r>
    </w:p>
    <w:p>
      <w:pPr>
        <w:spacing w:after="0" w:line="162" w:lineRule="exact"/>
        <w:rPr>
          <w:sz w:val="20"/>
          <w:szCs w:val="20"/>
          <w:color w:val="auto"/>
        </w:rPr>
      </w:pPr>
    </w:p>
    <w:p>
      <w:pPr>
        <w:jc w:val="both"/>
        <w:ind w:firstLine="925"/>
        <w:spacing w:after="0" w:line="255" w:lineRule="auto"/>
        <w:tabs>
          <w:tab w:leader="none" w:pos="993" w:val="left"/>
        </w:tabs>
        <w:numPr>
          <w:ilvl w:val="0"/>
          <w:numId w:val="5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 </w:t>
      </w:r>
      <w:r>
        <w:rPr>
          <w:rFonts w:ascii="Times New Roman" w:cs="Times New Roman" w:eastAsia="Times New Roman" w:hAnsi="Times New Roman"/>
          <w:sz w:val="15"/>
          <w:szCs w:val="15"/>
          <w:u w:val="single" w:color="auto"/>
          <w:color w:val="auto"/>
        </w:rPr>
        <w:t>Reduction of Severance Benefits</w:t>
      </w:r>
      <w:r>
        <w:rPr>
          <w:rFonts w:ascii="Times New Roman" w:cs="Times New Roman" w:eastAsia="Times New Roman" w:hAnsi="Times New Roman"/>
          <w:sz w:val="15"/>
          <w:szCs w:val="15"/>
          <w:color w:val="auto"/>
        </w:rPr>
        <w:t>. If any payment or benefit that the Executive would receive from any Company Group member or any other party whether in connection with the provisions in the Agreement or otherwise (the “</w:t>
      </w:r>
      <w:r>
        <w:rPr>
          <w:rFonts w:ascii="Times New Roman" w:cs="Times New Roman" w:eastAsia="Times New Roman" w:hAnsi="Times New Roman"/>
          <w:sz w:val="15"/>
          <w:szCs w:val="15"/>
          <w:b w:val="1"/>
          <w:bCs w:val="1"/>
          <w:color w:val="auto"/>
        </w:rPr>
        <w:t>Payment</w:t>
      </w:r>
      <w:r>
        <w:rPr>
          <w:rFonts w:ascii="Times New Roman" w:cs="Times New Roman" w:eastAsia="Times New Roman" w:hAnsi="Times New Roman"/>
          <w:sz w:val="15"/>
          <w:szCs w:val="15"/>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15"/>
          <w:szCs w:val="15"/>
          <w:b w:val="1"/>
          <w:bCs w:val="1"/>
          <w:color w:val="auto"/>
        </w:rPr>
        <w:t>Excise Tax</w:t>
      </w:r>
      <w:r>
        <w:rPr>
          <w:rFonts w:ascii="Times New Roman" w:cs="Times New Roman" w:eastAsia="Times New Roman" w:hAnsi="Times New Roman"/>
          <w:sz w:val="15"/>
          <w:szCs w:val="15"/>
          <w:color w:val="auto"/>
        </w:rPr>
        <w:t>”), then the Payment will be equal to the Best Results Amount. The “</w:t>
      </w:r>
      <w:r>
        <w:rPr>
          <w:rFonts w:ascii="Times New Roman" w:cs="Times New Roman" w:eastAsia="Times New Roman" w:hAnsi="Times New Roman"/>
          <w:sz w:val="15"/>
          <w:szCs w:val="15"/>
          <w:b w:val="1"/>
          <w:bCs w:val="1"/>
          <w:color w:val="auto"/>
        </w:rPr>
        <w:t>Best Results Amount</w:t>
      </w:r>
      <w:r>
        <w:rPr>
          <w:rFonts w:ascii="Times New Roman" w:cs="Times New Roman" w:eastAsia="Times New Roman" w:hAnsi="Times New Roman"/>
          <w:sz w:val="15"/>
          <w:szCs w:val="15"/>
          <w:color w:val="auto"/>
        </w:rPr>
        <w:t>” will be either (x) the full amount of the Payment or (y) a lesser amount that would result in no portion of the Payment being subject to the Excise Tax, whichever of those amounts, taking into account the applicable federal, state and local employment taxes, income taxes and the Excise Tax, results in the Executive’s receipt, on an after-tax basis, of the greater amount. If a reduction in payments or benefits constituting parachute payments is necessary so that the Payment equals the Best Results Amount, reduction will occur in the following order: (A) reduction of cash payments in reverse chronological order (that is, the cash payment owed on the latest date following the occurrence of the event triggering the excise tax will be the first cash payment to be reduced); (B) cancellation of equity awards that were granted “contingent on a change in ownership or control” within the meaning of Section 280G of the Code in the reverse order of date of grant of the awards (that is, the most recently granted equity awards will be cancelled first); (C) reduction of the accelerated vesting of equity awards in the reverse order of date of grant of the awards (that is, the vesting of the most recently granted equity awards will be cancelled first); and (D) reduction of employee benefits in reverse chronological order (that is, the benefit owed on the latest date following the occurrence of the event triggering the excise tax will be the first benefit to be reduced). In no event will the Executive have any discretion with respect to the ordering of Payment reductions. The Executive will be solely responsible for the payment of all personal tax liability that is incurred as a result of the payments and benefits received under the Agreement, and the Executive will not be reimbursed, indemnified, or held harmless by any member of the Company Group for any of those payments of personal tax liability.</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67" w:lineRule="exact"/>
        <w:rPr>
          <w:rFonts w:ascii="Times New Roman" w:cs="Times New Roman" w:eastAsia="Times New Roman" w:hAnsi="Times New Roman"/>
          <w:sz w:val="15"/>
          <w:szCs w:val="15"/>
          <w:color w:val="auto"/>
        </w:rPr>
      </w:pPr>
    </w:p>
    <w:p>
      <w:pPr>
        <w:ind w:left="5280" w:hanging="97"/>
        <w:spacing w:after="0"/>
        <w:tabs>
          <w:tab w:leader="none" w:pos="5280" w:val="left"/>
        </w:tabs>
        <w:numPr>
          <w:ilvl w:val="1"/>
          <w:numId w:val="5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7 -</w:t>
      </w:r>
    </w:p>
    <w:p>
      <w:pPr>
        <w:sectPr>
          <w:pgSz w:w="11900" w:h="16840" w:orient="portrait"/>
          <w:cols w:equalWidth="0" w:num="1">
            <w:col w:w="10620"/>
          </w:cols>
          <w:pgMar w:left="640" w:top="1440" w:right="640" w:bottom="1440" w:gutter="0" w:footer="0" w:header="0"/>
        </w:sectPr>
      </w:pPr>
    </w:p>
    <w:bookmarkStart w:id="436" w:name="page437"/>
    <w:bookmarkEnd w:id="436"/>
    <w:p>
      <w:pPr>
        <w:spacing w:after="0" w:line="40" w:lineRule="exact"/>
        <w:rPr>
          <w:sz w:val="20"/>
          <w:szCs w:val="20"/>
          <w:color w:val="auto"/>
        </w:rPr>
      </w:pPr>
    </w:p>
    <w:p>
      <w:pPr>
        <w:jc w:val="both"/>
        <w:ind w:left="-466" w:firstLine="925"/>
        <w:spacing w:after="0" w:line="258" w:lineRule="auto"/>
        <w:tabs>
          <w:tab w:leader="none" w:pos="537" w:val="left"/>
        </w:tabs>
        <w:numPr>
          <w:ilvl w:val="1"/>
          <w:numId w:val="5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 ) </w:t>
      </w:r>
      <w:r>
        <w:rPr>
          <w:rFonts w:ascii="Times New Roman" w:cs="Times New Roman" w:eastAsia="Times New Roman" w:hAnsi="Times New Roman"/>
          <w:sz w:val="15"/>
          <w:szCs w:val="15"/>
          <w:u w:val="single" w:color="auto"/>
          <w:color w:val="auto"/>
        </w:rPr>
        <w:t>Determination of Excise Tax Liability</w:t>
      </w:r>
      <w:r>
        <w:rPr>
          <w:rFonts w:ascii="Times New Roman" w:cs="Times New Roman" w:eastAsia="Times New Roman" w:hAnsi="Times New Roman"/>
          <w:sz w:val="15"/>
          <w:szCs w:val="15"/>
          <w:color w:val="auto"/>
        </w:rPr>
        <w:t>. Unless the Company and the Executive otherwise agree in writing, the Company will select a professional services firm (the “</w:t>
      </w:r>
      <w:r>
        <w:rPr>
          <w:rFonts w:ascii="Times New Roman" w:cs="Times New Roman" w:eastAsia="Times New Roman" w:hAnsi="Times New Roman"/>
          <w:sz w:val="15"/>
          <w:szCs w:val="15"/>
          <w:b w:val="1"/>
          <w:bCs w:val="1"/>
          <w:color w:val="auto"/>
        </w:rPr>
        <w:t>Firm</w:t>
      </w:r>
      <w:r>
        <w:rPr>
          <w:rFonts w:ascii="Times New Roman" w:cs="Times New Roman" w:eastAsia="Times New Roman" w:hAnsi="Times New Roman"/>
          <w:sz w:val="15"/>
          <w:szCs w:val="15"/>
          <w:color w:val="auto"/>
        </w:rPr>
        <w:t>”) to make all determinations required under this Section 6, which determinations will be conclusive and binding upon the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the Executive will furnish to the Firm such information and documents as the Firm reasonably may request in order to make determinations under this Section 6. The Company will bear the costs and make all payments for the Firm’s services in connection with any calculations contemplated by this Section 6. The Company will have no liability to the Executive for the determinations of the Firm.</w:t>
      </w:r>
    </w:p>
    <w:p>
      <w:pPr>
        <w:spacing w:after="0" w:line="127" w:lineRule="exact"/>
        <w:rPr>
          <w:rFonts w:ascii="Times New Roman" w:cs="Times New Roman" w:eastAsia="Times New Roman" w:hAnsi="Times New Roman"/>
          <w:sz w:val="15"/>
          <w:szCs w:val="15"/>
          <w:color w:val="auto"/>
        </w:rPr>
      </w:pPr>
    </w:p>
    <w:p>
      <w:pPr>
        <w:ind w:left="274" w:hanging="274"/>
        <w:spacing w:after="0"/>
        <w:tabs>
          <w:tab w:leader="none" w:pos="274" w:val="left"/>
        </w:tabs>
        <w:numPr>
          <w:ilvl w:val="0"/>
          <w:numId w:val="5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 The following terms referred to in the Agreement will have the following meanings:</w:t>
      </w:r>
    </w:p>
    <w:p>
      <w:pPr>
        <w:spacing w:after="0" w:line="158" w:lineRule="exact"/>
        <w:rPr>
          <w:sz w:val="20"/>
          <w:szCs w:val="20"/>
          <w:color w:val="auto"/>
        </w:rPr>
      </w:pPr>
    </w:p>
    <w:p>
      <w:pPr>
        <w:ind w:left="774" w:hanging="315"/>
        <w:spacing w:after="0"/>
        <w:tabs>
          <w:tab w:leader="none" w:pos="774" w:val="left"/>
        </w:tabs>
        <w:numPr>
          <w:ilvl w:val="0"/>
          <w:numId w:val="5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Board</w:t>
      </w:r>
      <w:r>
        <w:rPr>
          <w:rFonts w:ascii="Times New Roman" w:cs="Times New Roman" w:eastAsia="Times New Roman" w:hAnsi="Times New Roman"/>
          <w:sz w:val="15"/>
          <w:szCs w:val="15"/>
          <w:color w:val="auto"/>
        </w:rPr>
        <w:t>” means the Company’s Board of Directors.</w:t>
      </w:r>
    </w:p>
    <w:p>
      <w:pPr>
        <w:spacing w:after="0" w:line="162" w:lineRule="exact"/>
        <w:rPr>
          <w:rFonts w:ascii="Times New Roman" w:cs="Times New Roman" w:eastAsia="Times New Roman" w:hAnsi="Times New Roman"/>
          <w:sz w:val="15"/>
          <w:szCs w:val="15"/>
          <w:color w:val="auto"/>
        </w:rPr>
      </w:pPr>
    </w:p>
    <w:p>
      <w:pPr>
        <w:jc w:val="both"/>
        <w:ind w:left="-466" w:firstLine="925"/>
        <w:spacing w:after="0" w:line="257" w:lineRule="auto"/>
        <w:tabs>
          <w:tab w:leader="none" w:pos="880" w:val="left"/>
        </w:tabs>
        <w:numPr>
          <w:ilvl w:val="0"/>
          <w:numId w:val="5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Cause</w:t>
      </w:r>
      <w:r>
        <w:rPr>
          <w:rFonts w:ascii="Times New Roman" w:cs="Times New Roman" w:eastAsia="Times New Roman" w:hAnsi="Times New Roman"/>
          <w:sz w:val="15"/>
          <w:szCs w:val="15"/>
          <w:color w:val="auto"/>
        </w:rPr>
        <w:t>” means the occurrence of any of the following: (i) the Executive’s engaging in an act of gross negligence or willful misconduct in the performance of the Executive’s employment obligations and duties; (ii) the Executive committing an act of fraud against any Company Group member, material misconduct toward any Company Group member or any employee of the Company Group, or willful misappropriation of property belonging to any Company Group member; (iii) the Executive engaging in any other misconduct that has had or will have an adverse effect on the reputation or business of any Company Group member, which the Executive has not cured within 15 days after written notice, if curable; (iv) the Executive’s breach of any Employee Invention Assignment and Confidentiality Agreement, which the Executive has not cured within 15 days after written notice, if curable; (v) the Executive’s failure to cooperate with a bona fide internal investigation or an investigation by regulatory or law enforcement authorities, after being instructed by any Company Group member to cooperate, or the willful destruction or failure to preserve documents or other materials known to be relevant to such investigation or the inducement of others to fail to cooperate or to produce documents or other materials in connection with such investigation; or (vi) the Executive’s conviction of or plea of nolo contendere to a felony (other than motor vehicle offenses the effect of which do not materially impair the Executive’s performance of the Executive’s employment duties) or a crime involving moral turpitude.</w:t>
      </w:r>
    </w:p>
    <w:p>
      <w:pPr>
        <w:spacing w:after="0" w:line="124" w:lineRule="exact"/>
        <w:rPr>
          <w:rFonts w:ascii="Times New Roman" w:cs="Times New Roman" w:eastAsia="Times New Roman" w:hAnsi="Times New Roman"/>
          <w:sz w:val="15"/>
          <w:szCs w:val="15"/>
          <w:color w:val="auto"/>
        </w:rPr>
      </w:pPr>
    </w:p>
    <w:p>
      <w:pPr>
        <w:ind w:left="774" w:hanging="315"/>
        <w:spacing w:after="0"/>
        <w:tabs>
          <w:tab w:leader="none" w:pos="774" w:val="left"/>
        </w:tabs>
        <w:numPr>
          <w:ilvl w:val="0"/>
          <w:numId w:val="5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Change in Control</w:t>
      </w:r>
      <w:r>
        <w:rPr>
          <w:rFonts w:ascii="Times New Roman" w:cs="Times New Roman" w:eastAsia="Times New Roman" w:hAnsi="Times New Roman"/>
          <w:sz w:val="15"/>
          <w:szCs w:val="15"/>
          <w:color w:val="auto"/>
        </w:rPr>
        <w:t>” means the occurrence of any of the following events:</w:t>
      </w:r>
    </w:p>
    <w:p>
      <w:pPr>
        <w:spacing w:after="0" w:line="166" w:lineRule="exact"/>
        <w:rPr>
          <w:rFonts w:ascii="Times New Roman" w:cs="Times New Roman" w:eastAsia="Times New Roman" w:hAnsi="Times New Roman"/>
          <w:sz w:val="15"/>
          <w:szCs w:val="15"/>
          <w:color w:val="auto"/>
        </w:rPr>
      </w:pPr>
    </w:p>
    <w:p>
      <w:pPr>
        <w:jc w:val="both"/>
        <w:ind w:left="-466" w:firstLine="1499"/>
        <w:spacing w:after="0" w:line="264" w:lineRule="auto"/>
        <w:tabs>
          <w:tab w:leader="none" w:pos="1323" w:val="left"/>
        </w:tabs>
        <w:numPr>
          <w:ilvl w:val="1"/>
          <w:numId w:val="5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Change in Ownership of the Company</w:t>
      </w:r>
      <w:r>
        <w:rPr>
          <w:rFonts w:ascii="Times New Roman" w:cs="Times New Roman" w:eastAsia="Times New Roman" w:hAnsi="Times New Roman"/>
          <w:sz w:val="15"/>
          <w:szCs w:val="15"/>
          <w:color w:val="auto"/>
        </w:rPr>
        <w:t>. A change in the ownership of the Company which occurs on the date that any one person, or more than one person acting as a group (“</w:t>
      </w:r>
      <w:r>
        <w:rPr>
          <w:rFonts w:ascii="Times New Roman" w:cs="Times New Roman" w:eastAsia="Times New Roman" w:hAnsi="Times New Roman"/>
          <w:sz w:val="15"/>
          <w:szCs w:val="15"/>
          <w:b w:val="1"/>
          <w:bCs w:val="1"/>
          <w:color w:val="auto"/>
        </w:rPr>
        <w:t>Person</w:t>
      </w:r>
      <w:r>
        <w:rPr>
          <w:rFonts w:ascii="Times New Roman" w:cs="Times New Roman" w:eastAsia="Times New Roman" w:hAnsi="Times New Roman"/>
          <w:sz w:val="15"/>
          <w:szCs w:val="15"/>
          <w:color w:val="auto"/>
        </w:rPr>
        <w:t>”), acquires ownership of the stock of the Company that, together with the stock held by such Person, constitutes more than 50% of the total voting power of the stock of the Company; provided, however, that for purposes of this subsection, the acquisition of additional stock by any one Person, who is considered to own more than 50% of</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58" w:lineRule="exact"/>
        <w:rPr>
          <w:rFonts w:ascii="Times New Roman" w:cs="Times New Roman" w:eastAsia="Times New Roman" w:hAnsi="Times New Roman"/>
          <w:sz w:val="15"/>
          <w:szCs w:val="15"/>
          <w:color w:val="auto"/>
        </w:rPr>
      </w:pPr>
    </w:p>
    <w:p>
      <w:pPr>
        <w:ind w:left="4814" w:hanging="97"/>
        <w:spacing w:after="0"/>
        <w:tabs>
          <w:tab w:leader="none" w:pos="4814" w:val="left"/>
        </w:tabs>
        <w:numPr>
          <w:ilvl w:val="2"/>
          <w:numId w:val="5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8 -</w:t>
      </w:r>
    </w:p>
    <w:p>
      <w:pPr>
        <w:sectPr>
          <w:pgSz w:w="11900" w:h="16840" w:orient="portrait"/>
          <w:cols w:equalWidth="0" w:num="1">
            <w:col w:w="10154"/>
          </w:cols>
          <w:pgMar w:left="1106" w:top="1440" w:right="640" w:bottom="1440" w:gutter="0" w:footer="0" w:header="0"/>
        </w:sectPr>
      </w:pPr>
    </w:p>
    <w:bookmarkStart w:id="437" w:name="page438"/>
    <w:bookmarkEnd w:id="437"/>
    <w:p>
      <w:pPr>
        <w:spacing w:after="0" w:line="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23" w:lineRule="exact"/>
        <w:rPr>
          <w:sz w:val="20"/>
          <w:szCs w:val="20"/>
          <w:color w:val="auto"/>
        </w:rPr>
      </w:pPr>
    </w:p>
    <w:p>
      <w:pPr>
        <w:jc w:val="both"/>
        <w:ind w:right="20" w:firstLine="1451"/>
        <w:spacing w:after="0" w:line="264" w:lineRule="auto"/>
        <w:tabs>
          <w:tab w:leader="none" w:pos="1828" w:val="left"/>
        </w:tabs>
        <w:numPr>
          <w:ilvl w:val="1"/>
          <w:numId w:val="5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Change in Effective Control of the Company</w:t>
      </w:r>
      <w:r>
        <w:rPr>
          <w:rFonts w:ascii="Times New Roman" w:cs="Times New Roman" w:eastAsia="Times New Roman" w:hAnsi="Times New Roman"/>
          <w:sz w:val="15"/>
          <w:szCs w:val="15"/>
          <w:color w:val="auto"/>
        </w:rPr>
        <w:t>. A change in the effective control of the Company which occurs on the date that a majority of members of the Board is replaced during any 12-month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21" w:lineRule="exact"/>
        <w:rPr>
          <w:rFonts w:ascii="Times New Roman" w:cs="Times New Roman" w:eastAsia="Times New Roman" w:hAnsi="Times New Roman"/>
          <w:sz w:val="15"/>
          <w:szCs w:val="15"/>
          <w:color w:val="auto"/>
        </w:rPr>
      </w:pPr>
    </w:p>
    <w:p>
      <w:pPr>
        <w:jc w:val="both"/>
        <w:ind w:firstLine="1413"/>
        <w:spacing w:after="0" w:line="256" w:lineRule="auto"/>
        <w:tabs>
          <w:tab w:leader="none" w:pos="1808" w:val="left"/>
        </w:tabs>
        <w:numPr>
          <w:ilvl w:val="0"/>
          <w:numId w:val="5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Change in Ownership of a Substantial Portion of the Company’s Assets</w:t>
      </w:r>
      <w:r>
        <w:rPr>
          <w:rFonts w:ascii="Times New Roman" w:cs="Times New Roman" w:eastAsia="Times New Roman" w:hAnsi="Times New Roman"/>
          <w:sz w:val="15"/>
          <w:szCs w:val="15"/>
          <w:color w:val="auto"/>
        </w:rPr>
        <w:t>. A change in the ownership of a substantial portion of the Company’s assets which occurs on the date that any Person acquires (or has acquired during the 12-month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31" w:lineRule="exact"/>
        <w:rPr>
          <w:sz w:val="20"/>
          <w:szCs w:val="20"/>
          <w:color w:val="auto"/>
        </w:rPr>
      </w:pPr>
    </w:p>
    <w:p>
      <w:pPr>
        <w:ind w:right="20" w:firstLine="919"/>
        <w:spacing w:after="0" w:line="289" w:lineRule="auto"/>
        <w:rPr>
          <w:sz w:val="20"/>
          <w:szCs w:val="20"/>
          <w:color w:val="auto"/>
        </w:rPr>
      </w:pPr>
      <w:r>
        <w:rPr>
          <w:rFonts w:ascii="Times New Roman" w:cs="Times New Roman" w:eastAsia="Times New Roman" w:hAnsi="Times New Roman"/>
          <w:sz w:val="15"/>
          <w:szCs w:val="15"/>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- 9 -</w:t>
      </w:r>
    </w:p>
    <w:p>
      <w:pPr>
        <w:sectPr>
          <w:pgSz w:w="11900" w:h="16840" w:orient="portrait"/>
          <w:cols w:equalWidth="0" w:num="1">
            <w:col w:w="10620"/>
          </w:cols>
          <w:pgMar w:left="640" w:top="1440" w:right="640" w:bottom="1440" w:gutter="0" w:footer="0" w:header="0"/>
        </w:sectPr>
      </w:pPr>
    </w:p>
    <w:bookmarkStart w:id="438" w:name="page439"/>
    <w:bookmarkEnd w:id="438"/>
    <w:p>
      <w:pPr>
        <w:spacing w:after="0" w:line="40" w:lineRule="exact"/>
        <w:rPr>
          <w:sz w:val="20"/>
          <w:szCs w:val="20"/>
          <w:color w:val="auto"/>
        </w:rPr>
      </w:pPr>
    </w:p>
    <w:p>
      <w:pPr>
        <w:jc w:val="both"/>
        <w:ind w:right="20" w:firstLine="919"/>
        <w:spacing w:after="0" w:line="289" w:lineRule="auto"/>
        <w:rPr>
          <w:sz w:val="20"/>
          <w:szCs w:val="20"/>
          <w:color w:val="auto"/>
        </w:rPr>
      </w:pPr>
      <w:r>
        <w:rPr>
          <w:rFonts w:ascii="Times New Roman" w:cs="Times New Roman" w:eastAsia="Times New Roman" w:hAnsi="Times New Roman"/>
          <w:sz w:val="15"/>
          <w:szCs w:val="15"/>
          <w:color w:val="auto"/>
        </w:rPr>
        <w:t>Notwithstanding the foregoing, a transaction will not be deemed a Change in Control unless the transaction qualifies as a change in control event within the meaning of Section 409A.</w:t>
      </w:r>
    </w:p>
    <w:p>
      <w:pPr>
        <w:spacing w:after="0" w:line="101" w:lineRule="exact"/>
        <w:rPr>
          <w:sz w:val="20"/>
          <w:szCs w:val="20"/>
          <w:color w:val="auto"/>
        </w:rPr>
      </w:pPr>
    </w:p>
    <w:p>
      <w:pPr>
        <w:jc w:val="both"/>
        <w:ind w:right="20" w:firstLine="919"/>
        <w:spacing w:after="0" w:line="270" w:lineRule="auto"/>
        <w:rPr>
          <w:sz w:val="20"/>
          <w:szCs w:val="20"/>
          <w:color w:val="auto"/>
        </w:rPr>
      </w:pPr>
      <w:r>
        <w:rPr>
          <w:rFonts w:ascii="Times New Roman" w:cs="Times New Roman" w:eastAsia="Times New Roman" w:hAnsi="Times New Roman"/>
          <w:sz w:val="15"/>
          <w:szCs w:val="15"/>
          <w:color w:val="auto"/>
        </w:rPr>
        <w:t>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spacing w:after="0" w:line="112" w:lineRule="exact"/>
        <w:rPr>
          <w:sz w:val="20"/>
          <w:szCs w:val="20"/>
          <w:color w:val="auto"/>
        </w:rPr>
      </w:pPr>
    </w:p>
    <w:p>
      <w:pPr>
        <w:ind w:left="1260" w:hanging="335"/>
        <w:spacing w:after="0"/>
        <w:tabs>
          <w:tab w:leader="none" w:pos="1260" w:val="left"/>
        </w:tabs>
        <w:numPr>
          <w:ilvl w:val="0"/>
          <w:numId w:val="5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Change in Control Period</w:t>
      </w:r>
      <w:r>
        <w:rPr>
          <w:rFonts w:ascii="Times New Roman" w:cs="Times New Roman" w:eastAsia="Times New Roman" w:hAnsi="Times New Roman"/>
          <w:sz w:val="15"/>
          <w:szCs w:val="15"/>
          <w:color w:val="auto"/>
        </w:rPr>
        <w:t>” means the period beginning 3 months prior to a Change in Control and [CEO: 18/Others: 12] months following a Change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Control.</w:t>
      </w:r>
    </w:p>
    <w:p>
      <w:pPr>
        <w:spacing w:after="0" w:line="142" w:lineRule="exact"/>
        <w:rPr>
          <w:sz w:val="20"/>
          <w:szCs w:val="20"/>
          <w:color w:val="auto"/>
        </w:rPr>
      </w:pPr>
    </w:p>
    <w:p>
      <w:pPr>
        <w:ind w:left="1240" w:hanging="315"/>
        <w:spacing w:after="0"/>
        <w:tabs>
          <w:tab w:leader="none" w:pos="1240" w:val="left"/>
        </w:tabs>
        <w:numPr>
          <w:ilvl w:val="0"/>
          <w:numId w:val="5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COBRA</w:t>
      </w:r>
      <w:r>
        <w:rPr>
          <w:rFonts w:ascii="Times New Roman" w:cs="Times New Roman" w:eastAsia="Times New Roman" w:hAnsi="Times New Roman"/>
          <w:sz w:val="15"/>
          <w:szCs w:val="15"/>
          <w:color w:val="auto"/>
        </w:rPr>
        <w:t>” means the Consolidated Omnibus Budget Reconciliation Act of 1985, as amended.</w:t>
      </w:r>
    </w:p>
    <w:p>
      <w:pPr>
        <w:spacing w:after="0" w:line="162" w:lineRule="exact"/>
        <w:rPr>
          <w:rFonts w:ascii="Times New Roman" w:cs="Times New Roman" w:eastAsia="Times New Roman" w:hAnsi="Times New Roman"/>
          <w:sz w:val="15"/>
          <w:szCs w:val="15"/>
          <w:color w:val="auto"/>
        </w:rPr>
      </w:pPr>
    </w:p>
    <w:p>
      <w:pPr>
        <w:jc w:val="both"/>
        <w:ind w:firstLine="925"/>
        <w:spacing w:after="0" w:line="273" w:lineRule="auto"/>
        <w:tabs>
          <w:tab w:leader="none" w:pos="1253" w:val="left"/>
        </w:tabs>
        <w:numPr>
          <w:ilvl w:val="0"/>
          <w:numId w:val="5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Code</w:t>
      </w:r>
      <w:r>
        <w:rPr>
          <w:rFonts w:ascii="Times New Roman" w:cs="Times New Roman" w:eastAsia="Times New Roman" w:hAnsi="Times New Roman"/>
          <w:sz w:val="15"/>
          <w:szCs w:val="15"/>
          <w:color w:val="auto"/>
        </w:rPr>
        <w:t>” means the Internal Revenue Code of 1986, as amended. Reference to a specific section of the Code or regulation under the Code will include such section or regulation, and any valid regulation or other formal guidance of general or direct applicability promulgated under such section, and any comparable provision of any future legislation amending, supplementing or superseding such section or regulation.</w:t>
      </w:r>
    </w:p>
    <w:p>
      <w:pPr>
        <w:spacing w:after="0" w:line="109" w:lineRule="exact"/>
        <w:rPr>
          <w:rFonts w:ascii="Times New Roman" w:cs="Times New Roman" w:eastAsia="Times New Roman" w:hAnsi="Times New Roman"/>
          <w:sz w:val="15"/>
          <w:szCs w:val="15"/>
          <w:color w:val="auto"/>
        </w:rPr>
      </w:pPr>
    </w:p>
    <w:p>
      <w:pPr>
        <w:ind w:left="1260" w:hanging="335"/>
        <w:spacing w:after="0"/>
        <w:tabs>
          <w:tab w:leader="none" w:pos="1260" w:val="left"/>
        </w:tabs>
        <w:numPr>
          <w:ilvl w:val="0"/>
          <w:numId w:val="5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Group</w:t>
      </w:r>
      <w:r>
        <w:rPr>
          <w:rFonts w:ascii="Times New Roman" w:cs="Times New Roman" w:eastAsia="Times New Roman" w:hAnsi="Times New Roman"/>
          <w:sz w:val="15"/>
          <w:szCs w:val="15"/>
          <w:color w:val="auto"/>
        </w:rPr>
        <w:t>” means the Company and its subsidiaries.</w:t>
      </w:r>
    </w:p>
    <w:p>
      <w:pPr>
        <w:spacing w:after="0" w:line="162" w:lineRule="exact"/>
        <w:rPr>
          <w:rFonts w:ascii="Times New Roman" w:cs="Times New Roman" w:eastAsia="Times New Roman" w:hAnsi="Times New Roman"/>
          <w:sz w:val="15"/>
          <w:szCs w:val="15"/>
          <w:color w:val="auto"/>
        </w:rPr>
      </w:pPr>
    </w:p>
    <w:p>
      <w:pPr>
        <w:ind w:left="1260" w:hanging="335"/>
        <w:spacing w:after="0"/>
        <w:tabs>
          <w:tab w:leader="none" w:pos="1260" w:val="left"/>
        </w:tabs>
        <w:numPr>
          <w:ilvl w:val="0"/>
          <w:numId w:val="5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Disability</w:t>
      </w:r>
      <w:r>
        <w:rPr>
          <w:rFonts w:ascii="Times New Roman" w:cs="Times New Roman" w:eastAsia="Times New Roman" w:hAnsi="Times New Roman"/>
          <w:sz w:val="15"/>
          <w:szCs w:val="15"/>
          <w:color w:val="auto"/>
        </w:rPr>
        <w:t>” means a total and permanent disability as defined in Section 22(e)(3) of the Code.</w:t>
      </w:r>
    </w:p>
    <w:p>
      <w:pPr>
        <w:spacing w:after="0" w:line="162" w:lineRule="exact"/>
        <w:rPr>
          <w:rFonts w:ascii="Times New Roman" w:cs="Times New Roman" w:eastAsia="Times New Roman" w:hAnsi="Times New Roman"/>
          <w:sz w:val="15"/>
          <w:szCs w:val="15"/>
          <w:color w:val="auto"/>
        </w:rPr>
      </w:pPr>
    </w:p>
    <w:p>
      <w:pPr>
        <w:ind w:right="20" w:firstLine="925"/>
        <w:spacing w:after="0" w:line="294" w:lineRule="auto"/>
        <w:tabs>
          <w:tab w:leader="none" w:pos="1302" w:val="left"/>
        </w:tabs>
        <w:numPr>
          <w:ilvl w:val="0"/>
          <w:numId w:val="5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Employee Invention Assignment and Confidentiality Agreement</w:t>
      </w:r>
      <w:r>
        <w:rPr>
          <w:rFonts w:ascii="Times New Roman" w:cs="Times New Roman" w:eastAsia="Times New Roman" w:hAnsi="Times New Roman"/>
          <w:sz w:val="15"/>
          <w:szCs w:val="15"/>
          <w:color w:val="auto"/>
        </w:rPr>
        <w:t xml:space="preserve"> ” means any confidential information agreement, proprietary information and inventions agreement between the Executive and any Company Group member.</w:t>
      </w:r>
    </w:p>
    <w:p>
      <w:pPr>
        <w:spacing w:after="0" w:line="94" w:lineRule="exact"/>
        <w:rPr>
          <w:rFonts w:ascii="Times New Roman" w:cs="Times New Roman" w:eastAsia="Times New Roman" w:hAnsi="Times New Roman"/>
          <w:sz w:val="15"/>
          <w:szCs w:val="15"/>
          <w:color w:val="auto"/>
        </w:rPr>
      </w:pPr>
    </w:p>
    <w:p>
      <w:pPr>
        <w:ind w:left="1220" w:hanging="295"/>
        <w:spacing w:after="0"/>
        <w:tabs>
          <w:tab w:leader="none" w:pos="1220" w:val="left"/>
        </w:tabs>
        <w:numPr>
          <w:ilvl w:val="0"/>
          <w:numId w:val="5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Equity Awards</w:t>
      </w:r>
      <w:r>
        <w:rPr>
          <w:rFonts w:ascii="Times New Roman" w:cs="Times New Roman" w:eastAsia="Times New Roman" w:hAnsi="Times New Roman"/>
          <w:sz w:val="15"/>
          <w:szCs w:val="15"/>
          <w:color w:val="auto"/>
        </w:rPr>
        <w:t>” means equity awards covering shares of the Company’s common stock granted to the Executive.</w:t>
      </w:r>
    </w:p>
    <w:p>
      <w:pPr>
        <w:spacing w:after="0" w:line="162" w:lineRule="exact"/>
        <w:rPr>
          <w:rFonts w:ascii="Times New Roman" w:cs="Times New Roman" w:eastAsia="Times New Roman" w:hAnsi="Times New Roman"/>
          <w:sz w:val="15"/>
          <w:szCs w:val="15"/>
          <w:color w:val="auto"/>
        </w:rPr>
      </w:pPr>
    </w:p>
    <w:p>
      <w:pPr>
        <w:ind w:left="1260" w:hanging="335"/>
        <w:spacing w:after="0"/>
        <w:tabs>
          <w:tab w:leader="none" w:pos="1260" w:val="left"/>
        </w:tabs>
        <w:numPr>
          <w:ilvl w:val="0"/>
          <w:numId w:val="5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Good Reason</w:t>
      </w:r>
      <w:r>
        <w:rPr>
          <w:rFonts w:ascii="Times New Roman" w:cs="Times New Roman" w:eastAsia="Times New Roman" w:hAnsi="Times New Roman"/>
          <w:sz w:val="15"/>
          <w:szCs w:val="15"/>
          <w:color w:val="auto"/>
        </w:rPr>
        <w:t>” means that the Executive resigns from the Company if one of the following events occur without the Executive’s consent:</w:t>
      </w:r>
    </w:p>
    <w:p>
      <w:pPr>
        <w:spacing w:after="0" w:line="166" w:lineRule="exact"/>
        <w:rPr>
          <w:rFonts w:ascii="Times New Roman" w:cs="Times New Roman" w:eastAsia="Times New Roman" w:hAnsi="Times New Roman"/>
          <w:sz w:val="15"/>
          <w:szCs w:val="15"/>
          <w:color w:val="auto"/>
        </w:rPr>
      </w:pPr>
    </w:p>
    <w:p>
      <w:pPr>
        <w:ind w:left="1800" w:hanging="301"/>
        <w:spacing w:after="0"/>
        <w:tabs>
          <w:tab w:leader="none" w:pos="1800" w:val="left"/>
        </w:tabs>
        <w:numPr>
          <w:ilvl w:val="1"/>
          <w:numId w:val="5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material reduction in the Executive’s base salary, fringe benefits, or target annual bonus;</w:t>
      </w:r>
    </w:p>
    <w:p>
      <w:pPr>
        <w:spacing w:after="0" w:line="162" w:lineRule="exact"/>
        <w:rPr>
          <w:rFonts w:ascii="Times New Roman" w:cs="Times New Roman" w:eastAsia="Times New Roman" w:hAnsi="Times New Roman"/>
          <w:sz w:val="15"/>
          <w:szCs w:val="15"/>
          <w:color w:val="auto"/>
        </w:rPr>
      </w:pPr>
    </w:p>
    <w:p>
      <w:pPr>
        <w:jc w:val="both"/>
        <w:ind w:right="20" w:firstLine="1451"/>
        <w:spacing w:after="0" w:line="270" w:lineRule="auto"/>
        <w:tabs>
          <w:tab w:leader="none" w:pos="1854" w:val="left"/>
        </w:tabs>
        <w:numPr>
          <w:ilvl w:val="1"/>
          <w:numId w:val="5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[CEO: a change in the Executive’s title or] a material diminution in the Executive’s authority, duties or responsibilities [CEO: (including, without limitation, the Executive no longer being the Chief Executive Officer of a company the shares of stock of which are publicly-traded if, after the Effective Date, the Company or its successor undergoes an underwritten initial public offering, direct listing or similar transaction)];</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53" w:lineRule="exact"/>
        <w:rPr>
          <w:rFonts w:ascii="Times New Roman" w:cs="Times New Roman" w:eastAsia="Times New Roman" w:hAnsi="Times New Roman"/>
          <w:sz w:val="15"/>
          <w:szCs w:val="15"/>
          <w:color w:val="auto"/>
        </w:rPr>
      </w:pPr>
    </w:p>
    <w:p>
      <w:pPr>
        <w:ind w:left="5240" w:hanging="95"/>
        <w:spacing w:after="0"/>
        <w:tabs>
          <w:tab w:leader="none" w:pos="5240" w:val="left"/>
        </w:tabs>
        <w:numPr>
          <w:ilvl w:val="2"/>
          <w:numId w:val="5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10 -</w:t>
      </w:r>
    </w:p>
    <w:p>
      <w:pPr>
        <w:sectPr>
          <w:pgSz w:w="11900" w:h="16840" w:orient="portrait"/>
          <w:cols w:equalWidth="0" w:num="1">
            <w:col w:w="10620"/>
          </w:cols>
          <w:pgMar w:left="640" w:top="1440" w:right="640" w:bottom="1440" w:gutter="0" w:footer="0" w:header="0"/>
        </w:sectPr>
      </w:pPr>
    </w:p>
    <w:bookmarkStart w:id="439" w:name="page440"/>
    <w:bookmarkEnd w:id="439"/>
    <w:p>
      <w:pPr>
        <w:spacing w:after="0" w:line="36" w:lineRule="exact"/>
        <w:rPr>
          <w:sz w:val="20"/>
          <w:szCs w:val="20"/>
          <w:color w:val="auto"/>
        </w:rPr>
      </w:pPr>
    </w:p>
    <w:p>
      <w:pPr>
        <w:ind w:right="20" w:firstLine="1413"/>
        <w:spacing w:after="0" w:line="294" w:lineRule="auto"/>
        <w:tabs>
          <w:tab w:leader="none" w:pos="1789" w:val="left"/>
        </w:tabs>
        <w:numPr>
          <w:ilvl w:val="0"/>
          <w:numId w:val="5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[CEO/CTO: the Executive no longer reporting directly and exclusively to [CEO</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the Board or, in the event of a Change in Control, the board of directors or similar governing body of the successor entity to the Company or its ultimate parent controlling entity][CTO</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the Chief Executive Officer];</w:t>
      </w:r>
    </w:p>
    <w:p>
      <w:pPr>
        <w:spacing w:after="0" w:line="98" w:lineRule="exact"/>
        <w:rPr>
          <w:rFonts w:ascii="Times New Roman" w:cs="Times New Roman" w:eastAsia="Times New Roman" w:hAnsi="Times New Roman"/>
          <w:sz w:val="15"/>
          <w:szCs w:val="15"/>
          <w:color w:val="auto"/>
        </w:rPr>
      </w:pPr>
    </w:p>
    <w:p>
      <w:pPr>
        <w:ind w:right="40" w:firstLine="1423"/>
        <w:spacing w:after="0" w:line="289" w:lineRule="auto"/>
        <w:tabs>
          <w:tab w:leader="none" w:pos="1840" w:val="left"/>
        </w:tabs>
        <w:numPr>
          <w:ilvl w:val="0"/>
          <w:numId w:val="5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Executive is required to move the Executive’s office to a location more than 35 miles from the location where the Executive’s office is located immediately prior to such relocation;</w:t>
      </w:r>
    </w:p>
    <w:p>
      <w:pPr>
        <w:spacing w:after="0" w:line="101" w:lineRule="exact"/>
        <w:rPr>
          <w:rFonts w:ascii="Times New Roman" w:cs="Times New Roman" w:eastAsia="Times New Roman" w:hAnsi="Times New Roman"/>
          <w:sz w:val="15"/>
          <w:szCs w:val="15"/>
          <w:color w:val="auto"/>
        </w:rPr>
      </w:pPr>
    </w:p>
    <w:p>
      <w:pPr>
        <w:ind w:left="1860" w:hanging="399"/>
        <w:spacing w:after="0"/>
        <w:tabs>
          <w:tab w:leader="none" w:pos="1860" w:val="left"/>
        </w:tabs>
        <w:numPr>
          <w:ilvl w:val="0"/>
          <w:numId w:val="5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material breach by the Company or any of its affiliates of any written agreement between the Executive and the Company or any of its</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affiliates; or</w:t>
      </w:r>
    </w:p>
    <w:p>
      <w:pPr>
        <w:spacing w:after="0" w:line="146" w:lineRule="exact"/>
        <w:rPr>
          <w:rFonts w:ascii="Times New Roman" w:cs="Times New Roman" w:eastAsia="Times New Roman" w:hAnsi="Times New Roman"/>
          <w:sz w:val="15"/>
          <w:szCs w:val="15"/>
          <w:color w:val="auto"/>
        </w:rPr>
      </w:pPr>
    </w:p>
    <w:p>
      <w:pPr>
        <w:ind w:left="1800" w:hanging="377"/>
        <w:spacing w:after="0"/>
        <w:tabs>
          <w:tab w:leader="none" w:pos="1800" w:val="left"/>
        </w:tabs>
        <w:numPr>
          <w:ilvl w:val="0"/>
          <w:numId w:val="5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failure to obtain a written assumption of the obligations under the Agreement by the acquiror.</w:t>
      </w:r>
    </w:p>
    <w:p>
      <w:pPr>
        <w:spacing w:after="0" w:line="162" w:lineRule="exact"/>
        <w:rPr>
          <w:sz w:val="20"/>
          <w:szCs w:val="20"/>
          <w:color w:val="auto"/>
        </w:rPr>
      </w:pPr>
    </w:p>
    <w:p>
      <w:pPr>
        <w:jc w:val="both"/>
        <w:ind w:firstLine="919"/>
        <w:spacing w:after="0" w:line="260" w:lineRule="auto"/>
        <w:rPr>
          <w:sz w:val="20"/>
          <w:szCs w:val="20"/>
          <w:color w:val="auto"/>
        </w:rPr>
      </w:pPr>
      <w:r>
        <w:rPr>
          <w:rFonts w:ascii="Times New Roman" w:cs="Times New Roman" w:eastAsia="Times New Roman" w:hAnsi="Times New Roman"/>
          <w:sz w:val="15"/>
          <w:szCs w:val="15"/>
          <w:color w:val="auto"/>
        </w:rPr>
        <w:t>Notwithstanding the foregoing, the Executive’s resignation will be for “Good Reason” only if (i) the applicable event, circumstance or condition described above occurs without the Executive’s written consent, (ii) the Executive provides the Company with written notice of the event, circumstance or condition not later than 90 days following the occurrence of the event, circumstance or condition giving rise to Good Reason, which notice will set forth in reasonable detail the nature of the facts and circumstances which constitute Good Reason, (iii) the Executive provides the Company a period of 30 days after receipt of such resignation notice to remedy the event, circumstance or condition which constitutes Good Reason, and (iv) the Executive terminates the Executive’s employment for Good Reason within 30 days following the expiration of the period to remedy if the Company fails to remedy the condition.</w:t>
      </w:r>
    </w:p>
    <w:p>
      <w:pPr>
        <w:spacing w:after="0" w:line="119" w:lineRule="exact"/>
        <w:rPr>
          <w:sz w:val="20"/>
          <w:szCs w:val="20"/>
          <w:color w:val="auto"/>
        </w:rPr>
      </w:pPr>
    </w:p>
    <w:p>
      <w:pPr>
        <w:jc w:val="both"/>
        <w:ind w:right="20" w:firstLine="925"/>
        <w:spacing w:after="0" w:line="273" w:lineRule="auto"/>
        <w:tabs>
          <w:tab w:leader="none" w:pos="1245" w:val="left"/>
        </w:tabs>
        <w:numPr>
          <w:ilvl w:val="0"/>
          <w:numId w:val="5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Qualifying Termination</w:t>
      </w:r>
      <w:r>
        <w:rPr>
          <w:rFonts w:ascii="Times New Roman" w:cs="Times New Roman" w:eastAsia="Times New Roman" w:hAnsi="Times New Roman"/>
          <w:sz w:val="15"/>
          <w:szCs w:val="15"/>
          <w:color w:val="auto"/>
        </w:rPr>
        <w:t>” means a termination of the Executive’s employment either (i) by a Company Group member without Cause (excluding by reason of the Executive’s death or Disability) or (ii) by the Executive for Good Reason, in either case, during the Change in Control Period (a “</w:t>
      </w:r>
      <w:r>
        <w:rPr>
          <w:rFonts w:ascii="Times New Roman" w:cs="Times New Roman" w:eastAsia="Times New Roman" w:hAnsi="Times New Roman"/>
          <w:sz w:val="15"/>
          <w:szCs w:val="15"/>
          <w:b w:val="1"/>
          <w:bCs w:val="1"/>
          <w:color w:val="auto"/>
        </w:rPr>
        <w:t>Qualifying CIC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Termination</w:t>
      </w:r>
      <w:r>
        <w:rPr>
          <w:rFonts w:ascii="Times New Roman" w:cs="Times New Roman" w:eastAsia="Times New Roman" w:hAnsi="Times New Roman"/>
          <w:sz w:val="15"/>
          <w:szCs w:val="15"/>
          <w:color w:val="auto"/>
        </w:rPr>
        <w:t>”) or outside of the Change in Control Period (a “</w:t>
      </w:r>
      <w:r>
        <w:rPr>
          <w:rFonts w:ascii="Times New Roman" w:cs="Times New Roman" w:eastAsia="Times New Roman" w:hAnsi="Times New Roman"/>
          <w:sz w:val="15"/>
          <w:szCs w:val="15"/>
          <w:b w:val="1"/>
          <w:bCs w:val="1"/>
          <w:color w:val="auto"/>
        </w:rPr>
        <w:t>Qualifying Non-CIC Termination</w:t>
      </w:r>
      <w:r>
        <w:rPr>
          <w:rFonts w:ascii="Times New Roman" w:cs="Times New Roman" w:eastAsia="Times New Roman" w:hAnsi="Times New Roman"/>
          <w:sz w:val="15"/>
          <w:szCs w:val="15"/>
          <w:color w:val="auto"/>
        </w:rPr>
        <w:t>”).</w:t>
      </w:r>
    </w:p>
    <w:p>
      <w:pPr>
        <w:spacing w:after="0" w:line="109" w:lineRule="exact"/>
        <w:rPr>
          <w:rFonts w:ascii="Times New Roman" w:cs="Times New Roman" w:eastAsia="Times New Roman" w:hAnsi="Times New Roman"/>
          <w:sz w:val="15"/>
          <w:szCs w:val="15"/>
          <w:color w:val="auto"/>
        </w:rPr>
      </w:pPr>
    </w:p>
    <w:p>
      <w:pPr>
        <w:ind w:left="1300" w:hanging="375"/>
        <w:spacing w:after="0"/>
        <w:tabs>
          <w:tab w:leader="none" w:pos="1300" w:val="left"/>
        </w:tabs>
        <w:numPr>
          <w:ilvl w:val="0"/>
          <w:numId w:val="5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Qualifying Pre-CIC Termination</w:t>
      </w:r>
      <w:r>
        <w:rPr>
          <w:rFonts w:ascii="Times New Roman" w:cs="Times New Roman" w:eastAsia="Times New Roman" w:hAnsi="Times New Roman"/>
          <w:sz w:val="15"/>
          <w:szCs w:val="15"/>
          <w:color w:val="auto"/>
        </w:rPr>
        <w:t>” means a Qualifying CIC Termination that occurs prior to the date of a Change in Control.</w:t>
      </w:r>
    </w:p>
    <w:p>
      <w:pPr>
        <w:spacing w:after="0" w:line="162" w:lineRule="exact"/>
        <w:rPr>
          <w:rFonts w:ascii="Times New Roman" w:cs="Times New Roman" w:eastAsia="Times New Roman" w:hAnsi="Times New Roman"/>
          <w:sz w:val="15"/>
          <w:szCs w:val="15"/>
          <w:color w:val="auto"/>
        </w:rPr>
      </w:pPr>
    </w:p>
    <w:p>
      <w:pPr>
        <w:jc w:val="both"/>
        <w:ind w:right="40" w:firstLine="925"/>
        <w:spacing w:after="0" w:line="273" w:lineRule="auto"/>
        <w:tabs>
          <w:tab w:leader="none" w:pos="1250" w:val="left"/>
        </w:tabs>
        <w:numPr>
          <w:ilvl w:val="0"/>
          <w:numId w:val="5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Salary</w:t>
      </w:r>
      <w:r>
        <w:rPr>
          <w:rFonts w:ascii="Times New Roman" w:cs="Times New Roman" w:eastAsia="Times New Roman" w:hAnsi="Times New Roman"/>
          <w:sz w:val="15"/>
          <w:szCs w:val="15"/>
          <w:color w:val="auto"/>
        </w:rPr>
        <w:t>” means the Executive’s annual base salary as in effect immediately prior to the Executive’s Qualifying Termination (or if the termination is due to a resignation for Good Reason based on a material reduction in base salary, then the Executive’s annual base salary in effect immediately prior to the reduction) or, if the Executive’s Qualifying Termination is a Qualifying CIC Termination and the amount is greater, at the level in effect immediately prior to the Change in Control.</w:t>
      </w:r>
    </w:p>
    <w:p>
      <w:pPr>
        <w:spacing w:after="0" w:line="109" w:lineRule="exact"/>
        <w:rPr>
          <w:rFonts w:ascii="Times New Roman" w:cs="Times New Roman" w:eastAsia="Times New Roman" w:hAnsi="Times New Roman"/>
          <w:sz w:val="15"/>
          <w:szCs w:val="15"/>
          <w:color w:val="auto"/>
        </w:rPr>
      </w:pPr>
    </w:p>
    <w:p>
      <w:pPr>
        <w:jc w:val="both"/>
        <w:ind w:right="40" w:firstLine="925"/>
        <w:spacing w:after="0" w:line="273" w:lineRule="auto"/>
        <w:tabs>
          <w:tab w:leader="none" w:pos="1269" w:val="left"/>
        </w:tabs>
        <w:numPr>
          <w:ilvl w:val="0"/>
          <w:numId w:val="5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Time-Based Equity Awards</w:t>
      </w:r>
      <w:r>
        <w:rPr>
          <w:rFonts w:ascii="Times New Roman" w:cs="Times New Roman" w:eastAsia="Times New Roman" w:hAnsi="Times New Roman"/>
          <w:sz w:val="15"/>
          <w:szCs w:val="15"/>
          <w:color w:val="auto"/>
        </w:rPr>
        <w:t xml:space="preserve"> ” means Equity Awards that, as of (i) in the case of a Qualifying Non-CIC Termination, the date of the Qualifying Non-CIC Termination, or (ii) in the case of a Qualifying CIC Termination, the later of (A) the date of the Qualifying Termination or (B) immediately prior to the Change in Control, are held by Executive and</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50" w:lineRule="exact"/>
        <w:rPr>
          <w:rFonts w:ascii="Times New Roman" w:cs="Times New Roman" w:eastAsia="Times New Roman" w:hAnsi="Times New Roman"/>
          <w:sz w:val="15"/>
          <w:szCs w:val="15"/>
          <w:color w:val="auto"/>
        </w:rPr>
      </w:pPr>
    </w:p>
    <w:p>
      <w:pPr>
        <w:ind w:left="5240" w:hanging="95"/>
        <w:spacing w:after="0"/>
        <w:tabs>
          <w:tab w:leader="none" w:pos="5240" w:val="left"/>
        </w:tabs>
        <w:numPr>
          <w:ilvl w:val="1"/>
          <w:numId w:val="5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11 -</w:t>
      </w:r>
    </w:p>
    <w:p>
      <w:pPr>
        <w:sectPr>
          <w:pgSz w:w="11900" w:h="16840" w:orient="portrait"/>
          <w:cols w:equalWidth="0" w:num="1">
            <w:col w:w="10620"/>
          </w:cols>
          <w:pgMar w:left="640" w:top="1440" w:right="640" w:bottom="1440" w:gutter="0" w:footer="0" w:header="0"/>
        </w:sectPr>
      </w:pPr>
    </w:p>
    <w:bookmarkStart w:id="440" w:name="page441"/>
    <w:bookmarkEnd w:id="440"/>
    <w:p>
      <w:pPr>
        <w:spacing w:after="0" w:line="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subject to continued service-based vesting criteria, but not subject to the achievement of any performance-based or other similar vesting criteria. For avoidance of doubt, a liquidity event condition that applies to any award of restricted stock units will not be considered a performance-based vesting criteria for these purposes and further any equity award for which performance criteria have been satisfied and thereafter only service-based vesting criteria remain will be treated as a Time-Based Equity Award.</w:t>
      </w:r>
    </w:p>
    <w:p>
      <w:pPr>
        <w:spacing w:after="0" w:line="116" w:lineRule="exact"/>
        <w:rPr>
          <w:sz w:val="20"/>
          <w:szCs w:val="20"/>
          <w:color w:val="auto"/>
        </w:rPr>
      </w:pPr>
    </w:p>
    <w:p>
      <w:pPr>
        <w:jc w:val="both"/>
        <w:ind w:firstLine="466"/>
        <w:spacing w:after="0" w:line="260" w:lineRule="auto"/>
        <w:tabs>
          <w:tab w:leader="none" w:pos="622" w:val="left"/>
        </w:tabs>
        <w:numPr>
          <w:ilvl w:val="0"/>
          <w:numId w:val="5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Successors</w:t>
      </w:r>
      <w:r>
        <w:rPr>
          <w:rFonts w:ascii="Times New Roman" w:cs="Times New Roman" w:eastAsia="Times New Roman" w:hAnsi="Times New Roman"/>
          <w:sz w:val="15"/>
          <w:szCs w:val="15"/>
          <w:color w:val="auto"/>
        </w:rPr>
        <w:t>. The Agreement will be binding upon and inure to the benefit of (a) the heirs, executors, and legal representatives of the Executive upon the Executive’s death, and (b) any successor of the Company. Any such successor of the Company will be deemed substituted for the Company under the terms of the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the Executive to receive any form of compensation payable pursuant to the Agreement may be assigned or transferred except by will or the laws of descent and distribution. Any other attempted assignment, transfer, conveyance, or other disposition of the Executive’s right to compensation or other benefits will be null and void.</w:t>
      </w:r>
    </w:p>
    <w:p>
      <w:pPr>
        <w:spacing w:after="0" w:line="123" w:lineRule="exact"/>
        <w:rPr>
          <w:sz w:val="20"/>
          <w:szCs w:val="20"/>
          <w:color w:val="auto"/>
        </w:rPr>
      </w:pPr>
    </w:p>
    <w:p>
      <w:pPr>
        <w:ind w:left="740" w:hanging="274"/>
        <w:spacing w:after="0"/>
        <w:tabs>
          <w:tab w:leader="none" w:pos="740" w:val="left"/>
        </w:tabs>
        <w:numPr>
          <w:ilvl w:val="0"/>
          <w:numId w:val="5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w:t>
      </w:r>
      <w:r>
        <w:rPr>
          <w:rFonts w:ascii="Times New Roman" w:cs="Times New Roman" w:eastAsia="Times New Roman" w:hAnsi="Times New Roman"/>
          <w:sz w:val="15"/>
          <w:szCs w:val="15"/>
          <w:color w:val="auto"/>
        </w:rPr>
        <w:t>.</w:t>
      </w:r>
    </w:p>
    <w:p>
      <w:pPr>
        <w:spacing w:after="0" w:line="162" w:lineRule="exact"/>
        <w:rPr>
          <w:rFonts w:ascii="Times New Roman" w:cs="Times New Roman" w:eastAsia="Times New Roman" w:hAnsi="Times New Roman"/>
          <w:sz w:val="15"/>
          <w:szCs w:val="15"/>
          <w:color w:val="auto"/>
        </w:rPr>
      </w:pPr>
    </w:p>
    <w:p>
      <w:pPr>
        <w:jc w:val="both"/>
        <w:ind w:firstLine="925"/>
        <w:spacing w:after="0" w:line="264" w:lineRule="auto"/>
        <w:tabs>
          <w:tab w:leader="none" w:pos="1244" w:val="left"/>
        </w:tabs>
        <w:numPr>
          <w:ilvl w:val="1"/>
          <w:numId w:val="5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General</w:t>
      </w:r>
      <w:r>
        <w:rPr>
          <w:rFonts w:ascii="Times New Roman" w:cs="Times New Roman" w:eastAsia="Times New Roman" w:hAnsi="Times New Roman"/>
          <w:sz w:val="15"/>
          <w:szCs w:val="15"/>
          <w:color w:val="auto"/>
        </w:rPr>
        <w:t>. All notices and other communications required or permitted under the Agreement will be in writing and will be effectively given (i) upon actual delivery to the party to be notified, (ii) upon transmission by email, (iii) 24 hours after confirmed facsimile transmission, (iv) 1 business day after deposit with a recognized overnight courier, or (v) 3 business days after deposit with the U.S. Postal Service by first class certified or registered mail, return receipt requested, postage prepaid, addressed (A) if to the Executive, at the address the Executive will have most recently furnished to the Company in writing, (B) if to the Company, at the following address:</w:t>
      </w:r>
    </w:p>
    <w:p>
      <w:pPr>
        <w:spacing w:after="0" w:line="1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5"/>
          <w:szCs w:val="15"/>
          <w:color w:val="auto"/>
        </w:rPr>
        <w:t>Navan, Inc.</w:t>
      </w:r>
    </w:p>
    <w:p>
      <w:pPr>
        <w:spacing w:after="0" w:line="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5"/>
          <w:szCs w:val="15"/>
          <w:color w:val="auto"/>
        </w:rPr>
        <w:t>3045 Park Boulevard</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5"/>
          <w:szCs w:val="15"/>
          <w:color w:val="auto"/>
        </w:rPr>
        <w:t>Palo Alto, CA 94306</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5"/>
          <w:szCs w:val="15"/>
          <w:color w:val="auto"/>
        </w:rPr>
        <w:t>Attention: General Counsel</w:t>
      </w:r>
    </w:p>
    <w:p>
      <w:pPr>
        <w:spacing w:after="0" w:line="146" w:lineRule="exact"/>
        <w:rPr>
          <w:sz w:val="20"/>
          <w:szCs w:val="20"/>
          <w:color w:val="auto"/>
        </w:rPr>
      </w:pPr>
    </w:p>
    <w:p>
      <w:pPr>
        <w:jc w:val="both"/>
        <w:ind w:right="20" w:firstLine="925"/>
        <w:spacing w:after="0" w:line="258" w:lineRule="auto"/>
        <w:tabs>
          <w:tab w:leader="none" w:pos="1253" w:val="left"/>
        </w:tabs>
        <w:numPr>
          <w:ilvl w:val="2"/>
          <w:numId w:val="5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 of Termination</w:t>
      </w:r>
      <w:r>
        <w:rPr>
          <w:rFonts w:ascii="Times New Roman" w:cs="Times New Roman" w:eastAsia="Times New Roman" w:hAnsi="Times New Roman"/>
          <w:sz w:val="15"/>
          <w:szCs w:val="15"/>
          <w:color w:val="auto"/>
        </w:rPr>
        <w:t>. Any termination by a Company Group member for Cause will be communicated by a notice of termination to the Executive, and any termination by the Executive for Good Reason will be communicated by a notice of termination to the Company, in each case given in accordance with Section 9(a) of the Agreement. The notice will indicate the specific termination provision in the Agreement relied upon, will set forth in reasonable detail the facts and circumstances claimed to provide a basis for termination under the provision so indicated, and will specify the termination date (which will be not more than 30 days after the later of</w:t>
      </w:r>
    </w:p>
    <w:p>
      <w:pPr>
        <w:spacing w:after="0" w:line="1" w:lineRule="exact"/>
        <w:rPr>
          <w:rFonts w:ascii="Times New Roman" w:cs="Times New Roman" w:eastAsia="Times New Roman" w:hAnsi="Times New Roman"/>
          <w:sz w:val="15"/>
          <w:szCs w:val="15"/>
          <w:color w:val="auto"/>
        </w:rPr>
      </w:pPr>
    </w:p>
    <w:p>
      <w:pPr>
        <w:ind w:left="180" w:hanging="173"/>
        <w:spacing w:after="0"/>
        <w:tabs>
          <w:tab w:leader="none" w:pos="180" w:val="left"/>
        </w:tabs>
        <w:numPr>
          <w:ilvl w:val="0"/>
          <w:numId w:val="5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giving of the notice or (ii) the end of any applicable cure period).</w:t>
      </w:r>
    </w:p>
    <w:p>
      <w:pPr>
        <w:spacing w:after="0" w:line="146" w:lineRule="exact"/>
        <w:rPr>
          <w:rFonts w:ascii="Times New Roman" w:cs="Times New Roman" w:eastAsia="Times New Roman" w:hAnsi="Times New Roman"/>
          <w:sz w:val="15"/>
          <w:szCs w:val="15"/>
          <w:color w:val="auto"/>
        </w:rPr>
      </w:pPr>
    </w:p>
    <w:p>
      <w:pPr>
        <w:ind w:right="20" w:firstLine="459"/>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1 0 . </w:t>
      </w:r>
      <w:r>
        <w:rPr>
          <w:rFonts w:ascii="Times New Roman" w:cs="Times New Roman" w:eastAsia="Times New Roman" w:hAnsi="Times New Roman"/>
          <w:sz w:val="15"/>
          <w:szCs w:val="15"/>
          <w:u w:val="single" w:color="auto"/>
          <w:color w:val="auto"/>
        </w:rPr>
        <w:t>Resignation</w:t>
      </w:r>
      <w:r>
        <w:rPr>
          <w:rFonts w:ascii="Times New Roman" w:cs="Times New Roman" w:eastAsia="Times New Roman" w:hAnsi="Times New Roman"/>
          <w:sz w:val="15"/>
          <w:szCs w:val="15"/>
          <w:color w:val="auto"/>
        </w:rPr>
        <w:t>. The termination of the Executive’s employment for any reason will also constitute, without any further required action by the Executive, the Executive’s voluntary</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38" w:lineRule="exact"/>
        <w:rPr>
          <w:rFonts w:ascii="Times New Roman" w:cs="Times New Roman" w:eastAsia="Times New Roman" w:hAnsi="Times New Roman"/>
          <w:sz w:val="15"/>
          <w:szCs w:val="15"/>
          <w:color w:val="auto"/>
        </w:rPr>
      </w:pPr>
    </w:p>
    <w:p>
      <w:pPr>
        <w:ind w:left="5240" w:hanging="95"/>
        <w:spacing w:after="0"/>
        <w:tabs>
          <w:tab w:leader="none" w:pos="5240" w:val="left"/>
        </w:tabs>
        <w:numPr>
          <w:ilvl w:val="3"/>
          <w:numId w:val="5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12 -</w:t>
      </w:r>
    </w:p>
    <w:p>
      <w:pPr>
        <w:sectPr>
          <w:pgSz w:w="11900" w:h="16840" w:orient="portrait"/>
          <w:cols w:equalWidth="0" w:num="1">
            <w:col w:w="10620"/>
          </w:cols>
          <w:pgMar w:left="640" w:top="1440" w:right="640" w:bottom="1440" w:gutter="0" w:footer="0" w:header="0"/>
        </w:sectPr>
      </w:pPr>
    </w:p>
    <w:bookmarkStart w:id="441" w:name="page442"/>
    <w:bookmarkEnd w:id="441"/>
    <w:p>
      <w:pPr>
        <w:spacing w:after="0" w:line="4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5"/>
          <w:szCs w:val="15"/>
          <w:color w:val="auto"/>
        </w:rPr>
        <w:t>resignation from all officer and/or director positions held at any member of the Company Group, and at the Board’s request, the Executive will execute any documents reasonably necessary to reflect the resignations.</w:t>
      </w:r>
    </w:p>
    <w:p>
      <w:pPr>
        <w:spacing w:after="0" w:line="101" w:lineRule="exact"/>
        <w:rPr>
          <w:sz w:val="20"/>
          <w:szCs w:val="20"/>
          <w:color w:val="auto"/>
        </w:rPr>
      </w:pPr>
    </w:p>
    <w:p>
      <w:pPr>
        <w:ind w:left="820" w:hanging="354"/>
        <w:spacing w:after="0"/>
        <w:tabs>
          <w:tab w:leader="none" w:pos="820" w:val="left"/>
        </w:tabs>
        <w:numPr>
          <w:ilvl w:val="0"/>
          <w:numId w:val="5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Miscellaneous Provisions</w:t>
      </w:r>
      <w:r>
        <w:rPr>
          <w:rFonts w:ascii="Times New Roman" w:cs="Times New Roman" w:eastAsia="Times New Roman" w:hAnsi="Times New Roman"/>
          <w:sz w:val="15"/>
          <w:szCs w:val="15"/>
          <w:color w:val="auto"/>
        </w:rPr>
        <w:t>.</w:t>
      </w:r>
    </w:p>
    <w:p>
      <w:pPr>
        <w:spacing w:after="0" w:line="162" w:lineRule="exact"/>
        <w:rPr>
          <w:rFonts w:ascii="Times New Roman" w:cs="Times New Roman" w:eastAsia="Times New Roman" w:hAnsi="Times New Roman"/>
          <w:sz w:val="15"/>
          <w:szCs w:val="15"/>
          <w:color w:val="auto"/>
        </w:rPr>
      </w:pPr>
    </w:p>
    <w:p>
      <w:pPr>
        <w:ind w:firstLine="925"/>
        <w:spacing w:after="0" w:line="289" w:lineRule="auto"/>
        <w:tabs>
          <w:tab w:leader="none" w:pos="1253" w:val="left"/>
        </w:tabs>
        <w:numPr>
          <w:ilvl w:val="1"/>
          <w:numId w:val="5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Duty to Mitigate</w:t>
      </w:r>
      <w:r>
        <w:rPr>
          <w:rFonts w:ascii="Times New Roman" w:cs="Times New Roman" w:eastAsia="Times New Roman" w:hAnsi="Times New Roman"/>
          <w:sz w:val="15"/>
          <w:szCs w:val="15"/>
          <w:color w:val="auto"/>
        </w:rPr>
        <w:t>. The Executive will not be required to mitigate the amount of any payment contemplated by the Agreement, nor will any payment be reduced by any earnings that the Executive may receive from any other source.</w:t>
      </w:r>
    </w:p>
    <w:p>
      <w:pPr>
        <w:spacing w:after="0" w:line="101" w:lineRule="exact"/>
        <w:rPr>
          <w:rFonts w:ascii="Times New Roman" w:cs="Times New Roman" w:eastAsia="Times New Roman" w:hAnsi="Times New Roman"/>
          <w:sz w:val="15"/>
          <w:szCs w:val="15"/>
          <w:color w:val="auto"/>
        </w:rPr>
      </w:pPr>
    </w:p>
    <w:p>
      <w:pPr>
        <w:jc w:val="both"/>
        <w:ind w:firstLine="925"/>
        <w:spacing w:after="0" w:line="264" w:lineRule="auto"/>
        <w:tabs>
          <w:tab w:leader="none" w:pos="1273" w:val="left"/>
        </w:tabs>
        <w:numPr>
          <w:ilvl w:val="1"/>
          <w:numId w:val="5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Waiver; Amendment</w:t>
      </w:r>
      <w:r>
        <w:rPr>
          <w:rFonts w:ascii="Times New Roman" w:cs="Times New Roman" w:eastAsia="Times New Roman" w:hAnsi="Times New Roman"/>
          <w:sz w:val="15"/>
          <w:szCs w:val="15"/>
          <w:color w:val="auto"/>
        </w:rPr>
        <w:t>. No provision of the Agreement will be modified, waived or discharged unless the modification, waiver or discharge is agreed to in writing and signed by an authorized officer of the Company (other than the Executive) and by the Executive. No waiver by either party of any breach of, or of compliance with, any condition or provision of the Agreement by the other party will be considered a waiver of any other condition or provision or of the same condition or provision at another time.</w:t>
      </w:r>
    </w:p>
    <w:p>
      <w:pPr>
        <w:spacing w:after="0" w:line="121" w:lineRule="exact"/>
        <w:rPr>
          <w:rFonts w:ascii="Times New Roman" w:cs="Times New Roman" w:eastAsia="Times New Roman" w:hAnsi="Times New Roman"/>
          <w:sz w:val="15"/>
          <w:szCs w:val="15"/>
          <w:color w:val="auto"/>
        </w:rPr>
      </w:pPr>
    </w:p>
    <w:p>
      <w:pPr>
        <w:ind w:left="1260" w:hanging="335"/>
        <w:spacing w:after="0"/>
        <w:tabs>
          <w:tab w:leader="none" w:pos="1260" w:val="left"/>
        </w:tabs>
        <w:numPr>
          <w:ilvl w:val="1"/>
          <w:numId w:val="5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Headings</w:t>
      </w:r>
      <w:r>
        <w:rPr>
          <w:rFonts w:ascii="Times New Roman" w:cs="Times New Roman" w:eastAsia="Times New Roman" w:hAnsi="Times New Roman"/>
          <w:sz w:val="15"/>
          <w:szCs w:val="15"/>
          <w:color w:val="auto"/>
        </w:rPr>
        <w:t>. All captions and section headings used in the Agreement are for convenient reference only and do not form a part of the Agreement.</w:t>
      </w:r>
    </w:p>
    <w:p>
      <w:pPr>
        <w:spacing w:after="0" w:line="162" w:lineRule="exact"/>
        <w:rPr>
          <w:sz w:val="20"/>
          <w:szCs w:val="20"/>
          <w:color w:val="auto"/>
        </w:rPr>
      </w:pPr>
    </w:p>
    <w:p>
      <w:pPr>
        <w:jc w:val="both"/>
        <w:ind w:firstLine="925"/>
        <w:spacing w:after="0" w:line="270" w:lineRule="auto"/>
        <w:tabs>
          <w:tab w:leader="none" w:pos="1051" w:val="left"/>
        </w:tabs>
        <w:numPr>
          <w:ilvl w:val="0"/>
          <w:numId w:val="5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d ) </w:t>
      </w:r>
      <w:r>
        <w:rPr>
          <w:rFonts w:ascii="Times New Roman" w:cs="Times New Roman" w:eastAsia="Times New Roman" w:hAnsi="Times New Roman"/>
          <w:sz w:val="15"/>
          <w:szCs w:val="15"/>
          <w:u w:val="single" w:color="auto"/>
          <w:color w:val="auto"/>
        </w:rPr>
        <w:t>Entire Agreement</w:t>
      </w:r>
      <w:r>
        <w:rPr>
          <w:rFonts w:ascii="Times New Roman" w:cs="Times New Roman" w:eastAsia="Times New Roman" w:hAnsi="Times New Roman"/>
          <w:sz w:val="15"/>
          <w:szCs w:val="15"/>
          <w:color w:val="auto"/>
        </w:rPr>
        <w:t>. The Agreement constitutes the entire agreement of the parties and supersedes in their entirety all prior representations, understandings, undertakings or agreements (whether oral or written and whether expressed or implied) of the parties with respect to the subject matter of the Agreement, including, for the avoidance of doubt, any other employment letter or agreement, severance policy or program, or equity award agreement.</w:t>
      </w:r>
    </w:p>
    <w:p>
      <w:pPr>
        <w:spacing w:after="0" w:line="116" w:lineRule="exact"/>
        <w:rPr>
          <w:sz w:val="20"/>
          <w:szCs w:val="20"/>
          <w:color w:val="auto"/>
        </w:rPr>
      </w:pPr>
    </w:p>
    <w:p>
      <w:pPr>
        <w:jc w:val="both"/>
        <w:ind w:firstLine="925"/>
        <w:spacing w:after="0" w:line="268" w:lineRule="auto"/>
        <w:tabs>
          <w:tab w:leader="none" w:pos="1253" w:val="left"/>
        </w:tabs>
        <w:numPr>
          <w:ilvl w:val="0"/>
          <w:numId w:val="5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Choice of Law</w:t>
      </w:r>
      <w:r>
        <w:rPr>
          <w:rFonts w:ascii="Times New Roman" w:cs="Times New Roman" w:eastAsia="Times New Roman" w:hAnsi="Times New Roman"/>
          <w:sz w:val="15"/>
          <w:szCs w:val="15"/>
          <w:color w:val="auto"/>
        </w:rPr>
        <w:t>. The Agreement will be governed by the laws of the [State of California] without regard to [California]’s conflicts of law rules that may result in the application of the laws of any jurisdiction other than [California]. To the extent that any lawsuit is permitted under the Agreement, the Executive hereby expressly consents to the personal and exclusive jurisdiction and venue of the state and federal courts located in [California] for any lawsuit filed against the Executive by the Company.</w:t>
      </w:r>
    </w:p>
    <w:p>
      <w:pPr>
        <w:spacing w:after="0" w:line="302" w:lineRule="exact"/>
        <w:rPr>
          <w:rFonts w:ascii="Times New Roman" w:cs="Times New Roman" w:eastAsia="Times New Roman" w:hAnsi="Times New Roman"/>
          <w:sz w:val="15"/>
          <w:szCs w:val="15"/>
          <w:color w:val="auto"/>
        </w:rPr>
      </w:pPr>
    </w:p>
    <w:p>
      <w:pPr>
        <w:ind w:firstLine="925"/>
        <w:spacing w:after="0" w:line="289" w:lineRule="auto"/>
        <w:tabs>
          <w:tab w:leader="none" w:pos="1225" w:val="left"/>
        </w:tabs>
        <w:numPr>
          <w:ilvl w:val="0"/>
          <w:numId w:val="5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The invalidity or unenforceability of any provision or provisions of the Agreement will not affect the validity or enforceability of any other provision of the Agreement, which will remain in full force and effect.</w:t>
      </w:r>
    </w:p>
    <w:p>
      <w:pPr>
        <w:spacing w:after="0" w:line="101" w:lineRule="exact"/>
        <w:rPr>
          <w:rFonts w:ascii="Times New Roman" w:cs="Times New Roman" w:eastAsia="Times New Roman" w:hAnsi="Times New Roman"/>
          <w:sz w:val="15"/>
          <w:szCs w:val="15"/>
          <w:color w:val="auto"/>
        </w:rPr>
      </w:pPr>
    </w:p>
    <w:p>
      <w:pPr>
        <w:jc w:val="both"/>
        <w:ind w:firstLine="925"/>
        <w:spacing w:after="0" w:line="270" w:lineRule="auto"/>
        <w:tabs>
          <w:tab w:leader="none" w:pos="1282" w:val="left"/>
        </w:tabs>
        <w:numPr>
          <w:ilvl w:val="0"/>
          <w:numId w:val="5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Withholding</w:t>
      </w:r>
      <w:r>
        <w:rPr>
          <w:rFonts w:ascii="Times New Roman" w:cs="Times New Roman" w:eastAsia="Times New Roman" w:hAnsi="Times New Roman"/>
          <w:sz w:val="15"/>
          <w:szCs w:val="15"/>
          <w:color w:val="auto"/>
        </w:rPr>
        <w:t>. All payments and benefits under the Agreement will be paid less applicable withholding taxes. The Company is authorized to withhold from any payments or benefits all federal, state, local, and/or foreign taxes required to be withheld from the payments or benefits and make any other required payroll deductions. No member of the Company Group will pay the Executive’s taxes arising from or relating to any payments or benefits under the Agreement.</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53" w:lineRule="exact"/>
        <w:rPr>
          <w:rFonts w:ascii="Times New Roman" w:cs="Times New Roman" w:eastAsia="Times New Roman" w:hAnsi="Times New Roman"/>
          <w:sz w:val="15"/>
          <w:szCs w:val="15"/>
          <w:color w:val="auto"/>
        </w:rPr>
      </w:pPr>
    </w:p>
    <w:p>
      <w:pPr>
        <w:ind w:left="5240" w:hanging="95"/>
        <w:spacing w:after="0"/>
        <w:tabs>
          <w:tab w:leader="none" w:pos="5240" w:val="left"/>
        </w:tabs>
        <w:numPr>
          <w:ilvl w:val="1"/>
          <w:numId w:val="5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13 -</w:t>
      </w:r>
    </w:p>
    <w:p>
      <w:pPr>
        <w:sectPr>
          <w:pgSz w:w="11900" w:h="16840" w:orient="portrait"/>
          <w:cols w:equalWidth="0" w:num="1">
            <w:col w:w="10600"/>
          </w:cols>
          <w:pgMar w:left="640" w:top="1440" w:right="660" w:bottom="1440" w:gutter="0" w:footer="0" w:header="0"/>
        </w:sectPr>
      </w:pPr>
    </w:p>
    <w:bookmarkStart w:id="442" w:name="page443"/>
    <w:bookmarkEnd w:id="442"/>
    <w:p>
      <w:pPr>
        <w:spacing w:after="0" w:line="40" w:lineRule="exact"/>
        <w:rPr>
          <w:sz w:val="20"/>
          <w:szCs w:val="20"/>
          <w:color w:val="auto"/>
        </w:rPr>
      </w:pPr>
    </w:p>
    <w:p>
      <w:pPr>
        <w:ind w:left="-20" w:firstLine="925"/>
        <w:spacing w:after="0" w:line="289" w:lineRule="auto"/>
        <w:tabs>
          <w:tab w:leader="none" w:pos="1253" w:val="left"/>
        </w:tabs>
        <w:numPr>
          <w:ilvl w:val="0"/>
          <w:numId w:val="5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 The Agreement may be executed in counterparts, each of which will be deemed an original, but all of which together will constitute one and the same instrument.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- 14 -</w:t>
      </w:r>
    </w:p>
    <w:p>
      <w:pPr>
        <w:sectPr>
          <w:pgSz w:w="11900" w:h="16840" w:orient="portrait"/>
          <w:cols w:equalWidth="0" w:num="1">
            <w:col w:w="10580"/>
          </w:cols>
          <w:pgMar w:left="660" w:top="1440" w:right="660" w:bottom="1440" w:gutter="0" w:footer="0" w:header="0"/>
        </w:sectPr>
      </w:pPr>
    </w:p>
    <w:bookmarkStart w:id="443" w:name="page444"/>
    <w:bookmarkEnd w:id="443"/>
    <w:p>
      <w:pPr>
        <w:spacing w:after="0" w:line="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By its signature below, each of the parties signifies its acceptance of the terms of the Agreement, in the case of the Company by its duly authorized officer.</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EXECUTIVE</w:t>
            </w:r>
          </w:p>
        </w:tc>
        <w:tc>
          <w:tcPr>
            <w:tcW w:w="3200" w:type="dxa"/>
            <w:vAlign w:val="bottom"/>
          </w:tcPr>
          <w:p>
            <w:pPr>
              <w:spacing w:after="0"/>
              <w:rPr>
                <w:sz w:val="17"/>
                <w:szCs w:val="17"/>
                <w:color w:val="auto"/>
              </w:rPr>
            </w:pPr>
          </w:p>
        </w:tc>
        <w:tc>
          <w:tcPr>
            <w:tcW w:w="5660" w:type="dxa"/>
            <w:vAlign w:val="bottom"/>
            <w:gridSpan w:val="4"/>
          </w:tcPr>
          <w:p>
            <w:pPr>
              <w:ind w:left="960"/>
              <w:spacing w:after="0"/>
              <w:rPr>
                <w:sz w:val="20"/>
                <w:szCs w:val="20"/>
                <w:color w:val="auto"/>
              </w:rPr>
            </w:pPr>
            <w:r>
              <w:rPr>
                <w:rFonts w:ascii="Times New Roman" w:cs="Times New Roman" w:eastAsia="Times New Roman" w:hAnsi="Times New Roman"/>
                <w:sz w:val="15"/>
                <w:szCs w:val="15"/>
                <w:b w:val="1"/>
                <w:bCs w:val="1"/>
                <w:color w:val="auto"/>
              </w:rPr>
              <w:t>NAVAN, INC.</w:t>
            </w:r>
          </w:p>
        </w:tc>
      </w:tr>
      <w:tr>
        <w:trPr>
          <w:trHeight w:val="490"/>
        </w:trPr>
        <w:tc>
          <w:tcPr>
            <w:tcW w:w="14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Signature:</w:t>
            </w:r>
          </w:p>
        </w:tc>
        <w:tc>
          <w:tcPr>
            <w:tcW w:w="3200" w:type="dxa"/>
            <w:vAlign w:val="bottom"/>
            <w:tcBorders>
              <w:bottom w:val="single" w:sz="8" w:color="auto"/>
            </w:tcBorders>
          </w:tcPr>
          <w:p>
            <w:pPr>
              <w:spacing w:after="0"/>
              <w:rPr>
                <w:sz w:val="24"/>
                <w:szCs w:val="24"/>
                <w:color w:val="auto"/>
              </w:rPr>
            </w:pPr>
          </w:p>
        </w:tc>
        <w:tc>
          <w:tcPr>
            <w:tcW w:w="2360" w:type="dxa"/>
            <w:vAlign w:val="bottom"/>
            <w:gridSpan w:val="3"/>
          </w:tcPr>
          <w:p>
            <w:pPr>
              <w:ind w:left="960"/>
              <w:spacing w:after="0"/>
              <w:rPr>
                <w:sz w:val="20"/>
                <w:szCs w:val="20"/>
                <w:color w:val="auto"/>
              </w:rPr>
            </w:pPr>
            <w:r>
              <w:rPr>
                <w:rFonts w:ascii="Times New Roman" w:cs="Times New Roman" w:eastAsia="Times New Roman" w:hAnsi="Times New Roman"/>
                <w:sz w:val="15"/>
                <w:szCs w:val="15"/>
                <w:color w:val="auto"/>
              </w:rPr>
              <w:t>Signature:</w:t>
            </w:r>
          </w:p>
        </w:tc>
        <w:tc>
          <w:tcPr>
            <w:tcW w:w="3300" w:type="dxa"/>
            <w:vAlign w:val="bottom"/>
            <w:tcBorders>
              <w:bottom w:val="single" w:sz="8" w:color="auto"/>
            </w:tcBorders>
          </w:tcPr>
          <w:p>
            <w:pPr>
              <w:spacing w:after="0"/>
              <w:rPr>
                <w:sz w:val="24"/>
                <w:szCs w:val="24"/>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Name:</w:t>
            </w:r>
          </w:p>
        </w:tc>
        <w:tc>
          <w:tcPr>
            <w:tcW w:w="3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02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Name:</w:t>
            </w:r>
          </w:p>
        </w:tc>
        <w:tc>
          <w:tcPr>
            <w:tcW w:w="3640" w:type="dxa"/>
            <w:vAlign w:val="bottom"/>
            <w:tcBorders>
              <w:bottom w:val="single" w:sz="8" w:color="auto"/>
            </w:tcBorders>
            <w:gridSpan w:val="2"/>
          </w:tcPr>
          <w:p>
            <w:pPr>
              <w:spacing w:after="0"/>
              <w:rPr>
                <w:sz w:val="24"/>
                <w:szCs w:val="24"/>
                <w:color w:val="auto"/>
              </w:rPr>
            </w:pP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Date:</w:t>
            </w:r>
          </w:p>
        </w:tc>
        <w:tc>
          <w:tcPr>
            <w:tcW w:w="480" w:type="dxa"/>
            <w:vAlign w:val="bottom"/>
            <w:tcBorders>
              <w:bottom w:val="single" w:sz="8" w:color="auto"/>
            </w:tcBorders>
            <w:gridSpan w:val="2"/>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88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Title:</w:t>
            </w:r>
          </w:p>
        </w:tc>
        <w:tc>
          <w:tcPr>
            <w:tcW w:w="3780" w:type="dxa"/>
            <w:vAlign w:val="bottom"/>
            <w:tcBorders>
              <w:bottom w:val="single" w:sz="8" w:color="auto"/>
            </w:tcBorders>
            <w:gridSpan w:val="3"/>
          </w:tcPr>
          <w:p>
            <w:pPr>
              <w:spacing w:after="0"/>
              <w:rPr>
                <w:sz w:val="24"/>
                <w:szCs w:val="24"/>
                <w:color w:val="auto"/>
              </w:rPr>
            </w:pPr>
          </w:p>
        </w:tc>
      </w:tr>
      <w:tr>
        <w:trPr>
          <w:trHeight w:val="324"/>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8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Date:</w:t>
            </w:r>
          </w:p>
        </w:tc>
        <w:tc>
          <w:tcPr>
            <w:tcW w:w="3780" w:type="dxa"/>
            <w:vAlign w:val="bottom"/>
            <w:tcBorders>
              <w:bottom w:val="single" w:sz="8" w:color="auto"/>
            </w:tcBorders>
            <w:gridSpan w:val="3"/>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i w:val="1"/>
          <w:iCs w:val="1"/>
          <w:color w:val="auto"/>
        </w:rPr>
        <w:t>[Signature page to Change in Control and Severance Agreement]</w:t>
      </w:r>
    </w:p>
    <w:p>
      <w:pPr>
        <w:spacing w:after="0" w:line="24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color w:val="auto"/>
        </w:rPr>
        <w:t>- 15 -</w:t>
      </w:r>
    </w:p>
    <w:p>
      <w:pPr>
        <w:sectPr>
          <w:pgSz w:w="11900" w:h="16840" w:orient="portrait"/>
          <w:cols w:equalWidth="0" w:num="1">
            <w:col w:w="10300"/>
          </w:cols>
          <w:pgMar w:left="660" w:top="1440" w:right="940" w:bottom="1440" w:gutter="0" w:footer="0" w:header="0"/>
        </w:sectPr>
      </w:pPr>
    </w:p>
    <w:bookmarkStart w:id="444" w:name="page445"/>
    <w:bookmarkEnd w:id="444"/>
    <w:p>
      <w:pPr>
        <w:ind w:left="9920"/>
        <w:spacing w:after="0"/>
        <w:rPr>
          <w:sz w:val="20"/>
          <w:szCs w:val="20"/>
          <w:color w:val="auto"/>
        </w:rPr>
      </w:pPr>
      <w:r>
        <w:rPr>
          <w:rFonts w:ascii="Times New Roman" w:cs="Times New Roman" w:eastAsia="Times New Roman" w:hAnsi="Times New Roman"/>
          <w:sz w:val="12"/>
          <w:szCs w:val="12"/>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EXCHANGE AGREEMENT</w:t>
      </w:r>
    </w:p>
    <w:p>
      <w:pPr>
        <w:spacing w:after="0" w:line="164" w:lineRule="exact"/>
        <w:rPr>
          <w:sz w:val="20"/>
          <w:szCs w:val="20"/>
          <w:color w:val="auto"/>
        </w:rPr>
      </w:pPr>
    </w:p>
    <w:p>
      <w:pPr>
        <w:jc w:val="both"/>
        <w:ind w:right="80" w:firstLine="459"/>
        <w:spacing w:after="0" w:line="296" w:lineRule="auto"/>
        <w:rPr>
          <w:sz w:val="20"/>
          <w:szCs w:val="20"/>
          <w:color w:val="auto"/>
        </w:rPr>
      </w:pPr>
      <w:r>
        <w:rPr>
          <w:rFonts w:ascii="Times New Roman" w:cs="Times New Roman" w:eastAsia="Times New Roman" w:hAnsi="Times New Roman"/>
          <w:sz w:val="14"/>
          <w:szCs w:val="14"/>
          <w:color w:val="auto"/>
        </w:rPr>
        <w:t xml:space="preserve">THIS EXCHANGE AGREEMENT (this “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is made and entered into as of , 2025, by and between Navan, Inc.,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xml:space="preserve">”), and stockholders of the Company listed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(collectively, “</w:t>
      </w:r>
      <w:r>
        <w:rPr>
          <w:rFonts w:ascii="Times New Roman" w:cs="Times New Roman" w:eastAsia="Times New Roman" w:hAnsi="Times New Roman"/>
          <w:sz w:val="14"/>
          <w:szCs w:val="14"/>
          <w:b w:val="1"/>
          <w:bCs w:val="1"/>
          <w:color w:val="auto"/>
        </w:rPr>
        <w:t>Exchange Stockholders</w:t>
      </w:r>
      <w:r>
        <w:rPr>
          <w:rFonts w:ascii="Times New Roman" w:cs="Times New Roman" w:eastAsia="Times New Roman" w:hAnsi="Times New Roman"/>
          <w:sz w:val="14"/>
          <w:szCs w:val="14"/>
          <w:color w:val="auto"/>
        </w:rPr>
        <w:t>”).</w:t>
      </w:r>
    </w:p>
    <w:p>
      <w:pPr>
        <w:spacing w:after="0" w:line="100" w:lineRule="exact"/>
        <w:rPr>
          <w:sz w:val="20"/>
          <w:szCs w:val="20"/>
          <w:color w:val="auto"/>
        </w:rPr>
      </w:pPr>
    </w:p>
    <w:p>
      <w:pPr>
        <w:jc w:val="both"/>
        <w:ind w:right="80" w:firstLine="459"/>
        <w:spacing w:after="0" w:line="289" w:lineRule="auto"/>
        <w:rPr>
          <w:sz w:val="20"/>
          <w:szCs w:val="20"/>
          <w:color w:val="auto"/>
        </w:rPr>
      </w:pPr>
      <w:r>
        <w:rPr>
          <w:rFonts w:ascii="Times New Roman" w:cs="Times New Roman" w:eastAsia="Times New Roman" w:hAnsi="Times New Roman"/>
          <w:sz w:val="14"/>
          <w:szCs w:val="14"/>
          <w:color w:val="auto"/>
        </w:rPr>
        <w:t>WHEREAS, the Company’s board of directors (the “</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has determined that it is in the best interests of the Company and its stockholders to implement a multi class common stock structure in connection with the Company’s initial public offering of its capital stock (the “</w:t>
      </w:r>
      <w:r>
        <w:rPr>
          <w:rFonts w:ascii="Times New Roman" w:cs="Times New Roman" w:eastAsia="Times New Roman" w:hAnsi="Times New Roman"/>
          <w:sz w:val="14"/>
          <w:szCs w:val="14"/>
          <w:b w:val="1"/>
          <w:bCs w:val="1"/>
          <w:color w:val="auto"/>
        </w:rPr>
        <w:t>IPO</w:t>
      </w:r>
      <w:r>
        <w:rPr>
          <w:rFonts w:ascii="Times New Roman" w:cs="Times New Roman" w:eastAsia="Times New Roman" w:hAnsi="Times New Roman"/>
          <w:sz w:val="14"/>
          <w:szCs w:val="14"/>
          <w:color w:val="auto"/>
        </w:rPr>
        <w:t>”) to, among other things, enable the Company to execute its long-term vision;</w:t>
      </w:r>
    </w:p>
    <w:p>
      <w:pPr>
        <w:spacing w:after="0" w:line="282" w:lineRule="exact"/>
        <w:rPr>
          <w:sz w:val="20"/>
          <w:szCs w:val="20"/>
          <w:color w:val="auto"/>
        </w:rPr>
      </w:pPr>
    </w:p>
    <w:p>
      <w:pPr>
        <w:jc w:val="both"/>
        <w:ind w:firstLine="459"/>
        <w:spacing w:after="0" w:line="270" w:lineRule="auto"/>
        <w:rPr>
          <w:sz w:val="20"/>
          <w:szCs w:val="20"/>
          <w:color w:val="auto"/>
        </w:rPr>
      </w:pPr>
      <w:r>
        <w:rPr>
          <w:rFonts w:ascii="Times New Roman" w:cs="Times New Roman" w:eastAsia="Times New Roman" w:hAnsi="Times New Roman"/>
          <w:sz w:val="14"/>
          <w:szCs w:val="14"/>
          <w:color w:val="auto"/>
        </w:rPr>
        <w:t xml:space="preserve">WHEREAS, in connection with the IPO, the Board and Stockholders approved an Amended and Restated Certificate of Incorporation of the Company (the “ </w:t>
      </w:r>
      <w:r>
        <w:rPr>
          <w:rFonts w:ascii="Times New Roman" w:cs="Times New Roman" w:eastAsia="Times New Roman" w:hAnsi="Times New Roman"/>
          <w:sz w:val="14"/>
          <w:szCs w:val="14"/>
          <w:b w:val="1"/>
          <w:bCs w:val="1"/>
          <w:color w:val="auto"/>
        </w:rPr>
        <w:t>Interim Charter</w:t>
      </w:r>
      <w:r>
        <w:rPr>
          <w:rFonts w:ascii="Times New Roman" w:cs="Times New Roman" w:eastAsia="Times New Roman" w:hAnsi="Times New Roman"/>
          <w:sz w:val="14"/>
          <w:szCs w:val="14"/>
          <w:color w:val="auto"/>
        </w:rPr>
        <w:t xml:space="preserve">”), which, among other things, created two series of common stock of the Company, Class A Common Stock, par value $0.00000625 per share (“ </w:t>
      </w:r>
      <w:r>
        <w:rPr>
          <w:rFonts w:ascii="Times New Roman" w:cs="Times New Roman" w:eastAsia="Times New Roman" w:hAnsi="Times New Roman"/>
          <w:sz w:val="14"/>
          <w:szCs w:val="14"/>
          <w:b w:val="1"/>
          <w:bCs w:val="1"/>
          <w:color w:val="auto"/>
        </w:rPr>
        <w:t>Class A Common Stock</w:t>
      </w:r>
      <w:r>
        <w:rPr>
          <w:rFonts w:ascii="Times New Roman" w:cs="Times New Roman" w:eastAsia="Times New Roman" w:hAnsi="Times New Roman"/>
          <w:sz w:val="14"/>
          <w:szCs w:val="14"/>
          <w:color w:val="auto"/>
        </w:rPr>
        <w:t xml:space="preserve"> ”), entitling holders to one (1) vote for each share thereof held, and Class B Common Stock, par value $0.00000625 per share (“</w:t>
      </w:r>
      <w:r>
        <w:rPr>
          <w:rFonts w:ascii="Times New Roman" w:cs="Times New Roman" w:eastAsia="Times New Roman" w:hAnsi="Times New Roman"/>
          <w:sz w:val="14"/>
          <w:szCs w:val="14"/>
          <w:b w:val="1"/>
          <w:bCs w:val="1"/>
          <w:color w:val="auto"/>
        </w:rPr>
        <w:t>Class B Common Stock</w:t>
      </w:r>
      <w:r>
        <w:rPr>
          <w:rFonts w:ascii="Times New Roman" w:cs="Times New Roman" w:eastAsia="Times New Roman" w:hAnsi="Times New Roman"/>
          <w:sz w:val="14"/>
          <w:szCs w:val="14"/>
          <w:color w:val="auto"/>
        </w:rPr>
        <w:t>”), entitling holders to thirty (30) votes for each share thereof held;</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WHEREAS, pursuant to the Interim Charter, the Exchange Stockholders hold shares of Class A Common Stock;</w:t>
      </w:r>
    </w:p>
    <w:p>
      <w:pPr>
        <w:spacing w:after="0" w:line="162" w:lineRule="exact"/>
        <w:rPr>
          <w:sz w:val="20"/>
          <w:szCs w:val="20"/>
          <w:color w:val="auto"/>
        </w:rPr>
      </w:pPr>
    </w:p>
    <w:p>
      <w:pPr>
        <w:jc w:val="both"/>
        <w:ind w:right="80" w:firstLine="459"/>
        <w:spacing w:after="0" w:line="276" w:lineRule="auto"/>
        <w:rPr>
          <w:sz w:val="20"/>
          <w:szCs w:val="20"/>
          <w:color w:val="auto"/>
        </w:rPr>
      </w:pPr>
      <w:r>
        <w:rPr>
          <w:rFonts w:ascii="Times New Roman" w:cs="Times New Roman" w:eastAsia="Times New Roman" w:hAnsi="Times New Roman"/>
          <w:sz w:val="14"/>
          <w:szCs w:val="14"/>
          <w:color w:val="auto"/>
        </w:rPr>
        <w:t xml:space="preserve">WHEREAS, the Board has approved an Amended and Restated Certificate of Incorporation of the Company (the “ </w:t>
      </w:r>
      <w:r>
        <w:rPr>
          <w:rFonts w:ascii="Times New Roman" w:cs="Times New Roman" w:eastAsia="Times New Roman" w:hAnsi="Times New Roman"/>
          <w:sz w:val="14"/>
          <w:szCs w:val="14"/>
          <w:b w:val="1"/>
          <w:bCs w:val="1"/>
          <w:color w:val="auto"/>
        </w:rPr>
        <w:t>Amended and Restated Certificate of Incorporation</w:t>
      </w:r>
      <w:r>
        <w:rPr>
          <w:rFonts w:ascii="Times New Roman" w:cs="Times New Roman" w:eastAsia="Times New Roman" w:hAnsi="Times New Roman"/>
          <w:sz w:val="14"/>
          <w:szCs w:val="14"/>
          <w:color w:val="auto"/>
        </w:rPr>
        <w:t>”) which, in connection with the closing of the IPO, will amend and restate the Interim Charter, upon the effectiveness of the filing of the Amended and Restated Certificate of Incorporation (the “</w:t>
      </w:r>
      <w:r>
        <w:rPr>
          <w:rFonts w:ascii="Times New Roman" w:cs="Times New Roman" w:eastAsia="Times New Roman" w:hAnsi="Times New Roman"/>
          <w:sz w:val="14"/>
          <w:szCs w:val="14"/>
          <w:b w:val="1"/>
          <w:bCs w:val="1"/>
          <w:color w:val="auto"/>
        </w:rPr>
        <w:t>Effective Time</w:t>
      </w:r>
      <w:r>
        <w:rPr>
          <w:rFonts w:ascii="Times New Roman" w:cs="Times New Roman" w:eastAsia="Times New Roman" w:hAnsi="Times New Roman"/>
          <w:sz w:val="14"/>
          <w:szCs w:val="14"/>
          <w:color w:val="auto"/>
        </w:rPr>
        <w:t>”);</w:t>
      </w:r>
    </w:p>
    <w:p>
      <w:pPr>
        <w:spacing w:after="0" w:line="116" w:lineRule="exact"/>
        <w:rPr>
          <w:sz w:val="20"/>
          <w:szCs w:val="20"/>
          <w:color w:val="auto"/>
        </w:rPr>
      </w:pPr>
    </w:p>
    <w:p>
      <w:pPr>
        <w:jc w:val="both"/>
        <w:ind w:right="80" w:firstLine="459"/>
        <w:spacing w:after="0" w:line="275" w:lineRule="auto"/>
        <w:rPr>
          <w:sz w:val="20"/>
          <w:szCs w:val="20"/>
          <w:color w:val="auto"/>
        </w:rPr>
      </w:pPr>
      <w:r>
        <w:rPr>
          <w:rFonts w:ascii="Times New Roman" w:cs="Times New Roman" w:eastAsia="Times New Roman" w:hAnsi="Times New Roman"/>
          <w:sz w:val="14"/>
          <w:szCs w:val="14"/>
          <w:color w:val="auto"/>
        </w:rPr>
        <w:t xml:space="preserve">WHEREAS, the Board has determined that exchanging shares of Class A Common Stock that will be held by the Exchange Stockholders at the Effective Time as set forth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for shares of Class B Common Stock is advisable and in the best interest of the Company and all of its stockholders, including its stockholders other than the Exchange Stockholders; and</w:t>
      </w:r>
    </w:p>
    <w:p>
      <w:pPr>
        <w:spacing w:after="0" w:line="116" w:lineRule="exact"/>
        <w:rPr>
          <w:sz w:val="20"/>
          <w:szCs w:val="20"/>
          <w:color w:val="auto"/>
        </w:rPr>
      </w:pPr>
    </w:p>
    <w:p>
      <w:pPr>
        <w:jc w:val="both"/>
        <w:ind w:right="60" w:firstLine="459"/>
        <w:spacing w:after="0" w:line="293" w:lineRule="auto"/>
        <w:rPr>
          <w:sz w:val="20"/>
          <w:szCs w:val="20"/>
          <w:color w:val="auto"/>
        </w:rPr>
      </w:pPr>
      <w:r>
        <w:rPr>
          <w:rFonts w:ascii="Times New Roman" w:cs="Times New Roman" w:eastAsia="Times New Roman" w:hAnsi="Times New Roman"/>
          <w:sz w:val="14"/>
          <w:szCs w:val="14"/>
          <w:color w:val="auto"/>
        </w:rPr>
        <w:t>WHEREAS, the Parties intend that no gain or loss shall be recognized in the Exchange pursuant to Sections 368(a)(1)(E) and/or 1036 of the Internal Revenue Code of 1986, as amended (the “</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w:t>
      </w:r>
    </w:p>
    <w:p>
      <w:pPr>
        <w:spacing w:after="0" w:line="104" w:lineRule="exact"/>
        <w:rPr>
          <w:sz w:val="20"/>
          <w:szCs w:val="20"/>
          <w:color w:val="auto"/>
        </w:rPr>
      </w:pPr>
    </w:p>
    <w:p>
      <w:pPr>
        <w:jc w:val="both"/>
        <w:ind w:right="80" w:firstLine="459"/>
        <w:spacing w:after="0" w:line="293" w:lineRule="auto"/>
        <w:rPr>
          <w:sz w:val="20"/>
          <w:szCs w:val="20"/>
          <w:color w:val="auto"/>
        </w:rPr>
      </w:pPr>
      <w:r>
        <w:rPr>
          <w:rFonts w:ascii="Times New Roman" w:cs="Times New Roman" w:eastAsia="Times New Roman" w:hAnsi="Times New Roman"/>
          <w:sz w:val="14"/>
          <w:szCs w:val="14"/>
          <w:color w:val="auto"/>
        </w:rPr>
        <w:t>NOW, THEREFORE, in consideration of the foregoing recitals and the mutual promises, representations and covenants set forth herein, and for other good and valuable consideration, the receipt and sufficiency of which are hereby acknowledged and accepted, the parties hereto agree as follows:</w:t>
      </w:r>
    </w:p>
    <w:p>
      <w:pPr>
        <w:spacing w:after="0" w:line="1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16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u w:val="single" w:color="auto"/>
          <w:color w:val="auto"/>
        </w:rPr>
        <w:t>EXCHANGE AND ISSUANCE OF CLASS B COMMON STOCK</w:t>
      </w:r>
    </w:p>
    <w:p>
      <w:pPr>
        <w:spacing w:after="0" w:line="166" w:lineRule="exact"/>
        <w:rPr>
          <w:sz w:val="20"/>
          <w:szCs w:val="20"/>
          <w:color w:val="auto"/>
        </w:rPr>
      </w:pPr>
    </w:p>
    <w:p>
      <w:pPr>
        <w:ind w:left="460"/>
        <w:spacing w:after="0"/>
        <w:tabs>
          <w:tab w:leader="none" w:pos="78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4"/>
          <w:szCs w:val="14"/>
          <w:u w:val="single" w:color="auto"/>
          <w:color w:val="auto"/>
        </w:rPr>
        <w:t>Exchange of Class A Common Stock</w:t>
      </w:r>
      <w:r>
        <w:rPr>
          <w:rFonts w:ascii="Times New Roman" w:cs="Times New Roman" w:eastAsia="Times New Roman" w:hAnsi="Times New Roman"/>
          <w:sz w:val="14"/>
          <w:szCs w:val="14"/>
          <w:color w:val="auto"/>
        </w:rPr>
        <w:t>.</w:t>
      </w:r>
    </w:p>
    <w:p>
      <w:pPr>
        <w:spacing w:after="0" w:line="164" w:lineRule="exact"/>
        <w:rPr>
          <w:sz w:val="20"/>
          <w:szCs w:val="20"/>
          <w:color w:val="auto"/>
        </w:rPr>
      </w:pPr>
    </w:p>
    <w:p>
      <w:pPr>
        <w:jc w:val="both"/>
        <w:ind w:right="80" w:firstLine="925"/>
        <w:spacing w:after="0" w:line="269" w:lineRule="auto"/>
        <w:tabs>
          <w:tab w:leader="none" w:pos="1342" w:val="left"/>
        </w:tabs>
        <w:numPr>
          <w:ilvl w:val="0"/>
          <w:numId w:val="5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terms and conditions of this Agreement, immediately following the Effective Time each Exchange Stockholder shall be deemed to have automatically transferred to the Company the shares of Class A Common Stock held by such Exchange Stockholder as set forth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(the “</w:t>
      </w:r>
      <w:r>
        <w:rPr>
          <w:rFonts w:ascii="Times New Roman" w:cs="Times New Roman" w:eastAsia="Times New Roman" w:hAnsi="Times New Roman"/>
          <w:sz w:val="14"/>
          <w:szCs w:val="14"/>
          <w:b w:val="1"/>
          <w:bCs w:val="1"/>
          <w:color w:val="auto"/>
        </w:rPr>
        <w:t>Class A Shares</w:t>
      </w:r>
      <w:r>
        <w:rPr>
          <w:rFonts w:ascii="Times New Roman" w:cs="Times New Roman" w:eastAsia="Times New Roman" w:hAnsi="Times New Roman"/>
          <w:sz w:val="14"/>
          <w:szCs w:val="14"/>
          <w:color w:val="auto"/>
        </w:rPr>
        <w:t xml:space="preserve"> ”) and the Company shall issue to each Exchange Stockholder shares of Class B Common Stock (the “</w:t>
      </w:r>
      <w:r>
        <w:rPr>
          <w:rFonts w:ascii="Times New Roman" w:cs="Times New Roman" w:eastAsia="Times New Roman" w:hAnsi="Times New Roman"/>
          <w:sz w:val="14"/>
          <w:szCs w:val="14"/>
          <w:b w:val="1"/>
          <w:bCs w:val="1"/>
          <w:color w:val="auto"/>
        </w:rPr>
        <w:t>Class B Shares</w:t>
      </w:r>
      <w:r>
        <w:rPr>
          <w:rFonts w:ascii="Times New Roman" w:cs="Times New Roman" w:eastAsia="Times New Roman" w:hAnsi="Times New Roman"/>
          <w:sz w:val="14"/>
          <w:szCs w:val="14"/>
          <w:color w:val="auto"/>
        </w:rPr>
        <w:t>”), at an exchange ratio of one (1) Class A Share for one (1) Class B Share (the “</w:t>
      </w:r>
      <w:r>
        <w:rPr>
          <w:rFonts w:ascii="Times New Roman" w:cs="Times New Roman" w:eastAsia="Times New Roman" w:hAnsi="Times New Roman"/>
          <w:sz w:val="14"/>
          <w:szCs w:val="14"/>
          <w:b w:val="1"/>
          <w:bCs w:val="1"/>
          <w:color w:val="auto"/>
        </w:rPr>
        <w:t>Exchange</w:t>
      </w:r>
      <w:r>
        <w:rPr>
          <w:rFonts w:ascii="Times New Roman" w:cs="Times New Roman" w:eastAsia="Times New Roman" w:hAnsi="Times New Roman"/>
          <w:sz w:val="14"/>
          <w:szCs w:val="14"/>
          <w:color w:val="auto"/>
        </w:rPr>
        <w:t>”). The number of Class A Shares to be transferred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color w:val="auto"/>
        </w:rPr>
        <w:t>1</w:t>
      </w:r>
    </w:p>
    <w:p>
      <w:pPr>
        <w:sectPr>
          <w:pgSz w:w="11900" w:h="16840" w:orient="portrait"/>
          <w:cols w:equalWidth="0" w:num="1">
            <w:col w:w="10680"/>
          </w:cols>
          <w:pgMar w:left="640" w:top="557" w:right="580" w:bottom="1440" w:gutter="0" w:footer="0" w:header="0"/>
        </w:sectPr>
      </w:pPr>
    </w:p>
    <w:bookmarkStart w:id="445" w:name="page446"/>
    <w:bookmarkEnd w:id="445"/>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number of </w:t>
      </w:r>
      <w:r>
        <w:rPr>
          <w:rFonts w:ascii="Times New Roman" w:cs="Times New Roman" w:eastAsia="Times New Roman" w:hAnsi="Times New Roman"/>
          <w:sz w:val="14"/>
          <w:szCs w:val="14"/>
          <w:u w:val="single" w:color="auto"/>
          <w:color w:val="auto"/>
        </w:rPr>
        <w:t>Class B</w:t>
      </w:r>
      <w:r>
        <w:rPr>
          <w:rFonts w:ascii="Times New Roman" w:cs="Times New Roman" w:eastAsia="Times New Roman" w:hAnsi="Times New Roman"/>
          <w:sz w:val="14"/>
          <w:szCs w:val="14"/>
          <w:color w:val="auto"/>
        </w:rPr>
        <w:t xml:space="preserve"> Shares to be received in the Exchange by each Exchange Stockholder are as set forth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w:t>
      </w:r>
    </w:p>
    <w:p>
      <w:pPr>
        <w:spacing w:after="0" w:line="164" w:lineRule="exact"/>
        <w:rPr>
          <w:sz w:val="20"/>
          <w:szCs w:val="20"/>
          <w:color w:val="auto"/>
        </w:rPr>
      </w:pPr>
    </w:p>
    <w:p>
      <w:pPr>
        <w:jc w:val="both"/>
        <w:ind w:firstLine="925"/>
        <w:spacing w:after="0" w:line="272" w:lineRule="auto"/>
        <w:tabs>
          <w:tab w:leader="none" w:pos="1302" w:val="left"/>
        </w:tabs>
        <w:numPr>
          <w:ilvl w:val="0"/>
          <w:numId w:val="5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Concurrently herewith, each Exchange Stockholder is delivering to the Company such instruments of transfer or other documentation as may be reasonably required to evidence that the shares of Common Stock (which will automatically be renamed as Class A Common Stock upon the Effective Time) have been duly transferred to the Company to be held in escrow until the Effective Time and such documents are automatically released without further action by the Company or the Exchange Stockholder at the Effective Time.</w:t>
      </w:r>
    </w:p>
    <w:p>
      <w:pPr>
        <w:spacing w:after="0" w:line="295" w:lineRule="exact"/>
        <w:rPr>
          <w:sz w:val="20"/>
          <w:szCs w:val="20"/>
          <w:color w:val="auto"/>
        </w:rPr>
      </w:pPr>
    </w:p>
    <w:p>
      <w:pPr>
        <w:ind w:left="460"/>
        <w:spacing w:after="0"/>
        <w:tabs>
          <w:tab w:leader="none" w:pos="78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4"/>
          <w:szCs w:val="14"/>
          <w:u w:val="single" w:color="auto"/>
          <w:color w:val="auto"/>
        </w:rPr>
        <w:t>Effective Time of the Exchange:</w:t>
      </w:r>
    </w:p>
    <w:p>
      <w:pPr>
        <w:spacing w:after="0" w:line="164" w:lineRule="exact"/>
        <w:rPr>
          <w:sz w:val="20"/>
          <w:szCs w:val="20"/>
          <w:color w:val="auto"/>
        </w:rPr>
      </w:pPr>
    </w:p>
    <w:p>
      <w:pPr>
        <w:ind w:right="20" w:firstLine="925"/>
        <w:spacing w:after="0" w:line="293" w:lineRule="auto"/>
        <w:tabs>
          <w:tab w:leader="none" w:pos="1232" w:val="left"/>
        </w:tabs>
        <w:numPr>
          <w:ilvl w:val="0"/>
          <w:numId w:val="5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shall occur and be deemed effective without any further action by the Company or the Exchange Stockholders immediately following the Effective Time and prior to the consummation of the sale of the shares of the Company’s capital stock in the IPO as part of the closing thereof.</w:t>
      </w:r>
    </w:p>
    <w:p>
      <w:pPr>
        <w:spacing w:after="0" w:line="104" w:lineRule="exact"/>
        <w:rPr>
          <w:rFonts w:ascii="Times New Roman" w:cs="Times New Roman" w:eastAsia="Times New Roman" w:hAnsi="Times New Roman"/>
          <w:sz w:val="14"/>
          <w:szCs w:val="14"/>
          <w:color w:val="auto"/>
        </w:rPr>
      </w:pPr>
    </w:p>
    <w:p>
      <w:pPr>
        <w:ind w:right="20" w:firstLine="925"/>
        <w:spacing w:after="0" w:line="293" w:lineRule="auto"/>
        <w:tabs>
          <w:tab w:leader="none" w:pos="1239" w:val="left"/>
        </w:tabs>
        <w:numPr>
          <w:ilvl w:val="0"/>
          <w:numId w:val="5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effectiveness of the Exchange, the Company shall deliver to each Exchange Stockholder such documentation as may be reasonably required to evidence that the Class B Shares have been duly issued and transferred to the applicable Exchange Stockholder.</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REPRESENTATIONS AND WARRANTIES OF THE EXCHANGE HOLDER</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Each Exchange Stockholder hereby represents and warrants to the Company, with respect to the transactions contemplated hereby, as follows:</w:t>
      </w:r>
    </w:p>
    <w:p>
      <w:pPr>
        <w:spacing w:after="0" w:line="164" w:lineRule="exact"/>
        <w:rPr>
          <w:sz w:val="20"/>
          <w:szCs w:val="20"/>
          <w:color w:val="auto"/>
        </w:rPr>
      </w:pPr>
    </w:p>
    <w:p>
      <w:pPr>
        <w:jc w:val="both"/>
        <w:ind w:right="20" w:firstLine="459"/>
        <w:spacing w:after="0" w:line="260" w:lineRule="auto"/>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Ownership; Authority</w:t>
      </w:r>
      <w:r>
        <w:rPr>
          <w:rFonts w:ascii="Times New Roman" w:cs="Times New Roman" w:eastAsia="Times New Roman" w:hAnsi="Times New Roman"/>
          <w:sz w:val="14"/>
          <w:szCs w:val="14"/>
          <w:color w:val="auto"/>
        </w:rPr>
        <w:t>. Each Exchange Stockholder will be, effective as of the Effective Time, the beneficial and legal owner of the Class A Shares exchanged hereunder, free and clear of all liens, encumbrances and restrictions (except for restrictions on transfer arising under applicable securities laws or as set forth or contemplated by this Agreement, the Amended and Restated Certificate of Incorporation or any other agreements to which such Exchange Stockholder and the Company are a party). Each Exchange Stockholder has the full right, power and authority to enter into this Agreement and, assuming the waiver or inapplicability of any and all rights of first refusal or co-sale by the Company and the Company’s stockholders that are applicable to the transactions contemplated hereby, to transfer, convey and exchange the Class A Shares in accordance with this Agreement. Assuming the due authorization, execution and delivery by the Company, this Agreement constitutes a valid and binding agreement of such Exchange Stockholder, enforceable against such Exchange Stockholder in accordance with its terms (subject to applicable bankruptcy, insolvency, fraudulent transfer, reorganization, moratorium and other laws affecting creditors’ rights generally and general principles of equity). Upon consummation of the Exchange contemplated hereby, the Company will acquire from Exchange Stockholder good and marketable title to the Class A Shares, free and clear of any and all liens, encumbrances and restrictions (except for restrictions on transfer arising under applicable securities laws or as set forth or contemplated by this Agreement, the Amended and Restated Certificate of Incorporation or any other agreements to which such Exchange Stockholder and the Company are a party, and subject to applicable bankruptcy, insolvency, fraudulent transfer, reorganization, moratorium and other laws affecting creditors’ rights generally and general principles of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w:t>
      </w:r>
    </w:p>
    <w:p>
      <w:pPr>
        <w:sectPr>
          <w:pgSz w:w="11900" w:h="16840" w:orient="portrait"/>
          <w:cols w:equalWidth="0" w:num="1">
            <w:col w:w="10620"/>
          </w:cols>
          <w:pgMar w:left="640" w:top="1440" w:right="640" w:bottom="1440" w:gutter="0" w:footer="0" w:header="0"/>
        </w:sectPr>
      </w:pPr>
    </w:p>
    <w:bookmarkStart w:id="446" w:name="page447"/>
    <w:bookmarkEnd w:id="446"/>
    <w:p>
      <w:pPr>
        <w:spacing w:after="0" w:line="39" w:lineRule="exact"/>
        <w:rPr>
          <w:sz w:val="20"/>
          <w:szCs w:val="20"/>
          <w:color w:val="auto"/>
        </w:rPr>
      </w:pPr>
    </w:p>
    <w:p>
      <w:pPr>
        <w:ind w:right="20" w:firstLine="459"/>
        <w:spacing w:after="0" w:line="266" w:lineRule="auto"/>
        <w:rPr>
          <w:sz w:val="20"/>
          <w:szCs w:val="20"/>
          <w:color w:val="auto"/>
        </w:rPr>
      </w:pPr>
      <w:r>
        <w:rPr>
          <w:rFonts w:ascii="Times New Roman" w:cs="Times New Roman" w:eastAsia="Times New Roman" w:hAnsi="Times New Roman"/>
          <w:sz w:val="14"/>
          <w:szCs w:val="14"/>
          <w:color w:val="auto"/>
        </w:rPr>
        <w:t xml:space="preserve">2 . 2 </w:t>
      </w:r>
      <w:r>
        <w:rPr>
          <w:rFonts w:ascii="Times New Roman" w:cs="Times New Roman" w:eastAsia="Times New Roman" w:hAnsi="Times New Roman"/>
          <w:sz w:val="14"/>
          <w:szCs w:val="14"/>
          <w:u w:val="single" w:color="auto"/>
          <w:color w:val="auto"/>
        </w:rPr>
        <w:t>Governmental Authorization</w:t>
      </w:r>
      <w:r>
        <w:rPr>
          <w:rFonts w:ascii="Times New Roman" w:cs="Times New Roman" w:eastAsia="Times New Roman" w:hAnsi="Times New Roman"/>
          <w:sz w:val="14"/>
          <w:szCs w:val="14"/>
          <w:color w:val="auto"/>
        </w:rPr>
        <w:t>. The execution, delivery and performance by such Exchange Stockholder of this Agreement and the consummation of the transactions contemplated hereby require no action by or in respect of, or filing with, any governmental authority on the part of such Exchange Stockholder (excluding, for the avoidance of doubt</w:t>
      </w:r>
    </w:p>
    <w:p>
      <w:pPr>
        <w:spacing w:after="0" w:line="1" w:lineRule="exact"/>
        <w:rPr>
          <w:sz w:val="20"/>
          <w:szCs w:val="20"/>
          <w:color w:val="auto"/>
        </w:rPr>
      </w:pPr>
    </w:p>
    <w:p>
      <w:pPr>
        <w:jc w:val="both"/>
        <w:ind w:firstLine="7"/>
        <w:spacing w:after="0" w:line="265" w:lineRule="auto"/>
        <w:tabs>
          <w:tab w:leader="none" w:pos="200" w:val="left"/>
        </w:tabs>
        <w:numPr>
          <w:ilvl w:val="0"/>
          <w:numId w:val="5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filing by the Company of the Amended and Restated Certificate of Incorporation with the Secretary of State of the State of Delaware and (b) compliance by the Company with any applicable requirements of any applicable state or federal securities laws). For purposes of this Agreement, “</w:t>
      </w:r>
      <w:r>
        <w:rPr>
          <w:rFonts w:ascii="Times New Roman" w:cs="Times New Roman" w:eastAsia="Times New Roman" w:hAnsi="Times New Roman"/>
          <w:sz w:val="14"/>
          <w:szCs w:val="14"/>
          <w:b w:val="1"/>
          <w:bCs w:val="1"/>
          <w:color w:val="auto"/>
        </w:rPr>
        <w:t>governmental authority</w:t>
      </w:r>
      <w:r>
        <w:rPr>
          <w:rFonts w:ascii="Times New Roman" w:cs="Times New Roman" w:eastAsia="Times New Roman" w:hAnsi="Times New Roman"/>
          <w:sz w:val="14"/>
          <w:szCs w:val="14"/>
          <w:color w:val="auto"/>
        </w:rPr>
        <w:t>” means any transnational, domestic or foreign federal, state or local governmental, regulatory or administrative authority, department, court, agency or official, including any political subdivision thereof.</w:t>
      </w:r>
    </w:p>
    <w:p>
      <w:pPr>
        <w:spacing w:after="0" w:line="123" w:lineRule="exact"/>
        <w:rPr>
          <w:sz w:val="20"/>
          <w:szCs w:val="20"/>
          <w:color w:val="auto"/>
        </w:rPr>
      </w:pPr>
    </w:p>
    <w:p>
      <w:pPr>
        <w:jc w:val="both"/>
        <w:ind w:right="20" w:firstLine="459"/>
        <w:spacing w:after="0" w:line="262" w:lineRule="auto"/>
        <w:rPr>
          <w:sz w:val="20"/>
          <w:szCs w:val="20"/>
          <w:color w:val="auto"/>
        </w:rPr>
      </w:pPr>
      <w:r>
        <w:rPr>
          <w:rFonts w:ascii="Times New Roman" w:cs="Times New Roman" w:eastAsia="Times New Roman" w:hAnsi="Times New Roman"/>
          <w:sz w:val="14"/>
          <w:szCs w:val="14"/>
          <w:color w:val="auto"/>
        </w:rPr>
        <w:t xml:space="preserve">2 . 3 </w:t>
      </w:r>
      <w:r>
        <w:rPr>
          <w:rFonts w:ascii="Times New Roman" w:cs="Times New Roman" w:eastAsia="Times New Roman" w:hAnsi="Times New Roman"/>
          <w:sz w:val="14"/>
          <w:szCs w:val="14"/>
          <w:u w:val="single" w:color="auto"/>
          <w:color w:val="auto"/>
        </w:rPr>
        <w:t>Noncontravention</w:t>
      </w:r>
      <w:r>
        <w:rPr>
          <w:rFonts w:ascii="Times New Roman" w:cs="Times New Roman" w:eastAsia="Times New Roman" w:hAnsi="Times New Roman"/>
          <w:sz w:val="14"/>
          <w:szCs w:val="14"/>
          <w:color w:val="auto"/>
        </w:rPr>
        <w:t>. The execution, delivery and performance by such Exchange Stockholder of this Agreement and the consummation of the transactions contemplated hereby do not and will not (a) violate any governing document, including any trust agreement, applicable to such Exchange Stockholder, (b) subject to compliance with Section 2.2, violate any applicable law, (c) assuming the waiver or inapplicability of any and all rights of first refusal or co-sale held by the Company or the Company’s stockholders that are applicable to the transactions contemplated hereby, require any consent or other action under, constitute a default under, or give rise to any right of termination, cancellation or acceleration of any obligation of such Exchange Stockholder or to the loss of any benefit to which such Exchange Stockholder is entitled under any provision of any agreement or other instrument binding upon such Exchange Stockholder or (d) result in the creation or imposition of any lien on such Exchange Stockholder’s Class B Shares, other than restrictions on transfer arising under applicable securities laws or as set forth or contemplated by this Agreement, the Amended and Restated Certificate of Incorporation or any other agreements to which such Exchange Stockholder and the Company are a party.</w:t>
      </w:r>
    </w:p>
    <w:p>
      <w:pPr>
        <w:spacing w:after="0" w:line="125" w:lineRule="exact"/>
        <w:rPr>
          <w:sz w:val="20"/>
          <w:szCs w:val="20"/>
          <w:color w:val="auto"/>
        </w:rPr>
      </w:pPr>
    </w:p>
    <w:p>
      <w:pPr>
        <w:jc w:val="both"/>
        <w:ind w:right="20" w:firstLine="459"/>
        <w:spacing w:after="0" w:line="262" w:lineRule="auto"/>
        <w:rPr>
          <w:sz w:val="20"/>
          <w:szCs w:val="20"/>
          <w:color w:val="auto"/>
        </w:rPr>
      </w:pPr>
      <w:r>
        <w:rPr>
          <w:rFonts w:ascii="Times New Roman" w:cs="Times New Roman" w:eastAsia="Times New Roman" w:hAnsi="Times New Roman"/>
          <w:sz w:val="14"/>
          <w:szCs w:val="14"/>
          <w:color w:val="auto"/>
        </w:rPr>
        <w:t xml:space="preserve">2 . 4 </w:t>
      </w:r>
      <w:r>
        <w:rPr>
          <w:rFonts w:ascii="Times New Roman" w:cs="Times New Roman" w:eastAsia="Times New Roman" w:hAnsi="Times New Roman"/>
          <w:sz w:val="14"/>
          <w:szCs w:val="14"/>
          <w:u w:val="single" w:color="auto"/>
          <w:color w:val="auto"/>
        </w:rPr>
        <w:t>Restricted Securities; Rule 144</w:t>
      </w:r>
      <w:r>
        <w:rPr>
          <w:rFonts w:ascii="Times New Roman" w:cs="Times New Roman" w:eastAsia="Times New Roman" w:hAnsi="Times New Roman"/>
          <w:sz w:val="14"/>
          <w:szCs w:val="14"/>
          <w:color w:val="auto"/>
        </w:rPr>
        <w:t>. Such Exchange Stockholder understands that the Class B Shares are characterized as “restricted securities” under the Securities Act of 1933, as amended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because such shares are being acquired from the Company in a transaction not involving a public offering and in exchange for shares acquired from the Company in a transaction not involving a public offering, and that under the Securities Act and the rules and regulations promulgated thereunder the Class B Shares may be resold without registration under the Securities Act only in certain limited circumstances, and subject to the restrictions under the Company’s certificate of incorporation. Such Exchange Stockholder understands and hereby acknowledges that the Class B Shares must be held indefinitely unless subsequently registered under the Securities Act or an exemption from such registration is otherwise available. Such Exchange Stockholder is aware of the provisions of Rule 144 promulgated under the Securities Act, which permit limited resales of shares purchased in a transaction not involving a public offering, subject to the satisfaction of certain conditions.</w:t>
      </w:r>
    </w:p>
    <w:p>
      <w:pPr>
        <w:spacing w:after="0" w:line="129" w:lineRule="exact"/>
        <w:rPr>
          <w:sz w:val="20"/>
          <w:szCs w:val="20"/>
          <w:color w:val="auto"/>
        </w:rPr>
      </w:pPr>
    </w:p>
    <w:p>
      <w:pPr>
        <w:jc w:val="both"/>
        <w:ind w:right="20" w:firstLine="459"/>
        <w:spacing w:after="0" w:line="293" w:lineRule="auto"/>
        <w:rPr>
          <w:sz w:val="20"/>
          <w:szCs w:val="20"/>
          <w:color w:val="auto"/>
        </w:rPr>
      </w:pPr>
      <w:r>
        <w:rPr>
          <w:rFonts w:ascii="Times New Roman" w:cs="Times New Roman" w:eastAsia="Times New Roman" w:hAnsi="Times New Roman"/>
          <w:sz w:val="14"/>
          <w:szCs w:val="14"/>
          <w:color w:val="auto"/>
        </w:rPr>
        <w:t xml:space="preserve">2.5 </w:t>
      </w:r>
      <w:r>
        <w:rPr>
          <w:rFonts w:ascii="Times New Roman" w:cs="Times New Roman" w:eastAsia="Times New Roman" w:hAnsi="Times New Roman"/>
          <w:sz w:val="14"/>
          <w:szCs w:val="14"/>
          <w:u w:val="single" w:color="auto"/>
          <w:color w:val="auto"/>
        </w:rPr>
        <w:t>Legends</w:t>
      </w:r>
      <w:r>
        <w:rPr>
          <w:rFonts w:ascii="Times New Roman" w:cs="Times New Roman" w:eastAsia="Times New Roman" w:hAnsi="Times New Roman"/>
          <w:sz w:val="14"/>
          <w:szCs w:val="14"/>
          <w:color w:val="auto"/>
        </w:rPr>
        <w:t>. It is understood that any certificate or book entry position representing the Class B Shares and any securities issued in respect thereof or exchange therefor, shall bear legends in substantially the following form (in addition to any legend required under applicable state securities laws or agreements to which the Exchange Stockholder is a party):</w:t>
      </w:r>
    </w:p>
    <w:p>
      <w:pPr>
        <w:spacing w:after="0" w:line="102" w:lineRule="exact"/>
        <w:rPr>
          <w:sz w:val="20"/>
          <w:szCs w:val="20"/>
          <w:color w:val="auto"/>
        </w:rPr>
      </w:pPr>
    </w:p>
    <w:p>
      <w:pPr>
        <w:ind w:left="460" w:right="460"/>
        <w:spacing w:after="0" w:line="270" w:lineRule="auto"/>
        <w:rPr>
          <w:sz w:val="20"/>
          <w:szCs w:val="20"/>
          <w:color w:val="auto"/>
        </w:rPr>
      </w:pPr>
      <w:r>
        <w:rPr>
          <w:rFonts w:ascii="Times New Roman" w:cs="Times New Roman" w:eastAsia="Times New Roman" w:hAnsi="Times New Roman"/>
          <w:sz w:val="14"/>
          <w:szCs w:val="14"/>
          <w:color w:val="auto"/>
        </w:rPr>
        <w:t xml:space="preserve">“THE SECURITIES REPRESENTED HEREBY HAVE NOT BEEN REGISTERED UNDER THE SECURITIES ACT OF 1933, AS AMENDED (THE “ </w:t>
      </w:r>
      <w:r>
        <w:rPr>
          <w:rFonts w:ascii="Times New Roman" w:cs="Times New Roman" w:eastAsia="Times New Roman" w:hAnsi="Times New Roman"/>
          <w:sz w:val="14"/>
          <w:szCs w:val="14"/>
          <w:b w:val="1"/>
          <w:bCs w:val="1"/>
          <w:color w:val="auto"/>
        </w:rPr>
        <w:t>ACT</w:t>
      </w:r>
      <w:r>
        <w:rPr>
          <w:rFonts w:ascii="Times New Roman" w:cs="Times New Roman" w:eastAsia="Times New Roman" w:hAnsi="Times New Roman"/>
          <w:sz w:val="14"/>
          <w:szCs w:val="14"/>
          <w:color w:val="auto"/>
        </w:rPr>
        <w:t>”), OR UNDER THE SECURITIES LAWS OF CERTAIN STATES. THESE SECURITIES MAY NOT BE OFFERED, SOLD OR OTHERWISE TRANSFERRED, PLEDGED OR HYPOTHECATED EXCEPT AS PERMITTED UNDER THE ACT AND APPLICABLE STATE SECURITIES LAWS PURSUANT TO REGISTRATION OR AN EXEMPTION THEREFROM. THE ISSUER OF THESE SECURITIES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w:t>
      </w:r>
    </w:p>
    <w:p>
      <w:pPr>
        <w:sectPr>
          <w:pgSz w:w="11900" w:h="16840" w:orient="portrait"/>
          <w:cols w:equalWidth="0" w:num="1">
            <w:col w:w="10620"/>
          </w:cols>
          <w:pgMar w:left="640" w:top="1440" w:right="640" w:bottom="1440" w:gutter="0" w:footer="0" w:header="0"/>
        </w:sectPr>
      </w:pPr>
    </w:p>
    <w:bookmarkStart w:id="447" w:name="page448"/>
    <w:bookmarkEnd w:id="447"/>
    <w:p>
      <w:pPr>
        <w:spacing w:after="0" w:line="39" w:lineRule="exact"/>
        <w:rPr>
          <w:sz w:val="20"/>
          <w:szCs w:val="20"/>
          <w:color w:val="auto"/>
        </w:rPr>
      </w:pPr>
    </w:p>
    <w:p>
      <w:pPr>
        <w:ind w:left="460" w:right="580"/>
        <w:spacing w:after="0" w:line="293" w:lineRule="auto"/>
        <w:rPr>
          <w:sz w:val="20"/>
          <w:szCs w:val="20"/>
          <w:color w:val="auto"/>
        </w:rPr>
      </w:pPr>
      <w:r>
        <w:rPr>
          <w:rFonts w:ascii="Times New Roman" w:cs="Times New Roman" w:eastAsia="Times New Roman" w:hAnsi="Times New Roman"/>
          <w:sz w:val="14"/>
          <w:szCs w:val="14"/>
          <w:color w:val="auto"/>
        </w:rPr>
        <w:t>REQUIRE AN OPINION OF COUNSEL SATISFACTORY TO THE ISSUER THAT SUCH OFFER, SALE OR TRANSFER, PLEDGE OR HYPOTHECATION OTHERWISE COMPLIES WITH THE ACT AND ANY APPLICABLE STATE SECURITIES LAWS.”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REPRESENTATIONS AND WARRANTIES OF THE COMPANY</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Company hereby represents and warrants to each Exchange Stockholder, with respect to the transactions contemplated hereby, as follows:</w:t>
      </w:r>
    </w:p>
    <w:p>
      <w:pPr>
        <w:spacing w:after="0" w:line="164" w:lineRule="exact"/>
        <w:rPr>
          <w:sz w:val="20"/>
          <w:szCs w:val="20"/>
          <w:color w:val="auto"/>
        </w:rPr>
      </w:pPr>
    </w:p>
    <w:p>
      <w:pPr>
        <w:ind w:left="460"/>
        <w:spacing w:after="0"/>
        <w:tabs>
          <w:tab w:leader="none" w:pos="78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4"/>
          <w:szCs w:val="14"/>
          <w:u w:val="single" w:color="auto"/>
          <w:color w:val="auto"/>
        </w:rPr>
        <w:t>Corporate Existence and Power</w:t>
      </w:r>
      <w:r>
        <w:rPr>
          <w:rFonts w:ascii="Times New Roman" w:cs="Times New Roman" w:eastAsia="Times New Roman" w:hAnsi="Times New Roman"/>
          <w:sz w:val="14"/>
          <w:szCs w:val="14"/>
          <w:color w:val="auto"/>
        </w:rPr>
        <w:t>. The Company is a corporation duly incorporated, validly existing and in good standing under the laws of the State of Delaware.</w:t>
      </w:r>
    </w:p>
    <w:p>
      <w:pPr>
        <w:spacing w:after="0" w:line="164" w:lineRule="exact"/>
        <w:rPr>
          <w:sz w:val="20"/>
          <w:szCs w:val="20"/>
          <w:color w:val="auto"/>
        </w:rPr>
      </w:pPr>
    </w:p>
    <w:p>
      <w:pPr>
        <w:jc w:val="both"/>
        <w:ind w:right="20" w:firstLine="459"/>
        <w:spacing w:after="0" w:line="261" w:lineRule="auto"/>
        <w:rPr>
          <w:sz w:val="20"/>
          <w:szCs w:val="20"/>
          <w:color w:val="auto"/>
        </w:rPr>
      </w:pPr>
      <w:r>
        <w:rPr>
          <w:rFonts w:ascii="Times New Roman" w:cs="Times New Roman" w:eastAsia="Times New Roman" w:hAnsi="Times New Roman"/>
          <w:sz w:val="14"/>
          <w:szCs w:val="14"/>
          <w:color w:val="auto"/>
        </w:rPr>
        <w:t xml:space="preserve">3.2 </w:t>
      </w:r>
      <w:r>
        <w:rPr>
          <w:rFonts w:ascii="Times New Roman" w:cs="Times New Roman" w:eastAsia="Times New Roman" w:hAnsi="Times New Roman"/>
          <w:sz w:val="14"/>
          <w:szCs w:val="14"/>
          <w:u w:val="single" w:color="auto"/>
          <w:color w:val="auto"/>
        </w:rPr>
        <w:t>Corporate Authorization</w:t>
      </w:r>
      <w:r>
        <w:rPr>
          <w:rFonts w:ascii="Times New Roman" w:cs="Times New Roman" w:eastAsia="Times New Roman" w:hAnsi="Times New Roman"/>
          <w:sz w:val="14"/>
          <w:szCs w:val="14"/>
          <w:color w:val="auto"/>
        </w:rPr>
        <w:t>. (a) The execution, delivery and performance by the Company of this Agreement and the consummation of the transactions contemplated hereby, including the issuance and delivery of the Class B Shares (including the conversion thereof into Class A Common Stock upon the terms specified in the Amended and Restated Certificate of Incorporation and the renaming of Common Stock as Class A Common Stock at the Effective Time) in accordance with the Amended and Restated Certificate of Incorporation, are within the corporate powers of the Company and have been duly authorized by all necessary corporate action on the part of the Company and the Company’s stockholders, subject to compliance with Section 3.3 and the approval of and adoption by the Company’s stockholders of the Amended and Restated Certificate of Incorporation. Any and all rights of first refusal or co-sale held by the Company or the Company’s stockholders that are applicable to the transactions contemplated hereby have been waived or are otherwise inapplicable. Assuming the due authorization, execution and delivery by each Exchange Stockholder, this Agreement constitutes a valid and binding agreement of the Company, enforceable against the Company in accordance with its terms (subject to applicable bankruptcy, insolvency, fraudulent transfer, reorganization, moratorium and other laws affecting creditors’ rights generally and general principles of equity).</w:t>
      </w:r>
    </w:p>
    <w:p>
      <w:pPr>
        <w:spacing w:after="0" w:line="128" w:lineRule="exact"/>
        <w:rPr>
          <w:sz w:val="20"/>
          <w:szCs w:val="20"/>
          <w:color w:val="auto"/>
        </w:rPr>
      </w:pPr>
    </w:p>
    <w:p>
      <w:pPr>
        <w:jc w:val="both"/>
        <w:ind w:right="20" w:firstLine="459"/>
        <w:spacing w:after="0" w:line="275" w:lineRule="auto"/>
        <w:rPr>
          <w:sz w:val="20"/>
          <w:szCs w:val="20"/>
          <w:color w:val="auto"/>
        </w:rPr>
      </w:pPr>
      <w:r>
        <w:rPr>
          <w:rFonts w:ascii="Times New Roman" w:cs="Times New Roman" w:eastAsia="Times New Roman" w:hAnsi="Times New Roman"/>
          <w:sz w:val="14"/>
          <w:szCs w:val="14"/>
          <w:color w:val="auto"/>
        </w:rPr>
        <w:t xml:space="preserve">3.3 </w:t>
      </w:r>
      <w:r>
        <w:rPr>
          <w:rFonts w:ascii="Times New Roman" w:cs="Times New Roman" w:eastAsia="Times New Roman" w:hAnsi="Times New Roman"/>
          <w:sz w:val="14"/>
          <w:szCs w:val="14"/>
          <w:u w:val="single" w:color="auto"/>
          <w:color w:val="auto"/>
        </w:rPr>
        <w:t>Governmental Authorization</w:t>
      </w:r>
      <w:r>
        <w:rPr>
          <w:rFonts w:ascii="Times New Roman" w:cs="Times New Roman" w:eastAsia="Times New Roman" w:hAnsi="Times New Roman"/>
          <w:sz w:val="14"/>
          <w:szCs w:val="14"/>
          <w:color w:val="auto"/>
        </w:rPr>
        <w:t>. The execution, delivery and performance by the Company of this Agreement and the consummation of the transactions contemplated hereby require no action by or in respect of, or filing with, any governmental authority other than (a) the filing by the Company of the Amended and Restated Certificate of Incorporation with the Secretary of State of the State of Delaware and (b) compliance by the Company with any applicable requirements of any applicable state or federal securities laws.</w:t>
      </w:r>
    </w:p>
    <w:p>
      <w:pPr>
        <w:spacing w:after="0" w:line="116"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4"/>
          <w:szCs w:val="14"/>
          <w:color w:val="auto"/>
        </w:rPr>
        <w:t xml:space="preserve">3.4 </w:t>
      </w:r>
      <w:r>
        <w:rPr>
          <w:rFonts w:ascii="Times New Roman" w:cs="Times New Roman" w:eastAsia="Times New Roman" w:hAnsi="Times New Roman"/>
          <w:sz w:val="14"/>
          <w:szCs w:val="14"/>
          <w:u w:val="single" w:color="auto"/>
          <w:color w:val="auto"/>
        </w:rPr>
        <w:t>Noncontravention</w:t>
      </w:r>
      <w:r>
        <w:rPr>
          <w:rFonts w:ascii="Times New Roman" w:cs="Times New Roman" w:eastAsia="Times New Roman" w:hAnsi="Times New Roman"/>
          <w:sz w:val="14"/>
          <w:szCs w:val="14"/>
          <w:color w:val="auto"/>
        </w:rPr>
        <w:t>. The execution, delivery and performance by the Company of this Agreement and the consummation of the transactions contemplated hereby do not and will not, assuming compliance with the matters referred to in Section 3.3 and approval of and adoption by the Company’s stockholders of the Amended and Restated Certificate of Incorporation, (a) violate the certificate of incorporation or bylaws of the Company, (b) violate any applicable law, (c) require any consent or other action by any person under, constitute a default under, or give rise to any right of termination, cancellation or acceleration of any right obligation of the Company or to the loss of any benefit to which the Company is entitled under any provision of any agreement or other instrument binding upon the Company or (d) result in the creation or imposition of any lien on the Class B Shares other than as set forth or contemplated by this Agreement or the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w:t>
      </w:r>
    </w:p>
    <w:p>
      <w:pPr>
        <w:sectPr>
          <w:pgSz w:w="11900" w:h="16840" w:orient="portrait"/>
          <w:cols w:equalWidth="0" w:num="1">
            <w:col w:w="10620"/>
          </w:cols>
          <w:pgMar w:left="640" w:top="1440" w:right="640" w:bottom="1440" w:gutter="0" w:footer="0" w:header="0"/>
        </w:sectPr>
      </w:pPr>
    </w:p>
    <w:bookmarkStart w:id="448" w:name="page449"/>
    <w:bookmarkEnd w:id="448"/>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COVENANTS</w:t>
      </w:r>
    </w:p>
    <w:p>
      <w:pPr>
        <w:spacing w:after="0" w:line="166" w:lineRule="exact"/>
        <w:rPr>
          <w:sz w:val="20"/>
          <w:szCs w:val="20"/>
          <w:color w:val="auto"/>
        </w:rPr>
      </w:pPr>
    </w:p>
    <w:p>
      <w:pPr>
        <w:jc w:val="both"/>
        <w:ind w:firstLine="459"/>
        <w:spacing w:after="0" w:line="269" w:lineRule="auto"/>
        <w:rPr>
          <w:sz w:val="20"/>
          <w:szCs w:val="20"/>
          <w:color w:val="auto"/>
        </w:rPr>
      </w:pPr>
      <w:r>
        <w:rPr>
          <w:rFonts w:ascii="Times New Roman" w:cs="Times New Roman" w:eastAsia="Times New Roman" w:hAnsi="Times New Roman"/>
          <w:sz w:val="14"/>
          <w:szCs w:val="14"/>
          <w:color w:val="auto"/>
        </w:rPr>
        <w:t xml:space="preserve">4 . 1 </w:t>
      </w:r>
      <w:r>
        <w:rPr>
          <w:rFonts w:ascii="Times New Roman" w:cs="Times New Roman" w:eastAsia="Times New Roman" w:hAnsi="Times New Roman"/>
          <w:sz w:val="14"/>
          <w:szCs w:val="14"/>
          <w:u w:val="single" w:color="auto"/>
          <w:color w:val="auto"/>
        </w:rPr>
        <w:t>Market Stand-Off Agreement</w:t>
      </w:r>
      <w:r>
        <w:rPr>
          <w:rFonts w:ascii="Times New Roman" w:cs="Times New Roman" w:eastAsia="Times New Roman" w:hAnsi="Times New Roman"/>
          <w:sz w:val="14"/>
          <w:szCs w:val="14"/>
          <w:color w:val="auto"/>
        </w:rPr>
        <w:t xml:space="preserve"> . Each of the Exchange Stockholders has entered into a lock-up agreement with the underwriters of the IPO with respect to the sale, disposition or transfer of such Exchange Stockholder’s securities of the Company and each of the Exchange Stockholders agrees not to revoke such lock-up agreement. Each of the Exchange Stockholders also agrees that any other lock-up or market stand-off agreements applicable to the shares of Common Stock of the Company held by such Exchange Stockholders continue to apply to the Class B Shares in accordance with the terms of such agreements.</w:t>
      </w:r>
    </w:p>
    <w:p>
      <w:pPr>
        <w:spacing w:after="0" w:line="120" w:lineRule="exact"/>
        <w:rPr>
          <w:sz w:val="20"/>
          <w:szCs w:val="20"/>
          <w:color w:val="auto"/>
        </w:rPr>
      </w:pPr>
    </w:p>
    <w:p>
      <w:pPr>
        <w:ind w:right="40" w:firstLine="459"/>
        <w:spacing w:after="0" w:line="293" w:lineRule="auto"/>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Voting Agreement and Irrevocable Proxy</w:t>
      </w:r>
      <w:r>
        <w:rPr>
          <w:rFonts w:ascii="Times New Roman" w:cs="Times New Roman" w:eastAsia="Times New Roman" w:hAnsi="Times New Roman"/>
          <w:sz w:val="14"/>
          <w:szCs w:val="14"/>
          <w:color w:val="auto"/>
        </w:rPr>
        <w:t xml:space="preserve"> . The Exchange Stockholder has entered into the Founder Voting Proxy (as defined in the Amended and Restated Certificate of Incorporation) to be effective upon the Exchange.</w:t>
      </w:r>
    </w:p>
    <w:p>
      <w:pPr>
        <w:spacing w:after="0" w:line="1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GENERAL PROVISIONS</w:t>
      </w:r>
    </w:p>
    <w:p>
      <w:pPr>
        <w:spacing w:after="0" w:line="166" w:lineRule="exact"/>
        <w:rPr>
          <w:sz w:val="20"/>
          <w:szCs w:val="20"/>
          <w:color w:val="auto"/>
        </w:rPr>
      </w:pPr>
    </w:p>
    <w:p>
      <w:pPr>
        <w:jc w:val="both"/>
        <w:ind w:right="20" w:firstLine="459"/>
        <w:spacing w:after="0" w:line="293" w:lineRule="auto"/>
        <w:rPr>
          <w:sz w:val="20"/>
          <w:szCs w:val="20"/>
          <w:color w:val="auto"/>
        </w:rPr>
      </w:pPr>
      <w:r>
        <w:rPr>
          <w:rFonts w:ascii="Times New Roman" w:cs="Times New Roman" w:eastAsia="Times New Roman" w:hAnsi="Times New Roman"/>
          <w:sz w:val="14"/>
          <w:szCs w:val="14"/>
          <w:color w:val="auto"/>
        </w:rPr>
        <w:t xml:space="preserve">5 .1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shall be governed in all respects by the internal laws of the State of Delaware as applied to agreements entered into among Delaware residents to be performed entirely within Delaware, without regard to principles of conflicts of law.</w:t>
      </w:r>
    </w:p>
    <w:p>
      <w:pPr>
        <w:spacing w:after="0" w:line="104" w:lineRule="exact"/>
        <w:rPr>
          <w:sz w:val="20"/>
          <w:szCs w:val="20"/>
          <w:color w:val="auto"/>
        </w:rPr>
      </w:pPr>
    </w:p>
    <w:p>
      <w:pPr>
        <w:jc w:val="both"/>
        <w:ind w:right="20" w:firstLine="459"/>
        <w:spacing w:after="0" w:line="293" w:lineRule="auto"/>
        <w:rPr>
          <w:sz w:val="20"/>
          <w:szCs w:val="20"/>
          <w:color w:val="auto"/>
        </w:rPr>
      </w:pPr>
      <w:r>
        <w:rPr>
          <w:rFonts w:ascii="Times New Roman" w:cs="Times New Roman" w:eastAsia="Times New Roman" w:hAnsi="Times New Roman"/>
          <w:sz w:val="14"/>
          <w:szCs w:val="14"/>
          <w:color w:val="auto"/>
        </w:rPr>
        <w:t xml:space="preserve">5 . 2 </w:t>
      </w: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xml:space="preserve"> . Except as otherwise provided herein, the provisions hereof shall inure to the benefit of, and be binding upon, the successors, assigns, heirs, executors and administrators of the parties hereto.</w:t>
      </w:r>
    </w:p>
    <w:p>
      <w:pPr>
        <w:spacing w:after="0" w:line="104" w:lineRule="exact"/>
        <w:rPr>
          <w:sz w:val="20"/>
          <w:szCs w:val="20"/>
          <w:color w:val="auto"/>
        </w:rPr>
      </w:pPr>
    </w:p>
    <w:p>
      <w:pPr>
        <w:jc w:val="both"/>
        <w:ind w:right="20" w:firstLine="459"/>
        <w:spacing w:after="0" w:line="272" w:lineRule="auto"/>
        <w:rPr>
          <w:sz w:val="20"/>
          <w:szCs w:val="20"/>
          <w:color w:val="auto"/>
        </w:rPr>
      </w:pPr>
      <w:r>
        <w:rPr>
          <w:rFonts w:ascii="Times New Roman" w:cs="Times New Roman" w:eastAsia="Times New Roman" w:hAnsi="Times New Roman"/>
          <w:sz w:val="14"/>
          <w:szCs w:val="14"/>
          <w:color w:val="auto"/>
        </w:rPr>
        <w:t xml:space="preserve">5 . 3 </w:t>
      </w:r>
      <w:r>
        <w:rPr>
          <w:rFonts w:ascii="Times New Roman" w:cs="Times New Roman" w:eastAsia="Times New Roman" w:hAnsi="Times New Roman"/>
          <w:sz w:val="14"/>
          <w:szCs w:val="14"/>
          <w:u w:val="single" w:color="auto"/>
          <w:color w:val="auto"/>
        </w:rPr>
        <w:t>Entire Agreement; Amendment</w:t>
      </w:r>
      <w:r>
        <w:rPr>
          <w:rFonts w:ascii="Times New Roman" w:cs="Times New Roman" w:eastAsia="Times New Roman" w:hAnsi="Times New Roman"/>
          <w:sz w:val="14"/>
          <w:szCs w:val="14"/>
          <w:color w:val="auto"/>
        </w:rPr>
        <w:t xml:space="preserve"> . Other than the rights, restrictions and preferences provided for the Class B Common Stock pursuant to the Amended and Restated Certificate of Incorporation and bylaws, this Agreement, including the exhibits attached hereto, constitutes the full and entire understanding and agreement between the parties with respect to the subject matter hereof. Neither this Agreement nor any term hereof may be amended or, waived other than by a written instrument signed by the Exchange Stockholders and the Company.</w:t>
      </w:r>
    </w:p>
    <w:p>
      <w:pPr>
        <w:spacing w:after="0" w:line="295" w:lineRule="exact"/>
        <w:rPr>
          <w:sz w:val="20"/>
          <w:szCs w:val="20"/>
          <w:color w:val="auto"/>
        </w:rPr>
      </w:pPr>
    </w:p>
    <w:p>
      <w:pPr>
        <w:jc w:val="both"/>
        <w:ind w:right="20" w:firstLine="459"/>
        <w:spacing w:after="0" w:line="293" w:lineRule="auto"/>
        <w:rPr>
          <w:sz w:val="20"/>
          <w:szCs w:val="20"/>
          <w:color w:val="auto"/>
        </w:rPr>
      </w:pPr>
      <w:r>
        <w:rPr>
          <w:rFonts w:ascii="Times New Roman" w:cs="Times New Roman" w:eastAsia="Times New Roman" w:hAnsi="Times New Roman"/>
          <w:sz w:val="14"/>
          <w:szCs w:val="14"/>
          <w:color w:val="auto"/>
        </w:rPr>
        <w:t xml:space="preserve">5 .4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counterparts, each of which shall be deemed an original, and all of which together shall constitute one and the same instrument.</w:t>
      </w:r>
    </w:p>
    <w:p>
      <w:pPr>
        <w:spacing w:after="0" w:line="104" w:lineRule="exact"/>
        <w:rPr>
          <w:sz w:val="20"/>
          <w:szCs w:val="20"/>
          <w:color w:val="auto"/>
        </w:rPr>
      </w:pPr>
    </w:p>
    <w:p>
      <w:pPr>
        <w:jc w:val="both"/>
        <w:ind w:right="20" w:firstLine="459"/>
        <w:spacing w:after="0" w:line="266" w:lineRule="auto"/>
        <w:rPr>
          <w:sz w:val="20"/>
          <w:szCs w:val="20"/>
          <w:color w:val="auto"/>
        </w:rPr>
      </w:pPr>
      <w:r>
        <w:rPr>
          <w:rFonts w:ascii="Times New Roman" w:cs="Times New Roman" w:eastAsia="Times New Roman" w:hAnsi="Times New Roman"/>
          <w:sz w:val="14"/>
          <w:szCs w:val="14"/>
          <w:color w:val="auto"/>
        </w:rPr>
        <w:t xml:space="preserve">5 .5 </w:t>
      </w:r>
      <w:r>
        <w:rPr>
          <w:rFonts w:ascii="Times New Roman" w:cs="Times New Roman" w:eastAsia="Times New Roman" w:hAnsi="Times New Roman"/>
          <w:sz w:val="14"/>
          <w:szCs w:val="14"/>
          <w:u w:val="single" w:color="auto"/>
          <w:color w:val="auto"/>
        </w:rPr>
        <w:t>Tax Consequences</w:t>
      </w:r>
      <w:r>
        <w:rPr>
          <w:rFonts w:ascii="Times New Roman" w:cs="Times New Roman" w:eastAsia="Times New Roman" w:hAnsi="Times New Roman"/>
          <w:sz w:val="14"/>
          <w:szCs w:val="14"/>
          <w:color w:val="auto"/>
        </w:rPr>
        <w:t>. The Parties intend that no gain or loss shall be recognized in the Exchange pursuant to Sections 368(a)(1)(E) and/or 1036 of the Code. The Parties adopt this Agreement as a plan of reorganization within the meaning of Treasury Regulations Sections 1.368-2(g) and 1.368-3(a). Notwithstanding the foregoing, each Exchange Stockholder has reviewed with his own tax advisors the federal, state, local and foreign tax consequences of the Exchange, investment in the Class B Shares and the transactions contemplated by this Agreement. Each Exchange Stockholder is relying solely on such advisors and not on any statements or representations of the Company or any of its agents in connection with the transactions contemplated hereby, except for the representations and warranties of the Company expressly set forth in Article III.</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ectPr>
          <w:pgSz w:w="11900" w:h="16840" w:orient="portrait"/>
          <w:cols w:equalWidth="0" w:num="1">
            <w:col w:w="10620"/>
          </w:cols>
          <w:pgMar w:left="640" w:top="1440" w:right="640" w:bottom="1440" w:gutter="0" w:footer="0" w:header="0"/>
        </w:sectPr>
      </w:pPr>
    </w:p>
    <w:bookmarkStart w:id="449" w:name="page450"/>
    <w:bookmarkEnd w:id="449"/>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WITNESS WHEREOF, the undersigned have executed this Agreement to be effective as of the date first above written.</w:t>
      </w:r>
    </w:p>
    <w:p>
      <w:pPr>
        <w:spacing w:after="0" w:line="19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NAVAN, INC.</w:t>
      </w:r>
    </w:p>
    <w:p>
      <w:pPr>
        <w:spacing w:after="0" w:line="32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4013835</wp:posOffset>
            </wp:positionH>
            <wp:positionV relativeFrom="paragraph">
              <wp:posOffset>13335</wp:posOffset>
            </wp:positionV>
            <wp:extent cx="2430145"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2430145" cy="6350"/>
                    </a:xfrm>
                    <a:prstGeom prst="rect">
                      <a:avLst/>
                    </a:prstGeom>
                    <a:noFill/>
                  </pic:spPr>
                </pic:pic>
              </a:graphicData>
            </a:graphic>
          </wp:anchor>
        </w:drawing>
      </w:r>
    </w:p>
    <w:p>
      <w:pPr>
        <w:spacing w:after="0" w:line="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4013835</wp:posOffset>
            </wp:positionH>
            <wp:positionV relativeFrom="paragraph">
              <wp:posOffset>10795</wp:posOffset>
            </wp:positionV>
            <wp:extent cx="2430145"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2430145" cy="6350"/>
                    </a:xfrm>
                    <a:prstGeom prst="rect">
                      <a:avLst/>
                    </a:prstGeom>
                    <a:noFill/>
                  </pic:spPr>
                </pic:pic>
              </a:graphicData>
            </a:graphic>
          </wp:anchor>
        </w:drawing>
      </w:r>
    </w:p>
    <w:p>
      <w:pPr>
        <w:spacing w:after="0" w:line="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4013835</wp:posOffset>
            </wp:positionH>
            <wp:positionV relativeFrom="paragraph">
              <wp:posOffset>10795</wp:posOffset>
            </wp:positionV>
            <wp:extent cx="2430145"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2430145" cy="6350"/>
                    </a:xfrm>
                    <a:prstGeom prst="rect">
                      <a:avLst/>
                    </a:prstGeom>
                    <a:noFill/>
                  </pic:spPr>
                </pic:pic>
              </a:graphicData>
            </a:graphic>
          </wp:anchor>
        </w:drawing>
      </w:r>
    </w:p>
    <w:p>
      <w:pPr>
        <w:spacing w:after="0" w:line="33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[FOUNDER]</w:t>
      </w:r>
    </w:p>
    <w:p>
      <w:pPr>
        <w:spacing w:after="0" w:line="32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4013835</wp:posOffset>
            </wp:positionH>
            <wp:positionV relativeFrom="paragraph">
              <wp:posOffset>13335</wp:posOffset>
            </wp:positionV>
            <wp:extent cx="2430145"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2430145" cy="6350"/>
                    </a:xfrm>
                    <a:prstGeom prst="rect">
                      <a:avLst/>
                    </a:prstGeom>
                    <a:noFill/>
                  </pic:spPr>
                </pic:pic>
              </a:graphicData>
            </a:graphic>
          </wp:anchor>
        </w:drawing>
      </w:r>
    </w:p>
    <w:p>
      <w:pPr>
        <w:spacing w:after="0" w:line="34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[FOUNDER ENTITY]</w:t>
      </w:r>
    </w:p>
    <w:p>
      <w:pPr>
        <w:spacing w:after="0" w:line="32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4013835</wp:posOffset>
            </wp:positionH>
            <wp:positionV relativeFrom="paragraph">
              <wp:posOffset>13335</wp:posOffset>
            </wp:positionV>
            <wp:extent cx="2430145"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2430145" cy="6350"/>
                    </a:xfrm>
                    <a:prstGeom prst="rect">
                      <a:avLst/>
                    </a:prstGeom>
                    <a:noFill/>
                  </pic:spPr>
                </pic:pic>
              </a:graphicData>
            </a:graphic>
          </wp:anchor>
        </w:drawing>
      </w:r>
    </w:p>
    <w:p>
      <w:pPr>
        <w:spacing w:after="0" w:line="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4013835</wp:posOffset>
            </wp:positionH>
            <wp:positionV relativeFrom="paragraph">
              <wp:posOffset>10795</wp:posOffset>
            </wp:positionV>
            <wp:extent cx="2430145"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2430145" cy="6350"/>
                    </a:xfrm>
                    <a:prstGeom prst="rect">
                      <a:avLst/>
                    </a:prstGeom>
                    <a:noFill/>
                  </pic:spPr>
                </pic:pic>
              </a:graphicData>
            </a:graphic>
          </wp:anchor>
        </w:drawing>
      </w:r>
    </w:p>
    <w:p>
      <w:pPr>
        <w:spacing w:after="0" w:line="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4013835</wp:posOffset>
            </wp:positionH>
            <wp:positionV relativeFrom="paragraph">
              <wp:posOffset>10795</wp:posOffset>
            </wp:positionV>
            <wp:extent cx="2430145"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243014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2"/>
          <w:szCs w:val="12"/>
          <w:b w:val="1"/>
          <w:bCs w:val="1"/>
          <w:color w:val="auto"/>
        </w:rPr>
        <w:t>[SIGNATURE PAGE TO EXCHANGE AGREEMENT]</w:t>
      </w:r>
    </w:p>
    <w:p>
      <w:pPr>
        <w:sectPr>
          <w:pgSz w:w="11900" w:h="16840" w:orient="portrait"/>
          <w:cols w:equalWidth="0" w:num="1">
            <w:col w:w="9360"/>
          </w:cols>
          <w:pgMar w:left="1100" w:top="1440" w:right="1440" w:bottom="1440" w:gutter="0" w:footer="0" w:header="0"/>
        </w:sectPr>
      </w:pPr>
    </w:p>
    <w:bookmarkStart w:id="450" w:name="page451"/>
    <w:bookmarkEnd w:id="450"/>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A</w:t>
            </w:r>
          </w:p>
        </w:tc>
        <w:tc>
          <w:tcPr>
            <w:tcW w:w="2820" w:type="dxa"/>
            <w:vAlign w:val="bottom"/>
          </w:tcPr>
          <w:p>
            <w:pPr>
              <w:spacing w:after="0"/>
              <w:rPr>
                <w:sz w:val="13"/>
                <w:szCs w:val="13"/>
                <w:color w:val="auto"/>
              </w:rPr>
            </w:pPr>
          </w:p>
        </w:tc>
      </w:tr>
      <w:tr>
        <w:trPr>
          <w:trHeight w:val="20"/>
        </w:trPr>
        <w:tc>
          <w:tcPr>
            <w:tcW w:w="4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60"/>
        </w:trPr>
        <w:tc>
          <w:tcPr>
            <w:tcW w:w="4920" w:type="dxa"/>
            <w:vAlign w:val="bottom"/>
          </w:tcPr>
          <w:p>
            <w:pPr>
              <w:spacing w:after="0"/>
              <w:rPr>
                <w:sz w:val="24"/>
                <w:szCs w:val="24"/>
                <w:color w:val="auto"/>
              </w:rPr>
            </w:pP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 Class B</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 Class A</w:t>
            </w:r>
          </w:p>
        </w:tc>
      </w:tr>
      <w:tr>
        <w:trPr>
          <w:trHeight w:val="196"/>
        </w:trPr>
        <w:tc>
          <w:tcPr>
            <w:tcW w:w="492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Exchange Stockholder</w:t>
            </w: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to be Issued</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Exchanged</w:t>
            </w:r>
          </w:p>
        </w:tc>
      </w:tr>
      <w:tr>
        <w:trPr>
          <w:trHeight w:val="142"/>
        </w:trPr>
        <w:tc>
          <w:tcPr>
            <w:tcW w:w="49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r>
      <w:tr>
        <w:trPr>
          <w:trHeight w:val="134"/>
        </w:trPr>
        <w:tc>
          <w:tcPr>
            <w:tcW w:w="4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820" w:type="dxa"/>
            <w:vAlign w:val="bottom"/>
          </w:tcPr>
          <w:p>
            <w:pPr>
              <w:spacing w:after="0"/>
              <w:rPr>
                <w:sz w:val="11"/>
                <w:szCs w:val="11"/>
                <w:color w:val="auto"/>
              </w:rPr>
            </w:pPr>
          </w:p>
        </w:tc>
      </w:tr>
      <w:tr>
        <w:trPr>
          <w:trHeight w:val="134"/>
        </w:trPr>
        <w:tc>
          <w:tcPr>
            <w:tcW w:w="49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2820" w:type="dxa"/>
            <w:vAlign w:val="bottom"/>
            <w:shd w:val="clear" w:color="auto" w:fill="CCEEFF"/>
          </w:tcPr>
          <w:p>
            <w:pPr>
              <w:spacing w:after="0"/>
              <w:rPr>
                <w:sz w:val="11"/>
                <w:szCs w:val="11"/>
                <w:color w:val="auto"/>
              </w:rPr>
            </w:pPr>
          </w:p>
        </w:tc>
      </w:tr>
    </w:tbl>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6732270" cy="1155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6732270" cy="115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40" w:orient="portrait"/>
          <w:cols w:equalWidth="0" w:num="1">
            <w:col w:w="10600"/>
          </w:cols>
          <w:pgMar w:left="640" w:top="1440" w:right="660" w:bottom="1440" w:gutter="0" w:footer="0" w:header="0"/>
        </w:sectPr>
      </w:pPr>
    </w:p>
    <w:bookmarkStart w:id="451" w:name="page452"/>
    <w:bookmarkEnd w:id="451"/>
    <w:p>
      <w:pPr>
        <w:ind w:left="9920"/>
        <w:spacing w:after="0"/>
        <w:rPr>
          <w:sz w:val="20"/>
          <w:szCs w:val="20"/>
          <w:color w:val="auto"/>
        </w:rPr>
      </w:pPr>
      <w:r>
        <w:rPr>
          <w:rFonts w:ascii="Times New Roman" w:cs="Times New Roman" w:eastAsia="Times New Roman" w:hAnsi="Times New Roman"/>
          <w:sz w:val="12"/>
          <w:szCs w:val="12"/>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 EXCHANGE RIGHT AGREEMENT</w:t>
      </w: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THIS EQUITY EXCHANGE RIGHT AGREEMENT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is made and entered into as of [_______], 2025, by and between Navan, Inc., a Delaware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 [NAME] (the “</w:t>
      </w:r>
      <w:r>
        <w:rPr>
          <w:rFonts w:ascii="Times New Roman" w:cs="Times New Roman" w:eastAsia="Times New Roman" w:hAnsi="Times New Roman"/>
          <w:sz w:val="14"/>
          <w:szCs w:val="14"/>
          <w:b w:val="1"/>
          <w:bCs w:val="1"/>
          <w:color w:val="auto"/>
        </w:rPr>
        <w:t>Founder</w:t>
      </w:r>
      <w:r>
        <w:rPr>
          <w:rFonts w:ascii="Times New Roman" w:cs="Times New Roman" w:eastAsia="Times New Roman" w:hAnsi="Times New Roman"/>
          <w:sz w:val="14"/>
          <w:szCs w:val="14"/>
          <w:color w:val="auto"/>
        </w:rPr>
        <w:t>”).</w:t>
      </w:r>
    </w:p>
    <w:p>
      <w:pPr>
        <w:spacing w:after="0" w:line="149" w:lineRule="exact"/>
        <w:rPr>
          <w:sz w:val="20"/>
          <w:szCs w:val="20"/>
          <w:color w:val="auto"/>
        </w:rPr>
      </w:pPr>
    </w:p>
    <w:p>
      <w:pPr>
        <w:jc w:val="both"/>
        <w:ind w:right="80" w:firstLine="459"/>
        <w:spacing w:after="0" w:line="289" w:lineRule="auto"/>
        <w:rPr>
          <w:sz w:val="20"/>
          <w:szCs w:val="20"/>
          <w:color w:val="auto"/>
        </w:rPr>
      </w:pPr>
      <w:r>
        <w:rPr>
          <w:rFonts w:ascii="Times New Roman" w:cs="Times New Roman" w:eastAsia="Times New Roman" w:hAnsi="Times New Roman"/>
          <w:sz w:val="14"/>
          <w:szCs w:val="14"/>
          <w:color w:val="auto"/>
        </w:rPr>
        <w:t>WHEREAS, the Company’s board of directors (the “</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has determined that it is in the best interests of the Company and its stockholders to implement a multi class common stock structure in connection with the Company’s initial public offering of its capital stock (the “</w:t>
      </w:r>
      <w:r>
        <w:rPr>
          <w:rFonts w:ascii="Times New Roman" w:cs="Times New Roman" w:eastAsia="Times New Roman" w:hAnsi="Times New Roman"/>
          <w:sz w:val="14"/>
          <w:szCs w:val="14"/>
          <w:b w:val="1"/>
          <w:bCs w:val="1"/>
          <w:color w:val="auto"/>
        </w:rPr>
        <w:t>IPO</w:t>
      </w:r>
      <w:r>
        <w:rPr>
          <w:rFonts w:ascii="Times New Roman" w:cs="Times New Roman" w:eastAsia="Times New Roman" w:hAnsi="Times New Roman"/>
          <w:sz w:val="14"/>
          <w:szCs w:val="14"/>
          <w:color w:val="auto"/>
        </w:rPr>
        <w:t>”) to, among other things, enable the Company to execute its long-term vision;</w:t>
      </w:r>
    </w:p>
    <w:p>
      <w:pPr>
        <w:spacing w:after="0" w:line="282" w:lineRule="exact"/>
        <w:rPr>
          <w:sz w:val="20"/>
          <w:szCs w:val="20"/>
          <w:color w:val="auto"/>
        </w:rPr>
      </w:pPr>
    </w:p>
    <w:p>
      <w:pPr>
        <w:jc w:val="both"/>
        <w:ind w:firstLine="459"/>
        <w:spacing w:after="0" w:line="270" w:lineRule="auto"/>
        <w:rPr>
          <w:sz w:val="20"/>
          <w:szCs w:val="20"/>
          <w:color w:val="auto"/>
        </w:rPr>
      </w:pPr>
      <w:r>
        <w:rPr>
          <w:rFonts w:ascii="Times New Roman" w:cs="Times New Roman" w:eastAsia="Times New Roman" w:hAnsi="Times New Roman"/>
          <w:sz w:val="14"/>
          <w:szCs w:val="14"/>
          <w:color w:val="auto"/>
        </w:rPr>
        <w:t xml:space="preserve">WHEREAS, in connection with the IPO, the Board and Stockholders approved an Amended and Restated Certificate of Incorporation of the Company (the “ </w:t>
      </w:r>
      <w:r>
        <w:rPr>
          <w:rFonts w:ascii="Times New Roman" w:cs="Times New Roman" w:eastAsia="Times New Roman" w:hAnsi="Times New Roman"/>
          <w:sz w:val="14"/>
          <w:szCs w:val="14"/>
          <w:b w:val="1"/>
          <w:bCs w:val="1"/>
          <w:color w:val="auto"/>
        </w:rPr>
        <w:t>Interim Charter</w:t>
      </w:r>
      <w:r>
        <w:rPr>
          <w:rFonts w:ascii="Times New Roman" w:cs="Times New Roman" w:eastAsia="Times New Roman" w:hAnsi="Times New Roman"/>
          <w:sz w:val="14"/>
          <w:szCs w:val="14"/>
          <w:color w:val="auto"/>
        </w:rPr>
        <w:t xml:space="preserve">”), which, among other things, created two series of common stock of the Company, Class A Common Stock, par value $0.00000625 per share (“ </w:t>
      </w:r>
      <w:r>
        <w:rPr>
          <w:rFonts w:ascii="Times New Roman" w:cs="Times New Roman" w:eastAsia="Times New Roman" w:hAnsi="Times New Roman"/>
          <w:sz w:val="14"/>
          <w:szCs w:val="14"/>
          <w:b w:val="1"/>
          <w:bCs w:val="1"/>
          <w:color w:val="auto"/>
        </w:rPr>
        <w:t>Class A Common Stock</w:t>
      </w:r>
      <w:r>
        <w:rPr>
          <w:rFonts w:ascii="Times New Roman" w:cs="Times New Roman" w:eastAsia="Times New Roman" w:hAnsi="Times New Roman"/>
          <w:sz w:val="14"/>
          <w:szCs w:val="14"/>
          <w:color w:val="auto"/>
        </w:rPr>
        <w:t xml:space="preserve"> ”), entitling holders to one (1) vote for each share thereof held, and Class B Common Stock, par value $0.00000625 per share (“</w:t>
      </w:r>
      <w:r>
        <w:rPr>
          <w:rFonts w:ascii="Times New Roman" w:cs="Times New Roman" w:eastAsia="Times New Roman" w:hAnsi="Times New Roman"/>
          <w:sz w:val="14"/>
          <w:szCs w:val="14"/>
          <w:b w:val="1"/>
          <w:bCs w:val="1"/>
          <w:color w:val="auto"/>
        </w:rPr>
        <w:t>Class B Common Stock</w:t>
      </w:r>
      <w:r>
        <w:rPr>
          <w:rFonts w:ascii="Times New Roman" w:cs="Times New Roman" w:eastAsia="Times New Roman" w:hAnsi="Times New Roman"/>
          <w:sz w:val="14"/>
          <w:szCs w:val="14"/>
          <w:color w:val="auto"/>
        </w:rPr>
        <w:t>”), entitling holders to thirty (30) votes for each share thereof held;</w:t>
      </w:r>
    </w:p>
    <w:p>
      <w:pPr>
        <w:spacing w:after="0" w:line="118" w:lineRule="exact"/>
        <w:rPr>
          <w:sz w:val="20"/>
          <w:szCs w:val="20"/>
          <w:color w:val="auto"/>
        </w:rPr>
      </w:pPr>
    </w:p>
    <w:p>
      <w:pPr>
        <w:jc w:val="both"/>
        <w:ind w:right="80" w:firstLine="459"/>
        <w:spacing w:after="0" w:line="276" w:lineRule="auto"/>
        <w:rPr>
          <w:sz w:val="20"/>
          <w:szCs w:val="20"/>
          <w:color w:val="auto"/>
        </w:rPr>
      </w:pPr>
      <w:r>
        <w:rPr>
          <w:rFonts w:ascii="Times New Roman" w:cs="Times New Roman" w:eastAsia="Times New Roman" w:hAnsi="Times New Roman"/>
          <w:sz w:val="14"/>
          <w:szCs w:val="14"/>
          <w:color w:val="auto"/>
        </w:rPr>
        <w:t xml:space="preserve">WHEREAS, the Board has approved an Amended and Restated Certificate of Incorporation of the Company (the “ </w:t>
      </w:r>
      <w:r>
        <w:rPr>
          <w:rFonts w:ascii="Times New Roman" w:cs="Times New Roman" w:eastAsia="Times New Roman" w:hAnsi="Times New Roman"/>
          <w:sz w:val="14"/>
          <w:szCs w:val="14"/>
          <w:b w:val="1"/>
          <w:bCs w:val="1"/>
          <w:color w:val="auto"/>
        </w:rPr>
        <w:t>Amended and Restated Certificate of Incorporation</w:t>
      </w:r>
      <w:r>
        <w:rPr>
          <w:rFonts w:ascii="Times New Roman" w:cs="Times New Roman" w:eastAsia="Times New Roman" w:hAnsi="Times New Roman"/>
          <w:sz w:val="14"/>
          <w:szCs w:val="14"/>
          <w:color w:val="auto"/>
        </w:rPr>
        <w:t>”) which, in connection with the closing of the IPO, will amend and restate the Interim Charter, upon the effectiveness of the filing of the Amended and Restated Certificate of Incorporation (the “</w:t>
      </w:r>
      <w:r>
        <w:rPr>
          <w:rFonts w:ascii="Times New Roman" w:cs="Times New Roman" w:eastAsia="Times New Roman" w:hAnsi="Times New Roman"/>
          <w:sz w:val="14"/>
          <w:szCs w:val="14"/>
          <w:b w:val="1"/>
          <w:bCs w:val="1"/>
          <w:color w:val="auto"/>
        </w:rPr>
        <w:t>Effective Time</w:t>
      </w:r>
      <w:r>
        <w:rPr>
          <w:rFonts w:ascii="Times New Roman" w:cs="Times New Roman" w:eastAsia="Times New Roman" w:hAnsi="Times New Roman"/>
          <w:sz w:val="14"/>
          <w:szCs w:val="14"/>
          <w:color w:val="auto"/>
        </w:rPr>
        <w:t>”);</w:t>
      </w:r>
    </w:p>
    <w:p>
      <w:pPr>
        <w:spacing w:after="0" w:line="116" w:lineRule="exact"/>
        <w:rPr>
          <w:sz w:val="20"/>
          <w:szCs w:val="20"/>
          <w:color w:val="auto"/>
        </w:rPr>
      </w:pPr>
    </w:p>
    <w:p>
      <w:pPr>
        <w:jc w:val="both"/>
        <w:ind w:right="80" w:firstLine="459"/>
        <w:spacing w:after="0" w:line="275" w:lineRule="auto"/>
        <w:rPr>
          <w:sz w:val="20"/>
          <w:szCs w:val="20"/>
          <w:color w:val="auto"/>
        </w:rPr>
      </w:pPr>
      <w:r>
        <w:rPr>
          <w:rFonts w:ascii="Times New Roman" w:cs="Times New Roman" w:eastAsia="Times New Roman" w:hAnsi="Times New Roman"/>
          <w:sz w:val="14"/>
          <w:szCs w:val="14"/>
          <w:color w:val="auto"/>
        </w:rPr>
        <w:t xml:space="preserve">WHEREAS, Founder holds awards of options to purchase Class A Common Stock and/or restricted stock units covering shares of Class A Common Stock that will be outstanding as of immediately prior to the Effective Time as set forth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(each, a “</w:t>
      </w:r>
      <w:r>
        <w:rPr>
          <w:rFonts w:ascii="Times New Roman" w:cs="Times New Roman" w:eastAsia="Times New Roman" w:hAnsi="Times New Roman"/>
          <w:sz w:val="14"/>
          <w:szCs w:val="14"/>
          <w:b w:val="1"/>
          <w:bCs w:val="1"/>
          <w:color w:val="auto"/>
        </w:rPr>
        <w:t>Founder Equity Award</w:t>
      </w:r>
      <w:r>
        <w:rPr>
          <w:rFonts w:ascii="Times New Roman" w:cs="Times New Roman" w:eastAsia="Times New Roman" w:hAnsi="Times New Roman"/>
          <w:sz w:val="14"/>
          <w:szCs w:val="14"/>
          <w:color w:val="auto"/>
        </w:rPr>
        <w:t xml:space="preserve"> ”), and each Founder Equity Award has been granted under the Company’s 2015 Equity Incentive Plan, as amended and/or restated, and the award agreement memorializing Founder Equity Award (collectively, the “</w:t>
      </w:r>
      <w:r>
        <w:rPr>
          <w:rFonts w:ascii="Times New Roman" w:cs="Times New Roman" w:eastAsia="Times New Roman" w:hAnsi="Times New Roman"/>
          <w:sz w:val="14"/>
          <w:szCs w:val="14"/>
          <w:b w:val="1"/>
          <w:bCs w:val="1"/>
          <w:color w:val="auto"/>
        </w:rPr>
        <w:t>Equity Documents</w:t>
      </w:r>
      <w:r>
        <w:rPr>
          <w:rFonts w:ascii="Times New Roman" w:cs="Times New Roman" w:eastAsia="Times New Roman" w:hAnsi="Times New Roman"/>
          <w:sz w:val="14"/>
          <w:szCs w:val="14"/>
          <w:color w:val="auto"/>
        </w:rPr>
        <w:t>”); and</w:t>
      </w:r>
    </w:p>
    <w:p>
      <w:pPr>
        <w:spacing w:after="0" w:line="116" w:lineRule="exact"/>
        <w:rPr>
          <w:sz w:val="20"/>
          <w:szCs w:val="20"/>
          <w:color w:val="auto"/>
        </w:rPr>
      </w:pPr>
    </w:p>
    <w:p>
      <w:pPr>
        <w:jc w:val="both"/>
        <w:ind w:right="80" w:firstLine="459"/>
        <w:spacing w:after="0" w:line="269" w:lineRule="auto"/>
        <w:rPr>
          <w:sz w:val="20"/>
          <w:szCs w:val="20"/>
          <w:color w:val="auto"/>
        </w:rPr>
      </w:pPr>
      <w:r>
        <w:rPr>
          <w:rFonts w:ascii="Times New Roman" w:cs="Times New Roman" w:eastAsia="Times New Roman" w:hAnsi="Times New Roman"/>
          <w:sz w:val="14"/>
          <w:szCs w:val="14"/>
          <w:color w:val="auto"/>
        </w:rPr>
        <w:t>WHEREAS, the Board has determined that it is advisable and in the best interest of the Company and all of its stockholders, including its stockholders other than Founder, to provide Founder with the right to require the Company to exchange shares of Class A Common Stock that Founder acquires upon the exercise, vesting, and/or settlement of his Founder Equity Awards for a number of shares of Class B Common Stock of equivalent value as determined on the date of the exchange (which is expected to be on a one share-for-one share basis), subject to the terms and conditions set forth in this Agreement; and.</w:t>
      </w:r>
    </w:p>
    <w:p>
      <w:pPr>
        <w:spacing w:after="0" w:line="120" w:lineRule="exact"/>
        <w:rPr>
          <w:sz w:val="20"/>
          <w:szCs w:val="20"/>
          <w:color w:val="auto"/>
        </w:rPr>
      </w:pPr>
    </w:p>
    <w:p>
      <w:pPr>
        <w:jc w:val="both"/>
        <w:ind w:right="80" w:firstLine="459"/>
        <w:spacing w:after="0" w:line="293" w:lineRule="auto"/>
        <w:rPr>
          <w:sz w:val="20"/>
          <w:szCs w:val="20"/>
          <w:color w:val="auto"/>
        </w:rPr>
      </w:pPr>
      <w:r>
        <w:rPr>
          <w:rFonts w:ascii="Times New Roman" w:cs="Times New Roman" w:eastAsia="Times New Roman" w:hAnsi="Times New Roman"/>
          <w:sz w:val="14"/>
          <w:szCs w:val="14"/>
          <w:color w:val="auto"/>
        </w:rPr>
        <w:t>WHEREAS, the parties intend that no gain or loss will be recognized in any Exchange (as defined below) pursuant to Sections 368(a)(1)(E) and/or 1036 of the Internal Revenue Code of 1986, as amended (the “</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w:t>
      </w:r>
    </w:p>
    <w:p>
      <w:pPr>
        <w:spacing w:after="0" w:line="104" w:lineRule="exact"/>
        <w:rPr>
          <w:sz w:val="20"/>
          <w:szCs w:val="20"/>
          <w:color w:val="auto"/>
        </w:rPr>
      </w:pPr>
    </w:p>
    <w:p>
      <w:pPr>
        <w:jc w:val="both"/>
        <w:ind w:right="80" w:firstLine="459"/>
        <w:spacing w:after="0" w:line="293" w:lineRule="auto"/>
        <w:rPr>
          <w:sz w:val="20"/>
          <w:szCs w:val="20"/>
          <w:color w:val="auto"/>
        </w:rPr>
      </w:pPr>
      <w:r>
        <w:rPr>
          <w:rFonts w:ascii="Times New Roman" w:cs="Times New Roman" w:eastAsia="Times New Roman" w:hAnsi="Times New Roman"/>
          <w:sz w:val="14"/>
          <w:szCs w:val="14"/>
          <w:color w:val="auto"/>
        </w:rPr>
        <w:t>NOW, THEREFORE, in consideration of the foregoing recitals and the mutual promises, representations and covenants set forth herein, and for other good and valuable consideration, the receipt and sufficiency of which are hereby acknowledged and accepted, the parties hereto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-1-</w:t>
      </w:r>
    </w:p>
    <w:p>
      <w:pPr>
        <w:sectPr>
          <w:pgSz w:w="11900" w:h="16840" w:orient="portrait"/>
          <w:cols w:equalWidth="0" w:num="1">
            <w:col w:w="10680"/>
          </w:cols>
          <w:pgMar w:left="640" w:top="557" w:right="580" w:bottom="1440" w:gutter="0" w:footer="0" w:header="0"/>
        </w:sectPr>
      </w:pPr>
    </w:p>
    <w:bookmarkStart w:id="452" w:name="page453"/>
    <w:bookmarkEnd w:id="452"/>
    <w:p>
      <w:pPr>
        <w:spacing w:after="0" w:line="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u w:val="single" w:color="auto"/>
          <w:color w:val="auto"/>
        </w:rPr>
        <w:t>PUT RIGHT AND EXCHANGE AND ISSUANCE OF CLASS B COMMON STOCK</w:t>
      </w:r>
    </w:p>
    <w:p>
      <w:pPr>
        <w:spacing w:after="0" w:line="151" w:lineRule="exact"/>
        <w:rPr>
          <w:sz w:val="20"/>
          <w:szCs w:val="20"/>
          <w:color w:val="auto"/>
        </w:rPr>
      </w:pPr>
    </w:p>
    <w:p>
      <w:pPr>
        <w:ind w:firstLine="466"/>
        <w:spacing w:after="0" w:line="266" w:lineRule="auto"/>
        <w:tabs>
          <w:tab w:leader="none" w:pos="586" w:val="left"/>
        </w:tabs>
        <w:numPr>
          <w:ilvl w:val="0"/>
          <w:numId w:val="5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 </w:t>
      </w:r>
      <w:r>
        <w:rPr>
          <w:rFonts w:ascii="Times New Roman" w:cs="Times New Roman" w:eastAsia="Times New Roman" w:hAnsi="Times New Roman"/>
          <w:sz w:val="14"/>
          <w:szCs w:val="14"/>
          <w:u w:val="single" w:color="auto"/>
          <w:color w:val="auto"/>
        </w:rPr>
        <w:t>Grant of Put Right</w:t>
      </w:r>
      <w:r>
        <w:rPr>
          <w:rFonts w:ascii="Times New Roman" w:cs="Times New Roman" w:eastAsia="Times New Roman" w:hAnsi="Times New Roman"/>
          <w:sz w:val="14"/>
          <w:szCs w:val="14"/>
          <w:color w:val="auto"/>
        </w:rPr>
        <w:t>. Effective immediately following the Effective Time, and subject to the terms and provisions of this Agreement (including Section 1.2(a) below), the Company hereby irrevocably grants to Founder the right (the “</w:t>
      </w:r>
      <w:r>
        <w:rPr>
          <w:rFonts w:ascii="Times New Roman" w:cs="Times New Roman" w:eastAsia="Times New Roman" w:hAnsi="Times New Roman"/>
          <w:sz w:val="14"/>
          <w:szCs w:val="14"/>
          <w:b w:val="1"/>
          <w:bCs w:val="1"/>
          <w:color w:val="auto"/>
        </w:rPr>
        <w:t>Put Right</w:t>
      </w:r>
      <w:r>
        <w:rPr>
          <w:rFonts w:ascii="Times New Roman" w:cs="Times New Roman" w:eastAsia="Times New Roman" w:hAnsi="Times New Roman"/>
          <w:sz w:val="14"/>
          <w:szCs w:val="14"/>
          <w:color w:val="auto"/>
        </w:rPr>
        <w:t xml:space="preserve">”) to require the Company to exchange any shares of Class A Common Stock that Founder acquires following the Effective Time as a result of the exercise, vesting, and/or settlement of his Founder Equity Awards (each, a “ </w:t>
      </w:r>
      <w:r>
        <w:rPr>
          <w:rFonts w:ascii="Times New Roman" w:cs="Times New Roman" w:eastAsia="Times New Roman" w:hAnsi="Times New Roman"/>
          <w:sz w:val="14"/>
          <w:szCs w:val="14"/>
          <w:b w:val="1"/>
          <w:bCs w:val="1"/>
          <w:color w:val="auto"/>
        </w:rPr>
        <w:t>Put Eligible Share</w:t>
      </w:r>
      <w:r>
        <w:rPr>
          <w:rFonts w:ascii="Times New Roman" w:cs="Times New Roman" w:eastAsia="Times New Roman" w:hAnsi="Times New Roman"/>
          <w:sz w:val="14"/>
          <w:szCs w:val="14"/>
          <w:color w:val="auto"/>
        </w:rPr>
        <w:t>”) for a number of shares of Class B Common Stock of equivalent value as determined on the date of the exchange (which is expected to be on a one share-for-one share basis), subject to the terms and conditions set forth in this Agreement (the “</w:t>
      </w:r>
      <w:r>
        <w:rPr>
          <w:rFonts w:ascii="Times New Roman" w:cs="Times New Roman" w:eastAsia="Times New Roman" w:hAnsi="Times New Roman"/>
          <w:sz w:val="14"/>
          <w:szCs w:val="14"/>
          <w:b w:val="1"/>
          <w:bCs w:val="1"/>
          <w:color w:val="auto"/>
        </w:rPr>
        <w:t>Exchange</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460"/>
        <w:spacing w:after="0"/>
        <w:tabs>
          <w:tab w:leader="none" w:pos="78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4"/>
          <w:szCs w:val="14"/>
          <w:u w:val="single" w:color="auto"/>
          <w:color w:val="auto"/>
        </w:rPr>
        <w:t>Exercise of Put Right</w:t>
      </w:r>
      <w:r>
        <w:rPr>
          <w:rFonts w:ascii="Times New Roman" w:cs="Times New Roman" w:eastAsia="Times New Roman" w:hAnsi="Times New Roman"/>
          <w:sz w:val="14"/>
          <w:szCs w:val="14"/>
          <w:color w:val="auto"/>
        </w:rPr>
        <w:t>.</w:t>
      </w:r>
    </w:p>
    <w:p>
      <w:pPr>
        <w:spacing w:after="0" w:line="164" w:lineRule="exact"/>
        <w:rPr>
          <w:sz w:val="20"/>
          <w:szCs w:val="20"/>
          <w:color w:val="auto"/>
        </w:rPr>
      </w:pPr>
    </w:p>
    <w:p>
      <w:pPr>
        <w:ind w:right="60" w:firstLine="925"/>
        <w:spacing w:after="0" w:line="293" w:lineRule="auto"/>
        <w:tabs>
          <w:tab w:leader="none" w:pos="1219" w:val="left"/>
        </w:tabs>
        <w:numPr>
          <w:ilvl w:val="1"/>
          <w:numId w:val="5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condition precedent to the exercise of the Put Right on any given date, the Company and Founder must mutually agree that no gain or loss will be required to be recognized for U.S. federal tax purposes on account of such exercise and related Exchange (the “</w:t>
      </w:r>
      <w:r>
        <w:rPr>
          <w:rFonts w:ascii="Times New Roman" w:cs="Times New Roman" w:eastAsia="Times New Roman" w:hAnsi="Times New Roman"/>
          <w:sz w:val="14"/>
          <w:szCs w:val="14"/>
          <w:b w:val="1"/>
          <w:bCs w:val="1"/>
          <w:color w:val="auto"/>
        </w:rPr>
        <w:t>Put Right Condition</w:t>
      </w:r>
      <w:r>
        <w:rPr>
          <w:rFonts w:ascii="Times New Roman" w:cs="Times New Roman" w:eastAsia="Times New Roman" w:hAnsi="Times New Roman"/>
          <w:sz w:val="14"/>
          <w:szCs w:val="14"/>
          <w:color w:val="auto"/>
        </w:rPr>
        <w:t>”).</w:t>
      </w:r>
    </w:p>
    <w:p>
      <w:pPr>
        <w:spacing w:after="0" w:line="104" w:lineRule="exact"/>
        <w:rPr>
          <w:rFonts w:ascii="Times New Roman" w:cs="Times New Roman" w:eastAsia="Times New Roman" w:hAnsi="Times New Roman"/>
          <w:sz w:val="14"/>
          <w:szCs w:val="14"/>
          <w:color w:val="auto"/>
        </w:rPr>
      </w:pPr>
    </w:p>
    <w:p>
      <w:pPr>
        <w:jc w:val="both"/>
        <w:ind w:right="60" w:firstLine="925"/>
        <w:spacing w:after="0" w:line="275" w:lineRule="auto"/>
        <w:tabs>
          <w:tab w:leader="none" w:pos="1278" w:val="left"/>
        </w:tabs>
        <w:numPr>
          <w:ilvl w:val="1"/>
          <w:numId w:val="5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Put Right Condition is satisfied, the Put Right will be exercisable by Founder by submitting a completed and fully-executed notice in the form attached hereto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Put Right Notice</w:t>
      </w:r>
      <w:r>
        <w:rPr>
          <w:rFonts w:ascii="Times New Roman" w:cs="Times New Roman" w:eastAsia="Times New Roman" w:hAnsi="Times New Roman"/>
          <w:sz w:val="14"/>
          <w:szCs w:val="14"/>
          <w:color w:val="auto"/>
        </w:rPr>
        <w:t>”) to the Company on or prior to the Put Right’s Expiration Date (as defined in Section 1.5 below). If the Put Right Condition is satisfied, the Put Right will be deemed to have been exercised immediately prior to 5:00 p.m. Pacific Time on the date of timely delivery of a Put Right Notice with respect to the Put Right.</w:t>
      </w:r>
    </w:p>
    <w:p>
      <w:pPr>
        <w:spacing w:after="0" w:line="116" w:lineRule="exact"/>
        <w:rPr>
          <w:rFonts w:ascii="Times New Roman" w:cs="Times New Roman" w:eastAsia="Times New Roman" w:hAnsi="Times New Roman"/>
          <w:sz w:val="14"/>
          <w:szCs w:val="14"/>
          <w:color w:val="auto"/>
        </w:rPr>
      </w:pPr>
    </w:p>
    <w:p>
      <w:pPr>
        <w:ind w:right="60" w:firstLine="925"/>
        <w:spacing w:after="0" w:line="293" w:lineRule="auto"/>
        <w:tabs>
          <w:tab w:leader="none" w:pos="1275" w:val="left"/>
        </w:tabs>
        <w:numPr>
          <w:ilvl w:val="1"/>
          <w:numId w:val="5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satisfy the Put Right Condition or to deliver a Put Right Notice prior to 5:00 p.m. Pacific Time on a Put Right’s Expiration Date will constitute an irrevocable waiver of the Put Right with respect to any shares of Class A Common Stock that remain subject to Founder Equity Awards and any remaining Put Eligible Shares.</w:t>
      </w:r>
    </w:p>
    <w:p>
      <w:pPr>
        <w:spacing w:after="0" w:line="104" w:lineRule="exact"/>
        <w:rPr>
          <w:rFonts w:ascii="Times New Roman" w:cs="Times New Roman" w:eastAsia="Times New Roman" w:hAnsi="Times New Roman"/>
          <w:sz w:val="14"/>
          <w:szCs w:val="14"/>
          <w:color w:val="auto"/>
        </w:rPr>
      </w:pPr>
    </w:p>
    <w:p>
      <w:pPr>
        <w:jc w:val="both"/>
        <w:ind w:right="80" w:firstLine="925"/>
        <w:spacing w:after="0" w:line="275" w:lineRule="auto"/>
        <w:tabs>
          <w:tab w:leader="none" w:pos="1272" w:val="left"/>
        </w:tabs>
        <w:numPr>
          <w:ilvl w:val="1"/>
          <w:numId w:val="5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Put Right cannot be exercised by Founder with respect to any Put Eligible Share more than once. Further, Founder will have no Put Right pursuant to this Agreement with respect to any share of Class A Common Stock that is acquired by Founder following the Effective Time other than as a result of the exercise, vesting, and/or settlement of a Founder Equity Award, or with respect to any portion of a Founder Equity Award that is subject to a constructive trust.</w:t>
      </w:r>
    </w:p>
    <w:p>
      <w:pPr>
        <w:spacing w:after="0" w:line="116" w:lineRule="exact"/>
        <w:rPr>
          <w:rFonts w:ascii="Times New Roman" w:cs="Times New Roman" w:eastAsia="Times New Roman" w:hAnsi="Times New Roman"/>
          <w:sz w:val="14"/>
          <w:szCs w:val="14"/>
          <w:color w:val="auto"/>
        </w:rPr>
      </w:pPr>
    </w:p>
    <w:p>
      <w:pPr>
        <w:jc w:val="both"/>
        <w:ind w:right="40" w:firstLine="459"/>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1 .3 </w:t>
      </w:r>
      <w:r>
        <w:rPr>
          <w:rFonts w:ascii="Times New Roman" w:cs="Times New Roman" w:eastAsia="Times New Roman" w:hAnsi="Times New Roman"/>
          <w:sz w:val="14"/>
          <w:szCs w:val="14"/>
          <w:u w:val="single" w:color="auto"/>
          <w:color w:val="auto"/>
        </w:rPr>
        <w:t>Exchange of Shares</w:t>
      </w:r>
      <w:r>
        <w:rPr>
          <w:rFonts w:ascii="Times New Roman" w:cs="Times New Roman" w:eastAsia="Times New Roman" w:hAnsi="Times New Roman"/>
          <w:sz w:val="14"/>
          <w:szCs w:val="14"/>
          <w:color w:val="auto"/>
        </w:rPr>
        <w:t>. Within ten (10) calendar days after the Company’s receipt of a properly executed Put Right Notice, and provided the Put Right Condition remains satisfied, the Company will complete the Exchange for the specified number of Put Eligible Shares indicated in the Put Right Notice (“</w:t>
      </w:r>
      <w:r>
        <w:rPr>
          <w:rFonts w:ascii="Times New Roman" w:cs="Times New Roman" w:eastAsia="Times New Roman" w:hAnsi="Times New Roman"/>
          <w:sz w:val="14"/>
          <w:szCs w:val="14"/>
          <w:b w:val="1"/>
          <w:bCs w:val="1"/>
          <w:color w:val="auto"/>
        </w:rPr>
        <w:t>Exercised Shares</w:t>
      </w:r>
      <w:r>
        <w:rPr>
          <w:rFonts w:ascii="Times New Roman" w:cs="Times New Roman" w:eastAsia="Times New Roman" w:hAnsi="Times New Roman"/>
          <w:sz w:val="14"/>
          <w:szCs w:val="14"/>
          <w:color w:val="auto"/>
        </w:rPr>
        <w:t>”) by issuing, out of shares legally available therefor, a number of shares of Class B Common Stock to Founder of equivalent value determined on the date of the Exchange (which is expected to be on a one share-for-one share basis). Upon the effectiveness of such Exchange, the Company will deliver to Founder such documentation as may be reasonably required to evidence that the shares of Class B Common Stock have been duly issued and transferred to the applicable Founder in exchange for the Exercised Shares.</w:t>
      </w:r>
    </w:p>
    <w:p>
      <w:pPr>
        <w:spacing w:after="0" w:line="122" w:lineRule="exact"/>
        <w:rPr>
          <w:sz w:val="20"/>
          <w:szCs w:val="20"/>
          <w:color w:val="auto"/>
        </w:rPr>
      </w:pPr>
    </w:p>
    <w:p>
      <w:pPr>
        <w:jc w:val="both"/>
        <w:ind w:right="40" w:firstLine="459"/>
        <w:spacing w:after="0" w:line="275" w:lineRule="auto"/>
        <w:rPr>
          <w:sz w:val="20"/>
          <w:szCs w:val="20"/>
          <w:color w:val="auto"/>
        </w:rPr>
      </w:pPr>
      <w:r>
        <w:rPr>
          <w:rFonts w:ascii="Times New Roman" w:cs="Times New Roman" w:eastAsia="Times New Roman" w:hAnsi="Times New Roman"/>
          <w:sz w:val="14"/>
          <w:szCs w:val="14"/>
          <w:color w:val="auto"/>
        </w:rPr>
        <w:t xml:space="preserve">1.4 </w:t>
      </w:r>
      <w:r>
        <w:rPr>
          <w:rFonts w:ascii="Times New Roman" w:cs="Times New Roman" w:eastAsia="Times New Roman" w:hAnsi="Times New Roman"/>
          <w:sz w:val="14"/>
          <w:szCs w:val="14"/>
          <w:u w:val="single" w:color="auto"/>
          <w:color w:val="auto"/>
        </w:rPr>
        <w:t>Rights to Shares of Class A Common Stock Following Exchange</w:t>
      </w:r>
      <w:r>
        <w:rPr>
          <w:rFonts w:ascii="Times New Roman" w:cs="Times New Roman" w:eastAsia="Times New Roman" w:hAnsi="Times New Roman"/>
          <w:sz w:val="14"/>
          <w:szCs w:val="14"/>
          <w:color w:val="auto"/>
        </w:rPr>
        <w:t xml:space="preserve"> . Upon the Exchange, Founder will no longer have any rights as a holder of the Exercised Shares that are the subject of the Exchange (other than the right to receive the shares of Class B Common Stock in accordance with this Agreement). Such Exercised Shares will be deemed to have been redeemed by the Company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-2-</w:t>
      </w:r>
    </w:p>
    <w:p>
      <w:pPr>
        <w:sectPr>
          <w:pgSz w:w="11900" w:h="16840" w:orient="portrait"/>
          <w:cols w:equalWidth="0" w:num="1">
            <w:col w:w="10660"/>
          </w:cols>
          <w:pgMar w:left="640" w:top="1440" w:right="600" w:bottom="1440" w:gutter="0" w:footer="0" w:header="0"/>
        </w:sectPr>
      </w:pPr>
    </w:p>
    <w:bookmarkStart w:id="453" w:name="page454"/>
    <w:bookmarkEnd w:id="453"/>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accordance with the applicable provisions hereof, whether or not the certificate(s) therefor have been delivered to Founder.</w:t>
      </w:r>
    </w:p>
    <w:p>
      <w:pPr>
        <w:spacing w:after="0" w:line="162" w:lineRule="exact"/>
        <w:rPr>
          <w:sz w:val="20"/>
          <w:szCs w:val="20"/>
          <w:color w:val="auto"/>
        </w:rPr>
      </w:pPr>
    </w:p>
    <w:p>
      <w:pPr>
        <w:ind w:left="460"/>
        <w:spacing w:after="0"/>
        <w:tabs>
          <w:tab w:leader="none" w:pos="780" w:val="left"/>
        </w:tabs>
        <w:rPr>
          <w:sz w:val="20"/>
          <w:szCs w:val="20"/>
          <w:color w:val="auto"/>
        </w:rPr>
      </w:pP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4"/>
          <w:szCs w:val="14"/>
          <w:u w:val="single" w:color="auto"/>
          <w:color w:val="auto"/>
        </w:rPr>
        <w:t>Termination of Put Right</w:t>
      </w:r>
      <w:r>
        <w:rPr>
          <w:rFonts w:ascii="Times New Roman" w:cs="Times New Roman" w:eastAsia="Times New Roman" w:hAnsi="Times New Roman"/>
          <w:sz w:val="14"/>
          <w:szCs w:val="14"/>
          <w:color w:val="auto"/>
        </w:rPr>
        <w:t>. The Put Right will terminate on the following date(s) (the “</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b w:val="1"/>
          <w:bCs w:val="1"/>
          <w:color w:val="auto"/>
        </w:rPr>
        <w:t>Expiration Date</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right="40" w:firstLine="925"/>
        <w:spacing w:after="0" w:line="293" w:lineRule="auto"/>
        <w:tabs>
          <w:tab w:leader="none" w:pos="1224" w:val="left"/>
        </w:tabs>
        <w:numPr>
          <w:ilvl w:val="0"/>
          <w:numId w:val="5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shares of Class A Common Stock subject to a Founder Equity Award that have not become Put Eligible Shares, the Expiration Date will be the date such shares are forfeited pursuant to the applicable Equity Documents; and</w:t>
      </w:r>
    </w:p>
    <w:p>
      <w:pPr>
        <w:spacing w:after="0" w:line="104" w:lineRule="exact"/>
        <w:rPr>
          <w:rFonts w:ascii="Times New Roman" w:cs="Times New Roman" w:eastAsia="Times New Roman" w:hAnsi="Times New Roman"/>
          <w:sz w:val="14"/>
          <w:szCs w:val="14"/>
          <w:color w:val="auto"/>
        </w:rPr>
      </w:pPr>
    </w:p>
    <w:p>
      <w:pPr>
        <w:ind w:left="1240" w:hanging="315"/>
        <w:spacing w:after="0"/>
        <w:tabs>
          <w:tab w:leader="none" w:pos="1240" w:val="left"/>
        </w:tabs>
        <w:numPr>
          <w:ilvl w:val="0"/>
          <w:numId w:val="5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Put Eligible Shares, the Expiration Date will be the earliest to occur of the following:</w:t>
      </w:r>
    </w:p>
    <w:p>
      <w:pPr>
        <w:spacing w:after="0" w:line="164" w:lineRule="exact"/>
        <w:rPr>
          <w:rFonts w:ascii="Times New Roman" w:cs="Times New Roman" w:eastAsia="Times New Roman" w:hAnsi="Times New Roman"/>
          <w:sz w:val="14"/>
          <w:szCs w:val="14"/>
          <w:color w:val="auto"/>
        </w:rPr>
      </w:pPr>
    </w:p>
    <w:p>
      <w:pPr>
        <w:ind w:left="1660" w:hanging="276"/>
        <w:spacing w:after="0"/>
        <w:tabs>
          <w:tab w:leader="none" w:pos="1660" w:val="left"/>
        </w:tabs>
        <w:numPr>
          <w:ilvl w:val="1"/>
          <w:numId w:val="5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Founder sells, transfers, or otherwise disposes of such Put Eligible Shares;</w:t>
      </w:r>
    </w:p>
    <w:p>
      <w:pPr>
        <w:spacing w:after="0" w:line="164" w:lineRule="exact"/>
        <w:rPr>
          <w:rFonts w:ascii="Times New Roman" w:cs="Times New Roman" w:eastAsia="Times New Roman" w:hAnsi="Times New Roman"/>
          <w:sz w:val="14"/>
          <w:szCs w:val="14"/>
          <w:color w:val="auto"/>
        </w:rPr>
      </w:pPr>
    </w:p>
    <w:p>
      <w:pPr>
        <w:ind w:left="1700" w:hanging="316"/>
        <w:spacing w:after="0"/>
        <w:tabs>
          <w:tab w:leader="none" w:pos="1700" w:val="left"/>
        </w:tabs>
        <w:numPr>
          <w:ilvl w:val="1"/>
          <w:numId w:val="5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Final Conversion Date (as defined in the Amended and Restated Certificate of Incorporation); and</w:t>
      </w:r>
    </w:p>
    <w:p>
      <w:pPr>
        <w:spacing w:after="0" w:line="164" w:lineRule="exact"/>
        <w:rPr>
          <w:rFonts w:ascii="Times New Roman" w:cs="Times New Roman" w:eastAsia="Times New Roman" w:hAnsi="Times New Roman"/>
          <w:sz w:val="14"/>
          <w:szCs w:val="14"/>
          <w:color w:val="auto"/>
        </w:rPr>
      </w:pPr>
    </w:p>
    <w:p>
      <w:pPr>
        <w:jc w:val="both"/>
        <w:ind w:right="20" w:firstLine="1384"/>
        <w:spacing w:after="0" w:line="269" w:lineRule="auto"/>
        <w:tabs>
          <w:tab w:leader="none" w:pos="1786" w:val="left"/>
        </w:tabs>
        <w:numPr>
          <w:ilvl w:val="1"/>
          <w:numId w:val="5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Put Eligible Shares held by Ilan Twig, the date the Founder Voting Proxy (as defined in the Amended and Restated Certificate of Incorporation) to which Ilan Twig and his Permitted Entities and Permitted Transferees (each as defined in the Amended and Restated Certificate of Incorporation) is a party ceases to remain in effect and Ariel Cohen does not otherwise have exclusive voting control of the shares of Class B Common Stock held by Ilan Twig and his Permitted Entities and Permitted Transferees or such Put Eligible Shares.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REPRESENTATIONS AND WARRANTIES OF THE FOUNDER</w:t>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Founder hereby represents and warrants to the Company, with respect to the transactions contemplated hereby, as follows:</w:t>
      </w:r>
    </w:p>
    <w:p>
      <w:pPr>
        <w:spacing w:after="0" w:line="164" w:lineRule="exact"/>
        <w:rPr>
          <w:sz w:val="20"/>
          <w:szCs w:val="20"/>
          <w:color w:val="auto"/>
        </w:rPr>
      </w:pPr>
    </w:p>
    <w:p>
      <w:pPr>
        <w:jc w:val="both"/>
        <w:ind w:firstLine="459"/>
        <w:spacing w:after="0" w:line="262" w:lineRule="auto"/>
        <w:rPr>
          <w:sz w:val="20"/>
          <w:szCs w:val="20"/>
          <w:color w:val="auto"/>
        </w:rPr>
      </w:pPr>
      <w:r>
        <w:rPr>
          <w:rFonts w:ascii="Times New Roman" w:cs="Times New Roman" w:eastAsia="Times New Roman" w:hAnsi="Times New Roman"/>
          <w:sz w:val="14"/>
          <w:szCs w:val="14"/>
          <w:color w:val="auto"/>
        </w:rPr>
        <w:t xml:space="preserve">2 . 1 </w:t>
      </w:r>
      <w:r>
        <w:rPr>
          <w:rFonts w:ascii="Times New Roman" w:cs="Times New Roman" w:eastAsia="Times New Roman" w:hAnsi="Times New Roman"/>
          <w:sz w:val="14"/>
          <w:szCs w:val="14"/>
          <w:u w:val="single" w:color="auto"/>
          <w:color w:val="auto"/>
        </w:rPr>
        <w:t>Ownership; Authority</w:t>
      </w:r>
      <w:r>
        <w:rPr>
          <w:rFonts w:ascii="Times New Roman" w:cs="Times New Roman" w:eastAsia="Times New Roman" w:hAnsi="Times New Roman"/>
          <w:sz w:val="14"/>
          <w:szCs w:val="14"/>
          <w:color w:val="auto"/>
        </w:rPr>
        <w:t>. Founder has the full right, power and authority to enter into this Agreement. Assuming the due authorization, execution and delivery by the Company, this Agreement constitutes a valid and binding agreement of such Founder, enforceable against such Founder in accordance with its terms (subject to applicable bankruptcy, insolvency, fraudulent transfer, reorganization, moratorium and other laws affecting creditors’ rights generally and general principles of equity). Upon consummation of an Exchange contemplated hereby, the Company will acquire from Founder good and marketable title to the Exercised Shares subject to such Exchange, free and clear of any and all liens, encumbrances and restrictions (except for restrictions on transfer arising under applicable securities laws or as set forth or contemplated by this Agreement, the Amended and Restated Certificate of Incorporation or any other agreements to which such Founder and the Company are a party, and subject to applicable bankruptcy, insolvency, fraudulent transfer, reorganization, moratorium and other laws affecting creditors’ rights generally and general principles of equity).</w:t>
      </w:r>
    </w:p>
    <w:p>
      <w:pPr>
        <w:spacing w:after="0" w:line="129" w:lineRule="exact"/>
        <w:rPr>
          <w:sz w:val="20"/>
          <w:szCs w:val="20"/>
          <w:color w:val="auto"/>
        </w:rPr>
      </w:pPr>
    </w:p>
    <w:p>
      <w:pPr>
        <w:jc w:val="both"/>
        <w:ind w:firstLine="459"/>
        <w:spacing w:after="0" w:line="275" w:lineRule="auto"/>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Governmental Authorization</w:t>
      </w:r>
      <w:r>
        <w:rPr>
          <w:rFonts w:ascii="Times New Roman" w:cs="Times New Roman" w:eastAsia="Times New Roman" w:hAnsi="Times New Roman"/>
          <w:sz w:val="14"/>
          <w:szCs w:val="14"/>
          <w:color w:val="auto"/>
        </w:rPr>
        <w:t>. The execution, delivery and performance by such Founder of this Agreement and the consummation of the transactions contemplated hereby require no action by or in respect of, or filing with, any governmental authority on the part of such Founder (excluding, for the avoidance of doubt (a) the filing by the Company of the Amended and Restated Certificate of Incorporation with the Secretary of State of the State of Delaware and (b) compliance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ectPr>
          <w:pgSz w:w="11900" w:h="16840" w:orient="portrait"/>
          <w:cols w:equalWidth="0" w:num="1">
            <w:col w:w="10600"/>
          </w:cols>
          <w:pgMar w:left="640" w:top="1440" w:right="660" w:bottom="1440" w:gutter="0" w:footer="0" w:header="0"/>
        </w:sectPr>
      </w:pPr>
    </w:p>
    <w:bookmarkStart w:id="454" w:name="page455"/>
    <w:bookmarkEnd w:id="454"/>
    <w:p>
      <w:pPr>
        <w:spacing w:after="0" w:line="3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color w:val="auto"/>
        </w:rPr>
        <w:t xml:space="preserve">with any applicable requirements of any applicable state or federal securities laws). For purposes of this Agreement, “ </w:t>
      </w:r>
      <w:r>
        <w:rPr>
          <w:rFonts w:ascii="Times New Roman" w:cs="Times New Roman" w:eastAsia="Times New Roman" w:hAnsi="Times New Roman"/>
          <w:sz w:val="14"/>
          <w:szCs w:val="14"/>
          <w:b w:val="1"/>
          <w:bCs w:val="1"/>
          <w:color w:val="auto"/>
        </w:rPr>
        <w:t>governmental authority</w:t>
      </w:r>
      <w:r>
        <w:rPr>
          <w:rFonts w:ascii="Times New Roman" w:cs="Times New Roman" w:eastAsia="Times New Roman" w:hAnsi="Times New Roman"/>
          <w:sz w:val="14"/>
          <w:szCs w:val="14"/>
          <w:color w:val="auto"/>
        </w:rPr>
        <w:t>” means any transnational, domestic or foreign federal, state or local governmental, regulatory or administrative authority, department, court, agency or official, including any political subdivision thereof.</w:t>
      </w:r>
    </w:p>
    <w:p>
      <w:pPr>
        <w:spacing w:after="0" w:line="102" w:lineRule="exact"/>
        <w:rPr>
          <w:sz w:val="20"/>
          <w:szCs w:val="20"/>
          <w:color w:val="auto"/>
        </w:rPr>
      </w:pPr>
    </w:p>
    <w:p>
      <w:pPr>
        <w:jc w:val="both"/>
        <w:ind w:firstLine="459"/>
        <w:spacing w:after="0" w:line="262" w:lineRule="auto"/>
        <w:rPr>
          <w:sz w:val="20"/>
          <w:szCs w:val="20"/>
          <w:color w:val="auto"/>
        </w:rPr>
      </w:pPr>
      <w:r>
        <w:rPr>
          <w:rFonts w:ascii="Times New Roman" w:cs="Times New Roman" w:eastAsia="Times New Roman" w:hAnsi="Times New Roman"/>
          <w:sz w:val="14"/>
          <w:szCs w:val="14"/>
          <w:color w:val="auto"/>
        </w:rPr>
        <w:t xml:space="preserve">2.3 </w:t>
      </w:r>
      <w:r>
        <w:rPr>
          <w:rFonts w:ascii="Times New Roman" w:cs="Times New Roman" w:eastAsia="Times New Roman" w:hAnsi="Times New Roman"/>
          <w:sz w:val="14"/>
          <w:szCs w:val="14"/>
          <w:u w:val="single" w:color="auto"/>
          <w:color w:val="auto"/>
        </w:rPr>
        <w:t>Noncontravention</w:t>
      </w:r>
      <w:r>
        <w:rPr>
          <w:rFonts w:ascii="Times New Roman" w:cs="Times New Roman" w:eastAsia="Times New Roman" w:hAnsi="Times New Roman"/>
          <w:sz w:val="14"/>
          <w:szCs w:val="14"/>
          <w:color w:val="auto"/>
        </w:rPr>
        <w:t>. The execution, delivery and performance by Founder of this Agreement and the consummation of the transactions contemplated hereby do not and will not (a) violate any governing document, including any trust agreement, applicable to such Founder, (b) subject to compliance with Section 2.2, violate any applicable law, (c) assuming the waiver or inapplicability of any and all rights of first refusal or co-sale held by the Company or the Company’s stockholders that are applicable to the transactions contemplated hereby, require any consent or other action under, constitute a default under, or give rise to any right of termination, cancellation or acceleration of any obligation of such Founder or to the loss of any benefit to which such Founder is entitled under any provision of any agreement or other instrument binding upon such Founder or (d) result in the creation or imposition of any lien on any of Founder’s Founder Equity Awards or the shares of Class A Common Stock underlying such awards, other than restrictions on transfer arising under applicable securities laws or as set forth or contemplated by this Agreement, the Amended and Restated Certificate of Incorporation or any other agreements to which such Founder and the Company are a party.</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REPRESENTATIONS AND WARRANTIES OF THE COMPANY</w:t>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Company hereby represents and warrants to Founder, with respect to the transactions contemplated hereby, as follows:</w:t>
      </w:r>
    </w:p>
    <w:p>
      <w:pPr>
        <w:spacing w:after="0" w:line="164" w:lineRule="exact"/>
        <w:rPr>
          <w:sz w:val="20"/>
          <w:szCs w:val="20"/>
          <w:color w:val="auto"/>
        </w:rPr>
      </w:pPr>
    </w:p>
    <w:p>
      <w:pPr>
        <w:ind w:left="460"/>
        <w:spacing w:after="0"/>
        <w:tabs>
          <w:tab w:leader="none" w:pos="78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4"/>
          <w:szCs w:val="14"/>
          <w:u w:val="single" w:color="auto"/>
          <w:color w:val="auto"/>
        </w:rPr>
        <w:t>Corporate Existence and Power</w:t>
      </w:r>
      <w:r>
        <w:rPr>
          <w:rFonts w:ascii="Times New Roman" w:cs="Times New Roman" w:eastAsia="Times New Roman" w:hAnsi="Times New Roman"/>
          <w:sz w:val="14"/>
          <w:szCs w:val="14"/>
          <w:color w:val="auto"/>
        </w:rPr>
        <w:t>. The Company is a corporation duly incorporated, validly existing and in good standing under the laws of the State of Delaware.</w:t>
      </w:r>
    </w:p>
    <w:p>
      <w:pPr>
        <w:spacing w:after="0" w:line="164" w:lineRule="exact"/>
        <w:rPr>
          <w:sz w:val="20"/>
          <w:szCs w:val="20"/>
          <w:color w:val="auto"/>
        </w:rPr>
      </w:pPr>
    </w:p>
    <w:p>
      <w:pPr>
        <w:jc w:val="both"/>
        <w:ind w:firstLine="459"/>
        <w:spacing w:after="0" w:line="261" w:lineRule="auto"/>
        <w:rPr>
          <w:sz w:val="20"/>
          <w:szCs w:val="20"/>
          <w:color w:val="auto"/>
        </w:rPr>
      </w:pPr>
      <w:r>
        <w:rPr>
          <w:rFonts w:ascii="Times New Roman" w:cs="Times New Roman" w:eastAsia="Times New Roman" w:hAnsi="Times New Roman"/>
          <w:sz w:val="14"/>
          <w:szCs w:val="14"/>
          <w:color w:val="auto"/>
        </w:rPr>
        <w:t xml:space="preserve">3 . 2 </w:t>
      </w:r>
      <w:r>
        <w:rPr>
          <w:rFonts w:ascii="Times New Roman" w:cs="Times New Roman" w:eastAsia="Times New Roman" w:hAnsi="Times New Roman"/>
          <w:sz w:val="14"/>
          <w:szCs w:val="14"/>
          <w:u w:val="single" w:color="auto"/>
          <w:color w:val="auto"/>
        </w:rPr>
        <w:t>Corporate Authorization</w:t>
      </w:r>
      <w:r>
        <w:rPr>
          <w:rFonts w:ascii="Times New Roman" w:cs="Times New Roman" w:eastAsia="Times New Roman" w:hAnsi="Times New Roman"/>
          <w:sz w:val="14"/>
          <w:szCs w:val="14"/>
          <w:color w:val="auto"/>
        </w:rPr>
        <w:t>. The execution, delivery and performance by the Company of this Agreement and the consummation of the transactions contemplated hereby, including the issuance and delivery of the shares of Class B Common Stock in connection with each Exchange hereunder (including the conversion thereof into Class A Common Stock upon the terms specified in the Amended and Restated Certificate of Incorporation and the renaming of Common Stock as Class A Common Stock) in accordance with the Amended and Restated Certificate of Incorporation, are within the corporate powers of the Company and have been duly authorized by all necessary corporate action on the part of the Company and the Company’s stockholders, subject to compliance with Section 3.3 and the approval of and adoption by the Company’s stockholders of the Amended and Restated Certificate of Incorporation. Any and all rights of first refusal or co-sale held by the Company or the Company’s stockholders that are applicable to the transactions contemplated hereby have been waived or are otherwise inapplicable to the transactions contemplated in this Agreement. Assuming the due authorization, execution and delivery by Founder, this Agreement constitutes a valid and binding agreement of the Company, enforceable against the Company in accordance with its terms (subject to applicable bankruptcy, insolvency, fraudulent transfer, reorganization, moratorium and other laws affecting creditors’ rights generally and general principles of equity).</w:t>
      </w:r>
    </w:p>
    <w:p>
      <w:pPr>
        <w:spacing w:after="0" w:line="128" w:lineRule="exact"/>
        <w:rPr>
          <w:sz w:val="20"/>
          <w:szCs w:val="20"/>
          <w:color w:val="auto"/>
        </w:rPr>
      </w:pPr>
    </w:p>
    <w:p>
      <w:pPr>
        <w:jc w:val="both"/>
        <w:ind w:firstLine="459"/>
        <w:spacing w:after="0" w:line="275" w:lineRule="auto"/>
        <w:rPr>
          <w:sz w:val="20"/>
          <w:szCs w:val="20"/>
          <w:color w:val="auto"/>
        </w:rPr>
      </w:pPr>
      <w:r>
        <w:rPr>
          <w:rFonts w:ascii="Times New Roman" w:cs="Times New Roman" w:eastAsia="Times New Roman" w:hAnsi="Times New Roman"/>
          <w:sz w:val="14"/>
          <w:szCs w:val="14"/>
          <w:color w:val="auto"/>
        </w:rPr>
        <w:t xml:space="preserve">3.3 </w:t>
      </w:r>
      <w:r>
        <w:rPr>
          <w:rFonts w:ascii="Times New Roman" w:cs="Times New Roman" w:eastAsia="Times New Roman" w:hAnsi="Times New Roman"/>
          <w:sz w:val="14"/>
          <w:szCs w:val="14"/>
          <w:u w:val="single" w:color="auto"/>
          <w:color w:val="auto"/>
        </w:rPr>
        <w:t>Governmental Authorization</w:t>
      </w:r>
      <w:r>
        <w:rPr>
          <w:rFonts w:ascii="Times New Roman" w:cs="Times New Roman" w:eastAsia="Times New Roman" w:hAnsi="Times New Roman"/>
          <w:sz w:val="14"/>
          <w:szCs w:val="14"/>
          <w:color w:val="auto"/>
        </w:rPr>
        <w:t>. The execution, delivery and performance by the Company of this Agreement and the consummation of the transactions contemplated hereby require no action by or in respect of, or filing with, any governmental authority other than (a) the filing by the Company of the Amended and Restated Certificate of Incorporation with the Secretary of State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ectPr>
          <w:pgSz w:w="11900" w:h="16840" w:orient="portrait"/>
          <w:cols w:equalWidth="0" w:num="1">
            <w:col w:w="10600"/>
          </w:cols>
          <w:pgMar w:left="640" w:top="1440" w:right="660" w:bottom="1440" w:gutter="0" w:footer="0" w:header="0"/>
        </w:sectPr>
      </w:pPr>
    </w:p>
    <w:bookmarkStart w:id="455" w:name="page456"/>
    <w:bookmarkEnd w:id="455"/>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(b) compliance by the Company with any applicable requirements of any applicable state or federal securities laws.</w:t>
      </w:r>
    </w:p>
    <w:p>
      <w:pPr>
        <w:spacing w:after="0" w:line="164"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4"/>
          <w:szCs w:val="14"/>
          <w:color w:val="auto"/>
        </w:rPr>
        <w:t xml:space="preserve">3.4 </w:t>
      </w:r>
      <w:r>
        <w:rPr>
          <w:rFonts w:ascii="Times New Roman" w:cs="Times New Roman" w:eastAsia="Times New Roman" w:hAnsi="Times New Roman"/>
          <w:sz w:val="14"/>
          <w:szCs w:val="14"/>
          <w:u w:val="single" w:color="auto"/>
          <w:color w:val="auto"/>
        </w:rPr>
        <w:t>Noncontravention</w:t>
      </w:r>
      <w:r>
        <w:rPr>
          <w:rFonts w:ascii="Times New Roman" w:cs="Times New Roman" w:eastAsia="Times New Roman" w:hAnsi="Times New Roman"/>
          <w:sz w:val="14"/>
          <w:szCs w:val="14"/>
          <w:color w:val="auto"/>
        </w:rPr>
        <w:t>. The execution, delivery and performance by the Company of this Agreement and the consummation of the transactions contemplated hereby do not and will not, assuming compliance with the matters referred to in Section 3.3 and approval of and adoption by the Company’s stockholders of the Amended and Restated Certificate of Incorporation, (a) violate the certificate of incorporation or bylaws of the Company, (b) violate any applicable law, (c) require any consent or other action by any person under, constitute a default under, or give rise to any right of termination, cancellation or acceleration of any right obligation of the Company or to the loss of any benefit to which the Company is entitled under any provision of any agreement or other instrument binding upon the Company or (d) result in the creation or imposition of any lien on the shares of Class B Common Stock other than as set forth or contemplated by this Agreement or the Amended and Restated Certificate of Incorporation.</w:t>
      </w:r>
    </w:p>
    <w:p>
      <w:pPr>
        <w:spacing w:after="0" w:line="12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b w:val="1"/>
          <w:bCs w:val="1"/>
          <w:u w:val="single" w:color="auto"/>
          <w:color w:val="auto"/>
        </w:rPr>
        <w:t>COVENANTS</w:t>
      </w:r>
    </w:p>
    <w:p>
      <w:pPr>
        <w:spacing w:after="0" w:line="151" w:lineRule="exact"/>
        <w:rPr>
          <w:sz w:val="20"/>
          <w:szCs w:val="20"/>
          <w:color w:val="auto"/>
        </w:rPr>
      </w:pPr>
    </w:p>
    <w:p>
      <w:pPr>
        <w:jc w:val="both"/>
        <w:ind w:right="20" w:firstLine="459"/>
        <w:spacing w:after="0" w:line="275" w:lineRule="auto"/>
        <w:rPr>
          <w:sz w:val="20"/>
          <w:szCs w:val="20"/>
          <w:color w:val="auto"/>
        </w:rPr>
      </w:pPr>
      <w:r>
        <w:rPr>
          <w:rFonts w:ascii="Times New Roman" w:cs="Times New Roman" w:eastAsia="Times New Roman" w:hAnsi="Times New Roman"/>
          <w:sz w:val="14"/>
          <w:szCs w:val="14"/>
          <w:color w:val="auto"/>
        </w:rPr>
        <w:t xml:space="preserve">4 . 1 </w:t>
      </w:r>
      <w:r>
        <w:rPr>
          <w:rFonts w:ascii="Times New Roman" w:cs="Times New Roman" w:eastAsia="Times New Roman" w:hAnsi="Times New Roman"/>
          <w:sz w:val="14"/>
          <w:szCs w:val="14"/>
          <w:u w:val="single" w:color="auto"/>
          <w:color w:val="auto"/>
        </w:rPr>
        <w:t>Market Stand-Off Agreement</w:t>
      </w:r>
      <w:r>
        <w:rPr>
          <w:rFonts w:ascii="Times New Roman" w:cs="Times New Roman" w:eastAsia="Times New Roman" w:hAnsi="Times New Roman"/>
          <w:sz w:val="14"/>
          <w:szCs w:val="14"/>
          <w:color w:val="auto"/>
        </w:rPr>
        <w:t>. Founder has entered into a lock-up agreement with the underwriters of the IPO with respect to the sale, disposition or transfer of such Founder’s securities of the Company and Founder agrees not to revoke such lock-up agreement. Founder also agrees that any other lock-up or market stand-off agreements applicable to the shares of Common Stock of the Company held by Founder will continue to apply to the shares of the Class B Common Stock in accordance with the terms of such agreements.</w:t>
      </w:r>
    </w:p>
    <w:p>
      <w:pPr>
        <w:spacing w:after="0" w:line="116" w:lineRule="exact"/>
        <w:rPr>
          <w:sz w:val="20"/>
          <w:szCs w:val="20"/>
          <w:color w:val="auto"/>
        </w:rPr>
      </w:pPr>
    </w:p>
    <w:p>
      <w:pPr>
        <w:jc w:val="both"/>
        <w:ind w:right="40" w:firstLine="459"/>
        <w:spacing w:after="0" w:line="275" w:lineRule="auto"/>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Voting Agreement and Irrevocable Proxy</w:t>
      </w:r>
      <w:r>
        <w:rPr>
          <w:rFonts w:ascii="Times New Roman" w:cs="Times New Roman" w:eastAsia="Times New Roman" w:hAnsi="Times New Roman"/>
          <w:sz w:val="14"/>
          <w:szCs w:val="14"/>
          <w:color w:val="auto"/>
        </w:rPr>
        <w:t xml:space="preserve"> . To the extent that Ariel Cohen, Chief Executive Officer of the Company as of the date of this Agreement, would otherwise not have exclusive voting control over any shares of Class B Common Stock to be held by Founder following the Exchange, Founder has entered into a Founder Voting Proxy (as defined in the Amended and Restated Certificate of Incorporation), and continues to be subject to such Founder Voting Proxy at the time of the Exchange.</w:t>
      </w:r>
    </w:p>
    <w:p>
      <w:pPr>
        <w:spacing w:after="0" w:line="1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GENERAL PROVISIONS</w:t>
      </w:r>
    </w:p>
    <w:p>
      <w:pPr>
        <w:spacing w:after="0" w:line="151" w:lineRule="exact"/>
        <w:rPr>
          <w:sz w:val="20"/>
          <w:szCs w:val="20"/>
          <w:color w:val="auto"/>
        </w:rPr>
      </w:pPr>
    </w:p>
    <w:p>
      <w:pPr>
        <w:jc w:val="both"/>
        <w:ind w:right="20" w:firstLine="459"/>
        <w:spacing w:after="0" w:line="293" w:lineRule="auto"/>
        <w:rPr>
          <w:sz w:val="20"/>
          <w:szCs w:val="20"/>
          <w:color w:val="auto"/>
        </w:rPr>
      </w:pPr>
      <w:r>
        <w:rPr>
          <w:rFonts w:ascii="Times New Roman" w:cs="Times New Roman" w:eastAsia="Times New Roman" w:hAnsi="Times New Roman"/>
          <w:sz w:val="14"/>
          <w:szCs w:val="14"/>
          <w:color w:val="auto"/>
        </w:rPr>
        <w:t xml:space="preserve">5 . 1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will be governed in all respects by the internal laws of the State of Delaware as applied to agreements entered into among Delaware residents to be performed entirely within Delaware, without regard to principles of conflicts of law.</w:t>
      </w:r>
    </w:p>
    <w:p>
      <w:pPr>
        <w:spacing w:after="0" w:line="104" w:lineRule="exact"/>
        <w:rPr>
          <w:sz w:val="20"/>
          <w:szCs w:val="20"/>
          <w:color w:val="auto"/>
        </w:rPr>
      </w:pPr>
    </w:p>
    <w:p>
      <w:pPr>
        <w:jc w:val="both"/>
        <w:ind w:right="20" w:firstLine="459"/>
        <w:spacing w:after="0" w:line="293" w:lineRule="auto"/>
        <w:rPr>
          <w:sz w:val="20"/>
          <w:szCs w:val="20"/>
          <w:color w:val="auto"/>
        </w:rPr>
      </w:pPr>
      <w:r>
        <w:rPr>
          <w:rFonts w:ascii="Times New Roman" w:cs="Times New Roman" w:eastAsia="Times New Roman" w:hAnsi="Times New Roman"/>
          <w:sz w:val="14"/>
          <w:szCs w:val="14"/>
          <w:color w:val="auto"/>
        </w:rPr>
        <w:t xml:space="preserve">5 . 2 </w:t>
      </w: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Except as otherwise provided herein, the provisions hereof will inure to the benefit of, and be binding upon, the successors, assigns, heirs, executors and administrators of the parties hereto.</w:t>
      </w:r>
    </w:p>
    <w:p>
      <w:pPr>
        <w:spacing w:after="0" w:line="104" w:lineRule="exact"/>
        <w:rPr>
          <w:sz w:val="20"/>
          <w:szCs w:val="20"/>
          <w:color w:val="auto"/>
        </w:rPr>
      </w:pPr>
    </w:p>
    <w:p>
      <w:pPr>
        <w:jc w:val="both"/>
        <w:ind w:right="20" w:firstLine="466"/>
        <w:spacing w:after="0" w:line="269" w:lineRule="auto"/>
        <w:tabs>
          <w:tab w:leader="none" w:pos="586" w:val="left"/>
        </w:tabs>
        <w:numPr>
          <w:ilvl w:val="0"/>
          <w:numId w:val="5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3 </w:t>
      </w:r>
      <w:r>
        <w:rPr>
          <w:rFonts w:ascii="Times New Roman" w:cs="Times New Roman" w:eastAsia="Times New Roman" w:hAnsi="Times New Roman"/>
          <w:sz w:val="14"/>
          <w:szCs w:val="14"/>
          <w:u w:val="single" w:color="auto"/>
          <w:color w:val="auto"/>
        </w:rPr>
        <w:t>Entire Agreement; Amendment</w:t>
      </w:r>
      <w:r>
        <w:rPr>
          <w:rFonts w:ascii="Times New Roman" w:cs="Times New Roman" w:eastAsia="Times New Roman" w:hAnsi="Times New Roman"/>
          <w:sz w:val="14"/>
          <w:szCs w:val="14"/>
          <w:color w:val="auto"/>
        </w:rPr>
        <w:t xml:space="preserve"> . Other than the rights, restrictions and preferences provided for under the Equity Documents with respect to Founder Equity Awards and the Amended and Restated Certificate of Incorporation and bylaws with respect to the shares of Class B Common Stock, this Agreement, including the exhibits attached hereto, constitute the full and entire understanding and agreement between the parties with respect to the subject matter hereof. Neither this Agreement nor any term hereof may be amended or waived other than by a written instrument signed by Founder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40" w:orient="portrait"/>
          <w:cols w:equalWidth="0" w:num="1">
            <w:col w:w="10620"/>
          </w:cols>
          <w:pgMar w:left="640" w:top="1440" w:right="640" w:bottom="1440" w:gutter="0" w:footer="0" w:header="0"/>
        </w:sectPr>
      </w:pPr>
    </w:p>
    <w:bookmarkStart w:id="456" w:name="page457"/>
    <w:bookmarkEnd w:id="456"/>
    <w:p>
      <w:pPr>
        <w:spacing w:after="0" w:line="39" w:lineRule="exact"/>
        <w:rPr>
          <w:sz w:val="20"/>
          <w:szCs w:val="20"/>
          <w:color w:val="auto"/>
        </w:rPr>
      </w:pPr>
    </w:p>
    <w:p>
      <w:pPr>
        <w:jc w:val="both"/>
        <w:ind w:right="20" w:firstLine="459"/>
        <w:spacing w:after="0" w:line="293" w:lineRule="auto"/>
        <w:rPr>
          <w:sz w:val="20"/>
          <w:szCs w:val="20"/>
          <w:color w:val="auto"/>
        </w:rPr>
      </w:pPr>
      <w:r>
        <w:rPr>
          <w:rFonts w:ascii="Times New Roman" w:cs="Times New Roman" w:eastAsia="Times New Roman" w:hAnsi="Times New Roman"/>
          <w:sz w:val="14"/>
          <w:szCs w:val="14"/>
          <w:color w:val="auto"/>
        </w:rPr>
        <w:t xml:space="preserve">5 . 4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counterparts, each of which will be deemed an original, and all of which together will constitute one and the same instrument.</w:t>
      </w:r>
    </w:p>
    <w:p>
      <w:pPr>
        <w:spacing w:after="0" w:line="104" w:lineRule="exact"/>
        <w:rPr>
          <w:sz w:val="20"/>
          <w:szCs w:val="20"/>
          <w:color w:val="auto"/>
        </w:rPr>
      </w:pPr>
    </w:p>
    <w:p>
      <w:pPr>
        <w:jc w:val="both"/>
        <w:ind w:right="20" w:firstLine="459"/>
        <w:spacing w:after="0" w:line="269" w:lineRule="auto"/>
        <w:rPr>
          <w:sz w:val="20"/>
          <w:szCs w:val="20"/>
          <w:color w:val="auto"/>
        </w:rPr>
      </w:pPr>
      <w:r>
        <w:rPr>
          <w:rFonts w:ascii="Times New Roman" w:cs="Times New Roman" w:eastAsia="Times New Roman" w:hAnsi="Times New Roman"/>
          <w:sz w:val="14"/>
          <w:szCs w:val="14"/>
          <w:color w:val="auto"/>
        </w:rPr>
        <w:t xml:space="preserve">5.5 </w:t>
      </w:r>
      <w:r>
        <w:rPr>
          <w:rFonts w:ascii="Times New Roman" w:cs="Times New Roman" w:eastAsia="Times New Roman" w:hAnsi="Times New Roman"/>
          <w:sz w:val="14"/>
          <w:szCs w:val="14"/>
          <w:u w:val="single" w:color="auto"/>
          <w:color w:val="auto"/>
        </w:rPr>
        <w:t>No Guarantee of Continued Service</w:t>
      </w:r>
      <w:r>
        <w:rPr>
          <w:rFonts w:ascii="Times New Roman" w:cs="Times New Roman" w:eastAsia="Times New Roman" w:hAnsi="Times New Roman"/>
          <w:sz w:val="14"/>
          <w:szCs w:val="14"/>
          <w:color w:val="auto"/>
        </w:rPr>
        <w:t>. Founder acknowledges and agrees that neither the execution of this Agreement nor the existence of the Put Right granted hereunder constitutes an express or implied promise of continuous employment or service with the Company for any period, or at all, and that neither the execution of this Agreement nor the existence of the Put Right granted hereunder will interfere in any way with Founder’s right or the right of the Company to terminate Founder’s employment or service at any time, with or without cause.</w:t>
      </w:r>
    </w:p>
    <w:p>
      <w:pPr>
        <w:spacing w:after="0" w:line="120" w:lineRule="exact"/>
        <w:rPr>
          <w:sz w:val="20"/>
          <w:szCs w:val="20"/>
          <w:color w:val="auto"/>
        </w:rPr>
      </w:pPr>
    </w:p>
    <w:p>
      <w:pPr>
        <w:jc w:val="both"/>
        <w:ind w:firstLine="459"/>
        <w:spacing w:after="0" w:line="263" w:lineRule="auto"/>
        <w:rPr>
          <w:sz w:val="20"/>
          <w:szCs w:val="20"/>
          <w:color w:val="auto"/>
        </w:rPr>
      </w:pPr>
      <w:r>
        <w:rPr>
          <w:rFonts w:ascii="Times New Roman" w:cs="Times New Roman" w:eastAsia="Times New Roman" w:hAnsi="Times New Roman"/>
          <w:sz w:val="14"/>
          <w:szCs w:val="14"/>
          <w:color w:val="auto"/>
        </w:rPr>
        <w:t xml:space="preserve">5 . 6 </w:t>
      </w:r>
      <w:r>
        <w:rPr>
          <w:rFonts w:ascii="Times New Roman" w:cs="Times New Roman" w:eastAsia="Times New Roman" w:hAnsi="Times New Roman"/>
          <w:sz w:val="14"/>
          <w:szCs w:val="14"/>
          <w:u w:val="single" w:color="auto"/>
          <w:color w:val="auto"/>
        </w:rPr>
        <w:t>Tax Consequences</w:t>
      </w:r>
      <w:r>
        <w:rPr>
          <w:rFonts w:ascii="Times New Roman" w:cs="Times New Roman" w:eastAsia="Times New Roman" w:hAnsi="Times New Roman"/>
          <w:sz w:val="14"/>
          <w:szCs w:val="14"/>
          <w:color w:val="auto"/>
        </w:rPr>
        <w:t>. The parties intend that no gain or loss will be recognized in any Exchange pursuant to Sections 368(a)(1)(E) and/or 1036 of the Code. The parties adopt this Agreement as a plan of reorganization within the meaning of Treasury Regulations Sections 1.368-2(g) and 1.368-3(a). Notwithstanding the foregoing, the Company and Founder each have reviewed with its/his own tax advisors the federal, state, local and foreign tax consequences of the Put Right and the Exchange, Founder Equity Awards and the potential acquisition of shares of Class A Common Stock thereunder, the potential exchange of such shares for shares of Class B Common Stock, and the transactions contemplated by this Agreement. Each party hereto is relying solely on such advisors and not on any statements or representations of the Company or any of its agents, or Founder or any of his agents, as applicable, in connection with the transactions contemplated hereby, except for the representations and warranties of the Company and Founder expressly set forth in Articles II and III.</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40" w:orient="portrait"/>
          <w:cols w:equalWidth="0" w:num="1">
            <w:col w:w="10620"/>
          </w:cols>
          <w:pgMar w:left="640" w:top="1440" w:right="640" w:bottom="1440" w:gutter="0" w:footer="0" w:header="0"/>
        </w:sectPr>
      </w:pPr>
    </w:p>
    <w:bookmarkStart w:id="457" w:name="page458"/>
    <w:bookmarkEnd w:id="457"/>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WITNESS WHEREOF, the undersigned have executed this Agreement to be effective as of the date first above written.</w:t>
      </w:r>
    </w:p>
    <w:p>
      <w:pPr>
        <w:spacing w:after="0" w:line="3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NAVAN, INC.</w:t>
      </w:r>
    </w:p>
    <w:p>
      <w:pPr>
        <w:spacing w:after="0" w:line="36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13335</wp:posOffset>
            </wp:positionV>
            <wp:extent cx="3287395"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3287395" cy="6350"/>
                    </a:xfrm>
                    <a:prstGeom prst="rect">
                      <a:avLst/>
                    </a:prstGeom>
                    <a:noFill/>
                  </pic:spPr>
                </pic:pic>
              </a:graphicData>
            </a:graphic>
          </wp:anchor>
        </w:drawing>
      </w:r>
    </w:p>
    <w:p>
      <w:pPr>
        <w:spacing w:after="0" w:line="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Name:</w:t>
      </w:r>
    </w:p>
    <w:p>
      <w:pPr>
        <w:spacing w:after="0" w:line="2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Title:</w:t>
      </w:r>
    </w:p>
    <w:p>
      <w:pPr>
        <w:spacing w:after="0" w:line="24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318770</wp:posOffset>
            </wp:positionV>
            <wp:extent cx="3797300"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3797300" cy="635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Name:</w:t>
      </w:r>
    </w:p>
    <w:p>
      <w:pPr>
        <w:spacing w:after="0" w:line="24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[FOUNDER ENTITY]</w:t>
      </w:r>
    </w:p>
    <w:p>
      <w:pPr>
        <w:spacing w:after="0" w:line="36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13335</wp:posOffset>
            </wp:positionV>
            <wp:extent cx="3287395"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3287395" cy="6350"/>
                    </a:xfrm>
                    <a:prstGeom prst="rect">
                      <a:avLst/>
                    </a:prstGeom>
                    <a:noFill/>
                  </pic:spPr>
                </pic:pic>
              </a:graphicData>
            </a:graphic>
          </wp:anchor>
        </w:drawing>
      </w:r>
    </w:p>
    <w:p>
      <w:pPr>
        <w:spacing w:after="0" w:line="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Name:</w:t>
      </w:r>
    </w:p>
    <w:p>
      <w:pPr>
        <w:spacing w:after="0" w:line="2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2"/>
          <w:szCs w:val="12"/>
          <w:b w:val="1"/>
          <w:bCs w:val="1"/>
          <w:color w:val="auto"/>
        </w:rPr>
        <w:t>[SIGNATURE PAGE TO PUT RIGHT AGREEMENT]</w:t>
      </w:r>
    </w:p>
    <w:p>
      <w:pPr>
        <w:sectPr>
          <w:pgSz w:w="11900" w:h="16840" w:orient="portrait"/>
          <w:cols w:equalWidth="0" w:num="1">
            <w:col w:w="9360"/>
          </w:cols>
          <w:pgMar w:left="1100" w:top="1440" w:right="1440" w:bottom="1440" w:gutter="0" w:footer="0" w:header="0"/>
        </w:sectPr>
      </w:pPr>
    </w:p>
    <w:bookmarkStart w:id="458" w:name="page459"/>
    <w:bookmarkEnd w:id="458"/>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A</w:t>
            </w:r>
          </w:p>
        </w:tc>
        <w:tc>
          <w:tcPr>
            <w:tcW w:w="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494"/>
        </w:trPr>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 Shares of</w:t>
            </w:r>
          </w:p>
        </w:tc>
      </w:tr>
      <w:tr>
        <w:trPr>
          <w:trHeight w:val="172"/>
        </w:trPr>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r>
      <w:tr>
        <w:trPr>
          <w:trHeight w:val="172"/>
        </w:trPr>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Subject to Founder</w:t>
            </w:r>
          </w:p>
        </w:tc>
      </w:tr>
      <w:tr>
        <w:trPr>
          <w:trHeight w:val="203"/>
        </w:trPr>
        <w:tc>
          <w:tcPr>
            <w:tcW w:w="300" w:type="dxa"/>
            <w:vAlign w:val="bottom"/>
          </w:tcPr>
          <w:p>
            <w:pPr>
              <w:spacing w:after="0"/>
              <w:rPr>
                <w:sz w:val="17"/>
                <w:szCs w:val="17"/>
                <w:color w:val="auto"/>
              </w:rPr>
            </w:pPr>
          </w:p>
        </w:tc>
        <w:tc>
          <w:tcPr>
            <w:tcW w:w="1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7"/>
                <w:szCs w:val="17"/>
                <w:color w:val="auto"/>
              </w:rPr>
            </w:pPr>
          </w:p>
        </w:tc>
        <w:tc>
          <w:tcPr>
            <w:tcW w:w="28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Equity Award Type</w:t>
            </w:r>
          </w:p>
        </w:tc>
        <w:tc>
          <w:tcPr>
            <w:tcW w:w="80" w:type="dxa"/>
            <w:vAlign w:val="bottom"/>
          </w:tcPr>
          <w:p>
            <w:pPr>
              <w:spacing w:after="0"/>
              <w:rPr>
                <w:sz w:val="17"/>
                <w:szCs w:val="17"/>
                <w:color w:val="auto"/>
              </w:rPr>
            </w:pPr>
          </w:p>
        </w:tc>
        <w:tc>
          <w:tcPr>
            <w:tcW w:w="3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 Award</w:t>
            </w:r>
          </w:p>
        </w:tc>
      </w:tr>
      <w:tr>
        <w:trPr>
          <w:trHeight w:val="133"/>
        </w:trPr>
        <w:tc>
          <w:tcPr>
            <w:tcW w:w="3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1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r>
      <w:tr>
        <w:trPr>
          <w:trHeight w:val="153"/>
        </w:trPr>
        <w:tc>
          <w:tcPr>
            <w:tcW w:w="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53"/>
        </w:trPr>
        <w:tc>
          <w:tcPr>
            <w:tcW w:w="3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195"/>
        </w:trPr>
        <w:tc>
          <w:tcPr>
            <w:tcW w:w="300" w:type="dxa"/>
            <w:vAlign w:val="bottom"/>
          </w:tcPr>
          <w:p>
            <w:pPr>
              <w:spacing w:after="0"/>
              <w:rPr>
                <w:sz w:val="16"/>
                <w:szCs w:val="16"/>
                <w:color w:val="auto"/>
              </w:rPr>
            </w:pPr>
          </w:p>
        </w:tc>
        <w:tc>
          <w:tcPr>
            <w:tcW w:w="17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ectPr>
          <w:pgSz w:w="11900" w:h="16840" w:orient="portrait"/>
          <w:cols w:equalWidth="0" w:num="1">
            <w:col w:w="10600"/>
          </w:cols>
          <w:pgMar w:left="640" w:top="1440" w:right="660" w:bottom="1440" w:gutter="0" w:footer="0" w:header="0"/>
        </w:sectPr>
      </w:pPr>
    </w:p>
    <w:bookmarkStart w:id="459" w:name="page460"/>
    <w:bookmarkEnd w:id="459"/>
    <w:p>
      <w:pPr>
        <w:spacing w:after="0" w:line="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EXHIBIT B</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Put Right Notice (the “Notice”)</w:t>
      </w:r>
    </w:p>
    <w:p>
      <w:pPr>
        <w:spacing w:after="0" w:line="1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(To be signed only upon exercise of a Put Right)</w:t>
      </w:r>
    </w:p>
    <w:p>
      <w:pPr>
        <w:spacing w:after="0" w:line="16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To:</w:t>
        <w:tab/>
        <w:t>Navan,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Attn: General Counsel</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undersigned (the “</w:t>
      </w:r>
      <w:r>
        <w:rPr>
          <w:rFonts w:ascii="Times New Roman" w:cs="Times New Roman" w:eastAsia="Times New Roman" w:hAnsi="Times New Roman"/>
          <w:sz w:val="14"/>
          <w:szCs w:val="14"/>
          <w:b w:val="1"/>
          <w:bCs w:val="1"/>
          <w:color w:val="auto"/>
        </w:rPr>
        <w:t>Founder</w:t>
      </w:r>
      <w:r>
        <w:rPr>
          <w:rFonts w:ascii="Times New Roman" w:cs="Times New Roman" w:eastAsia="Times New Roman" w:hAnsi="Times New Roman"/>
          <w:sz w:val="14"/>
          <w:szCs w:val="14"/>
          <w:color w:val="auto"/>
        </w:rPr>
        <w:t>”), hereby irrevocably elects to exercise its right under the Put Right pursuant to the Put Right Agreement dated as of [_____], 2025 (the</w:t>
      </w:r>
    </w:p>
    <w:p>
      <w:pPr>
        <w:spacing w:after="0" w:line="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xml:space="preserve">”), by and between Navan, Inc. (the “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xml:space="preserve">”) and Founder, to require the Company to exchange Eligible Shares (the “ </w:t>
      </w:r>
      <w:r>
        <w:rPr>
          <w:rFonts w:ascii="Times New Roman" w:cs="Times New Roman" w:eastAsia="Times New Roman" w:hAnsi="Times New Roman"/>
          <w:sz w:val="14"/>
          <w:szCs w:val="14"/>
          <w:b w:val="1"/>
          <w:bCs w:val="1"/>
          <w:color w:val="auto"/>
        </w:rPr>
        <w:t>Exercised Shares</w:t>
      </w:r>
      <w:r>
        <w:rPr>
          <w:rFonts w:ascii="Times New Roman" w:cs="Times New Roman" w:eastAsia="Times New Roman" w:hAnsi="Times New Roman"/>
          <w:sz w:val="14"/>
          <w:szCs w:val="14"/>
          <w:color w:val="auto"/>
        </w:rPr>
        <w:t>”) for a number of shares of Class B Common Stock of equivalent value as determined on the date of the Exchange, subject to the terms of this Notice and the Agreement. Capitalized terms not otherwise defined in the Notice will have the meaning ascribed to them in the Agreement.</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By executing this Notice, Founder hereby represents and warrants to the Purchaser as follows:</w:t>
      </w:r>
    </w:p>
    <w:p>
      <w:pPr>
        <w:spacing w:after="0" w:line="164" w:lineRule="exact"/>
        <w:rPr>
          <w:sz w:val="20"/>
          <w:szCs w:val="20"/>
          <w:color w:val="auto"/>
        </w:rPr>
      </w:pPr>
    </w:p>
    <w:p>
      <w:pPr>
        <w:ind w:right="40" w:firstLine="466"/>
        <w:spacing w:after="0" w:line="293" w:lineRule="auto"/>
        <w:tabs>
          <w:tab w:leader="none" w:pos="718" w:val="left"/>
        </w:tabs>
        <w:numPr>
          <w:ilvl w:val="0"/>
          <w:numId w:val="5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Acknowledgement</w:t>
      </w:r>
      <w:r>
        <w:rPr>
          <w:rFonts w:ascii="Times New Roman" w:cs="Times New Roman" w:eastAsia="Times New Roman" w:hAnsi="Times New Roman"/>
          <w:sz w:val="14"/>
          <w:szCs w:val="14"/>
          <w:color w:val="auto"/>
          <w:highlight w:val="white"/>
        </w:rPr>
        <w:t>s. Founder acknowledges and affirms that the representations and warranties set forth in Article II of the Agreement as of the date of this Notice are true</w:t>
      </w:r>
      <w:r>
        <w:rPr>
          <w:rFonts w:ascii="Times New Roman" w:cs="Times New Roman" w:eastAsia="Times New Roman" w:hAnsi="Times New Roman"/>
          <w:sz w:val="14"/>
          <w:szCs w:val="14"/>
          <w:color w:val="auto"/>
        </w:rPr>
        <w:t xml:space="preserve"> and correct, and agrees to the covenants set forth in Article IV of the Agreement</w:t>
      </w:r>
    </w:p>
    <w:p>
      <w:pPr>
        <w:spacing w:after="0" w:line="104" w:lineRule="exact"/>
        <w:rPr>
          <w:sz w:val="20"/>
          <w:szCs w:val="20"/>
          <w:color w:val="auto"/>
        </w:rPr>
      </w:pPr>
    </w:p>
    <w:p>
      <w:pPr>
        <w:jc w:val="both"/>
        <w:ind w:right="20" w:firstLine="459"/>
        <w:spacing w:after="0" w:line="287" w:lineRule="auto"/>
        <w:rPr>
          <w:sz w:val="20"/>
          <w:szCs w:val="20"/>
          <w:color w:val="auto"/>
        </w:rPr>
      </w:pPr>
      <w:r>
        <w:rPr>
          <w:rFonts w:ascii="Times New Roman" w:cs="Times New Roman" w:eastAsia="Times New Roman" w:hAnsi="Times New Roman"/>
          <w:sz w:val="14"/>
          <w:szCs w:val="14"/>
          <w:color w:val="auto"/>
        </w:rPr>
        <w:t xml:space="preserve">2 . </w:t>
      </w:r>
      <w:r>
        <w:rPr>
          <w:rFonts w:ascii="Times New Roman" w:cs="Times New Roman" w:eastAsia="Times New Roman" w:hAnsi="Times New Roman"/>
          <w:sz w:val="14"/>
          <w:szCs w:val="14"/>
          <w:u w:val="single" w:color="auto"/>
          <w:color w:val="auto"/>
        </w:rPr>
        <w:t>Legends</w:t>
      </w:r>
      <w:r>
        <w:rPr>
          <w:rFonts w:ascii="Times New Roman" w:cs="Times New Roman" w:eastAsia="Times New Roman" w:hAnsi="Times New Roman"/>
          <w:sz w:val="14"/>
          <w:szCs w:val="14"/>
          <w:color w:val="auto"/>
          <w:highlight w:val="white"/>
        </w:rPr>
        <w:t>. It is understood that any certificate or book entry position representing the shares of Class B Common Stock and any securities issued in respect thereof or</w:t>
      </w:r>
      <w:r>
        <w:rPr>
          <w:rFonts w:ascii="Times New Roman" w:cs="Times New Roman" w:eastAsia="Times New Roman" w:hAnsi="Times New Roman"/>
          <w:sz w:val="14"/>
          <w:szCs w:val="14"/>
          <w:color w:val="auto"/>
        </w:rPr>
        <w:t xml:space="preserve"> exchange therefor, will bear legends in substantially the following form (in addition to any legend required under applicable state securities laws or agreements to which Founder is a party):</w:t>
      </w:r>
    </w:p>
    <w:p>
      <w:pPr>
        <w:spacing w:after="0" w:line="283" w:lineRule="exact"/>
        <w:rPr>
          <w:sz w:val="20"/>
          <w:szCs w:val="20"/>
          <w:color w:val="auto"/>
        </w:rPr>
      </w:pPr>
    </w:p>
    <w:p>
      <w:pPr>
        <w:ind w:left="320" w:right="480"/>
        <w:spacing w:after="0" w:line="264" w:lineRule="auto"/>
        <w:rPr>
          <w:sz w:val="20"/>
          <w:szCs w:val="20"/>
          <w:color w:val="auto"/>
        </w:rPr>
      </w:pPr>
      <w:r>
        <w:rPr>
          <w:rFonts w:ascii="Times New Roman" w:cs="Times New Roman" w:eastAsia="Times New Roman" w:hAnsi="Times New Roman"/>
          <w:sz w:val="14"/>
          <w:szCs w:val="14"/>
          <w:color w:val="auto"/>
        </w:rPr>
        <w:t xml:space="preserve">“THE SECURITIES REPRESENTED HEREBY HAVE NOT BEEN REGISTERED UNDER THE SECURITIES ACT OF 1933, AS AMENDED (THE “ </w:t>
      </w:r>
      <w:r>
        <w:rPr>
          <w:rFonts w:ascii="Times New Roman" w:cs="Times New Roman" w:eastAsia="Times New Roman" w:hAnsi="Times New Roman"/>
          <w:sz w:val="14"/>
          <w:szCs w:val="14"/>
          <w:b w:val="1"/>
          <w:bCs w:val="1"/>
          <w:color w:val="auto"/>
        </w:rPr>
        <w:t>ACT</w:t>
      </w:r>
      <w:r>
        <w:rPr>
          <w:rFonts w:ascii="Times New Roman" w:cs="Times New Roman" w:eastAsia="Times New Roman" w:hAnsi="Times New Roman"/>
          <w:sz w:val="14"/>
          <w:szCs w:val="14"/>
          <w:color w:val="auto"/>
        </w:rPr>
        <w:t>”), OR UNDER THE SECURITIES LAWS OF CERTAIN STATES. THESE SECURITIES MAY NOT BE OFFERED, SOLD OR OTHERWISE TRANSFERRED, PLEDGED OR HYPOTHECATED EXCEPT AS PERMITTED UNDER THE ACT AND APPLICABLE STATE SECURITIES LAWS PURSUANT TO REGISTRATION OR AN EXEMPTION THEREFROM. THE ISSUER OF THESE SECURITIES MAY REQUIRE AN OPINION OF COUNSEL SATISFACTORY TO THE ISSUER THAT SUCH OFFER, SALE OR TRANSFER, PLEDGE OR HYPOTHECATION OTHERWISE COMPLIES WITH THE ACT AND ANY APPLICABLE STATE SECURITIES LAWS.”</w:t>
      </w:r>
    </w:p>
    <w:p>
      <w:pPr>
        <w:spacing w:after="0" w:line="126" w:lineRule="exact"/>
        <w:rPr>
          <w:sz w:val="20"/>
          <w:szCs w:val="20"/>
          <w:color w:val="auto"/>
        </w:rPr>
      </w:pPr>
    </w:p>
    <w:p>
      <w:pPr>
        <w:jc w:val="both"/>
        <w:ind w:firstLine="459"/>
        <w:spacing w:after="0" w:line="264" w:lineRule="auto"/>
        <w:rPr>
          <w:sz w:val="20"/>
          <w:szCs w:val="20"/>
          <w:color w:val="auto"/>
        </w:rPr>
      </w:pPr>
      <w:r>
        <w:rPr>
          <w:rFonts w:ascii="Times New Roman" w:cs="Times New Roman" w:eastAsia="Times New Roman" w:hAnsi="Times New Roman"/>
          <w:sz w:val="14"/>
          <w:szCs w:val="14"/>
          <w:color w:val="auto"/>
        </w:rPr>
        <w:t xml:space="preserve">3 . </w:t>
      </w:r>
      <w:r>
        <w:rPr>
          <w:rFonts w:ascii="Times New Roman" w:cs="Times New Roman" w:eastAsia="Times New Roman" w:hAnsi="Times New Roman"/>
          <w:sz w:val="14"/>
          <w:szCs w:val="14"/>
          <w:u w:val="single" w:color="auto"/>
          <w:color w:val="auto"/>
        </w:rPr>
        <w:t>Restricted Securities; Rule 144</w:t>
      </w:r>
      <w:r>
        <w:rPr>
          <w:rFonts w:ascii="Times New Roman" w:cs="Times New Roman" w:eastAsia="Times New Roman" w:hAnsi="Times New Roman"/>
          <w:sz w:val="14"/>
          <w:szCs w:val="14"/>
          <w:color w:val="auto"/>
          <w:highlight w:val="white"/>
        </w:rPr>
        <w:t>. Except as otherwise permitted by applicable law, Founder understands that any shares of Class B Common Stock issued to Founder in an</w:t>
      </w:r>
      <w:r>
        <w:rPr>
          <w:rFonts w:ascii="Times New Roman" w:cs="Times New Roman" w:eastAsia="Times New Roman" w:hAnsi="Times New Roman"/>
          <w:sz w:val="14"/>
          <w:szCs w:val="14"/>
          <w:color w:val="auto"/>
        </w:rPr>
        <w:t xml:space="preserve"> Exchange will be characterized as “restricted securities” under the Act because such shares are being acquired from the Company in a transaction not involving a public offering and in exchange for shares acquired from the Company in a transaction not involving a public offering, and that under the Securities Act and the rules and regulations promulgated thereunder the shares of Class B Common Stock may be resold without registration under the Act only in certain limited circumstances, and subject to the restrictions under the Company’s certificate of incorporation. Founder understands and hereby acknowledges that the shares of Class B Common Stock must be held indefinitely unless subsequently registered under the Act or an exemption from such registration is otherwise available. Such Founder is aware of the provisions of</w:t>
      </w:r>
    </w:p>
    <w:p>
      <w:pPr>
        <w:sectPr>
          <w:pgSz w:w="11900" w:h="16840" w:orient="portrait"/>
          <w:cols w:equalWidth="0" w:num="1">
            <w:col w:w="10620"/>
          </w:cols>
          <w:pgMar w:left="640" w:top="1440" w:right="640" w:bottom="1440" w:gutter="0" w:footer="0" w:header="0"/>
        </w:sectPr>
      </w:pPr>
    </w:p>
    <w:bookmarkStart w:id="460" w:name="page461"/>
    <w:bookmarkEnd w:id="460"/>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Rule 144 promulgated under the Act, which permit limited resales of shares purchased in a transaction not involving a public offering, subject to the satisfaction of certain conditions.</w:t>
      </w:r>
    </w:p>
    <w:p>
      <w:pPr>
        <w:spacing w:after="0" w:line="164" w:lineRule="exact"/>
        <w:rPr>
          <w:sz w:val="20"/>
          <w:szCs w:val="20"/>
          <w:color w:val="auto"/>
        </w:rPr>
      </w:pPr>
    </w:p>
    <w:p>
      <w:pPr>
        <w:jc w:val="both"/>
        <w:ind w:firstLine="459"/>
        <w:spacing w:after="0" w:line="269" w:lineRule="auto"/>
        <w:rPr>
          <w:sz w:val="20"/>
          <w:szCs w:val="20"/>
          <w:color w:val="auto"/>
        </w:rPr>
      </w:pPr>
      <w:r>
        <w:rPr>
          <w:rFonts w:ascii="Times New Roman" w:cs="Times New Roman" w:eastAsia="Times New Roman" w:hAnsi="Times New Roman"/>
          <w:sz w:val="14"/>
          <w:szCs w:val="14"/>
          <w:color w:val="auto"/>
        </w:rPr>
        <w:t xml:space="preserve">4 . </w:t>
      </w:r>
      <w:r>
        <w:rPr>
          <w:rFonts w:ascii="Times New Roman" w:cs="Times New Roman" w:eastAsia="Times New Roman" w:hAnsi="Times New Roman"/>
          <w:sz w:val="14"/>
          <w:szCs w:val="14"/>
          <w:u w:val="single" w:color="auto"/>
          <w:color w:val="auto"/>
        </w:rPr>
        <w:t>Tax Matters</w:t>
      </w:r>
      <w:r>
        <w:rPr>
          <w:rFonts w:ascii="Times New Roman" w:cs="Times New Roman" w:eastAsia="Times New Roman" w:hAnsi="Times New Roman"/>
          <w:sz w:val="14"/>
          <w:szCs w:val="14"/>
          <w:color w:val="auto"/>
          <w:highlight w:val="white"/>
        </w:rPr>
        <w:t>. Founder has reviewed with his own tax advisors the federal, state, local and foreign tax consequences of the Put Right and the Exchange, Founder Equity</w:t>
      </w:r>
      <w:r>
        <w:rPr>
          <w:rFonts w:ascii="Times New Roman" w:cs="Times New Roman" w:eastAsia="Times New Roman" w:hAnsi="Times New Roman"/>
          <w:sz w:val="14"/>
          <w:szCs w:val="14"/>
          <w:color w:val="auto"/>
        </w:rPr>
        <w:t xml:space="preserve"> Awards and the potential acquisition of shares of Class A Common Stock thereunder, the potential exchange of such shares for shares of Class B Common Stock, and the transactions contemplated by this Agreement. Founder is relying solely on such advisors and not on any statements or representations of the Company or any of its agents in connection with the transactions contemplated hereby, except for the representations and warranties of the Company expressly set forth in Article III of the Agreement.</w:t>
      </w:r>
    </w:p>
    <w:p>
      <w:pPr>
        <w:spacing w:after="0" w:line="37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3953510</wp:posOffset>
            </wp:positionH>
            <wp:positionV relativeFrom="paragraph">
              <wp:posOffset>13335</wp:posOffset>
            </wp:positionV>
            <wp:extent cx="2758440"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2758440" cy="6350"/>
                    </a:xfrm>
                    <a:prstGeom prst="rect">
                      <a:avLst/>
                    </a:prstGeom>
                    <a:noFill/>
                  </pic:spPr>
                </pic:pic>
              </a:graphicData>
            </a:graphic>
          </wp:anchor>
        </w:drawing>
      </w:r>
    </w:p>
    <w:p>
      <w:pPr>
        <w:spacing w:after="0" w:line="30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3953510</wp:posOffset>
            </wp:positionH>
            <wp:positionV relativeFrom="paragraph">
              <wp:posOffset>13335</wp:posOffset>
            </wp:positionV>
            <wp:extent cx="2758440"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2758440" cy="6350"/>
                    </a:xfrm>
                    <a:prstGeom prst="rect">
                      <a:avLst/>
                    </a:prstGeom>
                    <a:noFill/>
                  </pic:spPr>
                </pic:pic>
              </a:graphicData>
            </a:graphic>
          </wp:anchor>
        </w:drawing>
      </w:r>
    </w:p>
    <w:p>
      <w:pPr>
        <w:spacing w:after="0" w:line="15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3953510</wp:posOffset>
            </wp:positionH>
            <wp:positionV relativeFrom="paragraph">
              <wp:posOffset>13335</wp:posOffset>
            </wp:positionV>
            <wp:extent cx="2758440"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2758440" cy="635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159385</wp:posOffset>
            </wp:positionV>
            <wp:extent cx="2758440"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2758440" cy="635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304800</wp:posOffset>
            </wp:positionV>
            <wp:extent cx="2758440"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27584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 PAGE TO PUT RIGHT NOTICE]</w:t>
      </w:r>
    </w:p>
    <w:p>
      <w:pPr>
        <w:sectPr>
          <w:pgSz w:w="11900" w:h="16840" w:orient="portrait"/>
          <w:cols w:equalWidth="0" w:num="1">
            <w:col w:w="10600"/>
          </w:cols>
          <w:pgMar w:left="640" w:top="1440" w:right="660" w:bottom="1440" w:gutter="0" w:footer="0" w:header="0"/>
        </w:sectPr>
      </w:pPr>
    </w:p>
    <w:bookmarkStart w:id="461" w:name="page462"/>
    <w:bookmarkEnd w:id="461"/>
    <w:p>
      <w:pPr>
        <w:jc w:val="right"/>
        <w:spacing w:after="0"/>
        <w:rPr>
          <w:sz w:val="20"/>
          <w:szCs w:val="20"/>
          <w:color w:val="auto"/>
        </w:rPr>
      </w:pPr>
      <w:r>
        <w:rPr>
          <w:rFonts w:ascii="Times New Roman" w:cs="Times New Roman" w:eastAsia="Times New Roman" w:hAnsi="Times New Roman"/>
          <w:sz w:val="12"/>
          <w:szCs w:val="12"/>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Subsidiaries of the Registrant</w:t>
      </w:r>
    </w:p>
    <w:p>
      <w:pPr>
        <w:sectPr>
          <w:pgSz w:w="11900" w:h="16840" w:orient="portrait"/>
          <w:cols w:equalWidth="0" w:num="1">
            <w:col w:w="10580"/>
          </w:cols>
          <w:pgMar w:left="660" w:top="557" w:right="660" w:bottom="1440" w:gutter="0" w:footer="0" w:header="0"/>
        </w:sect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Liquid Labs SPV, LLC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Reed &amp; Mackay Travel Limited</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Jurisdiction of Organization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Delaware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United Kingdom</w:t>
      </w:r>
    </w:p>
    <w:p>
      <w:pPr>
        <w:sectPr>
          <w:pgSz w:w="11900" w:h="16840" w:orient="portrait"/>
          <w:cols w:equalWidth="0" w:num="2">
            <w:col w:w="5220" w:space="720"/>
            <w:col w:w="4640"/>
          </w:cols>
          <w:pgMar w:left="660" w:top="557" w:right="660" w:bottom="1440" w:gutter="0" w:footer="0" w:header="0"/>
          <w:type w:val="continuous"/>
        </w:sectPr>
      </w:pPr>
    </w:p>
    <w:bookmarkStart w:id="462" w:name="page463"/>
    <w:bookmarkEnd w:id="462"/>
    <w:p>
      <w:pPr>
        <w:jc w:val="right"/>
        <w:spacing w:after="0"/>
        <w:rPr>
          <w:sz w:val="20"/>
          <w:szCs w:val="20"/>
          <w:color w:val="auto"/>
        </w:rPr>
      </w:pPr>
      <w:r>
        <w:rPr>
          <w:rFonts w:ascii="Times New Roman" w:cs="Times New Roman" w:eastAsia="Times New Roman" w:hAnsi="Times New Roman"/>
          <w:sz w:val="12"/>
          <w:szCs w:val="1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Georgia" w:cs="Georgia" w:eastAsia="Georgia" w:hAnsi="Georgia"/>
          <w:sz w:val="12"/>
          <w:szCs w:val="12"/>
          <w:color w:val="auto"/>
        </w:rPr>
        <w:t>CONSENT OF INDEPENDENT REGISTERED PUBLIC ACCOUNTING FIRM</w:t>
      </w:r>
    </w:p>
    <w:p>
      <w:pPr>
        <w:spacing w:after="0" w:line="352" w:lineRule="exact"/>
        <w:rPr>
          <w:sz w:val="20"/>
          <w:szCs w:val="20"/>
          <w:color w:val="auto"/>
        </w:rPr>
      </w:pPr>
    </w:p>
    <w:p>
      <w:pPr>
        <w:ind w:right="120"/>
        <w:spacing w:after="0" w:line="254" w:lineRule="auto"/>
        <w:rPr>
          <w:sz w:val="20"/>
          <w:szCs w:val="20"/>
          <w:color w:val="auto"/>
        </w:rPr>
      </w:pPr>
      <w:r>
        <w:rPr>
          <w:rFonts w:ascii="Georgia" w:cs="Georgia" w:eastAsia="Georgia" w:hAnsi="Georgia"/>
          <w:sz w:val="12"/>
          <w:szCs w:val="12"/>
          <w:color w:val="auto"/>
        </w:rPr>
        <w:t>We hereby consent to the use in this Registration Statement on Form S-1 of Navan, Inc. of our report dated April 30, 2025, except for the disaggregated usage-based and subscription revenue information included in Note 2 to the consolidated financial statements, as to which the date is July 25, 2025, and except for the effects of the reverse stock split discussed in Note 1 to the consolidated financial statements, as to which the date is September 19, 2025, relating to the financial statements of Navan, Inc., which appears in this Registration Statement. We also consent to the reference to us under the heading “Experts” in such Registration Statement.</w:t>
      </w:r>
    </w:p>
    <w:p>
      <w:pPr>
        <w:spacing w:after="0" w:line="265" w:lineRule="exact"/>
        <w:rPr>
          <w:sz w:val="20"/>
          <w:szCs w:val="20"/>
          <w:color w:val="auto"/>
        </w:rPr>
      </w:pPr>
    </w:p>
    <w:p>
      <w:pPr>
        <w:ind w:left="20"/>
        <w:spacing w:after="0"/>
        <w:rPr>
          <w:sz w:val="20"/>
          <w:szCs w:val="20"/>
          <w:color w:val="auto"/>
        </w:rPr>
      </w:pPr>
      <w:r>
        <w:rPr>
          <w:rFonts w:ascii="Georgia" w:cs="Georgia" w:eastAsia="Georgia" w:hAnsi="Georgia"/>
          <w:sz w:val="12"/>
          <w:szCs w:val="12"/>
          <w:color w:val="auto"/>
        </w:rPr>
        <w:t>/s/ PricewaterhouseCoopers LLP</w:t>
      </w:r>
    </w:p>
    <w:p>
      <w:pPr>
        <w:spacing w:after="0" w:line="160" w:lineRule="exact"/>
        <w:rPr>
          <w:sz w:val="20"/>
          <w:szCs w:val="20"/>
          <w:color w:val="auto"/>
        </w:rPr>
      </w:pPr>
    </w:p>
    <w:p>
      <w:pPr>
        <w:ind w:left="20"/>
        <w:spacing w:after="0"/>
        <w:rPr>
          <w:sz w:val="20"/>
          <w:szCs w:val="20"/>
          <w:color w:val="auto"/>
        </w:rPr>
      </w:pPr>
      <w:r>
        <w:rPr>
          <w:rFonts w:ascii="Georgia" w:cs="Georgia" w:eastAsia="Georgia" w:hAnsi="Georgia"/>
          <w:sz w:val="12"/>
          <w:szCs w:val="12"/>
          <w:color w:val="auto"/>
        </w:rPr>
        <w:t>San Jose, California</w:t>
      </w:r>
    </w:p>
    <w:p>
      <w:pPr>
        <w:spacing w:after="0" w:line="160" w:lineRule="exact"/>
        <w:rPr>
          <w:sz w:val="20"/>
          <w:szCs w:val="20"/>
          <w:color w:val="auto"/>
        </w:rPr>
      </w:pPr>
    </w:p>
    <w:p>
      <w:pPr>
        <w:ind w:left="20"/>
        <w:spacing w:after="0"/>
        <w:rPr>
          <w:sz w:val="20"/>
          <w:szCs w:val="20"/>
          <w:color w:val="auto"/>
        </w:rPr>
      </w:pPr>
      <w:r>
        <w:rPr>
          <w:rFonts w:ascii="Georgia" w:cs="Georgia" w:eastAsia="Georgia" w:hAnsi="Georgia"/>
          <w:sz w:val="12"/>
          <w:szCs w:val="12"/>
          <w:color w:val="auto"/>
        </w:rPr>
        <w:t>October 10, 2025</w:t>
      </w:r>
    </w:p>
    <w:p>
      <w:pPr>
        <w:sectPr>
          <w:pgSz w:w="11900" w:h="16840" w:orient="portrait"/>
          <w:cols w:equalWidth="0" w:num="1">
            <w:col w:w="10600"/>
          </w:cols>
          <w:pgMar w:left="640" w:top="557" w:right="660" w:bottom="1440" w:gutter="0" w:footer="0" w:header="0"/>
        </w:sectPr>
      </w:pPr>
    </w:p>
    <w:bookmarkStart w:id="463" w:name="page464"/>
    <w:bookmarkEnd w:id="463"/>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21AF471"/>
    <w:multiLevelType w:val="hybridMultilevel"/>
    <w:lvl w:ilvl="0">
      <w:lvlJc w:val="left"/>
      <w:lvlText w:val="r"/>
      <w:numFmt w:val="bullet"/>
      <w:start w:val="1"/>
    </w:lvl>
  </w:abstractNum>
  <w:abstractNum w:abstractNumId="1">
    <w:nsid w:val="73CFE165"/>
    <w:multiLevelType w:val="hybridMultilevel"/>
    <w:lvl w:ilvl="0">
      <w:lvlJc w:val="left"/>
      <w:lvlText w:val="•"/>
      <w:numFmt w:val="bullet"/>
      <w:start w:val="1"/>
    </w:lvl>
  </w:abstractNum>
  <w:abstractNum w:abstractNumId="2">
    <w:nsid w:val="20F88EA6"/>
    <w:multiLevelType w:val="hybridMultilevel"/>
    <w:lvl w:ilvl="0">
      <w:lvlJc w:val="left"/>
      <w:lvlText w:val="•"/>
      <w:numFmt w:val="bullet"/>
      <w:start w:val="1"/>
    </w:lvl>
  </w:abstractNum>
  <w:abstractNum w:abstractNumId="3">
    <w:nsid w:val="617C843E"/>
    <w:multiLevelType w:val="hybridMultilevel"/>
    <w:lvl w:ilvl="0">
      <w:lvlJc w:val="left"/>
      <w:lvlText w:val="•"/>
      <w:numFmt w:val="bullet"/>
      <w:start w:val="1"/>
    </w:lvl>
  </w:abstractNum>
  <w:abstractNum w:abstractNumId="4">
    <w:nsid w:val="7B541FAB"/>
    <w:multiLevelType w:val="hybridMultilevel"/>
    <w:lvl w:ilvl="0">
      <w:lvlJc w:val="left"/>
      <w:lvlText w:val="•"/>
      <w:numFmt w:val="bullet"/>
      <w:start w:val="1"/>
    </w:lvl>
  </w:abstractNum>
  <w:abstractNum w:abstractNumId="5">
    <w:nsid w:val="2A79EC49"/>
    <w:multiLevelType w:val="hybridMultilevel"/>
    <w:lvl w:ilvl="0">
      <w:lvlJc w:val="left"/>
      <w:lvlText w:val="•"/>
      <w:numFmt w:val="bullet"/>
      <w:start w:val="1"/>
    </w:lvl>
  </w:abstractNum>
  <w:abstractNum w:abstractNumId="6">
    <w:nsid w:val="338125CF"/>
    <w:multiLevelType w:val="hybridMultilevel"/>
    <w:lvl w:ilvl="0">
      <w:lvlJc w:val="left"/>
      <w:lvlText w:val="•"/>
      <w:numFmt w:val="bullet"/>
      <w:start w:val="1"/>
    </w:lvl>
  </w:abstractNum>
  <w:abstractNum w:abstractNumId="7">
    <w:nsid w:val="47C7C971"/>
    <w:multiLevelType w:val="hybridMultilevel"/>
    <w:lvl w:ilvl="0">
      <w:lvlJc w:val="left"/>
      <w:lvlText w:val="•"/>
      <w:numFmt w:val="bullet"/>
      <w:start w:val="1"/>
    </w:lvl>
  </w:abstractNum>
  <w:abstractNum w:abstractNumId="8">
    <w:nsid w:val="46F8284B"/>
    <w:multiLevelType w:val="hybridMultilevel"/>
    <w:lvl w:ilvl="0">
      <w:lvlJc w:val="left"/>
      <w:lvlText w:val="•"/>
      <w:numFmt w:val="bullet"/>
      <w:start w:val="1"/>
    </w:lvl>
  </w:abstractNum>
  <w:abstractNum w:abstractNumId="9">
    <w:nsid w:val="4FA327CE"/>
    <w:multiLevelType w:val="hybridMultilevel"/>
    <w:lvl w:ilvl="0">
      <w:lvlJc w:val="left"/>
      <w:lvlText w:val="•"/>
      <w:numFmt w:val="bullet"/>
      <w:start w:val="1"/>
    </w:lvl>
  </w:abstractNum>
  <w:abstractNum w:abstractNumId="10">
    <w:nsid w:val="1873983A"/>
    <w:multiLevelType w:val="hybridMultilevel"/>
    <w:lvl w:ilvl="0">
      <w:lvlJc w:val="left"/>
      <w:lvlText w:val="•"/>
      <w:numFmt w:val="bullet"/>
      <w:start w:val="1"/>
    </w:lvl>
  </w:abstractNum>
  <w:abstractNum w:abstractNumId="11">
    <w:nsid w:val="3D2DD275"/>
    <w:multiLevelType w:val="hybridMultilevel"/>
    <w:lvl w:ilvl="0">
      <w:lvlJc w:val="left"/>
      <w:lvlText w:val="•"/>
      <w:numFmt w:val="bullet"/>
      <w:start w:val="1"/>
    </w:lvl>
  </w:abstractNum>
  <w:abstractNum w:abstractNumId="12">
    <w:nsid w:val="2E17ECA7"/>
    <w:multiLevelType w:val="hybridMultilevel"/>
    <w:lvl w:ilvl="0">
      <w:lvlJc w:val="left"/>
      <w:lvlText w:val="•"/>
      <w:numFmt w:val="bullet"/>
      <w:start w:val="1"/>
    </w:lvl>
  </w:abstractNum>
  <w:abstractNum w:abstractNumId="13">
    <w:nsid w:val="53B2564F"/>
    <w:multiLevelType w:val="hybridMultilevel"/>
    <w:lvl w:ilvl="0">
      <w:lvlJc w:val="left"/>
      <w:lvlText w:val="•"/>
      <w:numFmt w:val="bullet"/>
      <w:start w:val="1"/>
    </w:lvl>
  </w:abstractNum>
  <w:abstractNum w:abstractNumId="14">
    <w:nsid w:val="75509D76"/>
    <w:multiLevelType w:val="hybridMultilevel"/>
    <w:lvl w:ilvl="0">
      <w:lvlJc w:val="left"/>
      <w:lvlText w:val="•"/>
      <w:numFmt w:val="bullet"/>
      <w:start w:val="1"/>
    </w:lvl>
  </w:abstractNum>
  <w:abstractNum w:abstractNumId="15">
    <w:nsid w:val="1AF7F0EA"/>
    <w:multiLevelType w:val="hybridMultilevel"/>
    <w:lvl w:ilvl="0">
      <w:lvlJc w:val="left"/>
      <w:lvlText w:val="•"/>
      <w:numFmt w:val="bullet"/>
      <w:start w:val="1"/>
    </w:lvl>
  </w:abstractNum>
  <w:abstractNum w:abstractNumId="16">
    <w:nsid w:val="4DA32C7E"/>
    <w:multiLevelType w:val="hybridMultilevel"/>
    <w:lvl w:ilvl="0">
      <w:lvlJc w:val="left"/>
      <w:lvlText w:val="•"/>
      <w:numFmt w:val="bullet"/>
      <w:start w:val="1"/>
    </w:lvl>
  </w:abstractNum>
  <w:abstractNum w:abstractNumId="17">
    <w:nsid w:val="6EC68664"/>
    <w:multiLevelType w:val="hybridMultilevel"/>
    <w:lvl w:ilvl="0">
      <w:lvlJc w:val="left"/>
      <w:lvlText w:val="•"/>
      <w:numFmt w:val="bullet"/>
      <w:start w:val="1"/>
    </w:lvl>
  </w:abstractNum>
  <w:abstractNum w:abstractNumId="18">
    <w:nsid w:val="E0D31FF"/>
    <w:multiLevelType w:val="hybridMultilevel"/>
    <w:lvl w:ilvl="0">
      <w:lvlJc w:val="left"/>
      <w:lvlText w:val="•"/>
      <w:numFmt w:val="bullet"/>
      <w:start w:val="1"/>
    </w:lvl>
  </w:abstractNum>
  <w:abstractNum w:abstractNumId="19">
    <w:nsid w:val="2FD0AD81"/>
    <w:multiLevelType w:val="hybridMultilevel"/>
    <w:lvl w:ilvl="0">
      <w:lvlJc w:val="left"/>
      <w:lvlText w:val="•"/>
      <w:numFmt w:val="bullet"/>
      <w:start w:val="1"/>
    </w:lvl>
  </w:abstractNum>
  <w:abstractNum w:abstractNumId="20">
    <w:nsid w:val="1978EBEB"/>
    <w:multiLevelType w:val="hybridMultilevel"/>
    <w:lvl w:ilvl="0">
      <w:lvlJc w:val="left"/>
      <w:lvlText w:val="•"/>
      <w:numFmt w:val="bullet"/>
      <w:start w:val="1"/>
    </w:lvl>
  </w:abstractNum>
  <w:abstractNum w:abstractNumId="21">
    <w:nsid w:val="52C12C61"/>
    <w:multiLevelType w:val="hybridMultilevel"/>
    <w:lvl w:ilvl="0">
      <w:lvlJc w:val="left"/>
      <w:lvlText w:val="•"/>
      <w:numFmt w:val="bullet"/>
      <w:start w:val="1"/>
    </w:lvl>
  </w:abstractNum>
  <w:abstractNum w:abstractNumId="22">
    <w:nsid w:val="4BDD53FD"/>
    <w:multiLevelType w:val="hybridMultilevel"/>
    <w:lvl w:ilvl="0">
      <w:lvlJc w:val="left"/>
      <w:lvlText w:val="•"/>
      <w:numFmt w:val="bullet"/>
      <w:start w:val="1"/>
    </w:lvl>
  </w:abstractNum>
  <w:abstractNum w:abstractNumId="23">
    <w:nsid w:val="569951FE"/>
    <w:multiLevelType w:val="hybridMultilevel"/>
    <w:lvl w:ilvl="0">
      <w:lvlJc w:val="left"/>
      <w:lvlText w:val="•"/>
      <w:numFmt w:val="bullet"/>
      <w:start w:val="1"/>
    </w:lvl>
  </w:abstractNum>
  <w:abstractNum w:abstractNumId="24">
    <w:nsid w:val="4C54E2C3"/>
    <w:multiLevelType w:val="hybridMultilevel"/>
    <w:lvl w:ilvl="0">
      <w:lvlJc w:val="left"/>
      <w:lvlText w:val="•"/>
      <w:numFmt w:val="bullet"/>
      <w:start w:val="1"/>
    </w:lvl>
  </w:abstractNum>
  <w:abstractNum w:abstractNumId="25">
    <w:nsid w:val="788BD9B"/>
    <w:multiLevelType w:val="hybridMultilevel"/>
    <w:lvl w:ilvl="0">
      <w:lvlJc w:val="left"/>
      <w:lvlText w:val="•"/>
      <w:numFmt w:val="bullet"/>
      <w:start w:val="1"/>
    </w:lvl>
  </w:abstractNum>
  <w:abstractNum w:abstractNumId="26">
    <w:nsid w:val="47CAA567"/>
    <w:multiLevelType w:val="hybridMultilevel"/>
    <w:lvl w:ilvl="0">
      <w:lvlJc w:val="left"/>
      <w:lvlText w:val="•"/>
      <w:numFmt w:val="bullet"/>
      <w:start w:val="1"/>
    </w:lvl>
  </w:abstractNum>
  <w:abstractNum w:abstractNumId="27">
    <w:nsid w:val="48249DBF"/>
    <w:multiLevelType w:val="hybridMultilevel"/>
    <w:lvl w:ilvl="0">
      <w:lvlJc w:val="left"/>
      <w:lvlText w:val="(%1)"/>
      <w:numFmt w:val="decimal"/>
      <w:start w:val="1"/>
    </w:lvl>
  </w:abstractNum>
  <w:abstractNum w:abstractNumId="28">
    <w:nsid w:val="1F0E5D0D"/>
    <w:multiLevelType w:val="hybridMultilevel"/>
    <w:lvl w:ilvl="0">
      <w:lvlJc w:val="left"/>
      <w:lvlText w:val="(%1)"/>
      <w:numFmt w:val="decimal"/>
      <w:start w:val="2"/>
    </w:lvl>
  </w:abstractNum>
  <w:abstractNum w:abstractNumId="29">
    <w:nsid w:val="26BAAE9"/>
    <w:multiLevelType w:val="hybridMultilevel"/>
    <w:lvl w:ilvl="0">
      <w:lvlJc w:val="left"/>
      <w:lvlText w:val="(%1)"/>
      <w:numFmt w:val="decimal"/>
      <w:start w:val="1"/>
    </w:lvl>
  </w:abstractNum>
  <w:abstractNum w:abstractNumId="30">
    <w:nsid w:val="2C02FE8C"/>
    <w:multiLevelType w:val="hybridMultilevel"/>
    <w:lvl w:ilvl="0">
      <w:lvlJc w:val="left"/>
      <w:lvlText w:val="•"/>
      <w:numFmt w:val="bullet"/>
      <w:start w:val="1"/>
    </w:lvl>
  </w:abstractNum>
  <w:abstractNum w:abstractNumId="31">
    <w:nsid w:val="129517E"/>
    <w:multiLevelType w:val="hybridMultilevel"/>
    <w:lvl w:ilvl="0">
      <w:lvlJc w:val="left"/>
      <w:lvlText w:val="•"/>
      <w:numFmt w:val="bullet"/>
      <w:start w:val="1"/>
    </w:lvl>
  </w:abstractNum>
  <w:abstractNum w:abstractNumId="32">
    <w:nsid w:val="763B8C4E"/>
    <w:multiLevelType w:val="hybridMultilevel"/>
    <w:lvl w:ilvl="0">
      <w:lvlJc w:val="left"/>
      <w:lvlText w:val="(%1)"/>
      <w:numFmt w:val="decimal"/>
      <w:start w:val="2"/>
    </w:lvl>
  </w:abstractNum>
  <w:abstractNum w:abstractNumId="33">
    <w:nsid w:val="4CFB8D32"/>
    <w:multiLevelType w:val="hybridMultilevel"/>
    <w:lvl w:ilvl="0">
      <w:lvlJc w:val="left"/>
      <w:lvlText w:val="•"/>
      <w:numFmt w:val="bullet"/>
      <w:start w:val="1"/>
    </w:lvl>
  </w:abstractNum>
  <w:abstractNum w:abstractNumId="34">
    <w:nsid w:val="62A5D5BD"/>
    <w:multiLevelType w:val="hybridMultilevel"/>
    <w:lvl w:ilvl="0">
      <w:lvlJc w:val="left"/>
      <w:lvlText w:val="•"/>
      <w:numFmt w:val="bullet"/>
      <w:start w:val="1"/>
    </w:lvl>
  </w:abstractNum>
  <w:abstractNum w:abstractNumId="35">
    <w:nsid w:val="718FABF9"/>
    <w:multiLevelType w:val="hybridMultilevel"/>
    <w:lvl w:ilvl="0">
      <w:lvlJc w:val="left"/>
      <w:lvlText w:val="•"/>
      <w:numFmt w:val="bullet"/>
      <w:start w:val="1"/>
    </w:lvl>
  </w:abstractNum>
  <w:abstractNum w:abstractNumId="36">
    <w:nsid w:val="7775797C"/>
    <w:multiLevelType w:val="hybridMultilevel"/>
    <w:lvl w:ilvl="0">
      <w:lvlJc w:val="left"/>
      <w:lvlText w:val="•"/>
      <w:numFmt w:val="bullet"/>
      <w:start w:val="1"/>
    </w:lvl>
  </w:abstractNum>
  <w:abstractNum w:abstractNumId="37">
    <w:nsid w:val="1626FB8C"/>
    <w:multiLevelType w:val="hybridMultilevel"/>
    <w:lvl w:ilvl="0">
      <w:lvlJc w:val="left"/>
      <w:lvlText w:val="•"/>
      <w:numFmt w:val="bullet"/>
      <w:start w:val="1"/>
    </w:lvl>
  </w:abstractNum>
  <w:abstractNum w:abstractNumId="38">
    <w:nsid w:val="3957756A"/>
    <w:multiLevelType w:val="hybridMultilevel"/>
    <w:lvl w:ilvl="0">
      <w:lvlJc w:val="left"/>
      <w:lvlText w:val="•"/>
      <w:numFmt w:val="bullet"/>
      <w:start w:val="1"/>
    </w:lvl>
  </w:abstractNum>
  <w:abstractNum w:abstractNumId="39">
    <w:nsid w:val="3E6DA1C7"/>
    <w:multiLevelType w:val="hybridMultilevel"/>
    <w:lvl w:ilvl="0">
      <w:lvlJc w:val="left"/>
      <w:lvlText w:val="•"/>
      <w:numFmt w:val="bullet"/>
      <w:start w:val="1"/>
    </w:lvl>
  </w:abstractNum>
  <w:abstractNum w:abstractNumId="40">
    <w:nsid w:val="65CA235B"/>
    <w:multiLevelType w:val="hybridMultilevel"/>
    <w:lvl w:ilvl="0">
      <w:lvlJc w:val="left"/>
      <w:lvlText w:val="•"/>
      <w:numFmt w:val="bullet"/>
      <w:start w:val="1"/>
    </w:lvl>
  </w:abstractNum>
  <w:abstractNum w:abstractNumId="41">
    <w:nsid w:val="51CB0DA4"/>
    <w:multiLevelType w:val="hybridMultilevel"/>
    <w:lvl w:ilvl="0">
      <w:lvlJc w:val="left"/>
      <w:lvlText w:val="•"/>
      <w:numFmt w:val="bullet"/>
      <w:start w:val="1"/>
    </w:lvl>
  </w:abstractNum>
  <w:abstractNum w:abstractNumId="42">
    <w:nsid w:val="7B9B743C"/>
    <w:multiLevelType w:val="hybridMultilevel"/>
    <w:lvl w:ilvl="0">
      <w:lvlJc w:val="left"/>
      <w:lvlText w:val="•"/>
      <w:numFmt w:val="bullet"/>
      <w:start w:val="1"/>
    </w:lvl>
  </w:abstractNum>
  <w:abstractNum w:abstractNumId="43">
    <w:nsid w:val="13E21002"/>
    <w:multiLevelType w:val="hybridMultilevel"/>
    <w:lvl w:ilvl="0">
      <w:lvlJc w:val="left"/>
      <w:lvlText w:val="•"/>
      <w:numFmt w:val="bullet"/>
      <w:start w:val="1"/>
    </w:lvl>
  </w:abstractNum>
  <w:abstractNum w:abstractNumId="44">
    <w:nsid w:val="257D63F4"/>
    <w:multiLevelType w:val="hybridMultilevel"/>
    <w:lvl w:ilvl="0">
      <w:lvlJc w:val="left"/>
      <w:lvlText w:val="•"/>
      <w:numFmt w:val="bullet"/>
      <w:start w:val="1"/>
    </w:lvl>
  </w:abstractNum>
  <w:abstractNum w:abstractNumId="45">
    <w:nsid w:val="70EC11B2"/>
    <w:multiLevelType w:val="hybridMultilevel"/>
    <w:lvl w:ilvl="0">
      <w:lvlJc w:val="left"/>
      <w:lvlText w:val="•"/>
      <w:numFmt w:val="bullet"/>
      <w:start w:val="1"/>
    </w:lvl>
  </w:abstractNum>
  <w:abstractNum w:abstractNumId="46">
    <w:nsid w:val="2EDA00ED"/>
    <w:multiLevelType w:val="hybridMultilevel"/>
    <w:lvl w:ilvl="0">
      <w:lvlJc w:val="left"/>
      <w:lvlText w:val="•"/>
      <w:numFmt w:val="bullet"/>
      <w:start w:val="1"/>
    </w:lvl>
  </w:abstractNum>
  <w:abstractNum w:abstractNumId="47">
    <w:nsid w:val="73209072"/>
    <w:multiLevelType w:val="hybridMultilevel"/>
    <w:lvl w:ilvl="0">
      <w:lvlJc w:val="left"/>
      <w:lvlText w:val="•"/>
      <w:numFmt w:val="bullet"/>
      <w:start w:val="1"/>
    </w:lvl>
  </w:abstractNum>
  <w:abstractNum w:abstractNumId="48">
    <w:nsid w:val="5FB29816"/>
    <w:multiLevelType w:val="hybridMultilevel"/>
    <w:lvl w:ilvl="0">
      <w:lvlJc w:val="left"/>
      <w:lvlText w:val="•"/>
      <w:numFmt w:val="bullet"/>
      <w:start w:val="1"/>
    </w:lvl>
  </w:abstractNum>
  <w:abstractNum w:abstractNumId="49">
    <w:nsid w:val="3CE732EC"/>
    <w:multiLevelType w:val="hybridMultilevel"/>
    <w:lvl w:ilvl="0">
      <w:lvlJc w:val="left"/>
      <w:lvlText w:val="•"/>
      <w:numFmt w:val="bullet"/>
      <w:start w:val="1"/>
    </w:lvl>
  </w:abstractNum>
  <w:abstractNum w:abstractNumId="50">
    <w:nsid w:val="22F13DF3"/>
    <w:multiLevelType w:val="hybridMultilevel"/>
    <w:lvl w:ilvl="0">
      <w:lvlJc w:val="left"/>
      <w:lvlText w:val="•"/>
      <w:numFmt w:val="bullet"/>
      <w:start w:val="1"/>
    </w:lvl>
  </w:abstractNum>
  <w:abstractNum w:abstractNumId="51">
    <w:nsid w:val="792B8401"/>
    <w:multiLevelType w:val="hybridMultilevel"/>
    <w:lvl w:ilvl="0">
      <w:lvlJc w:val="left"/>
      <w:lvlText w:val="•"/>
      <w:numFmt w:val="bullet"/>
      <w:start w:val="1"/>
    </w:lvl>
  </w:abstractNum>
  <w:abstractNum w:abstractNumId="52">
    <w:nsid w:val="FA85F4D"/>
    <w:multiLevelType w:val="hybridMultilevel"/>
    <w:lvl w:ilvl="0">
      <w:lvlJc w:val="left"/>
      <w:lvlText w:val="•"/>
      <w:numFmt w:val="bullet"/>
      <w:start w:val="1"/>
    </w:lvl>
  </w:abstractNum>
  <w:abstractNum w:abstractNumId="53">
    <w:nsid w:val="6ECE91F0"/>
    <w:multiLevelType w:val="hybridMultilevel"/>
    <w:lvl w:ilvl="0">
      <w:lvlJc w:val="left"/>
      <w:lvlText w:val="•"/>
      <w:numFmt w:val="bullet"/>
      <w:start w:val="1"/>
    </w:lvl>
  </w:abstractNum>
  <w:abstractNum w:abstractNumId="54">
    <w:nsid w:val="4FC4D600"/>
    <w:multiLevelType w:val="hybridMultilevel"/>
    <w:lvl w:ilvl="0">
      <w:lvlJc w:val="left"/>
      <w:lvlText w:val="•"/>
      <w:numFmt w:val="bullet"/>
      <w:start w:val="1"/>
    </w:lvl>
  </w:abstractNum>
  <w:abstractNum w:abstractNumId="55">
    <w:nsid w:val="5BFD4210"/>
    <w:multiLevelType w:val="hybridMultilevel"/>
    <w:lvl w:ilvl="0">
      <w:lvlJc w:val="left"/>
      <w:lvlText w:val="•"/>
      <w:numFmt w:val="bullet"/>
      <w:start w:val="1"/>
    </w:lvl>
  </w:abstractNum>
  <w:abstractNum w:abstractNumId="56">
    <w:nsid w:val="76574F8B"/>
    <w:multiLevelType w:val="hybridMultilevel"/>
    <w:lvl w:ilvl="0">
      <w:lvlJc w:val="left"/>
      <w:lvlText w:val="•"/>
      <w:numFmt w:val="bullet"/>
      <w:start w:val="1"/>
    </w:lvl>
  </w:abstractNum>
  <w:abstractNum w:abstractNumId="57">
    <w:nsid w:val="178F7B67"/>
    <w:multiLevelType w:val="hybridMultilevel"/>
    <w:lvl w:ilvl="0">
      <w:lvlJc w:val="left"/>
      <w:lvlText w:val="•"/>
      <w:numFmt w:val="bullet"/>
      <w:start w:val="1"/>
    </w:lvl>
  </w:abstractNum>
  <w:abstractNum w:abstractNumId="58">
    <w:nsid w:val="2421DFCF"/>
    <w:multiLevelType w:val="hybridMultilevel"/>
    <w:lvl w:ilvl="0">
      <w:lvlJc w:val="left"/>
      <w:lvlText w:val="(%1)"/>
      <w:numFmt w:val="upperLetter"/>
      <w:start w:val="1"/>
    </w:lvl>
  </w:abstractNum>
  <w:abstractNum w:abstractNumId="59">
    <w:nsid w:val="1565AC99"/>
    <w:multiLevelType w:val="hybridMultilevel"/>
    <w:lvl w:ilvl="0">
      <w:lvlJc w:val="left"/>
      <w:lvlText w:val="•"/>
      <w:numFmt w:val="bullet"/>
      <w:start w:val="1"/>
    </w:lvl>
  </w:abstractNum>
  <w:abstractNum w:abstractNumId="60">
    <w:nsid w:val="19FB2650"/>
    <w:multiLevelType w:val="hybridMultilevel"/>
    <w:lvl w:ilvl="0">
      <w:lvlJc w:val="left"/>
      <w:lvlText w:val="•"/>
      <w:numFmt w:val="bullet"/>
      <w:start w:val="1"/>
    </w:lvl>
  </w:abstractNum>
  <w:abstractNum w:abstractNumId="61">
    <w:nsid w:val="5024DE5B"/>
    <w:multiLevelType w:val="hybridMultilevel"/>
    <w:lvl w:ilvl="0">
      <w:lvlJc w:val="left"/>
      <w:lvlText w:val="o"/>
      <w:numFmt w:val="bullet"/>
      <w:start w:val="1"/>
    </w:lvl>
  </w:abstractNum>
  <w:abstractNum w:abstractNumId="62">
    <w:nsid w:val="168EFE17"/>
    <w:multiLevelType w:val="hybridMultilevel"/>
    <w:lvl w:ilvl="0">
      <w:lvlJc w:val="left"/>
      <w:lvlText w:val="o"/>
      <w:numFmt w:val="bullet"/>
      <w:start w:val="1"/>
    </w:lvl>
  </w:abstractNum>
  <w:abstractNum w:abstractNumId="63">
    <w:nsid w:val="1036B29F"/>
    <w:multiLevelType w:val="hybridMultilevel"/>
    <w:lvl w:ilvl="0">
      <w:lvlJc w:val="left"/>
      <w:lvlText w:val="(%1)"/>
      <w:numFmt w:val="decimal"/>
      <w:start w:val="3"/>
    </w:lvl>
  </w:abstractNum>
  <w:abstractNum w:abstractNumId="64">
    <w:nsid w:val="1D206B8E"/>
    <w:multiLevelType w:val="hybridMultilevel"/>
    <w:lvl w:ilvl="0">
      <w:lvlJc w:val="left"/>
      <w:lvlText w:val="•"/>
      <w:numFmt w:val="bullet"/>
      <w:start w:val="1"/>
    </w:lvl>
  </w:abstractNum>
  <w:abstractNum w:abstractNumId="65">
    <w:nsid w:val="7934D3D4"/>
    <w:multiLevelType w:val="hybridMultilevel"/>
    <w:lvl w:ilvl="0">
      <w:lvlJc w:val="left"/>
      <w:lvlText w:val="•"/>
      <w:numFmt w:val="bullet"/>
      <w:start w:val="1"/>
    </w:lvl>
  </w:abstractNum>
  <w:abstractNum w:abstractNumId="66">
    <w:nsid w:val="1C65E98"/>
    <w:multiLevelType w:val="hybridMultilevel"/>
    <w:lvl w:ilvl="0">
      <w:lvlJc w:val="left"/>
      <w:lvlText w:val="•"/>
      <w:numFmt w:val="bullet"/>
      <w:start w:val="1"/>
    </w:lvl>
  </w:abstractNum>
  <w:abstractNum w:abstractNumId="67">
    <w:nsid w:val="1495E50A"/>
    <w:multiLevelType w:val="hybridMultilevel"/>
    <w:lvl w:ilvl="0">
      <w:lvlJc w:val="left"/>
      <w:lvlText w:val="•"/>
      <w:numFmt w:val="bullet"/>
      <w:start w:val="1"/>
    </w:lvl>
  </w:abstractNum>
  <w:abstractNum w:abstractNumId="68">
    <w:nsid w:val="F5BCF61"/>
    <w:multiLevelType w:val="hybridMultilevel"/>
    <w:lvl w:ilvl="0">
      <w:lvlJc w:val="left"/>
      <w:lvlText w:val="•"/>
      <w:numFmt w:val="bullet"/>
      <w:start w:val="1"/>
    </w:lvl>
  </w:abstractNum>
  <w:abstractNum w:abstractNumId="69">
    <w:nsid w:val="3B1DD403"/>
    <w:multiLevelType w:val="hybridMultilevel"/>
    <w:lvl w:ilvl="0">
      <w:lvlJc w:val="left"/>
      <w:lvlText w:val="•"/>
      <w:numFmt w:val="bullet"/>
      <w:start w:val="1"/>
    </w:lvl>
  </w:abstractNum>
  <w:abstractNum w:abstractNumId="70">
    <w:nsid w:val="530386D1"/>
    <w:multiLevelType w:val="hybridMultilevel"/>
    <w:lvl w:ilvl="0">
      <w:lvlJc w:val="left"/>
      <w:lvlText w:val="•"/>
      <w:numFmt w:val="bullet"/>
      <w:start w:val="1"/>
    </w:lvl>
  </w:abstractNum>
  <w:abstractNum w:abstractNumId="71">
    <w:nsid w:val="7525F2BC"/>
    <w:multiLevelType w:val="hybridMultilevel"/>
    <w:lvl w:ilvl="0">
      <w:lvlJc w:val="left"/>
      <w:lvlText w:val="•"/>
      <w:numFmt w:val="bullet"/>
      <w:start w:val="1"/>
    </w:lvl>
  </w:abstractNum>
  <w:abstractNum w:abstractNumId="72">
    <w:nsid w:val="CE8E1A7"/>
    <w:multiLevelType w:val="hybridMultilevel"/>
    <w:lvl w:ilvl="0">
      <w:lvlJc w:val="left"/>
      <w:lvlText w:val="•"/>
      <w:numFmt w:val="bullet"/>
      <w:start w:val="1"/>
    </w:lvl>
  </w:abstractNum>
  <w:abstractNum w:abstractNumId="73">
    <w:nsid w:val="4E9EFB0D"/>
    <w:multiLevelType w:val="hybridMultilevel"/>
    <w:lvl w:ilvl="0">
      <w:lvlJc w:val="left"/>
      <w:lvlText w:val="•"/>
      <w:numFmt w:val="bullet"/>
      <w:start w:val="1"/>
    </w:lvl>
  </w:abstractNum>
  <w:abstractNum w:abstractNumId="74">
    <w:nsid w:val="90802BE"/>
    <w:multiLevelType w:val="hybridMultilevel"/>
    <w:lvl w:ilvl="0">
      <w:lvlJc w:val="left"/>
      <w:lvlText w:val="•"/>
      <w:numFmt w:val="bullet"/>
      <w:start w:val="1"/>
    </w:lvl>
  </w:abstractNum>
  <w:abstractNum w:abstractNumId="75">
    <w:nsid w:val="3266459B"/>
    <w:multiLevelType w:val="hybridMultilevel"/>
    <w:lvl w:ilvl="0">
      <w:lvlJc w:val="left"/>
      <w:lvlText w:val="•"/>
      <w:numFmt w:val="bullet"/>
      <w:start w:val="1"/>
    </w:lvl>
  </w:abstractNum>
  <w:abstractNum w:abstractNumId="76">
    <w:nsid w:val="3F8B0CBF"/>
    <w:multiLevelType w:val="hybridMultilevel"/>
    <w:lvl w:ilvl="0">
      <w:lvlJc w:val="left"/>
      <w:lvlText w:val="•"/>
      <w:numFmt w:val="bullet"/>
      <w:start w:val="1"/>
    </w:lvl>
  </w:abstractNum>
  <w:abstractNum w:abstractNumId="77">
    <w:nsid w:val="37E203AB"/>
    <w:multiLevelType w:val="hybridMultilevel"/>
    <w:lvl w:ilvl="0">
      <w:lvlJc w:val="left"/>
      <w:lvlText w:val="a"/>
      <w:numFmt w:val="bullet"/>
      <w:start w:val="1"/>
    </w:lvl>
  </w:abstractNum>
  <w:abstractNum w:abstractNumId="78">
    <w:nsid w:val="2586D60E"/>
    <w:multiLevelType w:val="hybridMultilevel"/>
    <w:lvl w:ilvl="0">
      <w:lvlJc w:val="left"/>
      <w:lvlText w:val="•"/>
      <w:numFmt w:val="bullet"/>
      <w:start w:val="1"/>
    </w:lvl>
  </w:abstractNum>
  <w:abstractNum w:abstractNumId="79">
    <w:nsid w:val="1F3DA4D5"/>
    <w:multiLevelType w:val="hybridMultilevel"/>
    <w:lvl w:ilvl="0">
      <w:lvlJc w:val="left"/>
      <w:lvlText w:val="•"/>
      <w:numFmt w:val="bullet"/>
      <w:start w:val="1"/>
    </w:lvl>
  </w:abstractNum>
  <w:abstractNum w:abstractNumId="80">
    <w:nsid w:val="74C93698"/>
    <w:multiLevelType w:val="hybridMultilevel"/>
    <w:lvl w:ilvl="0">
      <w:lvlJc w:val="left"/>
      <w:lvlText w:val="•"/>
      <w:numFmt w:val="bullet"/>
      <w:start w:val="1"/>
    </w:lvl>
  </w:abstractNum>
  <w:abstractNum w:abstractNumId="81">
    <w:nsid w:val="48781401"/>
    <w:multiLevelType w:val="hybridMultilevel"/>
    <w:lvl w:ilvl="0">
      <w:lvlJc w:val="left"/>
      <w:lvlText w:val="(%1)"/>
      <w:numFmt w:val="upperLetter"/>
      <w:start w:val="1"/>
    </w:lvl>
  </w:abstractNum>
  <w:abstractNum w:abstractNumId="82">
    <w:nsid w:val="186928D6"/>
    <w:multiLevelType w:val="hybridMultilevel"/>
    <w:lvl w:ilvl="0">
      <w:lvlJc w:val="left"/>
      <w:lvlText w:val="•"/>
      <w:numFmt w:val="bullet"/>
      <w:start w:val="1"/>
    </w:lvl>
  </w:abstractNum>
  <w:abstractNum w:abstractNumId="83">
    <w:nsid w:val="47195E5"/>
    <w:multiLevelType w:val="hybridMultilevel"/>
    <w:lvl w:ilvl="0">
      <w:lvlJc w:val="left"/>
      <w:lvlText w:val="•"/>
      <w:numFmt w:val="bullet"/>
      <w:start w:val="1"/>
    </w:lvl>
  </w:abstractNum>
  <w:abstractNum w:abstractNumId="84">
    <w:nsid w:val="3746A5F2"/>
    <w:multiLevelType w:val="hybridMultilevel"/>
    <w:lvl w:ilvl="0">
      <w:lvlJc w:val="left"/>
      <w:lvlText w:val="•"/>
      <w:numFmt w:val="bullet"/>
      <w:start w:val="1"/>
    </w:lvl>
  </w:abstractNum>
  <w:abstractNum w:abstractNumId="85">
    <w:nsid w:val="682DFED6"/>
    <w:multiLevelType w:val="hybridMultilevel"/>
    <w:lvl w:ilvl="0">
      <w:lvlJc w:val="left"/>
      <w:lvlText w:val="•"/>
      <w:numFmt w:val="bullet"/>
      <w:start w:val="1"/>
    </w:lvl>
  </w:abstractNum>
  <w:abstractNum w:abstractNumId="86">
    <w:nsid w:val="606ED7F6"/>
    <w:multiLevelType w:val="hybridMultilevel"/>
    <w:lvl w:ilvl="0">
      <w:lvlJc w:val="left"/>
      <w:lvlText w:val="•"/>
      <w:numFmt w:val="bullet"/>
      <w:start w:val="1"/>
    </w:lvl>
  </w:abstractNum>
  <w:abstractNum w:abstractNumId="87">
    <w:nsid w:val="2D9DF57D"/>
    <w:multiLevelType w:val="hybridMultilevel"/>
    <w:lvl w:ilvl="0">
      <w:lvlJc w:val="left"/>
      <w:lvlText w:val="•"/>
      <w:numFmt w:val="bullet"/>
      <w:start w:val="1"/>
    </w:lvl>
    <w:lvl w:ilvl="1">
      <w:lvlJc w:val="left"/>
      <w:lvlText w:val="◦"/>
      <w:numFmt w:val="bullet"/>
      <w:start w:val="1"/>
    </w:lvl>
  </w:abstractNum>
  <w:abstractNum w:abstractNumId="88">
    <w:nsid w:val="7FBD7A3E"/>
    <w:multiLevelType w:val="hybridMultilevel"/>
    <w:lvl w:ilvl="0">
      <w:lvlJc w:val="left"/>
      <w:lvlText w:val="•"/>
      <w:numFmt w:val="bullet"/>
      <w:start w:val="1"/>
    </w:lvl>
    <w:lvl w:ilvl="1">
      <w:lvlJc w:val="left"/>
      <w:lvlText w:val="◦"/>
      <w:numFmt w:val="bullet"/>
      <w:start w:val="1"/>
    </w:lvl>
  </w:abstractNum>
  <w:abstractNum w:abstractNumId="89">
    <w:nsid w:val="490B7C5"/>
    <w:multiLevelType w:val="hybridMultilevel"/>
    <w:lvl w:ilvl="0">
      <w:lvlJc w:val="left"/>
      <w:lvlText w:val="•"/>
      <w:numFmt w:val="bullet"/>
      <w:start w:val="1"/>
    </w:lvl>
    <w:lvl w:ilvl="1">
      <w:lvlJc w:val="left"/>
      <w:lvlText w:val="◦"/>
      <w:numFmt w:val="bullet"/>
      <w:start w:val="1"/>
    </w:lvl>
  </w:abstractNum>
  <w:abstractNum w:abstractNumId="90">
    <w:nsid w:val="4303A216"/>
    <w:multiLevelType w:val="hybridMultilevel"/>
    <w:lvl w:ilvl="0">
      <w:lvlJc w:val="left"/>
      <w:lvlText w:val="•"/>
      <w:numFmt w:val="bullet"/>
      <w:start w:val="1"/>
    </w:lvl>
  </w:abstractNum>
  <w:abstractNum w:abstractNumId="91">
    <w:nsid w:val="19B8A08E"/>
    <w:multiLevelType w:val="hybridMultilevel"/>
    <w:lvl w:ilvl="0">
      <w:lvlJc w:val="left"/>
      <w:lvlText w:val="•"/>
      <w:numFmt w:val="bullet"/>
      <w:start w:val="1"/>
    </w:lvl>
  </w:abstractNum>
  <w:abstractNum w:abstractNumId="92">
    <w:nsid w:val="54B59621"/>
    <w:multiLevelType w:val="hybridMultilevel"/>
    <w:lvl w:ilvl="0">
      <w:lvlJc w:val="left"/>
      <w:lvlText w:val="•"/>
      <w:numFmt w:val="bullet"/>
      <w:start w:val="1"/>
    </w:lvl>
  </w:abstractNum>
  <w:abstractNum w:abstractNumId="93">
    <w:nsid w:val="5992A02E"/>
    <w:multiLevelType w:val="hybridMultilevel"/>
    <w:lvl w:ilvl="0">
      <w:lvlJc w:val="left"/>
      <w:lvlText w:val="•"/>
      <w:numFmt w:val="bullet"/>
      <w:start w:val="1"/>
    </w:lvl>
  </w:abstractNum>
  <w:abstractNum w:abstractNumId="94">
    <w:nsid w:val="29EF532D"/>
    <w:multiLevelType w:val="hybridMultilevel"/>
    <w:lvl w:ilvl="0">
      <w:lvlJc w:val="left"/>
      <w:lvlText w:val="•"/>
      <w:numFmt w:val="bullet"/>
      <w:start w:val="1"/>
    </w:lvl>
  </w:abstractNum>
  <w:abstractNum w:abstractNumId="95">
    <w:nsid w:val="71D601AF"/>
    <w:multiLevelType w:val="hybridMultilevel"/>
    <w:lvl w:ilvl="0">
      <w:lvlJc w:val="left"/>
      <w:lvlText w:val="•"/>
      <w:numFmt w:val="bullet"/>
      <w:start w:val="1"/>
    </w:lvl>
  </w:abstractNum>
  <w:abstractNum w:abstractNumId="96">
    <w:nsid w:val="52C77402"/>
    <w:multiLevelType w:val="hybridMultilevel"/>
    <w:lvl w:ilvl="0">
      <w:lvlJc w:val="left"/>
      <w:lvlText w:val="•"/>
      <w:numFmt w:val="bullet"/>
      <w:start w:val="1"/>
    </w:lvl>
  </w:abstractNum>
  <w:abstractNum w:abstractNumId="97">
    <w:nsid w:val="2BB5B1C6"/>
    <w:multiLevelType w:val="hybridMultilevel"/>
    <w:lvl w:ilvl="0">
      <w:lvlJc w:val="left"/>
      <w:lvlText w:val="•"/>
      <w:numFmt w:val="bullet"/>
      <w:start w:val="1"/>
    </w:lvl>
  </w:abstractNum>
  <w:abstractNum w:abstractNumId="98">
    <w:nsid w:val="66BE6B9"/>
    <w:multiLevelType w:val="hybridMultilevel"/>
    <w:lvl w:ilvl="0">
      <w:lvlJc w:val="left"/>
      <w:lvlText w:val="•"/>
      <w:numFmt w:val="bullet"/>
      <w:start w:val="1"/>
    </w:lvl>
  </w:abstractNum>
  <w:abstractNum w:abstractNumId="99">
    <w:nsid w:val="62234363"/>
    <w:multiLevelType w:val="hybridMultilevel"/>
    <w:lvl w:ilvl="0">
      <w:lvlJc w:val="left"/>
      <w:lvlText w:val="•"/>
      <w:numFmt w:val="bullet"/>
      <w:start w:val="1"/>
    </w:lvl>
  </w:abstractNum>
  <w:abstractNum w:abstractNumId="100">
    <w:nsid w:val="66D385C9"/>
    <w:multiLevelType w:val="hybridMultilevel"/>
    <w:lvl w:ilvl="0">
      <w:lvlJc w:val="left"/>
      <w:lvlText w:val="•"/>
      <w:numFmt w:val="bullet"/>
      <w:start w:val="1"/>
    </w:lvl>
  </w:abstractNum>
  <w:abstractNum w:abstractNumId="101">
    <w:nsid w:val="596F6D8A"/>
    <w:multiLevelType w:val="hybridMultilevel"/>
    <w:lvl w:ilvl="0">
      <w:lvlJc w:val="left"/>
      <w:lvlText w:val="•"/>
      <w:numFmt w:val="bullet"/>
      <w:start w:val="1"/>
    </w:lvl>
  </w:abstractNum>
  <w:abstractNum w:abstractNumId="102">
    <w:nsid w:val="5749361F"/>
    <w:multiLevelType w:val="hybridMultilevel"/>
    <w:lvl w:ilvl="0">
      <w:lvlJc w:val="left"/>
      <w:lvlText w:val="•"/>
      <w:numFmt w:val="bullet"/>
      <w:start w:val="1"/>
    </w:lvl>
  </w:abstractNum>
  <w:abstractNum w:abstractNumId="103">
    <w:nsid w:val="73BC6770"/>
    <w:multiLevelType w:val="hybridMultilevel"/>
    <w:lvl w:ilvl="0">
      <w:lvlJc w:val="left"/>
      <w:lvlText w:val="•"/>
      <w:numFmt w:val="bullet"/>
      <w:start w:val="1"/>
    </w:lvl>
    <w:lvl w:ilvl="1">
      <w:lvlJc w:val="left"/>
      <w:lvlText w:val="◦"/>
      <w:numFmt w:val="bullet"/>
      <w:start w:val="1"/>
    </w:lvl>
  </w:abstractNum>
  <w:abstractNum w:abstractNumId="104">
    <w:nsid w:val="280E6897"/>
    <w:multiLevelType w:val="hybridMultilevel"/>
    <w:lvl w:ilvl="0">
      <w:lvlJc w:val="left"/>
      <w:lvlText w:val="•"/>
      <w:numFmt w:val="bullet"/>
      <w:start w:val="1"/>
    </w:lvl>
  </w:abstractNum>
  <w:abstractNum w:abstractNumId="105">
    <w:nsid w:val="605138DE"/>
    <w:multiLevelType w:val="hybridMultilevel"/>
    <w:lvl w:ilvl="0">
      <w:lvlJc w:val="left"/>
      <w:lvlText w:val="•"/>
      <w:numFmt w:val="bullet"/>
      <w:start w:val="1"/>
    </w:lvl>
  </w:abstractNum>
  <w:abstractNum w:abstractNumId="106">
    <w:nsid w:val="2622AD0C"/>
    <w:multiLevelType w:val="hybridMultilevel"/>
    <w:lvl w:ilvl="0">
      <w:lvlJc w:val="left"/>
      <w:lvlText w:val="•"/>
      <w:numFmt w:val="bullet"/>
      <w:start w:val="1"/>
    </w:lvl>
  </w:abstractNum>
  <w:abstractNum w:abstractNumId="107">
    <w:nsid w:val="67997556"/>
    <w:multiLevelType w:val="hybridMultilevel"/>
    <w:lvl w:ilvl="0">
      <w:lvlJc w:val="left"/>
      <w:lvlText w:val="•"/>
      <w:numFmt w:val="bullet"/>
      <w:start w:val="1"/>
    </w:lvl>
  </w:abstractNum>
  <w:abstractNum w:abstractNumId="108">
    <w:nsid w:val="18333C89"/>
    <w:multiLevelType w:val="hybridMultilevel"/>
    <w:lvl w:ilvl="0">
      <w:lvlJc w:val="left"/>
      <w:lvlText w:val="•"/>
      <w:numFmt w:val="bullet"/>
      <w:start w:val="1"/>
    </w:lvl>
  </w:abstractNum>
  <w:abstractNum w:abstractNumId="109">
    <w:nsid w:val="4BA9831A"/>
    <w:multiLevelType w:val="hybridMultilevel"/>
    <w:lvl w:ilvl="0">
      <w:lvlJc w:val="left"/>
      <w:lvlText w:val="•"/>
      <w:numFmt w:val="bullet"/>
      <w:start w:val="1"/>
    </w:lvl>
  </w:abstractNum>
  <w:abstractNum w:abstractNumId="110">
    <w:nsid w:val="6D71A2B"/>
    <w:multiLevelType w:val="hybridMultilevel"/>
    <w:lvl w:ilvl="0">
      <w:lvlJc w:val="left"/>
      <w:lvlText w:val="•"/>
      <w:numFmt w:val="bullet"/>
      <w:start w:val="1"/>
    </w:lvl>
  </w:abstractNum>
  <w:abstractNum w:abstractNumId="111">
    <w:nsid w:val="CFC7321"/>
    <w:multiLevelType w:val="hybridMultilevel"/>
    <w:lvl w:ilvl="0">
      <w:lvlJc w:val="left"/>
      <w:lvlText w:val="•"/>
      <w:numFmt w:val="bullet"/>
      <w:start w:val="1"/>
    </w:lvl>
  </w:abstractNum>
  <w:abstractNum w:abstractNumId="112">
    <w:nsid w:val="1421971B"/>
    <w:multiLevelType w:val="hybridMultilevel"/>
    <w:lvl w:ilvl="0">
      <w:lvlJc w:val="left"/>
      <w:lvlText w:val="•"/>
      <w:numFmt w:val="bullet"/>
      <w:start w:val="1"/>
    </w:lvl>
  </w:abstractNum>
  <w:abstractNum w:abstractNumId="113">
    <w:nsid w:val="1F404301"/>
    <w:multiLevelType w:val="hybridMultilevel"/>
    <w:lvl w:ilvl="0">
      <w:lvlJc w:val="left"/>
      <w:lvlText w:val="•"/>
      <w:numFmt w:val="bullet"/>
      <w:start w:val="1"/>
    </w:lvl>
    <w:lvl w:ilvl="1">
      <w:lvlJc w:val="left"/>
      <w:lvlText w:val="◦"/>
      <w:numFmt w:val="bullet"/>
      <w:start w:val="1"/>
    </w:lvl>
  </w:abstractNum>
  <w:abstractNum w:abstractNumId="114">
    <w:nsid w:val="116E0907"/>
    <w:multiLevelType w:val="hybridMultilevel"/>
    <w:lvl w:ilvl="0">
      <w:lvlJc w:val="left"/>
      <w:lvlText w:val="•"/>
      <w:numFmt w:val="bullet"/>
      <w:start w:val="1"/>
    </w:lvl>
    <w:lvl w:ilvl="1">
      <w:lvlJc w:val="left"/>
      <w:lvlText w:val="◦"/>
      <w:numFmt w:val="bullet"/>
      <w:start w:val="1"/>
    </w:lvl>
  </w:abstractNum>
  <w:abstractNum w:abstractNumId="115">
    <w:nsid w:val="4B683D0D"/>
    <w:multiLevelType w:val="hybridMultilevel"/>
    <w:lvl w:ilvl="0">
      <w:lvlJc w:val="left"/>
      <w:lvlText w:val="•"/>
      <w:numFmt w:val="bullet"/>
      <w:start w:val="1"/>
    </w:lvl>
  </w:abstractNum>
  <w:abstractNum w:abstractNumId="116">
    <w:nsid w:val="76E41D8"/>
    <w:multiLevelType w:val="hybridMultilevel"/>
    <w:lvl w:ilvl="0">
      <w:lvlJc w:val="left"/>
      <w:lvlText w:val="•"/>
      <w:numFmt w:val="bullet"/>
      <w:start w:val="1"/>
    </w:lvl>
  </w:abstractNum>
  <w:abstractNum w:abstractNumId="117">
    <w:nsid w:val="71DCE0FD"/>
    <w:multiLevelType w:val="hybridMultilevel"/>
    <w:lvl w:ilvl="0">
      <w:lvlJc w:val="left"/>
      <w:lvlText w:val="•"/>
      <w:numFmt w:val="bullet"/>
      <w:start w:val="1"/>
    </w:lvl>
  </w:abstractNum>
  <w:abstractNum w:abstractNumId="118">
    <w:nsid w:val="7906328B"/>
    <w:multiLevelType w:val="hybridMultilevel"/>
    <w:lvl w:ilvl="0">
      <w:lvlJc w:val="left"/>
      <w:lvlText w:val="(%1)"/>
      <w:numFmt w:val="decimal"/>
      <w:start w:val="1"/>
    </w:lvl>
  </w:abstractNum>
  <w:abstractNum w:abstractNumId="119">
    <w:nsid w:val="72BBC16"/>
    <w:multiLevelType w:val="hybridMultilevel"/>
    <w:lvl w:ilvl="0">
      <w:lvlJc w:val="left"/>
      <w:lvlText w:val="•"/>
      <w:numFmt w:val="bullet"/>
      <w:start w:val="1"/>
    </w:lvl>
  </w:abstractNum>
  <w:abstractNum w:abstractNumId="120">
    <w:nsid w:val="766D98C2"/>
    <w:multiLevelType w:val="hybridMultilevel"/>
    <w:lvl w:ilvl="0">
      <w:lvlJc w:val="left"/>
      <w:lvlText w:val="•"/>
      <w:numFmt w:val="bullet"/>
      <w:start w:val="1"/>
    </w:lvl>
  </w:abstractNum>
  <w:abstractNum w:abstractNumId="121">
    <w:nsid w:val="3C09D4A1"/>
    <w:multiLevelType w:val="hybridMultilevel"/>
    <w:lvl w:ilvl="0">
      <w:lvlJc w:val="left"/>
      <w:lvlText w:val="•"/>
      <w:numFmt w:val="bullet"/>
      <w:start w:val="1"/>
    </w:lvl>
  </w:abstractNum>
  <w:abstractNum w:abstractNumId="122">
    <w:nsid w:val="20E45CA4"/>
    <w:multiLevelType w:val="hybridMultilevel"/>
    <w:lvl w:ilvl="0">
      <w:lvlJc w:val="left"/>
      <w:lvlText w:val="•"/>
      <w:numFmt w:val="bullet"/>
      <w:start w:val="1"/>
    </w:lvl>
  </w:abstractNum>
  <w:abstractNum w:abstractNumId="123">
    <w:nsid w:val="4B232EE3"/>
    <w:multiLevelType w:val="hybridMultilevel"/>
    <w:lvl w:ilvl="0">
      <w:lvlJc w:val="left"/>
      <w:lvlText w:val="•"/>
      <w:numFmt w:val="bullet"/>
      <w:start w:val="1"/>
    </w:lvl>
  </w:abstractNum>
  <w:abstractNum w:abstractNumId="124">
    <w:nsid w:val="159C74CF"/>
    <w:multiLevelType w:val="hybridMultilevel"/>
    <w:lvl w:ilvl="0">
      <w:lvlJc w:val="left"/>
      <w:lvlText w:val="•"/>
      <w:numFmt w:val="bullet"/>
      <w:start w:val="1"/>
    </w:lvl>
  </w:abstractNum>
  <w:abstractNum w:abstractNumId="125">
    <w:nsid w:val="4AD3AFD2"/>
    <w:multiLevelType w:val="hybridMultilevel"/>
    <w:lvl w:ilvl="0">
      <w:lvlJc w:val="left"/>
      <w:lvlText w:val="•"/>
      <w:numFmt w:val="bullet"/>
      <w:start w:val="1"/>
    </w:lvl>
  </w:abstractNum>
  <w:abstractNum w:abstractNumId="126">
    <w:nsid w:val="3CF93092"/>
    <w:multiLevelType w:val="hybridMultilevel"/>
    <w:lvl w:ilvl="0">
      <w:lvlJc w:val="left"/>
      <w:lvlText w:val="•"/>
      <w:numFmt w:val="bullet"/>
      <w:start w:val="1"/>
    </w:lvl>
  </w:abstractNum>
  <w:abstractNum w:abstractNumId="127">
    <w:nsid w:val="6863E8D2"/>
    <w:multiLevelType w:val="hybridMultilevel"/>
    <w:lvl w:ilvl="0">
      <w:lvlJc w:val="left"/>
      <w:lvlText w:val="(%1)"/>
      <w:numFmt w:val="decimal"/>
      <w:start w:val="1"/>
    </w:lvl>
  </w:abstractNum>
  <w:abstractNum w:abstractNumId="128">
    <w:nsid w:val="76896198"/>
    <w:multiLevelType w:val="hybridMultilevel"/>
    <w:lvl w:ilvl="0">
      <w:lvlJc w:val="left"/>
      <w:lvlText w:val="•"/>
      <w:numFmt w:val="bullet"/>
      <w:start w:val="1"/>
    </w:lvl>
  </w:abstractNum>
  <w:abstractNum w:abstractNumId="129">
    <w:nsid w:val="4365174B"/>
    <w:multiLevelType w:val="hybridMultilevel"/>
    <w:lvl w:ilvl="0">
      <w:lvlJc w:val="left"/>
      <w:lvlText w:val="(%1)"/>
      <w:numFmt w:val="decimal"/>
      <w:start w:val="1"/>
    </w:lvl>
  </w:abstractNum>
  <w:abstractNum w:abstractNumId="130">
    <w:nsid w:val="4A872C35"/>
    <w:multiLevelType w:val="hybridMultilevel"/>
    <w:lvl w:ilvl="0">
      <w:lvlJc w:val="left"/>
      <w:lvlText w:val="(%1)"/>
      <w:numFmt w:val="decimal"/>
      <w:start w:val="3"/>
    </w:lvl>
  </w:abstractNum>
  <w:abstractNum w:abstractNumId="131">
    <w:nsid w:val="5D5CE761"/>
    <w:multiLevelType w:val="hybridMultilevel"/>
    <w:lvl w:ilvl="0">
      <w:lvlJc w:val="left"/>
      <w:lvlText w:val="(%1)"/>
      <w:numFmt w:val="decimal"/>
      <w:start w:val="1"/>
    </w:lvl>
  </w:abstractNum>
  <w:abstractNum w:abstractNumId="132">
    <w:nsid w:val="1CD484D5"/>
    <w:multiLevelType w:val="hybridMultilevel"/>
    <w:lvl w:ilvl="0">
      <w:lvlJc w:val="left"/>
      <w:lvlText w:val="(%1)"/>
      <w:numFmt w:val="decimal"/>
      <w:start w:val="7"/>
    </w:lvl>
  </w:abstractNum>
  <w:abstractNum w:abstractNumId="133">
    <w:nsid w:val="21D06255"/>
    <w:multiLevelType w:val="hybridMultilevel"/>
    <w:lvl w:ilvl="0">
      <w:lvlJc w:val="left"/>
      <w:lvlText w:val="•"/>
      <w:numFmt w:val="bullet"/>
      <w:start w:val="1"/>
    </w:lvl>
  </w:abstractNum>
  <w:abstractNum w:abstractNumId="134">
    <w:nsid w:val="51194ED1"/>
    <w:multiLevelType w:val="hybridMultilevel"/>
    <w:lvl w:ilvl="0">
      <w:lvlJc w:val="left"/>
      <w:lvlText w:val="•"/>
      <w:numFmt w:val="bullet"/>
      <w:start w:val="1"/>
    </w:lvl>
  </w:abstractNum>
  <w:abstractNum w:abstractNumId="135">
    <w:nsid w:val="44E2ED6C"/>
    <w:multiLevelType w:val="hybridMultilevel"/>
    <w:lvl w:ilvl="0">
      <w:lvlJc w:val="left"/>
      <w:lvlText w:val="•"/>
      <w:numFmt w:val="bullet"/>
      <w:start w:val="1"/>
    </w:lvl>
  </w:abstractNum>
  <w:abstractNum w:abstractNumId="136">
    <w:nsid w:val="2219B33"/>
    <w:multiLevelType w:val="hybridMultilevel"/>
    <w:lvl w:ilvl="0">
      <w:lvlJc w:val="left"/>
      <w:lvlText w:val="(%1)"/>
      <w:numFmt w:val="lowerRoman"/>
      <w:start w:val="2"/>
    </w:lvl>
  </w:abstractNum>
  <w:abstractNum w:abstractNumId="137">
    <w:nsid w:val="773BFBDD"/>
    <w:multiLevelType w:val="hybridMultilevel"/>
    <w:lvl w:ilvl="0">
      <w:lvlJc w:val="left"/>
      <w:lvlText w:val="(%1)"/>
      <w:numFmt w:val="lowerRoman"/>
      <w:start w:val="1"/>
    </w:lvl>
  </w:abstractNum>
  <w:abstractNum w:abstractNumId="138">
    <w:nsid w:val="2C7C62C2"/>
    <w:multiLevelType w:val="hybridMultilevel"/>
    <w:lvl w:ilvl="0">
      <w:lvlJc w:val="left"/>
      <w:lvlText w:val="(%1)"/>
      <w:numFmt w:val="upperLetter"/>
      <w:start w:val="5"/>
    </w:lvl>
  </w:abstractNum>
  <w:abstractNum w:abstractNumId="139">
    <w:nsid w:val="1A54D7BC"/>
    <w:multiLevelType w:val="hybridMultilevel"/>
    <w:lvl w:ilvl="0">
      <w:lvlJc w:val="left"/>
      <w:lvlText w:val="(%1)"/>
      <w:numFmt w:val="lowerRoman"/>
      <w:start w:val="2"/>
    </w:lvl>
  </w:abstractNum>
  <w:abstractNum w:abstractNumId="140">
    <w:nsid w:val="42E57EF7"/>
    <w:multiLevelType w:val="hybridMultilevel"/>
    <w:lvl w:ilvl="0">
      <w:lvlJc w:val="left"/>
      <w:lvlText w:val="(%1)"/>
      <w:numFmt w:val="lowerRoman"/>
      <w:start w:val="1"/>
    </w:lvl>
  </w:abstractNum>
  <w:abstractNum w:abstractNumId="141">
    <w:nsid w:val="33537CED"/>
    <w:multiLevelType w:val="hybridMultilevel"/>
    <w:lvl w:ilvl="0">
      <w:lvlJc w:val="left"/>
      <w:lvlText w:val="(%1)"/>
      <w:numFmt w:val="lowerRoman"/>
      <w:start w:val="1"/>
    </w:lvl>
  </w:abstractNum>
  <w:abstractNum w:abstractNumId="142">
    <w:nsid w:val="27514ADE"/>
    <w:multiLevelType w:val="hybridMultilevel"/>
    <w:lvl w:ilvl="0">
      <w:lvlJc w:val="left"/>
      <w:lvlText w:val="•"/>
      <w:numFmt w:val="bullet"/>
      <w:start w:val="1"/>
    </w:lvl>
  </w:abstractNum>
  <w:abstractNum w:abstractNumId="143">
    <w:nsid w:val="57071613"/>
    <w:multiLevelType w:val="hybridMultilevel"/>
    <w:lvl w:ilvl="0">
      <w:lvlJc w:val="left"/>
      <w:lvlText w:val="(%1)"/>
      <w:numFmt w:val="decimal"/>
      <w:start w:val="1"/>
    </w:lvl>
  </w:abstractNum>
  <w:abstractNum w:abstractNumId="144">
    <w:nsid w:val="5293BFEF"/>
    <w:multiLevelType w:val="hybridMultilevel"/>
    <w:lvl w:ilvl="0">
      <w:lvlJc w:val="left"/>
      <w:lvlText w:val="•"/>
      <w:numFmt w:val="bullet"/>
      <w:start w:val="1"/>
    </w:lvl>
  </w:abstractNum>
  <w:abstractNum w:abstractNumId="145">
    <w:nsid w:val="38BF53E5"/>
    <w:multiLevelType w:val="hybridMultilevel"/>
    <w:lvl w:ilvl="0">
      <w:lvlJc w:val="left"/>
      <w:lvlText w:val="•"/>
      <w:numFmt w:val="bullet"/>
      <w:start w:val="1"/>
    </w:lvl>
  </w:abstractNum>
  <w:abstractNum w:abstractNumId="146">
    <w:nsid w:val="226F5320"/>
    <w:multiLevelType w:val="hybridMultilevel"/>
    <w:lvl w:ilvl="0">
      <w:lvlJc w:val="left"/>
      <w:lvlText w:val="•"/>
      <w:numFmt w:val="bullet"/>
      <w:start w:val="1"/>
    </w:lvl>
  </w:abstractNum>
  <w:abstractNum w:abstractNumId="147">
    <w:nsid w:val="5A0201C7"/>
    <w:multiLevelType w:val="hybridMultilevel"/>
    <w:lvl w:ilvl="0">
      <w:lvlJc w:val="left"/>
      <w:lvlText w:val="•"/>
      <w:numFmt w:val="bullet"/>
      <w:start w:val="1"/>
    </w:lvl>
  </w:abstractNum>
  <w:abstractNum w:abstractNumId="148">
    <w:nsid w:val="2A9C34E2"/>
    <w:multiLevelType w:val="hybridMultilevel"/>
    <w:lvl w:ilvl="0">
      <w:lvlJc w:val="left"/>
      <w:lvlText w:val="(%1)"/>
      <w:numFmt w:val="decimal"/>
      <w:start w:val="12"/>
    </w:lvl>
  </w:abstractNum>
  <w:abstractNum w:abstractNumId="149">
    <w:nsid w:val="1B7585AB"/>
    <w:multiLevelType w:val="hybridMultilevel"/>
    <w:lvl w:ilvl="0">
      <w:lvlJc w:val="left"/>
      <w:lvlText w:val="(%1)"/>
      <w:numFmt w:val="lowerRoman"/>
      <w:start w:val="7"/>
    </w:lvl>
  </w:abstractNum>
  <w:abstractNum w:abstractNumId="150">
    <w:nsid w:val="612DBDDD"/>
    <w:multiLevelType w:val="hybridMultilevel"/>
    <w:lvl w:ilvl="0">
      <w:lvlJc w:val="left"/>
      <w:lvlText w:val="(%1)"/>
      <w:numFmt w:val="upperLetter"/>
      <w:start w:val="3"/>
    </w:lvl>
  </w:abstractNum>
  <w:abstractNum w:abstractNumId="151">
    <w:nsid w:val="2109CDA4"/>
    <w:multiLevelType w:val="hybridMultilevel"/>
    <w:lvl w:ilvl="0">
      <w:lvlJc w:val="left"/>
      <w:lvlText w:val="•"/>
      <w:numFmt w:val="bullet"/>
      <w:start w:val="1"/>
    </w:lvl>
  </w:abstractNum>
  <w:abstractNum w:abstractNumId="152">
    <w:nsid w:val="577F5A4D"/>
    <w:multiLevelType w:val="hybridMultilevel"/>
    <w:lvl w:ilvl="0">
      <w:lvlJc w:val="left"/>
      <w:lvlText w:val="•"/>
      <w:numFmt w:val="bullet"/>
      <w:start w:val="1"/>
    </w:lvl>
  </w:abstractNum>
  <w:abstractNum w:abstractNumId="153">
    <w:nsid w:val="2121A81"/>
    <w:multiLevelType w:val="hybridMultilevel"/>
    <w:lvl w:ilvl="0">
      <w:lvlJc w:val="left"/>
      <w:lvlText w:val="•"/>
      <w:numFmt w:val="bullet"/>
      <w:start w:val="1"/>
    </w:lvl>
  </w:abstractNum>
  <w:abstractNum w:abstractNumId="154">
    <w:nsid w:val="6C2CFC88"/>
    <w:multiLevelType w:val="hybridMultilevel"/>
    <w:lvl w:ilvl="0">
      <w:lvlJc w:val="left"/>
      <w:lvlText w:val="•"/>
      <w:numFmt w:val="bullet"/>
      <w:start w:val="1"/>
    </w:lvl>
  </w:abstractNum>
  <w:abstractNum w:abstractNumId="155">
    <w:nsid w:val="6D1BCF1C"/>
    <w:multiLevelType w:val="hybridMultilevel"/>
    <w:lvl w:ilvl="0">
      <w:lvlJc w:val="left"/>
      <w:lvlText w:val="(%1)"/>
      <w:numFmt w:val="lowerRoman"/>
      <w:start w:val="1"/>
    </w:lvl>
  </w:abstractNum>
  <w:abstractNum w:abstractNumId="156">
    <w:nsid w:val="4CE5CA53"/>
    <w:multiLevelType w:val="hybridMultilevel"/>
    <w:lvl w:ilvl="0">
      <w:lvlJc w:val="left"/>
      <w:lvlText w:val="•"/>
      <w:numFmt w:val="bullet"/>
      <w:start w:val="1"/>
    </w:lvl>
  </w:abstractNum>
  <w:abstractNum w:abstractNumId="157">
    <w:nsid w:val="29262D1A"/>
    <w:multiLevelType w:val="hybridMultilevel"/>
    <w:lvl w:ilvl="0">
      <w:lvlJc w:val="left"/>
      <w:lvlText w:val="•"/>
      <w:numFmt w:val="bullet"/>
      <w:start w:val="1"/>
    </w:lvl>
  </w:abstractNum>
  <w:abstractNum w:abstractNumId="158">
    <w:nsid w:val="557FB7EE"/>
    <w:multiLevelType w:val="hybridMultilevel"/>
    <w:lvl w:ilvl="0">
      <w:lvlJc w:val="left"/>
      <w:lvlText w:val="•"/>
      <w:numFmt w:val="bullet"/>
      <w:start w:val="1"/>
    </w:lvl>
  </w:abstractNum>
  <w:abstractNum w:abstractNumId="159">
    <w:nsid w:val="436F2BEB"/>
    <w:multiLevelType w:val="hybridMultilevel"/>
    <w:lvl w:ilvl="0">
      <w:lvlJc w:val="left"/>
      <w:lvlText w:val="•"/>
      <w:numFmt w:val="bullet"/>
      <w:start w:val="1"/>
    </w:lvl>
  </w:abstractNum>
  <w:abstractNum w:abstractNumId="160">
    <w:nsid w:val="6C8B4466"/>
    <w:multiLevelType w:val="hybridMultilevel"/>
    <w:lvl w:ilvl="0">
      <w:lvlJc w:val="left"/>
      <w:lvlText w:val="•"/>
      <w:numFmt w:val="bullet"/>
      <w:start w:val="1"/>
    </w:lvl>
  </w:abstractNum>
  <w:abstractNum w:abstractNumId="161">
    <w:nsid w:val="2006E424"/>
    <w:multiLevelType w:val="hybridMultilevel"/>
    <w:lvl w:ilvl="0">
      <w:lvlJc w:val="left"/>
      <w:lvlText w:val="•"/>
      <w:numFmt w:val="bullet"/>
      <w:start w:val="1"/>
    </w:lvl>
  </w:abstractNum>
  <w:abstractNum w:abstractNumId="162">
    <w:nsid w:val="20CC134C"/>
    <w:multiLevelType w:val="hybridMultilevel"/>
    <w:lvl w:ilvl="0">
      <w:lvlJc w:val="left"/>
      <w:lvlText w:val="•"/>
      <w:numFmt w:val="bullet"/>
      <w:start w:val="1"/>
    </w:lvl>
  </w:abstractNum>
  <w:abstractNum w:abstractNumId="163">
    <w:nsid w:val="95FC93B"/>
    <w:multiLevelType w:val="hybridMultilevel"/>
    <w:lvl w:ilvl="0">
      <w:lvlJc w:val="left"/>
      <w:lvlText w:val="•"/>
      <w:numFmt w:val="bullet"/>
      <w:start w:val="1"/>
    </w:lvl>
  </w:abstractNum>
  <w:abstractNum w:abstractNumId="164">
    <w:nsid w:val="41D74679"/>
    <w:multiLevelType w:val="hybridMultilevel"/>
    <w:lvl w:ilvl="0">
      <w:lvlJc w:val="left"/>
      <w:lvlText w:val="%1."/>
      <w:numFmt w:val="upperLetter"/>
      <w:start w:val="1"/>
    </w:lvl>
  </w:abstractNum>
  <w:abstractNum w:abstractNumId="165">
    <w:nsid w:val="71E5621E"/>
    <w:multiLevelType w:val="hybridMultilevel"/>
    <w:lvl w:ilvl="0">
      <w:lvlJc w:val="left"/>
      <w:lvlText w:val="%1."/>
      <w:numFmt w:val="upperLetter"/>
      <w:start w:val="2"/>
    </w:lvl>
  </w:abstractNum>
  <w:abstractNum w:abstractNumId="166">
    <w:nsid w:val="4E42B6A8"/>
    <w:multiLevelType w:val="hybridMultilevel"/>
    <w:lvl w:ilvl="0">
      <w:lvlJc w:val="left"/>
      <w:lvlText w:val="•"/>
      <w:numFmt w:val="bullet"/>
      <w:start w:val="1"/>
    </w:lvl>
  </w:abstractNum>
  <w:abstractNum w:abstractNumId="167">
    <w:nsid w:val="43F8E1AC"/>
    <w:multiLevelType w:val="hybridMultilevel"/>
    <w:lvl w:ilvl="0">
      <w:lvlJc w:val="left"/>
      <w:lvlText w:val="•"/>
      <w:numFmt w:val="bullet"/>
      <w:start w:val="1"/>
    </w:lvl>
  </w:abstractNum>
  <w:abstractNum w:abstractNumId="168">
    <w:nsid w:val="69215DFB"/>
    <w:multiLevelType w:val="hybridMultilevel"/>
    <w:lvl w:ilvl="0">
      <w:lvlJc w:val="left"/>
      <w:lvlText w:val="(%1)"/>
      <w:numFmt w:val="lowerRoman"/>
      <w:start w:val="1"/>
    </w:lvl>
  </w:abstractNum>
  <w:abstractNum w:abstractNumId="169">
    <w:nsid w:val="7ABF196A"/>
    <w:multiLevelType w:val="hybridMultilevel"/>
    <w:lvl w:ilvl="0">
      <w:lvlJc w:val="left"/>
      <w:lvlText w:val="•"/>
      <w:numFmt w:val="bullet"/>
      <w:start w:val="1"/>
    </w:lvl>
  </w:abstractNum>
  <w:abstractNum w:abstractNumId="170">
    <w:nsid w:val="5E4DB968"/>
    <w:multiLevelType w:val="hybridMultilevel"/>
    <w:lvl w:ilvl="0">
      <w:lvlJc w:val="left"/>
      <w:lvlText w:val="%1."/>
      <w:numFmt w:val="lowerRoman"/>
      <w:start w:val="1"/>
    </w:lvl>
  </w:abstractNum>
  <w:abstractNum w:abstractNumId="171">
    <w:nsid w:val="2C06DCF3"/>
    <w:multiLevelType w:val="hybridMultilevel"/>
    <w:lvl w:ilvl="0">
      <w:lvlJc w:val="left"/>
      <w:lvlText w:val="%1."/>
      <w:numFmt w:val="lowerRoman"/>
      <w:start w:val="3"/>
    </w:lvl>
  </w:abstractNum>
  <w:abstractNum w:abstractNumId="172">
    <w:nsid w:val="2E129658"/>
    <w:multiLevelType w:val="hybridMultilevel"/>
    <w:lvl w:ilvl="0">
      <w:lvlJc w:val="left"/>
      <w:lvlText w:val="%1)"/>
      <w:numFmt w:val="lowerLetter"/>
      <w:start w:val="1"/>
    </w:lvl>
  </w:abstractNum>
  <w:abstractNum w:abstractNumId="173">
    <w:nsid w:val="59F0446"/>
    <w:multiLevelType w:val="hybridMultilevel"/>
    <w:lvl w:ilvl="0">
      <w:lvlJc w:val="left"/>
      <w:lvlText w:val="%1)"/>
      <w:numFmt w:val="lowerLetter"/>
      <w:start w:val="1"/>
    </w:lvl>
  </w:abstractNum>
  <w:abstractNum w:abstractNumId="174">
    <w:nsid w:val="30DF306"/>
    <w:multiLevelType w:val="hybridMultilevel"/>
    <w:lvl w:ilvl="0">
      <w:lvlJc w:val="left"/>
      <w:lvlText w:val="%1)"/>
      <w:numFmt w:val="lowerLetter"/>
      <w:start w:val="1"/>
    </w:lvl>
  </w:abstractNum>
  <w:abstractNum w:abstractNumId="175">
    <w:nsid w:val="A65647"/>
    <w:multiLevelType w:val="hybridMultilevel"/>
    <w:lvl w:ilvl="0">
      <w:lvlJc w:val="left"/>
      <w:lvlText w:val="(%1)"/>
      <w:numFmt w:val="lowerRoman"/>
      <w:start w:val="1"/>
    </w:lvl>
  </w:abstractNum>
  <w:abstractNum w:abstractNumId="176">
    <w:nsid w:val="3E5E582B"/>
    <w:multiLevelType w:val="hybridMultilevel"/>
    <w:lvl w:ilvl="0">
      <w:lvlJc w:val="left"/>
      <w:lvlText w:val="(%1)"/>
      <w:numFmt w:val="lowerRoman"/>
      <w:start w:val="1"/>
    </w:lvl>
  </w:abstractNum>
  <w:abstractNum w:abstractNumId="177">
    <w:nsid w:val="257D4626"/>
    <w:multiLevelType w:val="hybridMultilevel"/>
    <w:lvl w:ilvl="0">
      <w:lvlJc w:val="left"/>
      <w:lvlText w:val="(%1)"/>
      <w:numFmt w:val="lowerRoman"/>
      <w:start w:val="3"/>
    </w:lvl>
  </w:abstractNum>
  <w:abstractNum w:abstractNumId="178">
    <w:nsid w:val="5AA8580E"/>
    <w:multiLevelType w:val="hybridMultilevel"/>
    <w:lvl w:ilvl="0">
      <w:lvlJc w:val="left"/>
      <w:lvlText w:val="(%1)"/>
      <w:numFmt w:val="decimal"/>
      <w:start w:val="1"/>
    </w:lvl>
  </w:abstractNum>
  <w:abstractNum w:abstractNumId="179">
    <w:nsid w:val="68FA8D0D"/>
    <w:multiLevelType w:val="hybridMultilevel"/>
    <w:lvl w:ilvl="0">
      <w:lvlJc w:val="left"/>
      <w:lvlText w:val="(%1)"/>
      <w:numFmt w:val="decimal"/>
      <w:start w:val="4"/>
    </w:lvl>
  </w:abstractNum>
  <w:abstractNum w:abstractNumId="180">
    <w:nsid w:val="40F2CBD2"/>
    <w:multiLevelType w:val="hybridMultilevel"/>
    <w:lvl w:ilvl="0">
      <w:lvlJc w:val="left"/>
      <w:lvlText w:val="(%1)"/>
      <w:numFmt w:val="decimal"/>
      <w:start w:val="1"/>
    </w:lvl>
  </w:abstractNum>
  <w:abstractNum w:abstractNumId="181">
    <w:nsid w:val="3BD615EB"/>
    <w:multiLevelType w:val="hybridMultilevel"/>
    <w:lvl w:ilvl="0">
      <w:lvlJc w:val="left"/>
      <w:lvlText w:val="(%1)"/>
      <w:numFmt w:val="decimal"/>
      <w:start w:val="1"/>
    </w:lvl>
  </w:abstractNum>
  <w:abstractNum w:abstractNumId="182">
    <w:nsid w:val="A045AB2"/>
    <w:multiLevelType w:val="hybridMultilevel"/>
    <w:lvl w:ilvl="0">
      <w:lvlJc w:val="left"/>
      <w:lvlText w:val="(%1)"/>
      <w:numFmt w:val="decimal"/>
      <w:start w:val="1"/>
    </w:lvl>
  </w:abstractNum>
  <w:abstractNum w:abstractNumId="183">
    <w:nsid w:val="1872261F"/>
    <w:multiLevelType w:val="hybridMultilevel"/>
    <w:lvl w:ilvl="0">
      <w:lvlJc w:val="left"/>
      <w:lvlText w:val="(%1)"/>
      <w:numFmt w:val="decimal"/>
      <w:start w:val="1"/>
    </w:lvl>
  </w:abstractNum>
  <w:abstractNum w:abstractNumId="184">
    <w:nsid w:val="3DE8306C"/>
    <w:multiLevelType w:val="hybridMultilevel"/>
    <w:lvl w:ilvl="0">
      <w:lvlJc w:val="left"/>
      <w:lvlText w:val="(%1)"/>
      <w:numFmt w:val="decimal"/>
      <w:start w:val="1"/>
    </w:lvl>
  </w:abstractNum>
  <w:abstractNum w:abstractNumId="185">
    <w:nsid w:val="7631573A"/>
    <w:multiLevelType w:val="hybridMultilevel"/>
    <w:lvl w:ilvl="0">
      <w:lvlJc w:val="left"/>
      <w:lvlText w:val="(%1)"/>
      <w:numFmt w:val="decimal"/>
      <w:start w:val="1"/>
    </w:lvl>
  </w:abstractNum>
  <w:abstractNum w:abstractNumId="186">
    <w:nsid w:val="58DF53B"/>
    <w:multiLevelType w:val="hybridMultilevel"/>
    <w:lvl w:ilvl="0">
      <w:lvlJc w:val="left"/>
      <w:lvlText w:val="(%1)"/>
      <w:numFmt w:val="decimal"/>
      <w:start w:val="1"/>
    </w:lvl>
  </w:abstractNum>
  <w:abstractNum w:abstractNumId="187">
    <w:nsid w:val="ACDFAC0"/>
    <w:multiLevelType w:val="hybridMultilevel"/>
    <w:lvl w:ilvl="0">
      <w:lvlJc w:val="left"/>
      <w:lvlText w:val="(%1)"/>
      <w:numFmt w:val="decimal"/>
      <w:start w:val="1"/>
    </w:lvl>
  </w:abstractNum>
  <w:abstractNum w:abstractNumId="188">
    <w:nsid w:val="1F578454"/>
    <w:multiLevelType w:val="hybridMultilevel"/>
    <w:lvl w:ilvl="0">
      <w:lvlJc w:val="left"/>
      <w:lvlText w:val="(%1)"/>
      <w:numFmt w:val="decimal"/>
      <w:start w:val="1"/>
    </w:lvl>
  </w:abstractNum>
  <w:abstractNum w:abstractNumId="189">
    <w:nsid w:val="5B0DAD2A"/>
    <w:multiLevelType w:val="hybridMultilevel"/>
    <w:lvl w:ilvl="0">
      <w:lvlJc w:val="left"/>
      <w:lvlText w:val="(%1)"/>
      <w:numFmt w:val="decimal"/>
      <w:start w:val="1"/>
    </w:lvl>
  </w:abstractNum>
  <w:abstractNum w:abstractNumId="190">
    <w:nsid w:val="4E3D26AB"/>
    <w:multiLevelType w:val="hybridMultilevel"/>
    <w:lvl w:ilvl="0">
      <w:lvlJc w:val="left"/>
      <w:lvlText w:val="(%1)"/>
      <w:numFmt w:val="decimal"/>
      <w:start w:val="1"/>
    </w:lvl>
  </w:abstractNum>
  <w:abstractNum w:abstractNumId="191">
    <w:nsid w:val="BE2C8BA"/>
    <w:multiLevelType w:val="hybridMultilevel"/>
    <w:lvl w:ilvl="0">
      <w:lvlJc w:val="left"/>
      <w:lvlText w:val="(%1)"/>
      <w:numFmt w:val="decimal"/>
      <w:start w:val="1"/>
    </w:lvl>
  </w:abstractNum>
  <w:abstractNum w:abstractNumId="192">
    <w:nsid w:val="7B14914E"/>
    <w:multiLevelType w:val="hybridMultilevel"/>
    <w:lvl w:ilvl="0">
      <w:lvlJc w:val="left"/>
      <w:lvlText w:val="•"/>
      <w:numFmt w:val="bullet"/>
      <w:start w:val="1"/>
    </w:lvl>
  </w:abstractNum>
  <w:abstractNum w:abstractNumId="193">
    <w:nsid w:val="6F0939F8"/>
    <w:multiLevelType w:val="hybridMultilevel"/>
    <w:lvl w:ilvl="0">
      <w:lvlJc w:val="left"/>
      <w:lvlText w:val="•"/>
      <w:numFmt w:val="bullet"/>
      <w:start w:val="1"/>
    </w:lvl>
  </w:abstractNum>
  <w:abstractNum w:abstractNumId="194">
    <w:nsid w:val="154291F6"/>
    <w:multiLevelType w:val="hybridMultilevel"/>
    <w:lvl w:ilvl="0">
      <w:lvlJc w:val="left"/>
      <w:lvlText w:val="•"/>
      <w:numFmt w:val="bullet"/>
      <w:start w:val="1"/>
    </w:lvl>
  </w:abstractNum>
  <w:abstractNum w:abstractNumId="195">
    <w:nsid w:val="3CEBD7C7"/>
    <w:multiLevelType w:val="hybridMultilevel"/>
    <w:lvl w:ilvl="0">
      <w:lvlJc w:val="left"/>
      <w:lvlText w:val="•"/>
      <w:numFmt w:val="bullet"/>
      <w:start w:val="1"/>
    </w:lvl>
  </w:abstractNum>
  <w:abstractNum w:abstractNumId="196">
    <w:nsid w:val="60EE9C16"/>
    <w:multiLevelType w:val="hybridMultilevel"/>
    <w:lvl w:ilvl="0">
      <w:lvlJc w:val="left"/>
      <w:lvlText w:val="•"/>
      <w:numFmt w:val="bullet"/>
      <w:start w:val="1"/>
    </w:lvl>
  </w:abstractNum>
  <w:abstractNum w:abstractNumId="197">
    <w:nsid w:val="6385489E"/>
    <w:multiLevelType w:val="hybridMultilevel"/>
    <w:lvl w:ilvl="0">
      <w:lvlJc w:val="left"/>
      <w:lvlText w:val="•"/>
      <w:numFmt w:val="bullet"/>
      <w:start w:val="1"/>
    </w:lvl>
  </w:abstractNum>
  <w:abstractNum w:abstractNumId="198">
    <w:nsid w:val="E4B973"/>
    <w:multiLevelType w:val="hybridMultilevel"/>
    <w:lvl w:ilvl="0">
      <w:lvlJc w:val="left"/>
      <w:lvlText w:val="%1"/>
      <w:numFmt w:val="decimal"/>
      <w:start w:val="107"/>
    </w:lvl>
  </w:abstractNum>
  <w:abstractNum w:abstractNumId="199">
    <w:nsid w:val="4A0FFA11"/>
    <w:multiLevelType w:val="hybridMultilevel"/>
    <w:lvl w:ilvl="0">
      <w:lvlJc w:val="left"/>
      <w:lvlText w:val="+"/>
      <w:numFmt w:val="bullet"/>
      <w:start w:val="1"/>
    </w:lvl>
  </w:abstractNum>
  <w:abstractNum w:abstractNumId="200">
    <w:nsid w:val="5E446208"/>
    <w:multiLevelType w:val="hybridMultilevel"/>
    <w:lvl w:ilvl="0">
      <w:lvlJc w:val="left"/>
      <w:lvlText w:val="†"/>
      <w:numFmt w:val="bullet"/>
      <w:start w:val="1"/>
    </w:lvl>
  </w:abstractNum>
  <w:abstractNum w:abstractNumId="201">
    <w:nsid w:val="5F3272DB"/>
    <w:multiLevelType w:val="hybridMultilevel"/>
    <w:lvl w:ilvl="0">
      <w:lvlJc w:val="left"/>
      <w:lvlText w:val="(%1)"/>
      <w:numFmt w:val="lowerLetter"/>
      <w:start w:val="1"/>
    </w:lvl>
  </w:abstractNum>
  <w:abstractNum w:abstractNumId="202">
    <w:nsid w:val="7616D704"/>
    <w:multiLevelType w:val="hybridMultilevel"/>
    <w:lvl w:ilvl="0">
      <w:lvlJc w:val="left"/>
      <w:lvlText w:val="%1."/>
      <w:numFmt w:val="decimal"/>
      <w:start w:val="1"/>
    </w:lvl>
    <w:lvl w:ilvl="1">
      <w:lvlJc w:val="left"/>
      <w:lvlText w:val="(%2)"/>
      <w:numFmt w:val="lowerRoman"/>
      <w:start w:val="1"/>
    </w:lvl>
  </w:abstractNum>
  <w:abstractNum w:abstractNumId="203">
    <w:nsid w:val="C56F860"/>
    <w:multiLevelType w:val="hybridMultilevel"/>
    <w:lvl w:ilvl="0">
      <w:lvlJc w:val="left"/>
      <w:lvlText w:val="(%1)"/>
      <w:numFmt w:val="lowerRoman"/>
      <w:start w:val="2"/>
    </w:lvl>
  </w:abstractNum>
  <w:abstractNum w:abstractNumId="204">
    <w:nsid w:val="64D17722"/>
    <w:multiLevelType w:val="hybridMultilevel"/>
    <w:lvl w:ilvl="0">
      <w:lvlJc w:val="left"/>
      <w:lvlText w:val="(%1)"/>
      <w:numFmt w:val="lowerRoman"/>
      <w:start w:val="4"/>
    </w:lvl>
  </w:abstractNum>
  <w:abstractNum w:abstractNumId="205">
    <w:nsid w:val="7924CA0A"/>
    <w:multiLevelType w:val="hybridMultilevel"/>
    <w:lvl w:ilvl="0">
      <w:lvlJc w:val="left"/>
      <w:lvlText w:val="%1"/>
      <w:numFmt w:val="lowerRoman"/>
      <w:start w:val="1"/>
    </w:lvl>
    <w:lvl w:ilvl="1">
      <w:lvlJc w:val="left"/>
      <w:lvlText w:val="(%2)"/>
      <w:numFmt w:val="lowerRoman"/>
      <w:start w:val="7"/>
    </w:lvl>
  </w:abstractNum>
  <w:abstractNum w:abstractNumId="206">
    <w:nsid w:val="CFD4EA7"/>
    <w:multiLevelType w:val="hybridMultilevel"/>
    <w:lvl w:ilvl="0">
      <w:lvlJc w:val="left"/>
      <w:lvlText w:val="(%1)"/>
      <w:numFmt w:val="lowerRoman"/>
      <w:start w:val="30"/>
    </w:lvl>
    <w:lvl w:ilvl="1">
      <w:lvlJc w:val="left"/>
      <w:lvlText w:val="(%2)"/>
      <w:numFmt w:val="lowerRoman"/>
      <w:start w:val="8"/>
    </w:lvl>
  </w:abstractNum>
  <w:abstractNum w:abstractNumId="207">
    <w:nsid w:val="232FCF4D"/>
    <w:multiLevelType w:val="hybridMultilevel"/>
    <w:lvl w:ilvl="0">
      <w:lvlJc w:val="left"/>
      <w:lvlText w:val="(%1)"/>
      <w:numFmt w:val="lowerRoman"/>
      <w:start w:val="10"/>
    </w:lvl>
  </w:abstractNum>
  <w:abstractNum w:abstractNumId="208">
    <w:nsid w:val="1EA21031"/>
    <w:multiLevelType w:val="hybridMultilevel"/>
    <w:lvl w:ilvl="0">
      <w:lvlJc w:val="left"/>
      <w:lvlText w:val="(%1)"/>
      <w:numFmt w:val="lowerRoman"/>
      <w:start w:val="14"/>
    </w:lvl>
  </w:abstractNum>
  <w:abstractNum w:abstractNumId="209">
    <w:nsid w:val="67A5A6B5"/>
    <w:multiLevelType w:val="hybridMultilevel"/>
    <w:lvl w:ilvl="0">
      <w:lvlJc w:val="left"/>
      <w:lvlText w:val="(%1)"/>
      <w:numFmt w:val="upperLetter"/>
      <w:start w:val="4"/>
    </w:lvl>
    <w:lvl w:ilvl="1">
      <w:lvlJc w:val="left"/>
      <w:lvlText w:val="(%2)"/>
      <w:numFmt w:val="lowerRoman"/>
      <w:start w:val="19"/>
    </w:lvl>
  </w:abstractNum>
  <w:abstractNum w:abstractNumId="210">
    <w:nsid w:val="C2A5C5B"/>
    <w:multiLevelType w:val="hybridMultilevel"/>
    <w:lvl w:ilvl="0">
      <w:lvlJc w:val="left"/>
      <w:lvlText w:val="(%1)"/>
      <w:numFmt w:val="lowerRoman"/>
      <w:start w:val="24"/>
    </w:lvl>
  </w:abstractNum>
  <w:abstractNum w:abstractNumId="211">
    <w:nsid w:val="5F94DC03"/>
    <w:multiLevelType w:val="hybridMultilevel"/>
    <w:lvl w:ilvl="0">
      <w:lvlJc w:val="left"/>
      <w:lvlText w:val="(%1)"/>
      <w:numFmt w:val="lowerRoman"/>
      <w:start w:val="27"/>
    </w:lvl>
  </w:abstractNum>
  <w:abstractNum w:abstractNumId="212">
    <w:nsid w:val="237BBCA0"/>
    <w:multiLevelType w:val="hybridMultilevel"/>
    <w:lvl w:ilvl="0">
      <w:lvlJc w:val="left"/>
      <w:lvlText w:val="(%1)"/>
      <w:numFmt w:val="lowerRoman"/>
      <w:start w:val="30"/>
    </w:lvl>
  </w:abstractNum>
  <w:abstractNum w:abstractNumId="213">
    <w:nsid w:val="162EB70D"/>
    <w:multiLevelType w:val="hybridMultilevel"/>
    <w:lvl w:ilvl="0">
      <w:lvlJc w:val="left"/>
      <w:lvlText w:val="(%1)"/>
      <w:numFmt w:val="lowerRoman"/>
      <w:start w:val="32"/>
    </w:lvl>
  </w:abstractNum>
  <w:abstractNum w:abstractNumId="214">
    <w:nsid w:val="78070222"/>
    <w:multiLevelType w:val="hybridMultilevel"/>
    <w:lvl w:ilvl="0">
      <w:lvlJc w:val="left"/>
      <w:lvlText w:val="(%1)"/>
      <w:numFmt w:val="lowerRoman"/>
      <w:start w:val="39"/>
    </w:lvl>
  </w:abstractNum>
  <w:abstractNum w:abstractNumId="215">
    <w:nsid w:val="6163ED0D"/>
    <w:multiLevelType w:val="hybridMultilevel"/>
    <w:lvl w:ilvl="0">
      <w:lvlJc w:val="left"/>
      <w:lvlText w:val="(%1)"/>
      <w:numFmt w:val="lowerLetter"/>
      <w:start w:val="2"/>
    </w:lvl>
    <w:lvl w:ilvl="1">
      <w:lvlJc w:val="left"/>
      <w:lvlText w:val="(%2)"/>
      <w:numFmt w:val="lowerLetter"/>
      <w:start w:val="9"/>
    </w:lvl>
  </w:abstractNum>
  <w:abstractNum w:abstractNumId="216">
    <w:nsid w:val="C600E47"/>
    <w:multiLevelType w:val="hybridMultilevel"/>
    <w:lvl w:ilvl="0">
      <w:lvlJc w:val="left"/>
      <w:lvlText w:val="(%1)"/>
      <w:numFmt w:val="lowerRoman"/>
      <w:start w:val="2"/>
    </w:lvl>
  </w:abstractNum>
  <w:abstractNum w:abstractNumId="217">
    <w:nsid w:val="7D94F75D"/>
    <w:multiLevelType w:val="hybridMultilevel"/>
    <w:lvl w:ilvl="0">
      <w:lvlJc w:val="left"/>
      <w:lvlText w:val="(%1)"/>
      <w:numFmt w:val="lowerRoman"/>
      <w:start w:val="5"/>
    </w:lvl>
  </w:abstractNum>
  <w:abstractNum w:abstractNumId="218">
    <w:nsid w:val="6C31E7CD"/>
    <w:multiLevelType w:val="hybridMultilevel"/>
    <w:lvl w:ilvl="0">
      <w:lvlJc w:val="left"/>
      <w:lvlText w:val="(%1)"/>
      <w:numFmt w:val="lowerRoman"/>
      <w:start w:val="9"/>
    </w:lvl>
  </w:abstractNum>
  <w:abstractNum w:abstractNumId="219">
    <w:nsid w:val="2BB7929B"/>
    <w:multiLevelType w:val="hybridMultilevel"/>
    <w:lvl w:ilvl="0">
      <w:lvlJc w:val="left"/>
      <w:lvlText w:val="(%1)"/>
      <w:numFmt w:val="lowerRoman"/>
      <w:start w:val="13"/>
    </w:lvl>
  </w:abstractNum>
  <w:abstractNum w:abstractNumId="220">
    <w:nsid w:val="58A2A487"/>
    <w:multiLevelType w:val="hybridMultilevel"/>
    <w:lvl w:ilvl="0">
      <w:lvlJc w:val="left"/>
      <w:lvlText w:val="%1."/>
      <w:numFmt w:val="decimal"/>
      <w:start w:val="2"/>
    </w:lvl>
  </w:abstractNum>
  <w:abstractNum w:abstractNumId="221">
    <w:nsid w:val="3A6F0E78"/>
    <w:multiLevelType w:val="hybridMultilevel"/>
    <w:lvl w:ilvl="0">
      <w:lvlJc w:val="left"/>
      <w:lvlText w:val="%1."/>
      <w:numFmt w:val="decimal"/>
      <w:start w:val="3"/>
    </w:lvl>
  </w:abstractNum>
  <w:abstractNum w:abstractNumId="222">
    <w:nsid w:val="379A5B56"/>
    <w:multiLevelType w:val="hybridMultilevel"/>
    <w:lvl w:ilvl="0">
      <w:lvlJc w:val="left"/>
      <w:lvlText w:val="(%1)"/>
      <w:numFmt w:val="lowerLetter"/>
      <w:start w:val="2"/>
    </w:lvl>
  </w:abstractNum>
  <w:abstractNum w:abstractNumId="223">
    <w:nsid w:val="53B735D5"/>
    <w:multiLevelType w:val="hybridMultilevel"/>
    <w:lvl w:ilvl="0">
      <w:lvlJc w:val="left"/>
      <w:lvlText w:val="%1."/>
      <w:numFmt w:val="decimal"/>
      <w:start w:val="5"/>
    </w:lvl>
  </w:abstractNum>
  <w:abstractNum w:abstractNumId="224">
    <w:nsid w:val="29784870"/>
    <w:multiLevelType w:val="hybridMultilevel"/>
    <w:lvl w:ilvl="0">
      <w:lvlJc w:val="left"/>
      <w:lvlText w:val="(%1)"/>
      <w:numFmt w:val="lowerLetter"/>
      <w:start w:val="1"/>
    </w:lvl>
  </w:abstractNum>
  <w:abstractNum w:abstractNumId="225">
    <w:nsid w:val="4CDCED4C"/>
    <w:multiLevelType w:val="hybridMultilevel"/>
    <w:lvl w:ilvl="0">
      <w:lvlJc w:val="left"/>
      <w:lvlText w:val="(%1)"/>
      <w:numFmt w:val="lowerLetter"/>
      <w:start w:val="3"/>
    </w:lvl>
  </w:abstractNum>
  <w:abstractNum w:abstractNumId="226">
    <w:nsid w:val="10A30D9C"/>
    <w:multiLevelType w:val="hybridMultilevel"/>
    <w:lvl w:ilvl="0">
      <w:lvlJc w:val="left"/>
      <w:lvlText w:val="%1"/>
      <w:numFmt w:val="lowerLetter"/>
      <w:start w:val="1"/>
    </w:lvl>
    <w:lvl w:ilvl="1">
      <w:lvlJc w:val="left"/>
      <w:lvlText w:val="(%2)"/>
      <w:numFmt w:val="decimal"/>
      <w:start w:val="2"/>
    </w:lvl>
  </w:abstractNum>
  <w:abstractNum w:abstractNumId="227">
    <w:nsid w:val="A66E486"/>
    <w:multiLevelType w:val="hybridMultilevel"/>
    <w:lvl w:ilvl="0">
      <w:lvlJc w:val="left"/>
      <w:lvlText w:val="(%1)"/>
      <w:numFmt w:val="lowerLetter"/>
      <w:start w:val="7"/>
    </w:lvl>
    <w:lvl w:ilvl="1">
      <w:lvlJc w:val="left"/>
      <w:lvlText w:val="%2"/>
      <w:numFmt w:val="decimal"/>
      <w:start w:val="1"/>
    </w:lvl>
  </w:abstractNum>
  <w:abstractNum w:abstractNumId="228">
    <w:nsid w:val="306235EA"/>
    <w:multiLevelType w:val="hybridMultilevel"/>
    <w:lvl w:ilvl="0">
      <w:lvlJc w:val="left"/>
      <w:lvlText w:val="(%1)"/>
      <w:numFmt w:val="lowerLetter"/>
      <w:start w:val="14"/>
    </w:lvl>
  </w:abstractNum>
  <w:abstractNum w:abstractNumId="229">
    <w:nsid w:val="1187C70F"/>
    <w:multiLevelType w:val="hybridMultilevel"/>
    <w:lvl w:ilvl="0">
      <w:lvlJc w:val="left"/>
      <w:lvlText w:val="%1."/>
      <w:numFmt w:val="decimal"/>
      <w:start w:val="6"/>
    </w:lvl>
  </w:abstractNum>
  <w:abstractNum w:abstractNumId="230">
    <w:nsid w:val="5476DE98"/>
    <w:multiLevelType w:val="hybridMultilevel"/>
    <w:lvl w:ilvl="0">
      <w:lvlJc w:val="left"/>
      <w:lvlText w:val="(%1)"/>
      <w:numFmt w:val="lowerLetter"/>
      <w:start w:val="2"/>
    </w:lvl>
  </w:abstractNum>
  <w:abstractNum w:abstractNumId="231">
    <w:nsid w:val="EA697F2"/>
    <w:multiLevelType w:val="hybridMultilevel"/>
    <w:lvl w:ilvl="0">
      <w:lvlJc w:val="left"/>
      <w:lvlText w:val="(%1)"/>
      <w:numFmt w:val="lowerRoman"/>
      <w:start w:val="2"/>
    </w:lvl>
    <w:lvl w:ilvl="1">
      <w:lvlJc w:val="left"/>
      <w:lvlText w:val="%2."/>
      <w:numFmt w:val="decimal"/>
      <w:start w:val="7"/>
    </w:lvl>
  </w:abstractNum>
  <w:abstractNum w:abstractNumId="232">
    <w:nsid w:val="70BA39EB"/>
    <w:multiLevelType w:val="hybridMultilevel"/>
    <w:lvl w:ilvl="0">
      <w:lvlJc w:val="left"/>
      <w:lvlText w:val="(%1)"/>
      <w:numFmt w:val="lowerRoman"/>
      <w:start w:val="6"/>
    </w:lvl>
    <w:lvl w:ilvl="1">
      <w:lvlJc w:val="left"/>
      <w:lvlText w:val="%2."/>
      <w:numFmt w:val="decimal"/>
      <w:start w:val="8"/>
    </w:lvl>
  </w:abstractNum>
  <w:abstractNum w:abstractNumId="233">
    <w:nsid w:val="4A8DB59C"/>
    <w:multiLevelType w:val="hybridMultilevel"/>
    <w:lvl w:ilvl="0">
      <w:lvlJc w:val="left"/>
      <w:lvlText w:val="%1."/>
      <w:numFmt w:val="decimal"/>
      <w:start w:val="9"/>
    </w:lvl>
  </w:abstractNum>
  <w:abstractNum w:abstractNumId="234">
    <w:nsid w:val="1AFD9053"/>
    <w:multiLevelType w:val="hybridMultilevel"/>
    <w:lvl w:ilvl="0">
      <w:lvlJc w:val="left"/>
      <w:lvlText w:val="(%1)"/>
      <w:numFmt w:val="lowerLetter"/>
      <w:start w:val="1"/>
    </w:lvl>
  </w:abstractNum>
  <w:abstractNum w:abstractNumId="235">
    <w:nsid w:val="558BB10D"/>
    <w:multiLevelType w:val="hybridMultilevel"/>
    <w:lvl w:ilvl="0">
      <w:lvlJc w:val="left"/>
      <w:lvlText w:val="(%1)"/>
      <w:numFmt w:val="lowerLetter"/>
      <w:start w:val="2"/>
    </w:lvl>
  </w:abstractNum>
  <w:abstractNum w:abstractNumId="236">
    <w:nsid w:val="43B27FA7"/>
    <w:multiLevelType w:val="hybridMultilevel"/>
    <w:lvl w:ilvl="0">
      <w:lvlJc w:val="left"/>
      <w:lvlText w:val="%1"/>
      <w:numFmt w:val="decimal"/>
      <w:start w:val="1"/>
    </w:lvl>
    <w:lvl w:ilvl="1">
      <w:lvlJc w:val="left"/>
      <w:lvlText w:val="(%2)"/>
      <w:numFmt w:val="lowerLetter"/>
      <w:start w:val="8"/>
    </w:lvl>
  </w:abstractNum>
  <w:abstractNum w:abstractNumId="237">
    <w:nsid w:val="27FADEFA"/>
    <w:multiLevelType w:val="hybridMultilevel"/>
    <w:lvl w:ilvl="0">
      <w:lvlJc w:val="left"/>
      <w:lvlText w:val="(%1)"/>
      <w:numFmt w:val="decimal"/>
      <w:start w:val="62"/>
    </w:lvl>
    <w:lvl w:ilvl="1">
      <w:lvlJc w:val="left"/>
      <w:lvlText w:val="(%2)"/>
      <w:numFmt w:val="lowerLetter"/>
      <w:start w:val="10"/>
    </w:lvl>
  </w:abstractNum>
  <w:abstractNum w:abstractNumId="238">
    <w:nsid w:val="78BB805A"/>
    <w:multiLevelType w:val="hybridMultilevel"/>
    <w:lvl w:ilvl="0">
      <w:lvlJc w:val="left"/>
      <w:lvlText w:val="%1."/>
      <w:numFmt w:val="decimal"/>
      <w:start w:val="10"/>
    </w:lvl>
  </w:abstractNum>
  <w:abstractNum w:abstractNumId="239">
    <w:nsid w:val="62548FD8"/>
    <w:multiLevelType w:val="hybridMultilevel"/>
    <w:lvl w:ilvl="0">
      <w:lvlJc w:val="left"/>
      <w:lvlText w:val="(%1)"/>
      <w:numFmt w:val="lowerLetter"/>
      <w:start w:val="2"/>
    </w:lvl>
  </w:abstractNum>
  <w:abstractNum w:abstractNumId="240">
    <w:nsid w:val="FA085B0"/>
    <w:multiLevelType w:val="hybridMultilevel"/>
    <w:lvl w:ilvl="0">
      <w:lvlJc w:val="left"/>
      <w:lvlText w:val="(%1)"/>
      <w:numFmt w:val="lowerLetter"/>
      <w:start w:val="3"/>
    </w:lvl>
  </w:abstractNum>
  <w:abstractNum w:abstractNumId="241">
    <w:nsid w:val="4E5DCB5"/>
    <w:multiLevelType w:val="hybridMultilevel"/>
    <w:lvl w:ilvl="0">
      <w:lvlJc w:val="left"/>
      <w:lvlText w:val="(%1)"/>
      <w:numFmt w:val="lowerLetter"/>
      <w:start w:val="5"/>
    </w:lvl>
  </w:abstractNum>
  <w:abstractNum w:abstractNumId="242">
    <w:nsid w:val="41E96BDB"/>
    <w:multiLevelType w:val="hybridMultilevel"/>
    <w:lvl w:ilvl="0">
      <w:lvlJc w:val="left"/>
      <w:lvlText w:val="(%1)"/>
      <w:numFmt w:val="lowerLetter"/>
      <w:start w:val="6"/>
    </w:lvl>
  </w:abstractNum>
  <w:abstractNum w:abstractNumId="243">
    <w:nsid w:val="331C4250"/>
    <w:multiLevelType w:val="hybridMultilevel"/>
    <w:lvl w:ilvl="0">
      <w:lvlJc w:val="left"/>
      <w:lvlText w:val="%1."/>
      <w:numFmt w:val="decimal"/>
      <w:start w:val="11"/>
    </w:lvl>
  </w:abstractNum>
  <w:abstractNum w:abstractNumId="244">
    <w:nsid w:val="1B1493C2"/>
    <w:multiLevelType w:val="hybridMultilevel"/>
    <w:lvl w:ilvl="0">
      <w:lvlJc w:val="left"/>
      <w:lvlText w:val="(%1)"/>
      <w:numFmt w:val="lowerLetter"/>
      <w:start w:val="2"/>
    </w:lvl>
  </w:abstractNum>
  <w:abstractNum w:abstractNumId="245">
    <w:nsid w:val="39F06DFD"/>
    <w:multiLevelType w:val="hybridMultilevel"/>
    <w:lvl w:ilvl="0">
      <w:lvlJc w:val="left"/>
      <w:lvlText w:val="%1."/>
      <w:numFmt w:val="decimal"/>
      <w:start w:val="12"/>
    </w:lvl>
  </w:abstractNum>
  <w:abstractNum w:abstractNumId="246">
    <w:nsid w:val="14802F5D"/>
    <w:multiLevelType w:val="hybridMultilevel"/>
    <w:lvl w:ilvl="0">
      <w:lvlJc w:val="left"/>
      <w:lvlText w:val="%1."/>
      <w:numFmt w:val="decimal"/>
      <w:start w:val="15"/>
    </w:lvl>
  </w:abstractNum>
  <w:abstractNum w:abstractNumId="247">
    <w:nsid w:val="2774A209"/>
    <w:multiLevelType w:val="hybridMultilevel"/>
    <w:lvl w:ilvl="0">
      <w:lvlJc w:val="left"/>
      <w:lvlText w:val="%1."/>
      <w:numFmt w:val="decimal"/>
      <w:start w:val="18"/>
    </w:lvl>
  </w:abstractNum>
  <w:abstractNum w:abstractNumId="248">
    <w:nsid w:val="3785655A"/>
    <w:multiLevelType w:val="hybridMultilevel"/>
    <w:lvl w:ilvl="0">
      <w:lvlJc w:val="left"/>
      <w:lvlText w:val="%1."/>
      <w:numFmt w:val="decimal"/>
      <w:start w:val="23"/>
    </w:lvl>
  </w:abstractNum>
  <w:abstractNum w:abstractNumId="249">
    <w:nsid w:val="B2172A"/>
    <w:multiLevelType w:val="hybridMultilevel"/>
    <w:lvl w:ilvl="0">
      <w:lvlJc w:val="left"/>
      <w:lvlText w:val="(%1)"/>
      <w:numFmt w:val="lowerLetter"/>
      <w:start w:val="1"/>
    </w:lvl>
  </w:abstractNum>
  <w:abstractNum w:abstractNumId="250">
    <w:nsid w:val="532C34A5"/>
    <w:multiLevelType w:val="hybridMultilevel"/>
    <w:lvl w:ilvl="0">
      <w:lvlJc w:val="left"/>
      <w:lvlText w:val="(%1)"/>
      <w:numFmt w:val="lowerRoman"/>
      <w:start w:val="1"/>
    </w:lvl>
  </w:abstractNum>
  <w:abstractNum w:abstractNumId="251">
    <w:nsid w:val="102809E2"/>
    <w:multiLevelType w:val="hybridMultilevel"/>
    <w:lvl w:ilvl="0">
      <w:lvlJc w:val="left"/>
      <w:lvlText w:val="["/>
      <w:numFmt w:val="bullet"/>
      <w:start w:val="1"/>
    </w:lvl>
  </w:abstractNum>
  <w:abstractNum w:abstractNumId="252">
    <w:nsid w:val="3B2125A3"/>
    <w:multiLevelType w:val="hybridMultilevel"/>
    <w:lvl w:ilvl="0">
      <w:lvlJc w:val="left"/>
      <w:lvlText w:val="(%1)"/>
      <w:numFmt w:val="lowerLetter"/>
      <w:start w:val="1"/>
    </w:lvl>
  </w:abstractNum>
  <w:abstractNum w:abstractNumId="253">
    <w:nsid w:val="AC68FFB"/>
    <w:multiLevelType w:val="hybridMultilevel"/>
    <w:lvl w:ilvl="0">
      <w:lvlJc w:val="left"/>
      <w:lvlText w:val="(%1)"/>
      <w:numFmt w:val="lowerLetter"/>
      <w:start w:val="3"/>
    </w:lvl>
  </w:abstractNum>
  <w:abstractNum w:abstractNumId="254">
    <w:nsid w:val="63DF3FB7"/>
    <w:multiLevelType w:val="hybridMultilevel"/>
    <w:lvl w:ilvl="0">
      <w:lvlJc w:val="left"/>
      <w:lvlText w:val="(%1)"/>
      <w:numFmt w:val="lowerLetter"/>
      <w:start w:val="1"/>
    </w:lvl>
    <w:lvl w:ilvl="1">
      <w:lvlJc w:val="left"/>
      <w:lvlText w:val="(%2)"/>
      <w:numFmt w:val="lowerRoman"/>
      <w:start w:val="1"/>
    </w:lvl>
  </w:abstractNum>
  <w:abstractNum w:abstractNumId="255">
    <w:nsid w:val="64996E13"/>
    <w:multiLevelType w:val="hybridMultilevel"/>
    <w:lvl w:ilvl="0">
      <w:lvlJc w:val="left"/>
      <w:lvlText w:val="(%1)"/>
      <w:numFmt w:val="lowerRoman"/>
      <w:start w:val="7"/>
    </w:lvl>
  </w:abstractNum>
  <w:abstractNum w:abstractNumId="256">
    <w:nsid w:val="57A37D47"/>
    <w:multiLevelType w:val="hybridMultilevel"/>
    <w:lvl w:ilvl="0">
      <w:lvlJc w:val="left"/>
      <w:lvlText w:val="(%1)"/>
      <w:numFmt w:val="lowerRoman"/>
      <w:start w:val="12"/>
    </w:lvl>
  </w:abstractNum>
  <w:abstractNum w:abstractNumId="257">
    <w:nsid w:val="74824D54"/>
    <w:multiLevelType w:val="hybridMultilevel"/>
    <w:lvl w:ilvl="0">
      <w:lvlJc w:val="left"/>
      <w:lvlText w:val="(%1)"/>
      <w:numFmt w:val="upperLetter"/>
      <w:start w:val="1"/>
    </w:lvl>
  </w:abstractNum>
  <w:abstractNum w:abstractNumId="258">
    <w:nsid w:val="6F00529A"/>
    <w:multiLevelType w:val="hybridMultilevel"/>
    <w:lvl w:ilvl="0">
      <w:lvlJc w:val="left"/>
      <w:lvlText w:val="(%1)"/>
      <w:numFmt w:val="lowerLetter"/>
      <w:start w:val="2"/>
    </w:lvl>
  </w:abstractNum>
  <w:abstractNum w:abstractNumId="259">
    <w:nsid w:val="805B331"/>
    <w:multiLevelType w:val="hybridMultilevel"/>
    <w:lvl w:ilvl="0">
      <w:lvlJc w:val="left"/>
      <w:lvlText w:val="%1)"/>
      <w:numFmt w:val="lowerLetter"/>
      <w:start w:val="1"/>
    </w:lvl>
  </w:abstractNum>
  <w:abstractNum w:abstractNumId="260">
    <w:nsid w:val="60A1463"/>
    <w:multiLevelType w:val="hybridMultilevel"/>
    <w:lvl w:ilvl="0">
      <w:lvlJc w:val="left"/>
      <w:lvlText w:val="%1)"/>
      <w:numFmt w:val="lowerLetter"/>
      <w:start w:val="2"/>
    </w:lvl>
  </w:abstractNum>
  <w:abstractNum w:abstractNumId="261">
    <w:nsid w:val="43773132"/>
    <w:multiLevelType w:val="hybridMultilevel"/>
    <w:lvl w:ilvl="0">
      <w:lvlJc w:val="left"/>
      <w:lvlText w:val="•"/>
      <w:numFmt w:val="bullet"/>
      <w:start w:val="1"/>
    </w:lvl>
  </w:abstractNum>
  <w:abstractNum w:abstractNumId="262">
    <w:nsid w:val="16AC4B23"/>
    <w:multiLevelType w:val="hybridMultilevel"/>
    <w:lvl w:ilvl="0">
      <w:lvlJc w:val="left"/>
      <w:lvlText w:val="(%1)"/>
      <w:numFmt w:val="lowerRoman"/>
      <w:start w:val="1"/>
    </w:lvl>
  </w:abstractNum>
  <w:abstractNum w:abstractNumId="263">
    <w:nsid w:val="76C44E4E"/>
    <w:multiLevelType w:val="hybridMultilevel"/>
    <w:lvl w:ilvl="0">
      <w:lvlJc w:val="left"/>
      <w:lvlText w:val="%1."/>
      <w:numFmt w:val="lowerLetter"/>
      <w:start w:val="1"/>
    </w:lvl>
  </w:abstractNum>
  <w:abstractNum w:abstractNumId="264">
    <w:nsid w:val="E04E6CE"/>
    <w:multiLevelType w:val="hybridMultilevel"/>
    <w:lvl w:ilvl="0">
      <w:lvlJc w:val="left"/>
      <w:lvlText w:val="%1."/>
      <w:numFmt w:val="lowerLetter"/>
      <w:start w:val="2"/>
    </w:lvl>
  </w:abstractNum>
  <w:abstractNum w:abstractNumId="265">
    <w:nsid w:val="31A9DB76"/>
    <w:multiLevelType w:val="hybridMultilevel"/>
    <w:lvl w:ilvl="0">
      <w:lvlJc w:val="left"/>
      <w:lvlText w:val="%1."/>
      <w:numFmt w:val="lowerLetter"/>
      <w:start w:val="5"/>
    </w:lvl>
  </w:abstractNum>
  <w:abstractNum w:abstractNumId="266">
    <w:nsid w:val="4C4FFF5B"/>
    <w:multiLevelType w:val="hybridMultilevel"/>
    <w:lvl w:ilvl="0">
      <w:lvlJc w:val="left"/>
      <w:lvlText w:val="("/>
      <w:numFmt w:val="bullet"/>
      <w:start w:val="1"/>
    </w:lvl>
  </w:abstractNum>
  <w:abstractNum w:abstractNumId="267">
    <w:nsid w:val="51B76675"/>
    <w:multiLevelType w:val="hybridMultilevel"/>
    <w:lvl w:ilvl="0">
      <w:lvlJc w:val="left"/>
      <w:lvlText w:val="(%1)"/>
      <w:numFmt w:val="lowerRoman"/>
      <w:start w:val="2"/>
    </w:lvl>
  </w:abstractNum>
  <w:abstractNum w:abstractNumId="268">
    <w:nsid w:val="59A4BA71"/>
    <w:multiLevelType w:val="hybridMultilevel"/>
    <w:lvl w:ilvl="0">
      <w:lvlJc w:val="left"/>
      <w:lvlText w:val="(%1)"/>
      <w:numFmt w:val="lowerRoman"/>
      <w:start w:val="3"/>
    </w:lvl>
  </w:abstractNum>
  <w:abstractNum w:abstractNumId="269">
    <w:nsid w:val="450B7FB6"/>
    <w:multiLevelType w:val="hybridMultilevel"/>
    <w:lvl w:ilvl="0">
      <w:lvlJc w:val="left"/>
      <w:lvlText w:val="("/>
      <w:numFmt w:val="bullet"/>
      <w:start w:val="1"/>
    </w:lvl>
  </w:abstractNum>
  <w:abstractNum w:abstractNumId="270">
    <w:nsid w:val="340BF64D"/>
    <w:multiLevelType w:val="hybridMultilevel"/>
    <w:lvl w:ilvl="0">
      <w:lvlJc w:val="left"/>
      <w:lvlText w:val="%1"/>
      <w:numFmt w:val="lowerLetter"/>
      <w:start w:val="1"/>
    </w:lvl>
    <w:lvl w:ilvl="1">
      <w:lvlJc w:val="left"/>
      <w:lvlText w:val="(%2)"/>
      <w:numFmt w:val="lowerRoman"/>
      <w:start w:val="5"/>
    </w:lvl>
  </w:abstractNum>
  <w:abstractNum w:abstractNumId="271">
    <w:nsid w:val="69454021"/>
    <w:multiLevelType w:val="hybridMultilevel"/>
    <w:lvl w:ilvl="0">
      <w:lvlJc w:val="left"/>
      <w:lvlText w:val="%1."/>
      <w:numFmt w:val="lowerLetter"/>
      <w:start w:val="8"/>
    </w:lvl>
    <w:lvl w:ilvl="1">
      <w:lvlJc w:val="left"/>
      <w:lvlText w:val="%2"/>
      <w:numFmt w:val="lowerRoman"/>
      <w:start w:val="1"/>
    </w:lvl>
  </w:abstractNum>
  <w:abstractNum w:abstractNumId="272">
    <w:nsid w:val="49F15C6B"/>
    <w:multiLevelType w:val="hybridMultilevel"/>
    <w:lvl w:ilvl="0">
      <w:lvlJc w:val="left"/>
      <w:lvlText w:val="%1."/>
      <w:numFmt w:val="lowerLetter"/>
      <w:start w:val="13"/>
    </w:lvl>
  </w:abstractNum>
  <w:abstractNum w:abstractNumId="273">
    <w:nsid w:val="75F56228"/>
    <w:multiLevelType w:val="hybridMultilevel"/>
    <w:lvl w:ilvl="0">
      <w:lvlJc w:val="left"/>
      <w:lvlText w:val="%1."/>
      <w:numFmt w:val="lowerLetter"/>
      <w:start w:val="16"/>
    </w:lvl>
  </w:abstractNum>
  <w:abstractNum w:abstractNumId="274">
    <w:nsid w:val="1C618271"/>
    <w:multiLevelType w:val="hybridMultilevel"/>
    <w:lvl w:ilvl="0">
      <w:lvlJc w:val="left"/>
      <w:lvlText w:val="("/>
      <w:numFmt w:val="bullet"/>
      <w:start w:val="1"/>
    </w:lvl>
  </w:abstractNum>
  <w:abstractNum w:abstractNumId="275">
    <w:nsid w:val="6505F02E"/>
    <w:multiLevelType w:val="hybridMultilevel"/>
    <w:lvl w:ilvl="0">
      <w:lvlJc w:val="left"/>
      <w:lvlText w:val="(%1)"/>
      <w:numFmt w:val="lowerRoman"/>
      <w:start w:val="2"/>
    </w:lvl>
  </w:abstractNum>
  <w:abstractNum w:abstractNumId="276">
    <w:nsid w:val="2FE5D025"/>
    <w:multiLevelType w:val="hybridMultilevel"/>
    <w:lvl w:ilvl="0">
      <w:lvlJc w:val="left"/>
      <w:lvlText w:val="("/>
      <w:numFmt w:val="bullet"/>
      <w:start w:val="1"/>
    </w:lvl>
  </w:abstractNum>
  <w:abstractNum w:abstractNumId="277">
    <w:nsid w:val="30E1B1CF"/>
    <w:multiLevelType w:val="hybridMultilevel"/>
    <w:lvl w:ilvl="0">
      <w:lvlJc w:val="left"/>
      <w:lvlText w:val="(%1)"/>
      <w:numFmt w:val="lowerRoman"/>
      <w:start w:val="7"/>
    </w:lvl>
  </w:abstractNum>
  <w:abstractNum w:abstractNumId="278">
    <w:nsid w:val="C7A9237"/>
    <w:multiLevelType w:val="hybridMultilevel"/>
    <w:lvl w:ilvl="0">
      <w:lvlJc w:val="left"/>
      <w:lvlText w:val="(%1)"/>
      <w:numFmt w:val="lowerRoman"/>
      <w:start w:val="8"/>
    </w:lvl>
  </w:abstractNum>
  <w:abstractNum w:abstractNumId="279">
    <w:nsid w:val="676B3580"/>
    <w:multiLevelType w:val="hybridMultilevel"/>
    <w:lvl w:ilvl="0">
      <w:lvlJc w:val="left"/>
      <w:lvlText w:val="%1."/>
      <w:numFmt w:val="lowerLetter"/>
      <w:start w:val="1"/>
    </w:lvl>
  </w:abstractNum>
  <w:abstractNum w:abstractNumId="280">
    <w:nsid w:val="3193C8F9"/>
    <w:multiLevelType w:val="hybridMultilevel"/>
    <w:lvl w:ilvl="0">
      <w:lvlJc w:val="left"/>
      <w:lvlText w:val="%1."/>
      <w:numFmt w:val="lowerLetter"/>
      <w:start w:val="1"/>
    </w:lvl>
  </w:abstractNum>
  <w:abstractNum w:abstractNumId="281">
    <w:nsid w:val="5FA6C6DC"/>
    <w:multiLevelType w:val="hybridMultilevel"/>
    <w:lvl w:ilvl="0">
      <w:lvlJc w:val="left"/>
      <w:lvlText w:val="("/>
      <w:numFmt w:val="bullet"/>
      <w:start w:val="1"/>
    </w:lvl>
  </w:abstractNum>
  <w:abstractNum w:abstractNumId="282">
    <w:nsid w:val="77933F62"/>
    <w:multiLevelType w:val="hybridMultilevel"/>
    <w:lvl w:ilvl="0">
      <w:lvlJc w:val="left"/>
      <w:lvlText w:val="%1"/>
      <w:numFmt w:val="lowerLetter"/>
      <w:start w:val="1"/>
    </w:lvl>
    <w:lvl w:ilvl="1">
      <w:lvlJc w:val="left"/>
      <w:lvlText w:val="(%2)"/>
      <w:numFmt w:val="lowerRoman"/>
      <w:start w:val="2"/>
    </w:lvl>
  </w:abstractNum>
  <w:abstractNum w:abstractNumId="283">
    <w:nsid w:val="6CB4EE9C"/>
    <w:multiLevelType w:val="hybridMultilevel"/>
    <w:lvl w:ilvl="0">
      <w:lvlJc w:val="left"/>
      <w:lvlText w:val="%1."/>
      <w:numFmt w:val="lowerLetter"/>
      <w:start w:val="2"/>
    </w:lvl>
    <w:lvl w:ilvl="1">
      <w:lvlJc w:val="left"/>
      <w:lvlText w:val="%2"/>
      <w:numFmt w:val="lowerRoman"/>
      <w:start w:val="1"/>
    </w:lvl>
  </w:abstractNum>
  <w:abstractNum w:abstractNumId="284">
    <w:nsid w:val="6A6D56D7"/>
    <w:multiLevelType w:val="hybridMultilevel"/>
    <w:lvl w:ilvl="0">
      <w:lvlJc w:val="left"/>
      <w:lvlText w:val="("/>
      <w:numFmt w:val="bullet"/>
      <w:start w:val="1"/>
    </w:lvl>
  </w:abstractNum>
  <w:abstractNum w:abstractNumId="285">
    <w:nsid w:val="5B727F19"/>
    <w:multiLevelType w:val="hybridMultilevel"/>
    <w:lvl w:ilvl="0">
      <w:lvlJc w:val="left"/>
      <w:lvlText w:val="(%1)"/>
      <w:numFmt w:val="lowerRoman"/>
      <w:start w:val="2"/>
    </w:lvl>
  </w:abstractNum>
  <w:abstractNum w:abstractNumId="286">
    <w:nsid w:val="514E5CB0"/>
    <w:multiLevelType w:val="hybridMultilevel"/>
    <w:lvl w:ilvl="0">
      <w:lvlJc w:val="left"/>
      <w:lvlText w:val="(%1)"/>
      <w:numFmt w:val="lowerRoman"/>
      <w:start w:val="1"/>
    </w:lvl>
  </w:abstractNum>
  <w:abstractNum w:abstractNumId="287">
    <w:nsid w:val="4210D41E"/>
    <w:multiLevelType w:val="hybridMultilevel"/>
    <w:lvl w:ilvl="0">
      <w:lvlJc w:val="left"/>
      <w:lvlText w:val="%1."/>
      <w:numFmt w:val="lowerLetter"/>
      <w:start w:val="1"/>
    </w:lvl>
  </w:abstractNum>
  <w:abstractNum w:abstractNumId="288">
    <w:nsid w:val="4FF4CC6D"/>
    <w:multiLevelType w:val="hybridMultilevel"/>
    <w:lvl w:ilvl="0">
      <w:lvlJc w:val="left"/>
      <w:lvlText w:val="%1."/>
      <w:numFmt w:val="lowerLetter"/>
      <w:start w:val="2"/>
    </w:lvl>
  </w:abstractNum>
  <w:abstractNum w:abstractNumId="289">
    <w:nsid w:val="404EAF4A"/>
    <w:multiLevelType w:val="hybridMultilevel"/>
    <w:lvl w:ilvl="0">
      <w:lvlJc w:val="left"/>
      <w:lvlText w:val="%1."/>
      <w:numFmt w:val="lowerLetter"/>
      <w:start w:val="1"/>
    </w:lvl>
  </w:abstractNum>
  <w:abstractNum w:abstractNumId="290">
    <w:nsid w:val="4A16874F"/>
    <w:multiLevelType w:val="hybridMultilevel"/>
    <w:lvl w:ilvl="0">
      <w:lvlJc w:val="left"/>
      <w:lvlText w:val="%1."/>
      <w:numFmt w:val="lowerLetter"/>
      <w:start w:val="3"/>
    </w:lvl>
  </w:abstractNum>
  <w:abstractNum w:abstractNumId="291">
    <w:nsid w:val="55FEE0D1"/>
    <w:multiLevelType w:val="hybridMultilevel"/>
    <w:lvl w:ilvl="0">
      <w:lvlJc w:val="left"/>
      <w:lvlText w:val="(%1)"/>
      <w:numFmt w:val="lowerLetter"/>
      <w:start w:val="1"/>
    </w:lvl>
    <w:lvl w:ilvl="1">
      <w:lvlJc w:val="left"/>
      <w:lvlText w:val="(%2)"/>
      <w:numFmt w:val="lowerLetter"/>
      <w:start w:val="9"/>
    </w:lvl>
  </w:abstractNum>
  <w:abstractNum w:abstractNumId="292">
    <w:nsid w:val="3C5E07C"/>
    <w:multiLevelType w:val="hybridMultilevel"/>
    <w:lvl w:ilvl="0">
      <w:lvlJc w:val="left"/>
      <w:lvlText w:val="(%1)"/>
      <w:numFmt w:val="lowerRoman"/>
      <w:start w:val="2"/>
    </w:lvl>
  </w:abstractNum>
  <w:abstractNum w:abstractNumId="293">
    <w:nsid w:val="60C2D273"/>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294">
    <w:nsid w:val="4CC32F1F"/>
    <w:multiLevelType w:val="hybridMultilevel"/>
    <w:lvl w:ilvl="0">
      <w:lvlJc w:val="left"/>
      <w:lvlText w:val="(%1)"/>
      <w:numFmt w:val="decimal"/>
      <w:start w:val="2"/>
    </w:lvl>
    <w:lvl w:ilvl="1">
      <w:lvlJc w:val="left"/>
      <w:lvlText w:val="(%2)"/>
      <w:numFmt w:val="upperLetter"/>
      <w:start w:val="1"/>
    </w:lvl>
  </w:abstractNum>
  <w:abstractNum w:abstractNumId="295">
    <w:nsid w:val="11CAC74A"/>
    <w:multiLevelType w:val="hybridMultilevel"/>
    <w:lvl w:ilvl="0">
      <w:lvlJc w:val="left"/>
      <w:lvlText w:val="(%1)"/>
      <w:numFmt w:val="decimal"/>
      <w:start w:val="4"/>
    </w:lvl>
    <w:lvl w:ilvl="1">
      <w:lvlJc w:val="left"/>
      <w:lvlText w:val="(%2)"/>
      <w:numFmt w:val="upperLetter"/>
      <w:start w:val="1"/>
    </w:lvl>
  </w:abstractNum>
  <w:abstractNum w:abstractNumId="296">
    <w:nsid w:val="126CADE9"/>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5"/>
    </w:lvl>
  </w:abstractNum>
  <w:abstractNum w:abstractNumId="297">
    <w:nsid w:val="19132E7B"/>
    <w:multiLevelType w:val="hybridMultilevel"/>
    <w:lvl w:ilvl="0">
      <w:lvlJc w:val="left"/>
      <w:lvlText w:val="%1"/>
      <w:numFmt w:val="lowerLetter"/>
      <w:start w:val="1"/>
    </w:lvl>
    <w:lvl w:ilvl="1">
      <w:lvlJc w:val="left"/>
      <w:lvlText w:val="(%2)"/>
      <w:numFmt w:val="upperLetter"/>
      <w:start w:val="6"/>
    </w:lvl>
    <w:lvl w:ilvl="2">
      <w:lvlJc w:val="left"/>
      <w:lvlText w:val="%3"/>
      <w:numFmt w:val="lowerLetter"/>
      <w:start w:val="1"/>
    </w:lvl>
  </w:abstractNum>
  <w:abstractNum w:abstractNumId="298">
    <w:nsid w:val="63822DC0"/>
    <w:multiLevelType w:val="hybridMultilevel"/>
    <w:lvl w:ilvl="0">
      <w:lvlJc w:val="left"/>
      <w:lvlText w:val="(%1)"/>
      <w:numFmt w:val="lowerLetter"/>
      <w:start w:val="3"/>
    </w:lvl>
    <w:lvl w:ilvl="1">
      <w:lvlJc w:val="left"/>
      <w:lvlText w:val="%2"/>
      <w:numFmt w:val="upperLetter"/>
      <w:start w:val="1"/>
    </w:lvl>
    <w:lvl w:ilvl="2">
      <w:lvlJc w:val="left"/>
      <w:lvlText w:val="%3"/>
      <w:numFmt w:val="lowerLetter"/>
      <w:start w:val="1"/>
    </w:lvl>
  </w:abstractNum>
  <w:abstractNum w:abstractNumId="299">
    <w:nsid w:val="6C11685A"/>
    <w:multiLevelType w:val="hybridMultilevel"/>
    <w:lvl w:ilvl="0">
      <w:lvlJc w:val="left"/>
      <w:lvlText w:val="(%1)"/>
      <w:numFmt w:val="lowerLetter"/>
      <w:start w:val="4"/>
    </w:lvl>
  </w:abstractNum>
  <w:abstractNum w:abstractNumId="300">
    <w:nsid w:val="5E1EAE31"/>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24"/>
    </w:lvl>
  </w:abstractNum>
  <w:abstractNum w:abstractNumId="301">
    <w:nsid w:val="178E240D"/>
    <w:multiLevelType w:val="hybridMultilevel"/>
    <w:lvl w:ilvl="0">
      <w:lvlJc w:val="left"/>
      <w:lvlText w:val="(%1)"/>
      <w:numFmt w:val="lowerLetter"/>
      <w:start w:val="7"/>
    </w:lvl>
    <w:lvl w:ilvl="1">
      <w:lvlJc w:val="left"/>
      <w:lvlText w:val="(%2)"/>
      <w:numFmt w:val="decimal"/>
      <w:start w:val="1"/>
    </w:lvl>
  </w:abstractNum>
  <w:abstractNum w:abstractNumId="302">
    <w:nsid w:val="5556A87B"/>
    <w:multiLevelType w:val="hybridMultilevel"/>
    <w:lvl w:ilvl="0">
      <w:lvlJc w:val="left"/>
      <w:lvlText w:val="("/>
      <w:numFmt w:val="bullet"/>
      <w:start w:val="1"/>
    </w:lvl>
    <w:lvl w:ilvl="1">
      <w:lvlJc w:val="left"/>
      <w:lvlText w:val="(%2)"/>
      <w:numFmt w:val="upperLetter"/>
      <w:start w:val="1"/>
    </w:lvl>
  </w:abstractNum>
  <w:abstractNum w:abstractNumId="303">
    <w:nsid w:val="28100A9C"/>
    <w:multiLevelType w:val="hybridMultilevel"/>
    <w:lvl w:ilvl="0">
      <w:lvlJc w:val="left"/>
      <w:lvlText w:val="("/>
      <w:numFmt w:val="bullet"/>
      <w:start w:val="1"/>
    </w:lvl>
  </w:abstractNum>
  <w:abstractNum w:abstractNumId="304">
    <w:nsid w:val="D838636"/>
    <w:multiLevelType w:val="hybridMultilevel"/>
    <w:lvl w:ilvl="0">
      <w:lvlJc w:val="left"/>
      <w:lvlText w:val="("/>
      <w:numFmt w:val="bullet"/>
      <w:start w:val="1"/>
    </w:lvl>
  </w:abstractNum>
  <w:abstractNum w:abstractNumId="305">
    <w:nsid w:val="71B82AED"/>
    <w:multiLevelType w:val="hybridMultilevel"/>
    <w:lvl w:ilvl="0">
      <w:lvlJc w:val="left"/>
      <w:lvlText w:val="("/>
      <w:numFmt w:val="bullet"/>
      <w:start w:val="1"/>
    </w:lvl>
  </w:abstractNum>
  <w:abstractNum w:abstractNumId="306">
    <w:nsid w:val="D15FACA"/>
    <w:multiLevelType w:val="hybridMultilevel"/>
    <w:lvl w:ilvl="0">
      <w:lvlJc w:val="left"/>
      <w:lvlText w:val="(%1)"/>
      <w:numFmt w:val="lowerLetter"/>
      <w:start w:val="2"/>
    </w:lvl>
  </w:abstractNum>
  <w:abstractNum w:abstractNumId="307">
    <w:nsid w:val="3D69565B"/>
    <w:multiLevelType w:val="hybridMultilevel"/>
    <w:lvl w:ilvl="0">
      <w:lvlJc w:val="left"/>
      <w:lvlText w:val="("/>
      <w:numFmt w:val="bullet"/>
      <w:start w:val="1"/>
    </w:lvl>
    <w:lvl w:ilvl="1">
      <w:lvlJc w:val="left"/>
      <w:lvlText w:val="(%2)"/>
      <w:numFmt w:val="lowerRoman"/>
      <w:start w:val="1"/>
    </w:lvl>
  </w:abstractNum>
  <w:abstractNum w:abstractNumId="308">
    <w:nsid w:val="2299DCBC"/>
    <w:multiLevelType w:val="hybridMultilevel"/>
    <w:lvl w:ilvl="0">
      <w:lvlJc w:val="left"/>
      <w:lvlText w:val="(%1)"/>
      <w:numFmt w:val="lowerLetter"/>
      <w:start w:val="4"/>
    </w:lvl>
  </w:abstractNum>
  <w:abstractNum w:abstractNumId="309">
    <w:nsid w:val="19908D02"/>
    <w:multiLevelType w:val="hybridMultilevel"/>
    <w:lvl w:ilvl="0">
      <w:lvlJc w:val="left"/>
      <w:lvlText w:val="(%1)"/>
      <w:numFmt w:val="lowerLetter"/>
      <w:start w:val="5"/>
    </w:lvl>
  </w:abstractNum>
  <w:abstractNum w:abstractNumId="310">
    <w:nsid w:val="24D48BDB"/>
    <w:multiLevelType w:val="hybridMultilevel"/>
    <w:lvl w:ilvl="0">
      <w:lvlJc w:val="left"/>
      <w:lvlText w:val="(%1)"/>
      <w:numFmt w:val="lowerRoman"/>
      <w:start w:val="1"/>
    </w:lvl>
  </w:abstractNum>
  <w:abstractNum w:abstractNumId="311">
    <w:nsid w:val="542DA5B5"/>
    <w:multiLevelType w:val="hybridMultilevel"/>
    <w:lvl w:ilvl="0">
      <w:lvlJc w:val="left"/>
      <w:lvlText w:val="(%1)"/>
      <w:numFmt w:val="lowerLetter"/>
      <w:start w:val="1"/>
    </w:lvl>
  </w:abstractNum>
  <w:abstractNum w:abstractNumId="312">
    <w:nsid w:val="793753DE"/>
    <w:multiLevelType w:val="hybridMultilevel"/>
    <w:lvl w:ilvl="0">
      <w:lvlJc w:val="left"/>
      <w:lvlText w:val="(%1)"/>
      <w:numFmt w:val="lowerLetter"/>
      <w:start w:val="1"/>
    </w:lvl>
    <w:lvl w:ilvl="1">
      <w:lvlJc w:val="left"/>
      <w:lvlText w:val="(%2)"/>
      <w:numFmt w:val="decimal"/>
      <w:start w:val="1"/>
    </w:lvl>
  </w:abstractNum>
  <w:abstractNum w:abstractNumId="313">
    <w:nsid w:val="1C67CB3D"/>
    <w:multiLevelType w:val="hybridMultilevel"/>
    <w:lvl w:ilvl="0">
      <w:lvlJc w:val="left"/>
      <w:lvlText w:val="(%1)"/>
      <w:numFmt w:val="lowerLetter"/>
      <w:start w:val="2"/>
    </w:lvl>
  </w:abstractNum>
  <w:abstractNum w:abstractNumId="314">
    <w:nsid w:val="40E29452"/>
    <w:multiLevelType w:val="hybridMultilevel"/>
    <w:lvl w:ilvl="0">
      <w:lvlJc w:val="left"/>
      <w:lvlText w:val="(%1)"/>
      <w:numFmt w:val="lowerLetter"/>
      <w:start w:val="1"/>
    </w:lvl>
  </w:abstractNum>
  <w:abstractNum w:abstractNumId="315">
    <w:nsid w:val="63A4AAB6"/>
    <w:multiLevelType w:val="hybridMultilevel"/>
    <w:lvl w:ilvl="0">
      <w:lvlJc w:val="left"/>
      <w:lvlText w:val="(%1)"/>
      <w:numFmt w:val="decimal"/>
      <w:start w:val="2"/>
    </w:lvl>
  </w:abstractNum>
  <w:abstractNum w:abstractNumId="316">
    <w:nsid w:val="77DA4A57"/>
    <w:multiLevelType w:val="hybridMultilevel"/>
    <w:lvl w:ilvl="0">
      <w:lvlJc w:val="left"/>
      <w:lvlText w:val="(%1)"/>
      <w:numFmt w:val="lowerLetter"/>
      <w:start w:val="1"/>
    </w:lvl>
  </w:abstractNum>
  <w:abstractNum w:abstractNumId="317">
    <w:nsid w:val="1230F102"/>
    <w:multiLevelType w:val="hybridMultilevel"/>
    <w:lvl w:ilvl="0">
      <w:lvlJc w:val="left"/>
      <w:lvlText w:val="(%1)"/>
      <w:numFmt w:val="lowerLetter"/>
      <w:start w:val="1"/>
    </w:lvl>
  </w:abstractNum>
  <w:abstractNum w:abstractNumId="318">
    <w:nsid w:val="25B57ED4"/>
    <w:multiLevelType w:val="hybridMultilevel"/>
    <w:lvl w:ilvl="0">
      <w:lvlJc w:val="left"/>
      <w:lvlText w:val="(%1)"/>
      <w:numFmt w:val="lowerLetter"/>
      <w:start w:val="1"/>
    </w:lvl>
  </w:abstractNum>
  <w:abstractNum w:abstractNumId="319">
    <w:nsid w:val="47CF16C4"/>
    <w:multiLevelType w:val="hybridMultilevel"/>
    <w:lvl w:ilvl="0">
      <w:lvlJc w:val="left"/>
      <w:lvlText w:val="(%1)"/>
      <w:numFmt w:val="lowerLetter"/>
      <w:start w:val="1"/>
    </w:lvl>
  </w:abstractNum>
  <w:abstractNum w:abstractNumId="320">
    <w:nsid w:val="527FA04C"/>
    <w:multiLevelType w:val="hybridMultilevel"/>
    <w:lvl w:ilvl="0">
      <w:lvlJc w:val="left"/>
      <w:lvlText w:val="(%1)"/>
      <w:numFmt w:val="lowerLetter"/>
      <w:start w:val="4"/>
    </w:lvl>
  </w:abstractNum>
  <w:abstractNum w:abstractNumId="321">
    <w:nsid w:val="6FCC0624"/>
    <w:multiLevelType w:val="hybridMultilevel"/>
    <w:lvl w:ilvl="0">
      <w:lvlJc w:val="left"/>
      <w:lvlText w:val="(%1)"/>
      <w:numFmt w:val="lowerLetter"/>
      <w:start w:val="1"/>
    </w:lvl>
  </w:abstractNum>
  <w:abstractNum w:abstractNumId="322">
    <w:nsid w:val="1DCDF795"/>
    <w:multiLevelType w:val="hybridMultilevel"/>
    <w:lvl w:ilvl="0">
      <w:lvlJc w:val="left"/>
      <w:lvlText w:val="(%1)"/>
      <w:numFmt w:val="lowerLetter"/>
      <w:start w:val="1"/>
    </w:lvl>
  </w:abstractNum>
  <w:abstractNum w:abstractNumId="323">
    <w:nsid w:val="564580C8"/>
    <w:multiLevelType w:val="hybridMultilevel"/>
    <w:lvl w:ilvl="0">
      <w:lvlJc w:val="left"/>
      <w:lvlText w:val="(%1)"/>
      <w:numFmt w:val="lowerLetter"/>
      <w:start w:val="1"/>
    </w:lvl>
  </w:abstractNum>
  <w:abstractNum w:abstractNumId="324">
    <w:nsid w:val="508ED897"/>
    <w:multiLevelType w:val="hybridMultilevel"/>
    <w:lvl w:ilvl="0">
      <w:lvlJc w:val="left"/>
      <w:lvlText w:val="("/>
      <w:numFmt w:val="bullet"/>
      <w:start w:val="1"/>
    </w:lvl>
  </w:abstractNum>
  <w:abstractNum w:abstractNumId="325">
    <w:nsid w:val="6A9126B5"/>
    <w:multiLevelType w:val="hybridMultilevel"/>
    <w:lvl w:ilvl="0">
      <w:lvlJc w:val="left"/>
      <w:lvlText w:val="(%1)"/>
      <w:numFmt w:val="lowerLetter"/>
      <w:start w:val="1"/>
    </w:lvl>
  </w:abstractNum>
  <w:abstractNum w:abstractNumId="326">
    <w:nsid w:val="68104812"/>
    <w:multiLevelType w:val="hybridMultilevel"/>
    <w:lvl w:ilvl="0">
      <w:lvlJc w:val="left"/>
      <w:lvlText w:val="(%1)"/>
      <w:numFmt w:val="lowerLetter"/>
      <w:start w:val="2"/>
    </w:lvl>
  </w:abstractNum>
  <w:abstractNum w:abstractNumId="327">
    <w:nsid w:val="62FB8680"/>
    <w:multiLevelType w:val="hybridMultilevel"/>
    <w:lvl w:ilvl="0">
      <w:lvlJc w:val="left"/>
      <w:lvlText w:val="(%1)"/>
      <w:numFmt w:val="lowerLetter"/>
      <w:start w:val="4"/>
    </w:lvl>
  </w:abstractNum>
  <w:abstractNum w:abstractNumId="328">
    <w:nsid w:val="3A45530"/>
    <w:multiLevelType w:val="hybridMultilevel"/>
    <w:lvl w:ilvl="0">
      <w:lvlJc w:val="left"/>
      <w:lvlText w:val="(%1)"/>
      <w:numFmt w:val="lowerRoman"/>
      <w:start w:val="1"/>
    </w:lvl>
  </w:abstractNum>
  <w:abstractNum w:abstractNumId="329">
    <w:nsid w:val="4B9275D2"/>
    <w:multiLevelType w:val="hybridMultilevel"/>
    <w:lvl w:ilvl="0">
      <w:lvlJc w:val="left"/>
      <w:lvlText w:val="(%1)"/>
      <w:numFmt w:val="lowerRoman"/>
      <w:start w:val="2"/>
    </w:lvl>
  </w:abstractNum>
  <w:abstractNum w:abstractNumId="330">
    <w:nsid w:val="4F0CEEDB"/>
    <w:multiLevelType w:val="hybridMultilevel"/>
    <w:lvl w:ilvl="0">
      <w:lvlJc w:val="left"/>
      <w:lvlText w:val="(%1)"/>
      <w:numFmt w:val="lowerLetter"/>
      <w:start w:val="5"/>
    </w:lvl>
    <w:lvl w:ilvl="1">
      <w:lvlJc w:val="left"/>
      <w:lvlText w:val="(%2)"/>
      <w:numFmt w:val="decimal"/>
      <w:start w:val="1"/>
    </w:lvl>
  </w:abstractNum>
  <w:abstractNum w:abstractNumId="331">
    <w:nsid w:val="61C30361"/>
    <w:multiLevelType w:val="hybridMultilevel"/>
    <w:lvl w:ilvl="0">
      <w:lvlJc w:val="left"/>
      <w:lvlText w:val="("/>
      <w:numFmt w:val="bullet"/>
      <w:start w:val="1"/>
    </w:lvl>
  </w:abstractNum>
  <w:abstractNum w:abstractNumId="332">
    <w:nsid w:val="632099E0"/>
    <w:multiLevelType w:val="hybridMultilevel"/>
    <w:lvl w:ilvl="0">
      <w:lvlJc w:val="left"/>
      <w:lvlText w:val="(%1)"/>
      <w:numFmt w:val="decimal"/>
      <w:start w:val="4"/>
    </w:lvl>
  </w:abstractNum>
  <w:abstractNum w:abstractNumId="333">
    <w:nsid w:val="24639756"/>
    <w:multiLevelType w:val="hybridMultilevel"/>
    <w:lvl w:ilvl="0">
      <w:lvlJc w:val="left"/>
      <w:lvlText w:val="(%1)"/>
      <w:numFmt w:val="lowerLetter"/>
      <w:start w:val="1"/>
    </w:lvl>
  </w:abstractNum>
  <w:abstractNum w:abstractNumId="334">
    <w:nsid w:val="9D30DFD"/>
    <w:multiLevelType w:val="hybridMultilevel"/>
    <w:lvl w:ilvl="0">
      <w:lvlJc w:val="left"/>
      <w:lvlText w:val="(%1)"/>
      <w:numFmt w:val="lowerLetter"/>
      <w:start w:val="6"/>
    </w:lvl>
  </w:abstractNum>
  <w:abstractNum w:abstractNumId="335">
    <w:nsid w:val="70A42016"/>
    <w:multiLevelType w:val="hybridMultilevel"/>
    <w:lvl w:ilvl="0">
      <w:lvlJc w:val="left"/>
      <w:lvlText w:val="%1:"/>
      <w:numFmt w:val="upperLetter"/>
      <w:start w:val="20"/>
    </w:lvl>
  </w:abstractNum>
  <w:abstractNum w:abstractNumId="336">
    <w:nsid w:val="161BC243"/>
    <w:multiLevelType w:val="hybridMultilevel"/>
    <w:lvl w:ilvl="0">
      <w:lvlJc w:val="left"/>
      <w:lvlText w:val="%1."/>
      <w:numFmt w:val="decimal"/>
      <w:start w:val="1"/>
    </w:lvl>
  </w:abstractNum>
  <w:abstractNum w:abstractNumId="337">
    <w:nsid w:val="16E908C8"/>
    <w:multiLevelType w:val="hybridMultilevel"/>
    <w:lvl w:ilvl="0">
      <w:lvlJc w:val="left"/>
      <w:lvlText w:val="("/>
      <w:numFmt w:val="bullet"/>
      <w:start w:val="1"/>
    </w:lvl>
  </w:abstractNum>
  <w:abstractNum w:abstractNumId="338">
    <w:nsid w:val="2E0D7671"/>
    <w:multiLevelType w:val="hybridMultilevel"/>
    <w:lvl w:ilvl="0">
      <w:lvlJc w:val="left"/>
      <w:lvlText w:val="%1"/>
      <w:numFmt w:val="lowerRoman"/>
      <w:start w:val="1"/>
    </w:lvl>
    <w:lvl w:ilvl="1">
      <w:lvlJc w:val="left"/>
      <w:lvlText w:val="(%2)"/>
      <w:numFmt w:val="lowerLetter"/>
      <w:start w:val="2"/>
    </w:lvl>
  </w:abstractNum>
  <w:abstractNum w:abstractNumId="339">
    <w:nsid w:val="38B59EFF"/>
    <w:multiLevelType w:val="hybridMultilevel"/>
    <w:lvl w:ilvl="0">
      <w:lvlJc w:val="left"/>
      <w:lvlText w:val="(%1)"/>
      <w:numFmt w:val="lowerRoman"/>
      <w:start w:val="4"/>
    </w:lvl>
    <w:lvl w:ilvl="1">
      <w:lvlJc w:val="left"/>
      <w:lvlText w:val="(%2)"/>
      <w:numFmt w:val="lowerLetter"/>
      <w:start w:val="3"/>
    </w:lvl>
  </w:abstractNum>
  <w:abstractNum w:abstractNumId="340">
    <w:nsid w:val="307995CA"/>
    <w:multiLevelType w:val="hybridMultilevel"/>
    <w:lvl w:ilvl="0">
      <w:lvlJc w:val="left"/>
      <w:lvlText w:val="%1."/>
      <w:numFmt w:val="decimal"/>
      <w:start w:val="2"/>
    </w:lvl>
  </w:abstractNum>
  <w:abstractNum w:abstractNumId="341">
    <w:nsid w:val="52E2024D"/>
    <w:multiLevelType w:val="hybridMultilevel"/>
    <w:lvl w:ilvl="0">
      <w:lvlJc w:val="left"/>
      <w:lvlText w:val="("/>
      <w:numFmt w:val="bullet"/>
      <w:start w:val="1"/>
    </w:lvl>
  </w:abstractNum>
  <w:abstractNum w:abstractNumId="342">
    <w:nsid w:val="CE344B5"/>
    <w:multiLevelType w:val="hybridMultilevel"/>
    <w:lvl w:ilvl="0">
      <w:lvlJc w:val="left"/>
      <w:lvlText w:val="(%1)"/>
      <w:numFmt w:val="lowerLetter"/>
      <w:start w:val="2"/>
    </w:lvl>
    <w:lvl w:ilvl="1">
      <w:lvlJc w:val="left"/>
      <w:lvlText w:val="(%2)"/>
      <w:numFmt w:val="lowerRoman"/>
      <w:start w:val="1"/>
    </w:lvl>
  </w:abstractNum>
  <w:abstractNum w:abstractNumId="343">
    <w:nsid w:val="29B0E9A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44">
    <w:nsid w:val="6F49CD8A"/>
    <w:multiLevelType w:val="hybridMultilevel"/>
    <w:lvl w:ilvl="0">
      <w:lvlJc w:val="left"/>
      <w:lvlText w:val="%1."/>
      <w:numFmt w:val="decimal"/>
      <w:start w:val="4"/>
    </w:lvl>
  </w:abstractNum>
  <w:abstractNum w:abstractNumId="345">
    <w:nsid w:val="4DC5D907"/>
    <w:multiLevelType w:val="hybridMultilevel"/>
    <w:lvl w:ilvl="0">
      <w:lvlJc w:val="left"/>
      <w:lvlText w:val="(%1)"/>
      <w:numFmt w:val="lowerLetter"/>
      <w:start w:val="1"/>
    </w:lvl>
  </w:abstractNum>
  <w:abstractNum w:abstractNumId="346">
    <w:nsid w:val="D55945E"/>
    <w:multiLevelType w:val="hybridMultilevel"/>
    <w:lvl w:ilvl="0">
      <w:lvlJc w:val="left"/>
      <w:lvlText w:val="("/>
      <w:numFmt w:val="bullet"/>
      <w:start w:val="1"/>
    </w:lvl>
    <w:lvl w:ilvl="1">
      <w:lvlJc w:val="left"/>
      <w:lvlText w:val="(%2)"/>
      <w:numFmt w:val="lowerRoman"/>
      <w:start w:val="1"/>
    </w:lvl>
  </w:abstractNum>
  <w:abstractNum w:abstractNumId="347">
    <w:nsid w:val="672417E1"/>
    <w:multiLevelType w:val="hybridMultilevel"/>
    <w:lvl w:ilvl="0">
      <w:lvlJc w:val="left"/>
      <w:lvlText w:val="(%1)"/>
      <w:numFmt w:val="lowerLetter"/>
      <w:start w:val="4"/>
    </w:lvl>
  </w:abstractNum>
  <w:abstractNum w:abstractNumId="348">
    <w:nsid w:val="5FF6CA09"/>
    <w:multiLevelType w:val="hybridMultilevel"/>
    <w:lvl w:ilvl="0">
      <w:lvlJc w:val="left"/>
      <w:lvlText w:val="("/>
      <w:numFmt w:val="bullet"/>
      <w:start w:val="1"/>
    </w:lvl>
    <w:lvl w:ilvl="1">
      <w:lvlJc w:val="left"/>
      <w:lvlText w:val="(%2)"/>
      <w:numFmt w:val="lowerRoman"/>
      <w:start w:val="1"/>
    </w:lvl>
  </w:abstractNum>
  <w:abstractNum w:abstractNumId="349">
    <w:nsid w:val="330B1333"/>
    <w:multiLevelType w:val="hybridMultilevel"/>
    <w:lvl w:ilvl="0">
      <w:lvlJc w:val="left"/>
      <w:lvlText w:val="(%1)"/>
      <w:numFmt w:val="lowerLetter"/>
      <w:start w:val="5"/>
    </w:lvl>
    <w:lvl w:ilvl="1">
      <w:lvlJc w:val="left"/>
      <w:lvlText w:val="("/>
      <w:numFmt w:val="bullet"/>
      <w:start w:val="1"/>
    </w:lvl>
  </w:abstractNum>
  <w:abstractNum w:abstractNumId="350">
    <w:nsid w:val="2EF32EA6"/>
    <w:multiLevelType w:val="hybridMultilevel"/>
    <w:lvl w:ilvl="0">
      <w:lvlJc w:val="left"/>
      <w:lvlText w:val="(%1)"/>
      <w:numFmt w:val="lowerLetter"/>
      <w:start w:val="8"/>
    </w:lvl>
    <w:lvl w:ilvl="1">
      <w:lvlJc w:val="left"/>
      <w:lvlText w:val="(%2)"/>
      <w:numFmt w:val="lowerRoman"/>
      <w:start w:val="1"/>
    </w:lvl>
  </w:abstractNum>
  <w:abstractNum w:abstractNumId="351">
    <w:nsid w:val="32766A55"/>
    <w:multiLevelType w:val="hybridMultilevel"/>
    <w:lvl w:ilvl="0">
      <w:lvlJc w:val="left"/>
      <w:lvlText w:val="(%1)"/>
      <w:numFmt w:val="lowerLetter"/>
      <w:start w:val="9"/>
    </w:lvl>
  </w:abstractNum>
  <w:abstractNum w:abstractNumId="352">
    <w:nsid w:val="22D71957"/>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353">
    <w:nsid w:val="4CC1263B"/>
    <w:multiLevelType w:val="hybridMultilevel"/>
    <w:lvl w:ilvl="0">
      <w:lvlJc w:val="left"/>
      <w:lvlText w:val="("/>
      <w:numFmt w:val="bullet"/>
      <w:start w:val="1"/>
    </w:lvl>
  </w:abstractNum>
  <w:abstractNum w:abstractNumId="354">
    <w:nsid w:val="8BBEB1D"/>
    <w:multiLevelType w:val="hybridMultilevel"/>
    <w:lvl w:ilvl="0">
      <w:lvlJc w:val="left"/>
      <w:lvlText w:val="%1"/>
      <w:numFmt w:val="lowerRoman"/>
      <w:start w:val="1"/>
    </w:lvl>
    <w:lvl w:ilvl="1">
      <w:lvlJc w:val="left"/>
      <w:lvlText w:val="(%2)"/>
      <w:numFmt w:val="decimal"/>
      <w:start w:val="2"/>
    </w:lvl>
  </w:abstractNum>
  <w:abstractNum w:abstractNumId="355">
    <w:nsid w:val="7365F1EE"/>
    <w:multiLevelType w:val="hybridMultilevel"/>
    <w:lvl w:ilvl="0">
      <w:lvlJc w:val="left"/>
      <w:lvlText w:val="(%1)"/>
      <w:numFmt w:val="lowerRoman"/>
      <w:start w:val="2"/>
    </w:lvl>
    <w:lvl w:ilvl="1">
      <w:lvlJc w:val="left"/>
      <w:lvlText w:val="(%2)"/>
      <w:numFmt w:val="decimal"/>
      <w:start w:val="1"/>
    </w:lvl>
  </w:abstractNum>
  <w:abstractNum w:abstractNumId="356">
    <w:nsid w:val="37524CF0"/>
    <w:multiLevelType w:val="hybridMultilevel"/>
    <w:lvl w:ilvl="0">
      <w:lvlJc w:val="left"/>
      <w:lvlText w:val="(%1)"/>
      <w:numFmt w:val="lowerRoman"/>
      <w:start w:val="2"/>
    </w:lvl>
    <w:lvl w:ilvl="1">
      <w:lvlJc w:val="left"/>
      <w:lvlText w:val="("/>
      <w:numFmt w:val="bullet"/>
      <w:start w:val="1"/>
    </w:lvl>
  </w:abstractNum>
  <w:abstractNum w:abstractNumId="357">
    <w:nsid w:val="70CC332F"/>
    <w:multiLevelType w:val="hybridMultilevel"/>
    <w:lvl w:ilvl="0">
      <w:lvlJc w:val="left"/>
      <w:lvlText w:val="(%1)"/>
      <w:numFmt w:val="lowerRoman"/>
      <w:start w:val="4"/>
    </w:lvl>
  </w:abstractNum>
  <w:abstractNum w:abstractNumId="358">
    <w:nsid w:val="5661786E"/>
    <w:multiLevelType w:val="hybridMultilevel"/>
    <w:lvl w:ilvl="0">
      <w:lvlJc w:val="left"/>
      <w:lvlText w:val="("/>
      <w:numFmt w:val="bullet"/>
      <w:start w:val="1"/>
    </w:lvl>
  </w:abstractNum>
  <w:abstractNum w:abstractNumId="359">
    <w:nsid w:val="3AF6A220"/>
    <w:multiLevelType w:val="hybridMultilevel"/>
    <w:lvl w:ilvl="0">
      <w:lvlJc w:val="left"/>
      <w:lvlText w:val="%1"/>
      <w:numFmt w:val="lowerLetter"/>
      <w:start w:val="1"/>
    </w:lvl>
    <w:lvl w:ilvl="1">
      <w:lvlJc w:val="left"/>
      <w:lvlText w:val="(%2)"/>
      <w:numFmt w:val="lowerRoman"/>
      <w:start w:val="6"/>
    </w:lvl>
  </w:abstractNum>
  <w:abstractNum w:abstractNumId="360">
    <w:nsid w:val="3C5EA902"/>
    <w:multiLevelType w:val="hybridMultilevel"/>
    <w:lvl w:ilvl="0">
      <w:lvlJc w:val="left"/>
      <w:lvlText w:val="(%1)"/>
      <w:numFmt w:val="lowerLetter"/>
      <w:start w:val="2"/>
    </w:lvl>
    <w:lvl w:ilvl="1">
      <w:lvlJc w:val="left"/>
      <w:lvlText w:val="%2"/>
      <w:numFmt w:val="lowerRoman"/>
      <w:start w:val="1"/>
    </w:lvl>
  </w:abstractNum>
  <w:abstractNum w:abstractNumId="361">
    <w:nsid w:val="256E6749"/>
    <w:multiLevelType w:val="hybridMultilevel"/>
    <w:lvl w:ilvl="0">
      <w:lvlJc w:val="left"/>
      <w:lvlText w:val="%1."/>
      <w:numFmt w:val="decimal"/>
      <w:start w:val="5"/>
    </w:lvl>
    <w:lvl w:ilvl="1">
      <w:lvlJc w:val="left"/>
      <w:lvlText w:val="("/>
      <w:numFmt w:val="bullet"/>
      <w:start w:val="1"/>
    </w:lvl>
  </w:abstractNum>
  <w:abstractNum w:abstractNumId="362">
    <w:nsid w:val="1CB9A581"/>
    <w:multiLevelType w:val="hybridMultilevel"/>
    <w:lvl w:ilvl="0">
      <w:lvlJc w:val="left"/>
      <w:lvlText w:val="%1"/>
      <w:numFmt w:val="lowerLetter"/>
      <w:start w:val="1"/>
    </w:lvl>
    <w:lvl w:ilvl="1">
      <w:lvlJc w:val="left"/>
      <w:lvlText w:val="(%2)"/>
      <w:numFmt w:val="lowerLetter"/>
      <w:start w:val="1"/>
    </w:lvl>
  </w:abstractNum>
  <w:abstractNum w:abstractNumId="363">
    <w:nsid w:val="1F7F42E2"/>
    <w:multiLevelType w:val="hybridMultilevel"/>
    <w:lvl w:ilvl="0">
      <w:lvlJc w:val="left"/>
      <w:lvlText w:val="(%1)"/>
      <w:numFmt w:val="lowerLetter"/>
      <w:start w:val="61"/>
    </w:lvl>
    <w:lvl w:ilvl="1">
      <w:lvlJc w:val="left"/>
      <w:lvlText w:val="%2"/>
      <w:numFmt w:val="lowerLetter"/>
      <w:start w:val="1"/>
    </w:lvl>
  </w:abstractNum>
  <w:abstractNum w:abstractNumId="364">
    <w:nsid w:val="49D1FEA0"/>
    <w:multiLevelType w:val="hybridMultilevel"/>
    <w:lvl w:ilvl="0">
      <w:lvlJc w:val="left"/>
      <w:lvlText w:val="(%1)"/>
      <w:numFmt w:val="lowerLetter"/>
      <w:start w:val="2"/>
    </w:lvl>
    <w:lvl w:ilvl="1">
      <w:lvlJc w:val="left"/>
      <w:lvlText w:val="(%2)"/>
      <w:numFmt w:val="lowerLetter"/>
      <w:start w:val="9"/>
    </w:lvl>
  </w:abstractNum>
  <w:abstractNum w:abstractNumId="365">
    <w:nsid w:val="268CB37F"/>
    <w:multiLevelType w:val="hybridMultilevel"/>
    <w:lvl w:ilvl="0">
      <w:lvlJc w:val="left"/>
      <w:lvlText w:val="("/>
      <w:numFmt w:val="bullet"/>
      <w:start w:val="1"/>
    </w:lvl>
  </w:abstractNum>
  <w:abstractNum w:abstractNumId="366">
    <w:nsid w:val="102362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67">
    <w:nsid w:val="5FEDC0E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68">
    <w:nsid w:val="3D75BC4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69">
    <w:nsid w:val="3E30D969"/>
    <w:multiLevelType w:val="hybridMultilevel"/>
    <w:lvl w:ilvl="0">
      <w:lvlJc w:val="left"/>
      <w:lvlText w:val="(%1)"/>
      <w:numFmt w:val="lowerLetter"/>
      <w:start w:val="2"/>
    </w:lvl>
    <w:lvl w:ilvl="1">
      <w:lvlJc w:val="left"/>
      <w:lvlText w:val="(%2)"/>
      <w:numFmt w:val="lowerRoman"/>
      <w:start w:val="1"/>
    </w:lvl>
  </w:abstractNum>
  <w:abstractNum w:abstractNumId="370">
    <w:nsid w:val="18A35FE3"/>
    <w:multiLevelType w:val="hybridMultilevel"/>
    <w:lvl w:ilvl="0">
      <w:lvlJc w:val="left"/>
      <w:lvlText w:val="("/>
      <w:numFmt w:val="bullet"/>
      <w:start w:val="1"/>
    </w:lvl>
  </w:abstractNum>
  <w:abstractNum w:abstractNumId="371">
    <w:nsid w:val="6DEF5211"/>
    <w:multiLevelType w:val="hybridMultilevel"/>
    <w:lvl w:ilvl="0">
      <w:lvlJc w:val="left"/>
      <w:lvlText w:val="(%1)"/>
      <w:numFmt w:val="lowerRoman"/>
      <w:start w:val="6"/>
    </w:lvl>
  </w:abstractNum>
  <w:abstractNum w:abstractNumId="372">
    <w:nsid w:val="1112DBB6"/>
    <w:multiLevelType w:val="hybridMultilevel"/>
    <w:lvl w:ilvl="0">
      <w:lvlJc w:val="left"/>
      <w:lvlText w:val="(%1)"/>
      <w:numFmt w:val="lowerRoman"/>
      <w:start w:val="10"/>
    </w:lvl>
  </w:abstractNum>
  <w:abstractNum w:abstractNumId="373">
    <w:nsid w:val="2586A498"/>
    <w:multiLevelType w:val="hybridMultilevel"/>
    <w:lvl w:ilvl="0">
      <w:lvlJc w:val="left"/>
      <w:lvlText w:val="(%1)"/>
      <w:numFmt w:val="lowerLetter"/>
      <w:start w:val="3"/>
    </w:lvl>
  </w:abstractNum>
  <w:abstractNum w:abstractNumId="374">
    <w:nsid w:val="17A03BB9"/>
    <w:multiLevelType w:val="hybridMultilevel"/>
    <w:lvl w:ilvl="0">
      <w:lvlJc w:val="left"/>
      <w:lvlText w:val="("/>
      <w:numFmt w:val="bullet"/>
      <w:start w:val="1"/>
    </w:lvl>
  </w:abstractNum>
  <w:abstractNum w:abstractNumId="375">
    <w:nsid w:val="5CA941"/>
    <w:multiLevelType w:val="hybridMultilevel"/>
    <w:lvl w:ilvl="0">
      <w:lvlJc w:val="left"/>
      <w:lvlText w:val="%1"/>
      <w:numFmt w:val="lowerLetter"/>
      <w:start w:val="1"/>
    </w:lvl>
    <w:lvl w:ilvl="1">
      <w:lvlJc w:val="left"/>
      <w:lvlText w:val="(%2)"/>
      <w:numFmt w:val="lowerLetter"/>
      <w:start w:val="35"/>
    </w:lvl>
  </w:abstractNum>
  <w:abstractNum w:abstractNumId="376">
    <w:nsid w:val="734C7D9F"/>
    <w:multiLevelType w:val="hybridMultilevel"/>
    <w:lvl w:ilvl="0">
      <w:lvlJc w:val="left"/>
      <w:lvlText w:val="(%1)"/>
      <w:numFmt w:val="lowerLetter"/>
      <w:start w:val="4"/>
    </w:lvl>
    <w:lvl w:ilvl="1">
      <w:lvlJc w:val="left"/>
      <w:lvlText w:val="%2"/>
      <w:numFmt w:val="lowerLetter"/>
      <w:start w:val="1"/>
    </w:lvl>
  </w:abstractNum>
  <w:abstractNum w:abstractNumId="377">
    <w:nsid w:val="24F5D018"/>
    <w:multiLevelType w:val="hybridMultilevel"/>
    <w:lvl w:ilvl="0">
      <w:lvlJc w:val="left"/>
      <w:lvlText w:val="(%1)"/>
      <w:numFmt w:val="lowerLetter"/>
      <w:start w:val="5"/>
    </w:lvl>
  </w:abstractNum>
  <w:abstractNum w:abstractNumId="378">
    <w:nsid w:val="6780C122"/>
    <w:multiLevelType w:val="hybridMultilevel"/>
    <w:lvl w:ilvl="0">
      <w:lvlJc w:val="left"/>
      <w:lvlText w:val="%1."/>
      <w:numFmt w:val="decimal"/>
      <w:start w:val="7"/>
    </w:lvl>
    <w:lvl w:ilvl="1">
      <w:lvlJc w:val="left"/>
      <w:lvlText w:val="("/>
      <w:numFmt w:val="bullet"/>
      <w:start w:val="1"/>
    </w:lvl>
  </w:abstractNum>
  <w:abstractNum w:abstractNumId="379">
    <w:nsid w:val="534347A8"/>
    <w:multiLevelType w:val="hybridMultilevel"/>
    <w:lvl w:ilvl="0">
      <w:lvlJc w:val="left"/>
      <w:lvlText w:val="(%1)"/>
      <w:numFmt w:val="lowerLetter"/>
      <w:start w:val="1"/>
    </w:lvl>
  </w:abstractNum>
  <w:abstractNum w:abstractNumId="380">
    <w:nsid w:val="5800E34B"/>
    <w:multiLevelType w:val="hybridMultilevel"/>
    <w:lvl w:ilvl="0">
      <w:lvlJc w:val="left"/>
      <w:lvlText w:val="%1."/>
      <w:numFmt w:val="decimal"/>
      <w:start w:val="8"/>
    </w:lvl>
    <w:lvl w:ilvl="1">
      <w:lvlJc w:val="left"/>
      <w:lvlText w:val="("/>
      <w:numFmt w:val="bullet"/>
      <w:start w:val="1"/>
    </w:lvl>
  </w:abstractNum>
  <w:abstractNum w:abstractNumId="381">
    <w:nsid w:val="1673EFC8"/>
    <w:multiLevelType w:val="hybridMultilevel"/>
    <w:lvl w:ilvl="0">
      <w:lvlJc w:val="left"/>
      <w:lvlText w:val="("/>
      <w:numFmt w:val="bullet"/>
      <w:start w:val="1"/>
    </w:lvl>
  </w:abstractNum>
  <w:abstractNum w:abstractNumId="382">
    <w:nsid w:val="5B9B1FD"/>
    <w:multiLevelType w:val="hybridMultilevel"/>
    <w:lvl w:ilvl="0">
      <w:lvlJc w:val="left"/>
      <w:lvlText w:val="(%1)"/>
      <w:numFmt w:val="lowerLetter"/>
      <w:start w:val="2"/>
    </w:lvl>
  </w:abstractNum>
  <w:abstractNum w:abstractNumId="383">
    <w:nsid w:val="7AD7FCA2"/>
    <w:multiLevelType w:val="hybridMultilevel"/>
    <w:lvl w:ilvl="0">
      <w:lvlJc w:val="left"/>
      <w:lvlText w:val="(%1)"/>
      <w:numFmt w:val="lowerLetter"/>
      <w:start w:val="5"/>
    </w:lvl>
  </w:abstractNum>
  <w:abstractNum w:abstractNumId="384">
    <w:nsid w:val="63351604"/>
    <w:multiLevelType w:val="hybridMultilevel"/>
    <w:lvl w:ilvl="0">
      <w:lvlJc w:val="left"/>
      <w:lvlText w:val="(%1)"/>
      <w:numFmt w:val="lowerRoman"/>
      <w:start w:val="1"/>
    </w:lvl>
  </w:abstractNum>
  <w:abstractNum w:abstractNumId="385">
    <w:nsid w:val="E759D1A"/>
    <w:multiLevelType w:val="hybridMultilevel"/>
    <w:lvl w:ilvl="0">
      <w:lvlJc w:val="left"/>
      <w:lvlText w:val="(%1)"/>
      <w:numFmt w:val="lowerLetter"/>
      <w:start w:val="10"/>
    </w:lvl>
  </w:abstractNum>
  <w:abstractNum w:abstractNumId="386">
    <w:nsid w:val="6E3DEE90"/>
    <w:multiLevelType w:val="hybridMultilevel"/>
    <w:lvl w:ilvl="0">
      <w:lvlJc w:val="left"/>
      <w:lvlText w:val="("/>
      <w:numFmt w:val="bullet"/>
      <w:start w:val="1"/>
    </w:lvl>
  </w:abstractNum>
  <w:abstractNum w:abstractNumId="387">
    <w:nsid w:val="1A8762F4"/>
    <w:multiLevelType w:val="hybridMultilevel"/>
    <w:lvl w:ilvl="0">
      <w:lvlJc w:val="left"/>
      <w:lvlText w:val="(%1)"/>
      <w:numFmt w:val="lowerLetter"/>
      <w:start w:val="13"/>
    </w:lvl>
  </w:abstractNum>
  <w:abstractNum w:abstractNumId="388">
    <w:nsid w:val="7F41D049"/>
    <w:multiLevelType w:val="hybridMultilevel"/>
    <w:lvl w:ilvl="0">
      <w:lvlJc w:val="left"/>
      <w:lvlText w:val="%1."/>
      <w:numFmt w:val="decimal"/>
      <w:start w:val="10"/>
    </w:lvl>
  </w:abstractNum>
  <w:abstractNum w:abstractNumId="389">
    <w:nsid w:val="449F66FE"/>
    <w:multiLevelType w:val="hybridMultilevel"/>
    <w:lvl w:ilvl="0">
      <w:lvlJc w:val="left"/>
      <w:lvlText w:val="%1."/>
      <w:numFmt w:val="decimal"/>
      <w:start w:val="11"/>
    </w:lvl>
  </w:abstractNum>
  <w:abstractNum w:abstractNumId="390">
    <w:nsid w:val="557E0515"/>
    <w:multiLevelType w:val="hybridMultilevel"/>
    <w:lvl w:ilvl="0">
      <w:lvlJc w:val="left"/>
      <w:lvlText w:val="%1."/>
      <w:numFmt w:val="decimal"/>
      <w:start w:val="12"/>
    </w:lvl>
  </w:abstractNum>
  <w:abstractNum w:abstractNumId="391">
    <w:nsid w:val="3BA0794B"/>
    <w:multiLevelType w:val="hybridMultilevel"/>
    <w:lvl w:ilvl="0">
      <w:lvlJc w:val="left"/>
      <w:lvlText w:val="(%1)"/>
      <w:numFmt w:val="lowerLetter"/>
      <w:start w:val="1"/>
    </w:lvl>
  </w:abstractNum>
  <w:abstractNum w:abstractNumId="392">
    <w:nsid w:val="6A0DCE48"/>
    <w:multiLevelType w:val="hybridMultilevel"/>
    <w:lvl w:ilvl="0">
      <w:lvlJc w:val="left"/>
      <w:lvlText w:val="("/>
      <w:numFmt w:val="bullet"/>
      <w:start w:val="1"/>
    </w:lvl>
  </w:abstractNum>
  <w:abstractNum w:abstractNumId="393">
    <w:nsid w:val="7237AA96"/>
    <w:multiLevelType w:val="hybridMultilevel"/>
    <w:lvl w:ilvl="0">
      <w:lvlJc w:val="left"/>
      <w:lvlText w:val="(%1)"/>
      <w:numFmt w:val="lowerLetter"/>
      <w:start w:val="6"/>
    </w:lvl>
  </w:abstractNum>
  <w:abstractNum w:abstractNumId="394">
    <w:nsid w:val="5B1FBC2D"/>
    <w:multiLevelType w:val="hybridMultilevel"/>
    <w:lvl w:ilvl="0">
      <w:lvlJc w:val="left"/>
      <w:lvlText w:val="(%1)"/>
      <w:numFmt w:val="lowerRoman"/>
      <w:start w:val="1"/>
    </w:lvl>
  </w:abstractNum>
  <w:abstractNum w:abstractNumId="395">
    <w:nsid w:val="33DFCCE8"/>
    <w:multiLevelType w:val="hybridMultilevel"/>
    <w:lvl w:ilvl="0">
      <w:lvlJc w:val="left"/>
      <w:lvlText w:val="("/>
      <w:numFmt w:val="bullet"/>
      <w:start w:val="1"/>
    </w:lvl>
  </w:abstractNum>
  <w:abstractNum w:abstractNumId="396">
    <w:nsid w:val="18C45E15"/>
    <w:multiLevelType w:val="hybridMultilevel"/>
    <w:lvl w:ilvl="0">
      <w:lvlJc w:val="left"/>
      <w:lvlText w:val="(%1)"/>
      <w:numFmt w:val="lowerRoman"/>
      <w:start w:val="1"/>
    </w:lvl>
  </w:abstractNum>
  <w:abstractNum w:abstractNumId="397">
    <w:nsid w:val="6B431F25"/>
    <w:multiLevelType w:val="hybridMultilevel"/>
    <w:lvl w:ilvl="0">
      <w:lvlJc w:val="left"/>
      <w:lvlText w:val="(%1)"/>
      <w:numFmt w:val="lowerRoman"/>
      <w:start w:val="3"/>
    </w:lvl>
  </w:abstractNum>
  <w:abstractNum w:abstractNumId="398">
    <w:nsid w:val="13CD8DCB"/>
    <w:multiLevelType w:val="hybridMultilevel"/>
    <w:lvl w:ilvl="0">
      <w:lvlJc w:val="left"/>
      <w:lvlText w:val="(%1)"/>
      <w:numFmt w:val="lowerLetter"/>
      <w:start w:val="11"/>
    </w:lvl>
  </w:abstractNum>
  <w:abstractNum w:abstractNumId="399">
    <w:nsid w:val="563A1A5C"/>
    <w:multiLevelType w:val="hybridMultilevel"/>
    <w:lvl w:ilvl="0">
      <w:lvlJc w:val="left"/>
      <w:lvlText w:val="("/>
      <w:numFmt w:val="bullet"/>
      <w:start w:val="1"/>
    </w:lvl>
  </w:abstractNum>
  <w:abstractNum w:abstractNumId="400">
    <w:nsid w:val="2973F88F"/>
    <w:multiLevelType w:val="hybridMultilevel"/>
    <w:lvl w:ilvl="0">
      <w:lvlJc w:val="left"/>
      <w:lvlText w:val="(%1)"/>
      <w:numFmt w:val="lowerLetter"/>
      <w:start w:val="18"/>
    </w:lvl>
    <w:lvl w:ilvl="1">
      <w:lvlJc w:val="left"/>
      <w:lvlText w:val="(%2)"/>
      <w:numFmt w:val="lowerRoman"/>
      <w:start w:val="1"/>
    </w:lvl>
  </w:abstractNum>
  <w:abstractNum w:abstractNumId="401">
    <w:nsid w:val="2C70EDAE"/>
    <w:multiLevelType w:val="hybridMultilevel"/>
    <w:lvl w:ilvl="0">
      <w:lvlJc w:val="left"/>
      <w:lvlText w:val="(%1)"/>
      <w:numFmt w:val="lowerLetter"/>
      <w:start w:val="18"/>
    </w:lvl>
    <w:lvl w:ilvl="1">
      <w:lvlJc w:val="left"/>
      <w:lvlText w:val="("/>
      <w:numFmt w:val="bullet"/>
      <w:start w:val="1"/>
    </w:lvl>
  </w:abstractNum>
  <w:abstractNum w:abstractNumId="402">
    <w:nsid w:val="44296C6D"/>
    <w:multiLevelType w:val="hybridMultilevel"/>
    <w:lvl w:ilvl="0">
      <w:lvlJc w:val="left"/>
      <w:lvlText w:val="(%1)"/>
      <w:numFmt w:val="lowerLetter"/>
      <w:start w:val="21"/>
    </w:lvl>
  </w:abstractNum>
  <w:abstractNum w:abstractNumId="403">
    <w:nsid w:val="3A86D445"/>
    <w:multiLevelType w:val="hybridMultilevel"/>
    <w:lvl w:ilvl="0">
      <w:lvlJc w:val="left"/>
      <w:lvlText w:val="(%1)"/>
      <w:numFmt w:val="lowerLetter"/>
      <w:start w:val="27"/>
    </w:lvl>
    <w:lvl w:ilvl="1">
      <w:lvlJc w:val="left"/>
      <w:lvlText w:val="(%2)"/>
      <w:numFmt w:val="lowerRoman"/>
      <w:start w:val="1"/>
    </w:lvl>
  </w:abstractNum>
  <w:abstractNum w:abstractNumId="404">
    <w:nsid w:val="51F79246"/>
    <w:multiLevelType w:val="hybridMultilevel"/>
    <w:lvl w:ilvl="0">
      <w:lvlJc w:val="left"/>
      <w:lvlText w:val="(%1)"/>
      <w:numFmt w:val="lowerLetter"/>
      <w:start w:val="28"/>
    </w:lvl>
  </w:abstractNum>
  <w:abstractNum w:abstractNumId="405">
    <w:nsid w:val="5BC9A827"/>
    <w:multiLevelType w:val="hybridMultilevel"/>
    <w:lvl w:ilvl="0">
      <w:lvlJc w:val="left"/>
      <w:lvlText w:val="(%1)"/>
      <w:numFmt w:val="lowerLetter"/>
      <w:start w:val="36"/>
    </w:lvl>
  </w:abstractNum>
  <w:abstractNum w:abstractNumId="406">
    <w:nsid w:val="3AE37D86"/>
    <w:multiLevelType w:val="hybridMultilevel"/>
    <w:lvl w:ilvl="0">
      <w:lvlJc w:val="left"/>
      <w:lvlText w:val="("/>
      <w:numFmt w:val="bullet"/>
      <w:start w:val="1"/>
    </w:lvl>
  </w:abstractNum>
  <w:abstractNum w:abstractNumId="407">
    <w:nsid w:val="45440FE5"/>
    <w:multiLevelType w:val="hybridMultilevel"/>
    <w:lvl w:ilvl="0">
      <w:lvlJc w:val="left"/>
      <w:lvlText w:val="(%1)"/>
      <w:numFmt w:val="lowerLetter"/>
      <w:start w:val="40"/>
    </w:lvl>
  </w:abstractNum>
  <w:abstractNum w:abstractNumId="408">
    <w:nsid w:val="BF783F"/>
    <w:multiLevelType w:val="hybridMultilevel"/>
    <w:lvl w:ilvl="0">
      <w:lvlJc w:val="left"/>
      <w:lvlText w:val="("/>
      <w:numFmt w:val="bullet"/>
      <w:start w:val="1"/>
    </w:lvl>
  </w:abstractNum>
  <w:abstractNum w:abstractNumId="409">
    <w:nsid w:val="22643EA9"/>
    <w:multiLevelType w:val="hybridMultilevel"/>
    <w:lvl w:ilvl="0">
      <w:lvlJc w:val="left"/>
      <w:lvlText w:val="%1"/>
      <w:numFmt w:val="decimal"/>
      <w:start w:val="1"/>
    </w:lvl>
    <w:lvl w:ilvl="1">
      <w:lvlJc w:val="left"/>
      <w:lvlText w:val="(%2)"/>
      <w:numFmt w:val="lowerLetter"/>
      <w:start w:val="42"/>
    </w:lvl>
  </w:abstractNum>
  <w:abstractNum w:abstractNumId="410">
    <w:nsid w:val="1887578D"/>
    <w:multiLevelType w:val="hybridMultilevel"/>
    <w:lvl w:ilvl="0">
      <w:lvlJc w:val="left"/>
      <w:lvlText w:val="(%1)"/>
      <w:numFmt w:val="decimal"/>
      <w:start w:val="6"/>
    </w:lvl>
    <w:lvl w:ilvl="1">
      <w:lvlJc w:val="left"/>
      <w:lvlText w:val="(%2)"/>
      <w:numFmt w:val="lowerLetter"/>
      <w:start w:val="43"/>
    </w:lvl>
  </w:abstractNum>
  <w:abstractNum w:abstractNumId="411">
    <w:nsid w:val="58C05B8A"/>
    <w:multiLevelType w:val="hybridMultilevel"/>
    <w:lvl w:ilvl="0">
      <w:lvlJc w:val="left"/>
      <w:lvlText w:val="("/>
      <w:numFmt w:val="bullet"/>
      <w:start w:val="1"/>
    </w:lvl>
  </w:abstractNum>
  <w:abstractNum w:abstractNumId="412">
    <w:nsid w:val="38D82E71"/>
    <w:multiLevelType w:val="hybridMultilevel"/>
    <w:lvl w:ilvl="0">
      <w:lvlJc w:val="left"/>
      <w:lvlText w:val="(%1)"/>
      <w:numFmt w:val="lowerLetter"/>
      <w:start w:val="49"/>
    </w:lvl>
  </w:abstractNum>
  <w:abstractNum w:abstractNumId="413">
    <w:nsid w:val="1E41098A"/>
    <w:multiLevelType w:val="hybridMultilevel"/>
    <w:lvl w:ilvl="0">
      <w:lvlJc w:val="left"/>
      <w:lvlText w:val="(%1)"/>
      <w:numFmt w:val="lowerLetter"/>
      <w:start w:val="53"/>
    </w:lvl>
  </w:abstractNum>
  <w:abstractNum w:abstractNumId="414">
    <w:nsid w:val="5398582C"/>
    <w:multiLevelType w:val="hybridMultilevel"/>
    <w:lvl w:ilvl="0">
      <w:lvlJc w:val="left"/>
      <w:lvlText w:val="(%1)"/>
      <w:numFmt w:val="lowerLetter"/>
      <w:start w:val="61"/>
    </w:lvl>
  </w:abstractNum>
  <w:abstractNum w:abstractNumId="415">
    <w:nsid w:val="1C0D4475"/>
    <w:multiLevelType w:val="hybridMultilevel"/>
    <w:lvl w:ilvl="0">
      <w:lvlJc w:val="left"/>
      <w:lvlText w:val="•"/>
      <w:numFmt w:val="bullet"/>
      <w:start w:val="1"/>
    </w:lvl>
  </w:abstractNum>
  <w:abstractNum w:abstractNumId="416">
    <w:nsid w:val="2CB6A6A4"/>
    <w:multiLevelType w:val="hybridMultilevel"/>
    <w:lvl w:ilvl="0">
      <w:lvlJc w:val="left"/>
      <w:lvlText w:val="•"/>
      <w:numFmt w:val="bullet"/>
      <w:start w:val="1"/>
    </w:lvl>
  </w:abstractNum>
  <w:abstractNum w:abstractNumId="417">
    <w:nsid w:val="41D646BC"/>
    <w:multiLevelType w:val="hybridMultilevel"/>
    <w:lvl w:ilvl="0">
      <w:lvlJc w:val="left"/>
      <w:lvlText w:val="%1."/>
      <w:numFmt w:val="decimal"/>
      <w:start w:val="1"/>
    </w:lvl>
    <w:lvl w:ilvl="1">
      <w:lvlJc w:val="left"/>
      <w:lvlText w:val="(%2)"/>
      <w:numFmt w:val="lowerLetter"/>
      <w:start w:val="1"/>
    </w:lvl>
  </w:abstractNum>
  <w:abstractNum w:abstractNumId="418">
    <w:nsid w:val="3694A76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419">
    <w:nsid w:val="2BF876EE"/>
    <w:multiLevelType w:val="hybridMultilevel"/>
    <w:lvl w:ilvl="0">
      <w:lvlJc w:val="left"/>
      <w:lvlText w:val="(%1)"/>
      <w:numFmt w:val="lowerRoman"/>
      <w:start w:val="2"/>
    </w:lvl>
  </w:abstractNum>
  <w:abstractNum w:abstractNumId="420">
    <w:nsid w:val="675ADBA"/>
    <w:multiLevelType w:val="hybridMultilevel"/>
    <w:lvl w:ilvl="0">
      <w:lvlJc w:val="left"/>
      <w:lvlText w:val="%1"/>
      <w:numFmt w:val="decimal"/>
      <w:start w:val="1"/>
    </w:lvl>
    <w:lvl w:ilvl="1">
      <w:lvlJc w:val="left"/>
      <w:lvlText w:val="(%2)"/>
      <w:numFmt w:val="lowerLetter"/>
      <w:start w:val="3"/>
    </w:lvl>
  </w:abstractNum>
  <w:abstractNum w:abstractNumId="421">
    <w:nsid w:val="C12AC7F"/>
    <w:multiLevelType w:val="hybridMultilevel"/>
    <w:lvl w:ilvl="0">
      <w:lvlJc w:val="left"/>
      <w:lvlText w:val="%1."/>
      <w:numFmt w:val="decimal"/>
      <w:start w:val="3"/>
    </w:lvl>
    <w:lvl w:ilvl="1">
      <w:lvlJc w:val="left"/>
      <w:lvlText w:val="(%2)"/>
      <w:numFmt w:val="lowerLetter"/>
      <w:start w:val="1"/>
    </w:lvl>
  </w:abstractNum>
  <w:abstractNum w:abstractNumId="422">
    <w:nsid w:val="6798F039"/>
    <w:multiLevelType w:val="hybridMultilevel"/>
    <w:lvl w:ilvl="0">
      <w:lvlJc w:val="left"/>
      <w:lvlText w:val="(%1)"/>
      <w:numFmt w:val="lowerLetter"/>
      <w:start w:val="3"/>
    </w:lvl>
  </w:abstractNum>
  <w:abstractNum w:abstractNumId="423">
    <w:nsid w:val="70837C02"/>
    <w:multiLevelType w:val="hybridMultilevel"/>
    <w:lvl w:ilvl="0">
      <w:lvlJc w:val="left"/>
      <w:lvlText w:val="%1."/>
      <w:numFmt w:val="decimal"/>
      <w:start w:val="4"/>
    </w:lvl>
  </w:abstractNum>
  <w:abstractNum w:abstractNumId="424">
    <w:nsid w:val="7E4A5715"/>
    <w:multiLevelType w:val="hybridMultilevel"/>
    <w:lvl w:ilvl="0">
      <w:lvlJc w:val="left"/>
      <w:lvlText w:val="%1."/>
      <w:numFmt w:val="decimal"/>
      <w:start w:val="5"/>
    </w:lvl>
    <w:lvl w:ilvl="1">
      <w:lvlJc w:val="left"/>
      <w:lvlText w:val="(%2)"/>
      <w:numFmt w:val="lowerLetter"/>
      <w:start w:val="1"/>
    </w:lvl>
  </w:abstractNum>
  <w:abstractNum w:abstractNumId="425">
    <w:nsid w:val="42B8AC67"/>
    <w:multiLevelType w:val="hybridMultilevel"/>
    <w:lvl w:ilvl="0">
      <w:lvlJc w:val="left"/>
      <w:lvlText w:val="("/>
      <w:numFmt w:val="bullet"/>
      <w:start w:val="1"/>
    </w:lvl>
  </w:abstractNum>
  <w:abstractNum w:abstractNumId="426">
    <w:nsid w:val="246348EA"/>
    <w:multiLevelType w:val="hybridMultilevel"/>
    <w:lvl w:ilvl="0">
      <w:lvlJc w:val="left"/>
      <w:lvlText w:val="%1"/>
      <w:numFmt w:val="decimal"/>
      <w:start w:val="1"/>
    </w:lvl>
    <w:lvl w:ilvl="1">
      <w:lvlJc w:val="left"/>
      <w:lvlText w:val="(%2)"/>
      <w:numFmt w:val="lowerLetter"/>
      <w:start w:val="6"/>
    </w:lvl>
  </w:abstractNum>
  <w:abstractNum w:abstractNumId="427">
    <w:nsid w:val="170EB52B"/>
    <w:multiLevelType w:val="hybridMultilevel"/>
    <w:lvl w:ilvl="0">
      <w:lvlJc w:val="left"/>
      <w:lvlText w:val="%1."/>
      <w:numFmt w:val="decimal"/>
      <w:start w:val="10"/>
    </w:lvl>
    <w:lvl w:ilvl="1">
      <w:lvlJc w:val="left"/>
      <w:lvlText w:val="%2"/>
      <w:numFmt w:val="lowerLetter"/>
      <w:start w:val="1"/>
    </w:lvl>
  </w:abstractNum>
  <w:abstractNum w:abstractNumId="428">
    <w:nsid w:val="2DFBCB8C"/>
    <w:multiLevelType w:val="hybridMultilevel"/>
    <w:lvl w:ilvl="0">
      <w:lvlJc w:val="left"/>
      <w:lvlText w:val="%1."/>
      <w:numFmt w:val="decimal"/>
      <w:start w:val="11"/>
    </w:lvl>
    <w:lvl w:ilvl="1">
      <w:lvlJc w:val="left"/>
      <w:lvlText w:val="*"/>
      <w:numFmt w:val="bullet"/>
      <w:start w:val="1"/>
    </w:lvl>
  </w:abstractNum>
  <w:abstractNum w:abstractNumId="429">
    <w:nsid w:val="3830D6B6"/>
    <w:multiLevelType w:val="hybridMultilevel"/>
    <w:lvl w:ilvl="0">
      <w:lvlJc w:val="left"/>
      <w:lvlText w:val="%1."/>
      <w:numFmt w:val="decimal"/>
      <w:start w:val="1"/>
    </w:lvl>
    <w:lvl w:ilvl="1">
      <w:lvlJc w:val="left"/>
      <w:lvlText w:val="(%2)"/>
      <w:numFmt w:val="lowerLetter"/>
      <w:start w:val="1"/>
    </w:lvl>
  </w:abstractNum>
  <w:abstractNum w:abstractNumId="430">
    <w:nsid w:val="6D48CF87"/>
    <w:multiLevelType w:val="hybridMultilevel"/>
    <w:lvl w:ilvl="0">
      <w:lvlJc w:val="left"/>
      <w:lvlText w:val="%1"/>
      <w:numFmt w:val="decimal"/>
      <w:start w:val="1"/>
    </w:lvl>
    <w:lvl w:ilvl="1">
      <w:lvlJc w:val="left"/>
      <w:lvlText w:val="(%2)"/>
      <w:numFmt w:val="lowerLetter"/>
      <w:start w:val="2"/>
    </w:lvl>
  </w:abstractNum>
  <w:abstractNum w:abstractNumId="431">
    <w:nsid w:val="576FC41B"/>
    <w:multiLevelType w:val="hybridMultilevel"/>
    <w:lvl w:ilvl="0">
      <w:lvlJc w:val="left"/>
      <w:lvlText w:val="%1."/>
      <w:numFmt w:val="decimal"/>
      <w:start w:val="2"/>
    </w:lvl>
    <w:lvl w:ilvl="1">
      <w:lvlJc w:val="left"/>
      <w:lvlText w:val="%2"/>
      <w:numFmt w:val="lowerLetter"/>
      <w:start w:val="1"/>
    </w:lvl>
  </w:abstractNum>
  <w:abstractNum w:abstractNumId="432">
    <w:nsid w:val="64A1C464"/>
    <w:multiLevelType w:val="hybridMultilevel"/>
    <w:lvl w:ilvl="0">
      <w:lvlJc w:val="left"/>
      <w:lvlText w:val="%1."/>
      <w:numFmt w:val="decimal"/>
      <w:start w:val="3"/>
    </w:lvl>
  </w:abstractNum>
  <w:abstractNum w:abstractNumId="433">
    <w:nsid w:val="31723BF5"/>
    <w:multiLevelType w:val="hybridMultilevel"/>
    <w:lvl w:ilvl="0">
      <w:lvlJc w:val="left"/>
      <w:lvlText w:val="(%1)"/>
      <w:numFmt w:val="lowerRoman"/>
      <w:start w:val="3"/>
    </w:lvl>
  </w:abstractNum>
  <w:abstractNum w:abstractNumId="434">
    <w:nsid w:val="11F69861"/>
    <w:multiLevelType w:val="hybridMultilevel"/>
    <w:lvl w:ilvl="0">
      <w:lvlJc w:val="left"/>
      <w:lvlText w:val="•"/>
      <w:numFmt w:val="bullet"/>
      <w:start w:val="1"/>
    </w:lvl>
    <w:lvl w:ilvl="1">
      <w:lvlJc w:val="left"/>
      <w:lvlText w:val="•"/>
      <w:numFmt w:val="bullet"/>
      <w:start w:val="1"/>
    </w:lvl>
  </w:abstractNum>
  <w:abstractNum w:abstractNumId="435">
    <w:nsid w:val="369956AB"/>
    <w:multiLevelType w:val="hybridMultilevel"/>
    <w:lvl w:ilvl="0">
      <w:lvlJc w:val="left"/>
      <w:lvlText w:val="%1."/>
      <w:numFmt w:val="decimal"/>
      <w:start w:val="1"/>
    </w:lvl>
  </w:abstractNum>
  <w:abstractNum w:abstractNumId="436">
    <w:nsid w:val="D3BE41C"/>
    <w:multiLevelType w:val="hybridMultilevel"/>
    <w:lvl w:ilvl="0">
      <w:lvlJc w:val="left"/>
      <w:lvlText w:val="%1"/>
      <w:numFmt w:val="decimal"/>
      <w:start w:val="1"/>
    </w:lvl>
    <w:lvl w:ilvl="1">
      <w:lvlJc w:val="left"/>
      <w:lvlText w:val="(%2)"/>
      <w:numFmt w:val="upperLetter"/>
      <w:start w:val="1"/>
    </w:lvl>
  </w:abstractNum>
  <w:abstractNum w:abstractNumId="437">
    <w:nsid w:val="4CDA15E7"/>
    <w:multiLevelType w:val="hybridMultilevel"/>
    <w:lvl w:ilvl="0">
      <w:lvlJc w:val="left"/>
      <w:lvlText w:val="%1."/>
      <w:numFmt w:val="decimal"/>
      <w:start w:val="2"/>
    </w:lvl>
    <w:lvl w:ilvl="1">
      <w:lvlJc w:val="left"/>
      <w:lvlText w:val="%2"/>
      <w:numFmt w:val="upperLetter"/>
      <w:start w:val="1"/>
    </w:lvl>
  </w:abstractNum>
  <w:abstractNum w:abstractNumId="438">
    <w:nsid w:val="7BDD6690"/>
    <w:multiLevelType w:val="hybridMultilevel"/>
    <w:lvl w:ilvl="0">
      <w:lvlJc w:val="left"/>
      <w:lvlText w:val="(%1)"/>
      <w:numFmt w:val="lowerRoman"/>
      <w:start w:val="1"/>
    </w:lvl>
  </w:abstractNum>
  <w:abstractNum w:abstractNumId="439">
    <w:nsid w:val="DFB5C5B"/>
    <w:multiLevelType w:val="hybridMultilevel"/>
    <w:lvl w:ilvl="0">
      <w:lvlJc w:val="left"/>
      <w:lvlText w:val="(%1)"/>
      <w:numFmt w:val="upperLetter"/>
      <w:start w:val="1"/>
    </w:lvl>
  </w:abstractNum>
  <w:abstractNum w:abstractNumId="440">
    <w:nsid w:val="6F3E5490"/>
    <w:multiLevelType w:val="hybridMultilevel"/>
    <w:lvl w:ilvl="0">
      <w:lvlJc w:val="left"/>
      <w:lvlText w:val="(%1)"/>
      <w:numFmt w:val="upperLetter"/>
      <w:start w:val="3"/>
    </w:lvl>
  </w:abstractNum>
  <w:abstractNum w:abstractNumId="441">
    <w:nsid w:val="1464BE1E"/>
    <w:multiLevelType w:val="hybridMultilevel"/>
    <w:lvl w:ilvl="0">
      <w:lvlJc w:val="left"/>
      <w:lvlText w:val="%1."/>
      <w:numFmt w:val="decimal"/>
      <w:start w:val="3"/>
    </w:lvl>
  </w:abstractNum>
  <w:abstractNum w:abstractNumId="442">
    <w:nsid w:val="66BBB7E5"/>
    <w:multiLevelType w:val="hybridMultilevel"/>
    <w:lvl w:ilvl="0">
      <w:lvlJc w:val="left"/>
      <w:lvlText w:val="(%1)"/>
      <w:numFmt w:val="lowerRoman"/>
      <w:start w:val="1"/>
    </w:lvl>
  </w:abstractNum>
  <w:abstractNum w:abstractNumId="443">
    <w:nsid w:val="28168302"/>
    <w:multiLevelType w:val="hybridMultilevel"/>
    <w:lvl w:ilvl="0">
      <w:lvlJc w:val="left"/>
      <w:lvlText w:val="(%1)"/>
      <w:numFmt w:val="lowerRoman"/>
      <w:start w:val="4"/>
    </w:lvl>
  </w:abstractNum>
  <w:abstractNum w:abstractNumId="444">
    <w:nsid w:val="32A5C7A8"/>
    <w:multiLevelType w:val="hybridMultilevel"/>
    <w:lvl w:ilvl="0">
      <w:lvlJc w:val="left"/>
      <w:lvlText w:val="%1."/>
      <w:numFmt w:val="decimal"/>
      <w:start w:val="5"/>
    </w:lvl>
  </w:abstractNum>
  <w:abstractNum w:abstractNumId="445">
    <w:nsid w:val="3A541011"/>
    <w:multiLevelType w:val="hybridMultilevel"/>
    <w:lvl w:ilvl="0">
      <w:lvlJc w:val="left"/>
      <w:lvlText w:val="(%1)"/>
      <w:numFmt w:val="lowerRoman"/>
      <w:start w:val="1"/>
    </w:lvl>
  </w:abstractNum>
  <w:abstractNum w:abstractNumId="446">
    <w:nsid w:val="4423C777"/>
    <w:multiLevelType w:val="hybridMultilevel"/>
    <w:lvl w:ilvl="0">
      <w:lvlJc w:val="left"/>
      <w:lvlText w:val="•"/>
      <w:numFmt w:val="bullet"/>
      <w:start w:val="1"/>
    </w:lvl>
  </w:abstractNum>
  <w:abstractNum w:abstractNumId="447">
    <w:nsid w:val="5F5C6E4D"/>
    <w:multiLevelType w:val="hybridMultilevel"/>
    <w:lvl w:ilvl="0">
      <w:lvlJc w:val="left"/>
      <w:lvlText w:val="•"/>
      <w:numFmt w:val="bullet"/>
      <w:start w:val="1"/>
    </w:lvl>
  </w:abstractNum>
  <w:abstractNum w:abstractNumId="448">
    <w:nsid w:val="7C2A56CD"/>
    <w:multiLevelType w:val="hybridMultilevel"/>
    <w:lvl w:ilvl="0">
      <w:lvlJc w:val="left"/>
      <w:lvlText w:val="%1."/>
      <w:numFmt w:val="decimal"/>
      <w:start w:val="1"/>
    </w:lvl>
    <w:lvl w:ilvl="1">
      <w:lvlJc w:val="left"/>
      <w:lvlText w:val="(%2)"/>
      <w:numFmt w:val="lowerLetter"/>
      <w:start w:val="1"/>
    </w:lvl>
  </w:abstractNum>
  <w:abstractNum w:abstractNumId="449">
    <w:nsid w:val="7AB86EE1"/>
    <w:multiLevelType w:val="hybridMultilevel"/>
    <w:lvl w:ilvl="0">
      <w:lvlJc w:val="left"/>
      <w:lvlText w:val="%1."/>
      <w:numFmt w:val="decimal"/>
      <w:start w:val="2"/>
    </w:lvl>
    <w:lvl w:ilvl="1">
      <w:lvlJc w:val="left"/>
      <w:lvlText w:val="(%2)"/>
      <w:numFmt w:val="lowerLetter"/>
      <w:start w:val="1"/>
    </w:lvl>
  </w:abstractNum>
  <w:abstractNum w:abstractNumId="450">
    <w:nsid w:val="B54E53B"/>
    <w:multiLevelType w:val="hybridMultilevel"/>
    <w:lvl w:ilvl="0">
      <w:lvlJc w:val="left"/>
      <w:lvlText w:val="("/>
      <w:numFmt w:val="bullet"/>
      <w:start w:val="1"/>
    </w:lvl>
  </w:abstractNum>
  <w:abstractNum w:abstractNumId="451">
    <w:nsid w:val="2A00487"/>
    <w:multiLevelType w:val="hybridMultilevel"/>
    <w:lvl w:ilvl="0">
      <w:lvlJc w:val="left"/>
      <w:lvlText w:val="%1"/>
      <w:numFmt w:val="decimal"/>
      <w:start w:val="1"/>
    </w:lvl>
    <w:lvl w:ilvl="1">
      <w:lvlJc w:val="left"/>
      <w:lvlText w:val="(%2)"/>
      <w:numFmt w:val="lowerLetter"/>
      <w:start w:val="3"/>
    </w:lvl>
  </w:abstractNum>
  <w:abstractNum w:abstractNumId="452">
    <w:nsid w:val="6CB1B60"/>
    <w:multiLevelType w:val="hybridMultilevel"/>
    <w:lvl w:ilvl="0">
      <w:lvlJc w:val="left"/>
      <w:lvlText w:val="%1."/>
      <w:numFmt w:val="decimal"/>
      <w:start w:val="5"/>
    </w:lvl>
    <w:lvl w:ilvl="1">
      <w:lvlJc w:val="left"/>
      <w:lvlText w:val="%2"/>
      <w:numFmt w:val="lowerLetter"/>
      <w:start w:val="1"/>
    </w:lvl>
  </w:abstractNum>
  <w:abstractNum w:abstractNumId="453">
    <w:nsid w:val="72EDD574"/>
    <w:multiLevelType w:val="hybridMultilevel"/>
    <w:lvl w:ilvl="0">
      <w:lvlJc w:val="left"/>
      <w:lvlText w:val="%1."/>
      <w:numFmt w:val="decimal"/>
      <w:start w:val="9"/>
    </w:lvl>
  </w:abstractNum>
  <w:abstractNum w:abstractNumId="454">
    <w:nsid w:val="7323808A"/>
    <w:multiLevelType w:val="hybridMultilevel"/>
    <w:lvl w:ilvl="0">
      <w:lvlJc w:val="left"/>
      <w:lvlText w:val="("/>
      <w:numFmt w:val="bullet"/>
      <w:start w:val="1"/>
    </w:lvl>
  </w:abstractNum>
  <w:abstractNum w:abstractNumId="455">
    <w:nsid w:val="5157276"/>
    <w:multiLevelType w:val="hybridMultilevel"/>
    <w:lvl w:ilvl="0">
      <w:lvlJc w:val="left"/>
      <w:lvlText w:val="(%1)"/>
      <w:numFmt w:val="lowerLetter"/>
      <w:start w:val="2"/>
    </w:lvl>
  </w:abstractNum>
  <w:abstractNum w:abstractNumId="456">
    <w:nsid w:val="35A681DB"/>
    <w:multiLevelType w:val="hybridMultilevel"/>
    <w:lvl w:ilvl="0">
      <w:lvlJc w:val="left"/>
      <w:lvlText w:val="%1."/>
      <w:numFmt w:val="decimal"/>
      <w:start w:val="11"/>
    </w:lvl>
  </w:abstractNum>
  <w:abstractNum w:abstractNumId="457">
    <w:nsid w:val="1786C974"/>
    <w:multiLevelType w:val="hybridMultilevel"/>
    <w:lvl w:ilvl="0">
      <w:lvlJc w:val="left"/>
      <w:lvlText w:val="%1."/>
      <w:numFmt w:val="decimal"/>
      <w:start w:val="1"/>
    </w:lvl>
  </w:abstractNum>
  <w:abstractNum w:abstractNumId="458">
    <w:nsid w:val="1C2427A1"/>
    <w:multiLevelType w:val="hybridMultilevel"/>
    <w:lvl w:ilvl="0">
      <w:lvlJc w:val="left"/>
      <w:lvlText w:val="%1."/>
      <w:numFmt w:val="decimal"/>
      <w:start w:val="2"/>
    </w:lvl>
    <w:lvl w:ilvl="1">
      <w:lvlJc w:val="left"/>
      <w:lvlText w:val="(%2)"/>
      <w:numFmt w:val="lowerLetter"/>
      <w:start w:val="1"/>
    </w:lvl>
  </w:abstractNum>
  <w:abstractNum w:abstractNumId="459">
    <w:nsid w:val="63A24D68"/>
    <w:multiLevelType w:val="hybridMultilevel"/>
    <w:lvl w:ilvl="0">
      <w:lvlJc w:val="left"/>
      <w:lvlText w:val="%1."/>
      <w:numFmt w:val="decimal"/>
      <w:start w:val="2"/>
    </w:lvl>
    <w:lvl w:ilvl="1">
      <w:lvlJc w:val="left"/>
      <w:lvlText w:val="("/>
      <w:numFmt w:val="bullet"/>
      <w:start w:val="1"/>
    </w:lvl>
  </w:abstractNum>
  <w:abstractNum w:abstractNumId="460">
    <w:nsid w:val="4FB7A02A"/>
    <w:multiLevelType w:val="hybridMultilevel"/>
    <w:lvl w:ilvl="0">
      <w:lvlJc w:val="left"/>
      <w:lvlText w:val="%1"/>
      <w:numFmt w:val="upperLetter"/>
      <w:start w:val="1"/>
    </w:lvl>
    <w:lvl w:ilvl="1">
      <w:lvlJc w:val="left"/>
      <w:lvlText w:val="%2."/>
      <w:numFmt w:val="decimal"/>
      <w:start w:val="4"/>
    </w:lvl>
  </w:abstractNum>
  <w:abstractNum w:abstractNumId="461">
    <w:nsid w:val="96CF728"/>
    <w:multiLevelType w:val="hybridMultilevel"/>
    <w:lvl w:ilvl="0">
      <w:lvlJc w:val="left"/>
      <w:lvlText w:val="%1."/>
      <w:numFmt w:val="upperLetter"/>
      <w:start w:val="35"/>
    </w:lvl>
    <w:lvl w:ilvl="1">
      <w:lvlJc w:val="left"/>
      <w:lvlText w:val="%2"/>
      <w:numFmt w:val="decimal"/>
      <w:start w:val="1"/>
    </w:lvl>
  </w:abstractNum>
  <w:abstractNum w:abstractNumId="462">
    <w:nsid w:val="3B121183"/>
    <w:multiLevelType w:val="hybridMultilevel"/>
    <w:lvl w:ilvl="0">
      <w:lvlJc w:val="left"/>
      <w:lvlText w:val="(%1)"/>
      <w:numFmt w:val="lowerLetter"/>
      <w:start w:val="1"/>
    </w:lvl>
  </w:abstractNum>
  <w:abstractNum w:abstractNumId="463">
    <w:nsid w:val="3459648F"/>
    <w:multiLevelType w:val="hybridMultilevel"/>
    <w:lvl w:ilvl="0">
      <w:lvlJc w:val="left"/>
      <w:lvlText w:val="(%1)"/>
      <w:numFmt w:val="lowerLetter"/>
      <w:start w:val="2"/>
    </w:lvl>
  </w:abstractNum>
  <w:abstractNum w:abstractNumId="464">
    <w:nsid w:val="3ADF331D"/>
    <w:multiLevelType w:val="hybridMultilevel"/>
    <w:lvl w:ilvl="0">
      <w:lvlJc w:val="left"/>
      <w:lvlText w:val="(%1)"/>
      <w:numFmt w:val="lowerRoman"/>
      <w:start w:val="2"/>
    </w:lvl>
  </w:abstractNum>
  <w:abstractNum w:abstractNumId="465">
    <w:nsid w:val="4D08A9E4"/>
    <w:multiLevelType w:val="hybridMultilevel"/>
    <w:lvl w:ilvl="0">
      <w:lvlJc w:val="left"/>
      <w:lvlText w:val="(%1)"/>
      <w:numFmt w:val="lowerRoman"/>
      <w:start w:val="8"/>
    </w:lvl>
  </w:abstractNum>
  <w:abstractNum w:abstractNumId="466">
    <w:nsid w:val="6AF2BB3A"/>
    <w:multiLevelType w:val="hybridMultilevel"/>
    <w:lvl w:ilvl="0">
      <w:lvlJc w:val="left"/>
      <w:lvlText w:val="(%1)"/>
      <w:numFmt w:val="lowerRoman"/>
      <w:start w:val="10"/>
    </w:lvl>
  </w:abstractNum>
  <w:abstractNum w:abstractNumId="467">
    <w:nsid w:val="481B1739"/>
    <w:multiLevelType w:val="hybridMultilevel"/>
    <w:lvl w:ilvl="0">
      <w:lvlJc w:val="left"/>
      <w:lvlText w:val="(%1)"/>
      <w:numFmt w:val="lowerLetter"/>
      <w:start w:val="1"/>
    </w:lvl>
  </w:abstractNum>
  <w:abstractNum w:abstractNumId="468">
    <w:nsid w:val="19E2BFCC"/>
    <w:multiLevelType w:val="hybridMultilevel"/>
    <w:lvl w:ilvl="0">
      <w:lvlJc w:val="left"/>
      <w:lvlText w:val="%1."/>
      <w:numFmt w:val="decimal"/>
      <w:start w:val="1"/>
    </w:lvl>
  </w:abstractNum>
  <w:abstractNum w:abstractNumId="469">
    <w:nsid w:val="66D021CA"/>
    <w:multiLevelType w:val="hybridMultilevel"/>
    <w:lvl w:ilvl="0">
      <w:lvlJc w:val="left"/>
      <w:lvlText w:val="%1"/>
      <w:numFmt w:val="decimal"/>
      <w:start w:val="1"/>
    </w:lvl>
    <w:lvl w:ilvl="1">
      <w:lvlJc w:val="left"/>
      <w:lvlText w:val="(%2)"/>
      <w:numFmt w:val="upperLetter"/>
      <w:start w:val="1"/>
    </w:lvl>
  </w:abstractNum>
  <w:abstractNum w:abstractNumId="470">
    <w:nsid w:val="56167394"/>
    <w:multiLevelType w:val="hybridMultilevel"/>
    <w:lvl w:ilvl="0">
      <w:lvlJc w:val="left"/>
      <w:lvlText w:val="%1."/>
      <w:numFmt w:val="decimal"/>
      <w:start w:val="2"/>
    </w:lvl>
    <w:lvl w:ilvl="1">
      <w:lvlJc w:val="left"/>
      <w:lvlText w:val="%2"/>
      <w:numFmt w:val="upperLetter"/>
      <w:start w:val="1"/>
    </w:lvl>
  </w:abstractNum>
  <w:abstractNum w:abstractNumId="471">
    <w:nsid w:val="921145C"/>
    <w:multiLevelType w:val="hybridMultilevel"/>
    <w:lvl w:ilvl="0">
      <w:lvlJc w:val="left"/>
      <w:lvlText w:val="(%1)"/>
      <w:numFmt w:val="lowerRoman"/>
      <w:start w:val="1"/>
    </w:lvl>
    <w:lvl w:ilvl="1">
      <w:lvlJc w:val="left"/>
      <w:lvlText w:val="(%2)"/>
      <w:numFmt w:val="upperLetter"/>
      <w:start w:val="1"/>
    </w:lvl>
  </w:abstractNum>
  <w:abstractNum w:abstractNumId="472">
    <w:nsid w:val="7B34DFE8"/>
    <w:multiLevelType w:val="hybridMultilevel"/>
    <w:lvl w:ilvl="0">
      <w:lvlJc w:val="left"/>
      <w:lvlText w:val="(%1)"/>
      <w:numFmt w:val="upperLetter"/>
      <w:start w:val="3"/>
    </w:lvl>
  </w:abstractNum>
  <w:abstractNum w:abstractNumId="473">
    <w:nsid w:val="3CD22B79"/>
    <w:multiLevelType w:val="hybridMultilevel"/>
    <w:lvl w:ilvl="0">
      <w:lvlJc w:val="left"/>
      <w:lvlText w:val="%1."/>
      <w:numFmt w:val="decimal"/>
      <w:start w:val="3"/>
    </w:lvl>
  </w:abstractNum>
  <w:abstractNum w:abstractNumId="474">
    <w:nsid w:val="3137975E"/>
    <w:multiLevelType w:val="hybridMultilevel"/>
    <w:lvl w:ilvl="0">
      <w:lvlJc w:val="left"/>
      <w:lvlText w:val="(%1)"/>
      <w:numFmt w:val="lowerRoman"/>
      <w:start w:val="1"/>
    </w:lvl>
  </w:abstractNum>
  <w:abstractNum w:abstractNumId="475">
    <w:nsid w:val="2DDAA791"/>
    <w:multiLevelType w:val="hybridMultilevel"/>
    <w:lvl w:ilvl="0">
      <w:lvlJc w:val="left"/>
      <w:lvlText w:val="(%1)"/>
      <w:numFmt w:val="lowerRoman"/>
      <w:start w:val="4"/>
    </w:lvl>
  </w:abstractNum>
  <w:abstractNum w:abstractNumId="476">
    <w:nsid w:val="77263B8A"/>
    <w:multiLevelType w:val="hybridMultilevel"/>
    <w:lvl w:ilvl="0">
      <w:lvlJc w:val="left"/>
      <w:lvlText w:val="%1."/>
      <w:numFmt w:val="decimal"/>
      <w:start w:val="5"/>
    </w:lvl>
  </w:abstractNum>
  <w:abstractNum w:abstractNumId="477">
    <w:nsid w:val="755B5ED6"/>
    <w:multiLevelType w:val="hybridMultilevel"/>
    <w:lvl w:ilvl="0">
      <w:lvlJc w:val="left"/>
      <w:lvlText w:val="(%1)"/>
      <w:numFmt w:val="lowerRoman"/>
      <w:start w:val="1"/>
    </w:lvl>
  </w:abstractNum>
  <w:abstractNum w:abstractNumId="478">
    <w:nsid w:val="D3715D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79">
    <w:nsid w:val="73509257"/>
    <w:multiLevelType w:val="hybridMultilevel"/>
    <w:lvl w:ilvl="0">
      <w:lvlJc w:val="left"/>
      <w:lvlText w:val="("/>
      <w:numFmt w:val="bullet"/>
      <w:start w:val="1"/>
    </w:lvl>
  </w:abstractNum>
  <w:abstractNum w:abstractNumId="480">
    <w:nsid w:val="7013CDB7"/>
    <w:multiLevelType w:val="hybridMultilevel"/>
    <w:lvl w:ilvl="0">
      <w:lvlJc w:val="left"/>
      <w:lvlText w:val="%1"/>
      <w:numFmt w:val="lowerLetter"/>
      <w:start w:val="1"/>
    </w:lvl>
    <w:lvl w:ilvl="1">
      <w:lvlJc w:val="left"/>
      <w:lvlText w:val="(%2)"/>
      <w:numFmt w:val="lowerRoman"/>
      <w:start w:val="3"/>
    </w:lvl>
  </w:abstractNum>
  <w:abstractNum w:abstractNumId="481">
    <w:nsid w:val="188BFB19"/>
    <w:multiLevelType w:val="hybridMultilevel"/>
    <w:lvl w:ilvl="0">
      <w:lvlJc w:val="left"/>
      <w:lvlText w:val="(%1)"/>
      <w:numFmt w:val="lowerLetter"/>
      <w:start w:val="3"/>
    </w:lvl>
    <w:lvl w:ilvl="1">
      <w:lvlJc w:val="left"/>
      <w:lvlText w:val="%2"/>
      <w:numFmt w:val="lowerRoman"/>
      <w:start w:val="1"/>
    </w:lvl>
  </w:abstractNum>
  <w:abstractNum w:abstractNumId="482">
    <w:nsid w:val="75F096DF"/>
    <w:multiLevelType w:val="hybridMultilevel"/>
    <w:lvl w:ilvl="0">
      <w:lvlJc w:val="left"/>
      <w:lvlText w:val="%1."/>
      <w:numFmt w:val="decimal"/>
      <w:start w:val="2"/>
    </w:lvl>
    <w:lvl w:ilvl="1">
      <w:lvlJc w:val="left"/>
      <w:lvlText w:val="("/>
      <w:numFmt w:val="bullet"/>
      <w:start w:val="1"/>
    </w:lvl>
  </w:abstractNum>
  <w:abstractNum w:abstractNumId="483">
    <w:nsid w:val="76DEE918"/>
    <w:multiLevelType w:val="hybridMultilevel"/>
    <w:lvl w:ilvl="0">
      <w:lvlJc w:val="left"/>
      <w:lvlText w:val="("/>
      <w:numFmt w:val="bullet"/>
      <w:start w:val="1"/>
    </w:lvl>
  </w:abstractNum>
  <w:abstractNum w:abstractNumId="484">
    <w:nsid w:val="B79D08D"/>
    <w:multiLevelType w:val="hybridMultilevel"/>
    <w:lvl w:ilvl="0">
      <w:lvlJc w:val="left"/>
      <w:lvlText w:val="("/>
      <w:numFmt w:val="bullet"/>
      <w:start w:val="1"/>
    </w:lvl>
  </w:abstractNum>
  <w:abstractNum w:abstractNumId="485">
    <w:nsid w:val="69141769"/>
    <w:multiLevelType w:val="hybridMultilevel"/>
    <w:lvl w:ilvl="0">
      <w:lvlJc w:val="left"/>
      <w:lvlText w:val="%1"/>
      <w:numFmt w:val="decimal"/>
      <w:start w:val="1"/>
    </w:lvl>
    <w:lvl w:ilvl="1">
      <w:lvlJc w:val="left"/>
      <w:lvlText w:val="(%2)"/>
      <w:numFmt w:val="lowerLetter"/>
      <w:start w:val="3"/>
    </w:lvl>
  </w:abstractNum>
  <w:abstractNum w:abstractNumId="486">
    <w:nsid w:val="7BF45B8E"/>
    <w:multiLevelType w:val="hybridMultilevel"/>
    <w:lvl w:ilvl="0">
      <w:lvlJc w:val="left"/>
      <w:lvlText w:val="%1."/>
      <w:numFmt w:val="decimal"/>
      <w:start w:val="4"/>
    </w:lvl>
    <w:lvl w:ilvl="1">
      <w:lvlJc w:val="left"/>
      <w:lvlText w:val="(%2)"/>
      <w:numFmt w:val="lowerLetter"/>
      <w:start w:val="1"/>
    </w:lvl>
  </w:abstractNum>
  <w:abstractNum w:abstractNumId="487">
    <w:nsid w:val="41205269"/>
    <w:multiLevelType w:val="hybridMultilevel"/>
    <w:lvl w:ilvl="0">
      <w:lvlJc w:val="left"/>
      <w:lvlText w:val="("/>
      <w:numFmt w:val="bullet"/>
      <w:start w:val="1"/>
    </w:lvl>
  </w:abstractNum>
  <w:abstractNum w:abstractNumId="488">
    <w:nsid w:val="9AE0DD"/>
    <w:multiLevelType w:val="hybridMultilevel"/>
    <w:lvl w:ilvl="0">
      <w:lvlJc w:val="left"/>
      <w:lvlText w:val="%1."/>
      <w:numFmt w:val="decimal"/>
      <w:start w:val="4"/>
    </w:lvl>
    <w:lvl w:ilvl="1">
      <w:lvlJc w:val="left"/>
      <w:lvlText w:val="("/>
      <w:numFmt w:val="bullet"/>
      <w:start w:val="1"/>
    </w:lvl>
  </w:abstractNum>
  <w:abstractNum w:abstractNumId="489">
    <w:nsid w:val="1818832F"/>
    <w:multiLevelType w:val="hybridMultilevel"/>
    <w:lvl w:ilvl="0">
      <w:lvlJc w:val="left"/>
      <w:lvlText w:val="("/>
      <w:numFmt w:val="bullet"/>
      <w:start w:val="1"/>
    </w:lvl>
  </w:abstractNum>
  <w:abstractNum w:abstractNumId="490">
    <w:nsid w:val="24C29FD1"/>
    <w:multiLevelType w:val="hybridMultilevel"/>
    <w:lvl w:ilvl="0">
      <w:lvlJc w:val="left"/>
      <w:lvlText w:val="(%1)"/>
      <w:numFmt w:val="lowerLetter"/>
      <w:start w:val="2"/>
    </w:lvl>
  </w:abstractNum>
  <w:abstractNum w:abstractNumId="491">
    <w:nsid w:val="50528108"/>
    <w:multiLevelType w:val="hybridMultilevel"/>
    <w:lvl w:ilvl="0">
      <w:lvlJc w:val="left"/>
      <w:lvlText w:val="%1"/>
      <w:numFmt w:val="lowerLetter"/>
      <w:start w:val="1"/>
    </w:lvl>
    <w:lvl w:ilvl="1">
      <w:lvlJc w:val="left"/>
      <w:lvlText w:val="(%2)"/>
      <w:numFmt w:val="lowerRoman"/>
      <w:start w:val="1"/>
    </w:lvl>
  </w:abstractNum>
  <w:abstractNum w:abstractNumId="492">
    <w:nsid w:val="21857A57"/>
    <w:multiLevelType w:val="hybridMultilevel"/>
    <w:lvl w:ilvl="0">
      <w:lvlJc w:val="left"/>
      <w:lvlText w:val="(%1)"/>
      <w:numFmt w:val="lowerLetter"/>
      <w:start w:val="3"/>
    </w:lvl>
    <w:lvl w:ilvl="1">
      <w:lvlJc w:val="left"/>
      <w:lvlText w:val="%2"/>
      <w:numFmt w:val="lowerRoman"/>
      <w:start w:val="1"/>
    </w:lvl>
  </w:abstractNum>
  <w:abstractNum w:abstractNumId="493">
    <w:nsid w:val="5FD4B154"/>
    <w:multiLevelType w:val="hybridMultilevel"/>
    <w:lvl w:ilvl="0">
      <w:lvlJc w:val="left"/>
      <w:lvlText w:val="("/>
      <w:numFmt w:val="bullet"/>
      <w:start w:val="1"/>
    </w:lvl>
  </w:abstractNum>
  <w:abstractNum w:abstractNumId="494">
    <w:nsid w:val="4ABE597"/>
    <w:multiLevelType w:val="hybridMultilevel"/>
    <w:lvl w:ilvl="0">
      <w:lvlJc w:val="left"/>
      <w:lvlText w:val="%1."/>
      <w:numFmt w:val="decimal"/>
      <w:start w:val="5"/>
    </w:lvl>
    <w:lvl w:ilvl="1">
      <w:lvlJc w:val="left"/>
      <w:lvlText w:val="("/>
      <w:numFmt w:val="bullet"/>
      <w:start w:val="1"/>
    </w:lvl>
  </w:abstractNum>
  <w:abstractNum w:abstractNumId="495">
    <w:nsid w:val="5C64AD75"/>
    <w:multiLevelType w:val="hybridMultilevel"/>
    <w:lvl w:ilvl="0">
      <w:lvlJc w:val="left"/>
      <w:lvlText w:val="(%1)"/>
      <w:numFmt w:val="lowerLetter"/>
      <w:start w:val="1"/>
    </w:lvl>
  </w:abstractNum>
  <w:abstractNum w:abstractNumId="496">
    <w:nsid w:val="2CDD5B39"/>
    <w:multiLevelType w:val="hybridMultilevel"/>
    <w:lvl w:ilvl="0">
      <w:lvlJc w:val="left"/>
      <w:lvlText w:val="("/>
      <w:numFmt w:val="bullet"/>
      <w:start w:val="1"/>
    </w:lvl>
  </w:abstractNum>
  <w:abstractNum w:abstractNumId="497">
    <w:nsid w:val="6F9EA0D1"/>
    <w:multiLevelType w:val="hybridMultilevel"/>
    <w:lvl w:ilvl="0">
      <w:lvlJc w:val="left"/>
      <w:lvlText w:val="(%1)"/>
      <w:numFmt w:val="lowerLetter"/>
      <w:start w:val="3"/>
    </w:lvl>
  </w:abstractNum>
  <w:abstractNum w:abstractNumId="498">
    <w:nsid w:val="247FC4AE"/>
    <w:multiLevelType w:val="hybridMultilevel"/>
    <w:lvl w:ilvl="0">
      <w:lvlJc w:val="left"/>
      <w:lvlText w:val="%1"/>
      <w:numFmt w:val="decimal"/>
      <w:start w:val="1"/>
    </w:lvl>
    <w:lvl w:ilvl="1">
      <w:lvlJc w:val="left"/>
      <w:lvlText w:val="("/>
      <w:numFmt w:val="bullet"/>
      <w:start w:val="1"/>
    </w:lvl>
    <w:lvl w:ilvl="2">
      <w:lvlJc w:val="left"/>
      <w:lvlText w:val="(%3)"/>
      <w:numFmt w:val="lowerRoman"/>
      <w:start w:val="1"/>
    </w:lvl>
  </w:abstractNum>
  <w:abstractNum w:abstractNumId="499">
    <w:nsid w:val="46C01B05"/>
    <w:multiLevelType w:val="hybridMultilevel"/>
    <w:lvl w:ilvl="0">
      <w:lvlJc w:val="left"/>
      <w:lvlText w:val="%1."/>
      <w:numFmt w:val="decimal"/>
      <w:start w:val="7"/>
    </w:lvl>
    <w:lvl w:ilvl="1">
      <w:lvlJc w:val="left"/>
      <w:lvlText w:val="("/>
      <w:numFmt w:val="bullet"/>
      <w:start w:val="1"/>
    </w:lvl>
    <w:lvl w:ilvl="2">
      <w:lvlJc w:val="left"/>
      <w:lvlText w:val="%3"/>
      <w:numFmt w:val="lowerRoman"/>
      <w:start w:val="1"/>
    </w:lvl>
  </w:abstractNum>
  <w:abstractNum w:abstractNumId="500">
    <w:nsid w:val="566EC29B"/>
    <w:multiLevelType w:val="hybridMultilevel"/>
    <w:lvl w:ilvl="0">
      <w:lvlJc w:val="left"/>
      <w:lvlText w:val="(%1)"/>
      <w:numFmt w:val="lowerLetter"/>
      <w:start w:val="1"/>
    </w:lvl>
  </w:abstractNum>
  <w:abstractNum w:abstractNumId="501">
    <w:nsid w:val="7A963843"/>
    <w:multiLevelType w:val="hybridMultilevel"/>
    <w:lvl w:ilvl="0">
      <w:lvlJc w:val="left"/>
      <w:lvlText w:val="(%1)"/>
      <w:numFmt w:val="lowerLetter"/>
      <w:start w:val="3"/>
    </w:lvl>
  </w:abstractNum>
  <w:abstractNum w:abstractNumId="502">
    <w:nsid w:val="4FE12F61"/>
    <w:multiLevelType w:val="hybridMultilevel"/>
    <w:lvl w:ilvl="0">
      <w:lvlJc w:val="left"/>
      <w:lvlText w:val="("/>
      <w:numFmt w:val="bullet"/>
      <w:start w:val="1"/>
    </w:lvl>
  </w:abstractNum>
  <w:abstractNum w:abstractNumId="503">
    <w:nsid w:val="51A3A284"/>
    <w:multiLevelType w:val="hybridMultilevel"/>
    <w:lvl w:ilvl="0">
      <w:lvlJc w:val="left"/>
      <w:lvlText w:val="%1"/>
      <w:numFmt w:val="decimal"/>
      <w:start w:val="1"/>
    </w:lvl>
    <w:lvl w:ilvl="1">
      <w:lvlJc w:val="left"/>
      <w:lvlText w:val="(%2)"/>
      <w:numFmt w:val="lowerLetter"/>
      <w:start w:val="5"/>
    </w:lvl>
  </w:abstractNum>
  <w:abstractNum w:abstractNumId="504">
    <w:nsid w:val="376863BC"/>
    <w:multiLevelType w:val="hybridMultilevel"/>
    <w:lvl w:ilvl="0">
      <w:lvlJc w:val="left"/>
      <w:lvlText w:val="%1."/>
      <w:numFmt w:val="decimal"/>
      <w:start w:val="8"/>
    </w:lvl>
    <w:lvl w:ilvl="1">
      <w:lvlJc w:val="left"/>
      <w:lvlText w:val="(%2)"/>
      <w:numFmt w:val="lowerLetter"/>
      <w:start w:val="1"/>
    </w:lvl>
  </w:abstractNum>
  <w:abstractNum w:abstractNumId="505">
    <w:nsid w:val="118C6C0"/>
    <w:multiLevelType w:val="hybridMultilevel"/>
    <w:lvl w:ilvl="0">
      <w:lvlJc w:val="left"/>
      <w:lvlText w:val="%1"/>
      <w:numFmt w:val="decimal"/>
      <w:start w:val="1"/>
    </w:lvl>
    <w:lvl w:ilvl="1">
      <w:lvlJc w:val="left"/>
      <w:lvlText w:val="(%2)"/>
      <w:numFmt w:val="lowerLetter"/>
      <w:start w:val="3"/>
    </w:lvl>
  </w:abstractNum>
  <w:abstractNum w:abstractNumId="506">
    <w:nsid w:val="7F7E4A15"/>
    <w:multiLevelType w:val="hybridMultilevel"/>
    <w:lvl w:ilvl="0">
      <w:lvlJc w:val="left"/>
      <w:lvlText w:val="%1."/>
      <w:numFmt w:val="decimal"/>
      <w:start w:val="9"/>
    </w:lvl>
    <w:lvl w:ilvl="1">
      <w:lvlJc w:val="left"/>
      <w:lvlText w:val="%2"/>
      <w:numFmt w:val="lowerLetter"/>
      <w:start w:val="1"/>
    </w:lvl>
  </w:abstractNum>
  <w:abstractNum w:abstractNumId="507">
    <w:nsid w:val="2E8E9F47"/>
    <w:multiLevelType w:val="hybridMultilevel"/>
    <w:lvl w:ilvl="0">
      <w:lvlJc w:val="left"/>
      <w:lvlText w:val="("/>
      <w:numFmt w:val="bullet"/>
      <w:start w:val="1"/>
    </w:lvl>
  </w:abstractNum>
  <w:abstractNum w:abstractNumId="508">
    <w:nsid w:val="76742596"/>
    <w:multiLevelType w:val="hybridMultilevel"/>
    <w:lvl w:ilvl="0">
      <w:lvlJc w:val="left"/>
      <w:lvlText w:val="(%1)"/>
      <w:numFmt w:val="lowerLetter"/>
      <w:start w:val="2"/>
    </w:lvl>
  </w:abstractNum>
  <w:abstractNum w:abstractNumId="509">
    <w:nsid w:val="CB55FF3"/>
    <w:multiLevelType w:val="hybridMultilevel"/>
    <w:lvl w:ilvl="0">
      <w:lvlJc w:val="left"/>
      <w:lvlText w:val="%1."/>
      <w:numFmt w:val="decimal"/>
      <w:start w:val="10"/>
    </w:lvl>
    <w:lvl w:ilvl="1">
      <w:lvlJc w:val="left"/>
      <w:lvlText w:val="(%2)"/>
      <w:numFmt w:val="lowerLetter"/>
      <w:start w:val="1"/>
    </w:lvl>
  </w:abstractNum>
  <w:abstractNum w:abstractNumId="510">
    <w:nsid w:val="21DF319E"/>
    <w:multiLevelType w:val="hybridMultilevel"/>
    <w:lvl w:ilvl="0">
      <w:lvlJc w:val="left"/>
      <w:lvlText w:val="%1."/>
      <w:numFmt w:val="decimal"/>
      <w:start w:val="10"/>
    </w:lvl>
    <w:lvl w:ilvl="1">
      <w:lvlJc w:val="left"/>
      <w:lvlText w:val="("/>
      <w:numFmt w:val="bullet"/>
      <w:start w:val="1"/>
    </w:lvl>
  </w:abstractNum>
  <w:abstractNum w:abstractNumId="511">
    <w:nsid w:val="6687F34D"/>
    <w:multiLevelType w:val="hybridMultilevel"/>
    <w:lvl w:ilvl="0">
      <w:lvlJc w:val="left"/>
      <w:lvlText w:val="(%1)"/>
      <w:numFmt w:val="lowerLetter"/>
      <w:start w:val="1"/>
    </w:lvl>
  </w:abstractNum>
  <w:abstractNum w:abstractNumId="512">
    <w:nsid w:val="25415B0C"/>
    <w:multiLevelType w:val="hybridMultilevel"/>
    <w:lvl w:ilvl="0">
      <w:lvlJc w:val="left"/>
      <w:lvlText w:val="%1."/>
      <w:numFmt w:val="decimal"/>
      <w:start w:val="12"/>
    </w:lvl>
    <w:lvl w:ilvl="1">
      <w:lvlJc w:val="left"/>
      <w:lvlText w:val="(%2)"/>
      <w:numFmt w:val="lowerLetter"/>
      <w:start w:val="1"/>
    </w:lvl>
  </w:abstractNum>
  <w:abstractNum w:abstractNumId="513">
    <w:nsid w:val="17CFC87D"/>
    <w:multiLevelType w:val="hybridMultilevel"/>
    <w:lvl w:ilvl="0">
      <w:lvlJc w:val="left"/>
      <w:lvlText w:val="("/>
      <w:numFmt w:val="bullet"/>
      <w:start w:val="1"/>
    </w:lvl>
  </w:abstractNum>
  <w:abstractNum w:abstractNumId="514">
    <w:nsid w:val="5D66DC65"/>
    <w:multiLevelType w:val="hybridMultilevel"/>
    <w:lvl w:ilvl="0">
      <w:lvlJc w:val="left"/>
      <w:lvlText w:val="%1"/>
      <w:numFmt w:val="decimal"/>
      <w:start w:val="1"/>
    </w:lvl>
    <w:lvl w:ilvl="1">
      <w:lvlJc w:val="left"/>
      <w:lvlText w:val="(%2)"/>
      <w:numFmt w:val="lowerLetter"/>
      <w:start w:val="3"/>
    </w:lvl>
  </w:abstractNum>
  <w:abstractNum w:abstractNumId="515">
    <w:nsid w:val="30BB2B99"/>
    <w:multiLevelType w:val="hybridMultilevel"/>
    <w:lvl w:ilvl="0">
      <w:lvlJc w:val="left"/>
      <w:lvlText w:val="%1."/>
      <w:numFmt w:val="decimal"/>
      <w:start w:val="13"/>
    </w:lvl>
    <w:lvl w:ilvl="1">
      <w:lvlJc w:val="left"/>
      <w:lvlText w:val="%2"/>
      <w:numFmt w:val="lowerLetter"/>
      <w:start w:val="1"/>
    </w:lvl>
  </w:abstractNum>
  <w:abstractNum w:abstractNumId="516">
    <w:nsid w:val="E3DFE6"/>
    <w:multiLevelType w:val="hybridMultilevel"/>
    <w:lvl w:ilvl="0">
      <w:lvlJc w:val="left"/>
      <w:lvlText w:val="%1."/>
      <w:numFmt w:val="decimal"/>
      <w:start w:val="14"/>
    </w:lvl>
  </w:abstractNum>
  <w:abstractNum w:abstractNumId="517">
    <w:nsid w:val="595B37F3"/>
    <w:multiLevelType w:val="hybridMultilevel"/>
    <w:lvl w:ilvl="0">
      <w:lvlJc w:val="left"/>
      <w:lvlText w:val="("/>
      <w:numFmt w:val="bullet"/>
      <w:start w:val="1"/>
    </w:lvl>
  </w:abstractNum>
  <w:abstractNum w:abstractNumId="518">
    <w:nsid w:val="71DB7E02"/>
    <w:multiLevelType w:val="hybridMultilevel"/>
    <w:lvl w:ilvl="0">
      <w:lvlJc w:val="left"/>
      <w:lvlText w:val="("/>
      <w:numFmt w:val="bullet"/>
      <w:start w:val="1"/>
    </w:lvl>
  </w:abstractNum>
  <w:abstractNum w:abstractNumId="519">
    <w:nsid w:val="17EC0C4"/>
    <w:multiLevelType w:val="hybridMultilevel"/>
    <w:lvl w:ilvl="0">
      <w:lvlJc w:val="left"/>
      <w:lvlText w:val="("/>
      <w:numFmt w:val="bullet"/>
      <w:start w:val="1"/>
    </w:lvl>
  </w:abstractNum>
  <w:abstractNum w:abstractNumId="520">
    <w:nsid w:val="7173BB22"/>
    <w:multiLevelType w:val="hybridMultilevel"/>
    <w:lvl w:ilvl="0">
      <w:lvlJc w:val="left"/>
      <w:lvlText w:val="(%1)"/>
      <w:numFmt w:val="lowerLetter"/>
      <w:start w:val="4"/>
    </w:lvl>
  </w:abstractNum>
  <w:abstractNum w:abstractNumId="521">
    <w:nsid w:val="169E1DD3"/>
    <w:multiLevelType w:val="hybridMultilevel"/>
    <w:lvl w:ilvl="0">
      <w:lvlJc w:val="left"/>
      <w:lvlText w:val="%1."/>
      <w:numFmt w:val="decimal"/>
      <w:start w:val="15"/>
    </w:lvl>
  </w:abstractNum>
  <w:abstractNum w:abstractNumId="522">
    <w:nsid w:val="51D141CC"/>
    <w:multiLevelType w:val="hybridMultilevel"/>
    <w:lvl w:ilvl="0">
      <w:lvlJc w:val="left"/>
      <w:lvlText w:val="(%1)"/>
      <w:numFmt w:val="lowerLetter"/>
      <w:start w:val="1"/>
    </w:lvl>
  </w:abstractNum>
  <w:abstractNum w:abstractNumId="523">
    <w:nsid w:val="12F9357A"/>
    <w:multiLevelType w:val="hybridMultilevel"/>
    <w:lvl w:ilvl="0">
      <w:lvlJc w:val="left"/>
      <w:lvlText w:val="(%1)"/>
      <w:numFmt w:val="lowerLetter"/>
      <w:start w:val="2"/>
    </w:lvl>
  </w:abstractNum>
  <w:abstractNum w:abstractNumId="524">
    <w:nsid w:val="7672CF28"/>
    <w:multiLevelType w:val="hybridMultilevel"/>
    <w:lvl w:ilvl="0">
      <w:lvlJc w:val="left"/>
      <w:lvlText w:val="(%1)"/>
      <w:numFmt w:val="lowerLetter"/>
      <w:start w:val="12"/>
    </w:lvl>
    <w:lvl w:ilvl="1">
      <w:lvlJc w:val="left"/>
      <w:lvlText w:val="(%2)"/>
      <w:numFmt w:val="lowerRoman"/>
      <w:start w:val="1"/>
    </w:lvl>
  </w:abstractNum>
  <w:abstractNum w:abstractNumId="525">
    <w:nsid w:val="567D2763"/>
    <w:multiLevelType w:val="hybridMultilevel"/>
    <w:lvl w:ilvl="0">
      <w:lvlJc w:val="left"/>
      <w:lvlText w:val="("/>
      <w:numFmt w:val="bullet"/>
      <w:start w:val="1"/>
    </w:lvl>
  </w:abstractNum>
  <w:abstractNum w:abstractNumId="526">
    <w:nsid w:val="6F5DE2EF"/>
    <w:multiLevelType w:val="hybridMultilevel"/>
    <w:lvl w:ilvl="0">
      <w:lvlJc w:val="left"/>
      <w:lvlText w:val="(%1)"/>
      <w:numFmt w:val="lowerLetter"/>
      <w:start w:val="15"/>
    </w:lvl>
  </w:abstractNum>
  <w:abstractNum w:abstractNumId="527">
    <w:nsid w:val="23502A61"/>
    <w:multiLevelType w:val="hybridMultilevel"/>
    <w:lvl w:ilvl="0">
      <w:lvlJc w:val="left"/>
      <w:lvlText w:val="("/>
      <w:numFmt w:val="bullet"/>
      <w:start w:val="1"/>
    </w:lvl>
  </w:abstractNum>
  <w:abstractNum w:abstractNumId="528">
    <w:nsid w:val="461BC834"/>
    <w:multiLevelType w:val="hybridMultilevel"/>
    <w:lvl w:ilvl="0">
      <w:lvlJc w:val="left"/>
      <w:lvlText w:val="("/>
      <w:numFmt w:val="bullet"/>
      <w:start w:val="1"/>
    </w:lvl>
  </w:abstractNum>
  <w:abstractNum w:abstractNumId="529">
    <w:nsid w:val="13DDA79D"/>
    <w:multiLevelType w:val="hybridMultilevel"/>
    <w:lvl w:ilvl="0">
      <w:lvlJc w:val="left"/>
      <w:lvlText w:val="(%1)"/>
      <w:numFmt w:val="lowerLetter"/>
      <w:start w:val="19"/>
    </w:lvl>
    <w:lvl w:ilvl="1">
      <w:lvlJc w:val="left"/>
      <w:lvlText w:val="(%2)"/>
      <w:numFmt w:val="lowerLetter"/>
      <w:start w:val="9"/>
    </w:lvl>
  </w:abstractNum>
  <w:abstractNum w:abstractNumId="530">
    <w:nsid w:val="6A104566"/>
    <w:multiLevelType w:val="hybridMultilevel"/>
    <w:lvl w:ilvl="0">
      <w:lvlJc w:val="left"/>
      <w:lvlText w:val="%1"/>
      <w:numFmt w:val="lowerLetter"/>
      <w:start w:val="1"/>
    </w:lvl>
    <w:lvl w:ilvl="1">
      <w:lvlJc w:val="left"/>
      <w:lvlText w:val="(%2)"/>
      <w:numFmt w:val="lowerRoman"/>
      <w:start w:val="2"/>
    </w:lvl>
  </w:abstractNum>
  <w:abstractNum w:abstractNumId="531">
    <w:nsid w:val="1C8A8ACF"/>
    <w:multiLevelType w:val="hybridMultilevel"/>
    <w:lvl w:ilvl="0">
      <w:lvlJc w:val="left"/>
      <w:lvlText w:val="(%1)"/>
      <w:numFmt w:val="lowerLetter"/>
      <w:start w:val="22"/>
    </w:lvl>
    <w:lvl w:ilvl="1">
      <w:lvlJc w:val="left"/>
      <w:lvlText w:val="%2"/>
      <w:numFmt w:val="lowerRoman"/>
      <w:start w:val="1"/>
    </w:lvl>
  </w:abstractNum>
  <w:abstractNum w:abstractNumId="532">
    <w:nsid w:val="E73DFE0"/>
    <w:multiLevelType w:val="hybridMultilevel"/>
    <w:lvl w:ilvl="0">
      <w:lvlJc w:val="left"/>
      <w:lvlText w:val="("/>
      <w:numFmt w:val="bullet"/>
      <w:start w:val="1"/>
    </w:lvl>
  </w:abstractNum>
  <w:abstractNum w:abstractNumId="533">
    <w:nsid w:val="39F174C7"/>
    <w:multiLevelType w:val="hybridMultilevel"/>
    <w:lvl w:ilvl="0">
      <w:lvlJc w:val="left"/>
      <w:lvlText w:val="(%1)"/>
      <w:numFmt w:val="lowerLetter"/>
      <w:start w:val="27"/>
    </w:lvl>
  </w:abstractNum>
  <w:abstractNum w:abstractNumId="534">
    <w:nsid w:val="6E2E2D53"/>
    <w:multiLevelType w:val="hybridMultilevel"/>
    <w:lvl w:ilvl="0">
      <w:lvlJc w:val="left"/>
      <w:lvlText w:val="(%1)"/>
      <w:numFmt w:val="lowerLetter"/>
      <w:start w:val="31"/>
    </w:lvl>
  </w:abstractNum>
  <w:abstractNum w:abstractNumId="535">
    <w:nsid w:val="45DC439D"/>
    <w:multiLevelType w:val="hybridMultilevel"/>
    <w:lvl w:ilvl="0">
      <w:lvlJc w:val="left"/>
      <w:lvlText w:val="%1."/>
      <w:numFmt w:val="decimal"/>
      <w:start w:val="1"/>
    </w:lvl>
  </w:abstractNum>
  <w:abstractNum w:abstractNumId="536">
    <w:nsid w:val="3B0A3B87"/>
    <w:multiLevelType w:val="hybridMultilevel"/>
    <w:lvl w:ilvl="0">
      <w:lvlJc w:val="left"/>
      <w:lvlText w:val="%1."/>
      <w:numFmt w:val="decimal"/>
      <w:start w:val="4"/>
    </w:lvl>
  </w:abstractNum>
  <w:abstractNum w:abstractNumId="537">
    <w:nsid w:val="6DAC7768"/>
    <w:multiLevelType w:val="hybridMultilevel"/>
    <w:lvl w:ilvl="0">
      <w:lvlJc w:val="left"/>
      <w:lvlText w:val="%1."/>
      <w:numFmt w:val="decimal"/>
      <w:start w:val="11"/>
    </w:lvl>
  </w:abstractNum>
  <w:abstractNum w:abstractNumId="538">
    <w:nsid w:val="746AE2E4"/>
    <w:multiLevelType w:val="hybridMultilevel"/>
    <w:lvl w:ilvl="0">
      <w:lvlJc w:val="left"/>
      <w:lvlText w:val="(%1)"/>
      <w:numFmt w:val="lowerLetter"/>
      <w:start w:val="1"/>
    </w:lvl>
  </w:abstractNum>
  <w:abstractNum w:abstractNumId="539">
    <w:nsid w:val="317E611D"/>
    <w:multiLevelType w:val="hybridMultilevel"/>
    <w:lvl w:ilvl="0">
      <w:lvlJc w:val="left"/>
      <w:lvlText w:val="(%1)"/>
      <w:numFmt w:val="lowerLetter"/>
      <w:start w:val="6"/>
    </w:lvl>
  </w:abstractNum>
  <w:abstractNum w:abstractNumId="540">
    <w:nsid w:val="7A61D75B"/>
    <w:multiLevelType w:val="hybridMultilevel"/>
    <w:lvl w:ilvl="0">
      <w:lvlJc w:val="left"/>
      <w:lvlText w:val="\ldblquote"/>
      <w:numFmt w:val="bullet"/>
      <w:start w:val="1"/>
    </w:lvl>
  </w:abstractNum>
  <w:abstractNum w:abstractNumId="541">
    <w:nsid w:val="164A1482"/>
    <w:multiLevelType w:val="hybridMultilevel"/>
    <w:lvl w:ilvl="0">
      <w:lvlJc w:val="left"/>
      <w:lvlText w:val="%1."/>
      <w:numFmt w:val="decimal"/>
      <w:start w:val="1"/>
    </w:lvl>
  </w:abstractNum>
  <w:abstractNum w:abstractNumId="542">
    <w:nsid w:val="1806546B"/>
    <w:multiLevelType w:val="hybridMultilevel"/>
    <w:lvl w:ilvl="0">
      <w:lvlJc w:val="left"/>
      <w:lvlText w:val="%1."/>
      <w:numFmt w:val="decimal"/>
      <w:start w:val="4"/>
    </w:lvl>
  </w:abstractNum>
  <w:abstractNum w:abstractNumId="543">
    <w:nsid w:val="1FA33267"/>
    <w:multiLevelType w:val="hybridMultilevel"/>
    <w:lvl w:ilvl="0">
      <w:lvlJc w:val="left"/>
      <w:lvlText w:val="%1."/>
      <w:numFmt w:val="decimal"/>
      <w:start w:val="11"/>
    </w:lvl>
  </w:abstractNum>
  <w:abstractNum w:abstractNumId="544">
    <w:nsid w:val="2E19DD00"/>
    <w:multiLevelType w:val="hybridMultilevel"/>
    <w:lvl w:ilvl="0">
      <w:lvlJc w:val="left"/>
      <w:lvlText w:val="(%1)"/>
      <w:numFmt w:val="lowerLetter"/>
      <w:start w:val="1"/>
    </w:lvl>
  </w:abstractNum>
  <w:abstractNum w:abstractNumId="545">
    <w:nsid w:val="756D30D0"/>
    <w:multiLevelType w:val="hybridMultilevel"/>
    <w:lvl w:ilvl="0">
      <w:lvlJc w:val="left"/>
      <w:lvlText w:val="(%1)"/>
      <w:numFmt w:val="lowerLetter"/>
      <w:start w:val="6"/>
    </w:lvl>
  </w:abstractNum>
  <w:abstractNum w:abstractNumId="546">
    <w:nsid w:val="505E5E01"/>
    <w:multiLevelType w:val="hybridMultilevel"/>
    <w:lvl w:ilvl="0">
      <w:lvlJc w:val="left"/>
      <w:lvlText w:val="\ldblquote"/>
      <w:numFmt w:val="bullet"/>
      <w:start w:val="1"/>
    </w:lvl>
  </w:abstractNum>
  <w:abstractNum w:abstractNumId="547">
    <w:nsid w:val="2EFDBCE6"/>
    <w:multiLevelType w:val="hybridMultilevel"/>
    <w:lvl w:ilvl="0">
      <w:lvlJc w:val="left"/>
      <w:lvlText w:val="%1."/>
      <w:numFmt w:val="decimal"/>
      <w:start w:val="1"/>
    </w:lvl>
  </w:abstractNum>
  <w:abstractNum w:abstractNumId="548">
    <w:nsid w:val="4EC868C4"/>
    <w:multiLevelType w:val="hybridMultilevel"/>
    <w:lvl w:ilvl="0">
      <w:lvlJc w:val="left"/>
      <w:lvlText w:val="%1."/>
      <w:numFmt w:val="decimal"/>
      <w:start w:val="3"/>
    </w:lvl>
  </w:abstractNum>
  <w:abstractNum w:abstractNumId="549">
    <w:nsid w:val="4239DC03"/>
    <w:multiLevelType w:val="hybridMultilevel"/>
    <w:lvl w:ilvl="0">
      <w:lvlJc w:val="left"/>
      <w:lvlText w:val="%1."/>
      <w:numFmt w:val="decimal"/>
      <w:start w:val="6"/>
    </w:lvl>
  </w:abstractNum>
  <w:abstractNum w:abstractNumId="550">
    <w:nsid w:val="307C7DAA"/>
    <w:multiLevelType w:val="hybridMultilevel"/>
    <w:lvl w:ilvl="0">
      <w:lvlJc w:val="left"/>
      <w:lvlText w:val="%1."/>
      <w:numFmt w:val="decimal"/>
      <w:start w:val="10"/>
    </w:lvl>
  </w:abstractNum>
  <w:abstractNum w:abstractNumId="551">
    <w:nsid w:val="403C23E6"/>
    <w:multiLevelType w:val="hybridMultilevel"/>
    <w:lvl w:ilvl="0">
      <w:lvlJc w:val="left"/>
      <w:lvlText w:val="\ldblquote"/>
      <w:numFmt w:val="bullet"/>
      <w:start w:val="1"/>
    </w:lvl>
  </w:abstractNum>
  <w:abstractNum w:abstractNumId="552">
    <w:nsid w:val="58D7F9D7"/>
    <w:multiLevelType w:val="hybridMultilevel"/>
    <w:lvl w:ilvl="0">
      <w:lvlJc w:val="left"/>
      <w:lvlText w:val="%1."/>
      <w:numFmt w:val="decimal"/>
      <w:start w:val="1"/>
    </w:lvl>
  </w:abstractNum>
  <w:abstractNum w:abstractNumId="553">
    <w:nsid w:val="24DBF76"/>
    <w:multiLevelType w:val="hybridMultilevel"/>
    <w:lvl w:ilvl="0">
      <w:lvlJc w:val="left"/>
      <w:lvlText w:val="2"/>
      <w:numFmt w:val="bullet"/>
      <w:start w:val="1"/>
    </w:lvl>
  </w:abstractNum>
  <w:abstractNum w:abstractNumId="554">
    <w:nsid w:val="53355960"/>
    <w:multiLevelType w:val="hybridMultilevel"/>
    <w:lvl w:ilvl="0">
      <w:lvlJc w:val="left"/>
      <w:lvlText w:val="%1."/>
      <w:numFmt w:val="decimal"/>
      <w:start w:val="3"/>
    </w:lvl>
  </w:abstractNum>
  <w:abstractNum w:abstractNumId="555">
    <w:nsid w:val="4F4AC8FF"/>
    <w:multiLevelType w:val="hybridMultilevel"/>
    <w:lvl w:ilvl="0">
      <w:lvlJc w:val="left"/>
      <w:lvlText w:val="("/>
      <w:numFmt w:val="bullet"/>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556">
    <w:nsid w:val="58CAE6D9"/>
    <w:multiLevelType w:val="hybridMultilevel"/>
    <w:lvl w:ilvl="0">
      <w:lvlJc w:val="left"/>
      <w:lvlText w:val="%1"/>
      <w:numFmt w:val="lowerLetter"/>
      <w:start w:val="1"/>
    </w:lvl>
    <w:lvl w:ilvl="1">
      <w:lvlJc w:val="left"/>
      <w:lvlText w:val="("/>
      <w:numFmt w:val="bullet"/>
      <w:start w:val="1"/>
    </w:lvl>
    <w:lvl w:ilvl="2">
      <w:lvlJc w:val="left"/>
      <w:lvlText w:val="%3"/>
      <w:numFmt w:val="lowerRoman"/>
      <w:start w:val="1"/>
    </w:lvl>
    <w:lvl w:ilvl="3">
      <w:lvlJc w:val="left"/>
      <w:lvlText w:val="(%4)"/>
      <w:numFmt w:val="lowerRoman"/>
      <w:start w:val="4"/>
    </w:lvl>
    <w:lvl w:ilvl="4">
      <w:lvlJc w:val="left"/>
      <w:lvlText w:val="%5"/>
      <w:numFmt w:val="decimal"/>
      <w:start w:val="1"/>
    </w:lvl>
    <w:lvl w:ilvl="5">
      <w:lvlJc w:val="left"/>
      <w:lvlText w:val="-"/>
      <w:numFmt w:val="bullet"/>
      <w:start w:val="1"/>
    </w:lvl>
  </w:abstractNum>
  <w:abstractNum w:abstractNumId="557">
    <w:nsid w:val="42933C4F"/>
    <w:multiLevelType w:val="hybridMultilevel"/>
    <w:lvl w:ilvl="0">
      <w:lvlJc w:val="left"/>
      <w:lvlText w:val="(%1)"/>
      <w:numFmt w:val="lowerLetter"/>
      <w:start w:val="2"/>
    </w:lvl>
    <w:lvl w:ilvl="1">
      <w:lvlJc w:val="left"/>
      <w:lvlText w:val="("/>
      <w:numFmt w:val="bullet"/>
      <w:start w:val="1"/>
    </w:lvl>
    <w:lvl w:ilvl="2">
      <w:lvlJc w:val="left"/>
      <w:lvlText w:val="(%3)"/>
      <w:numFmt w:val="lowerRoman"/>
      <w:start w:val="1"/>
    </w:lvl>
    <w:lvl w:ilvl="3">
      <w:lvlJc w:val="left"/>
      <w:lvlText w:val="%4"/>
      <w:numFmt w:val="lowerRoman"/>
      <w:start w:val="1"/>
    </w:lvl>
    <w:lvl w:ilvl="4">
      <w:lvlJc w:val="left"/>
      <w:lvlText w:val="(%5)"/>
      <w:numFmt w:val="decimal"/>
      <w:start w:val="1"/>
    </w:lvl>
    <w:lvl w:ilvl="5">
      <w:lvlJc w:val="left"/>
      <w:lvlText w:val="-"/>
      <w:numFmt w:val="bullet"/>
      <w:start w:val="1"/>
    </w:lvl>
  </w:abstractNum>
  <w:abstractNum w:abstractNumId="558">
    <w:nsid w:val="729AF360"/>
    <w:multiLevelType w:val="hybridMultilevel"/>
    <w:lvl w:ilvl="0">
      <w:lvlJc w:val="left"/>
      <w:lvlText w:val="(%1)"/>
      <w:numFmt w:val="lowerRoman"/>
      <w:start w:val="4"/>
    </w:lvl>
  </w:abstractNum>
  <w:abstractNum w:abstractNumId="559">
    <w:nsid w:val="1EE6AF0D"/>
    <w:multiLevelType w:val="hybridMultilevel"/>
    <w:lvl w:ilvl="0">
      <w:lvlJc w:val="left"/>
      <w:lvlText w:val="("/>
      <w:numFmt w:val="bullet"/>
      <w:start w:val="1"/>
    </w:lvl>
  </w:abstractNum>
  <w:abstractNum w:abstractNumId="560">
    <w:nsid w:val="5670E3ED"/>
    <w:multiLevelType w:val="hybridMultilevel"/>
    <w:lvl w:ilvl="0">
      <w:lvlJc w:val="left"/>
      <w:lvlText w:val="("/>
      <w:numFmt w:val="bullet"/>
      <w:start w:val="1"/>
    </w:lvl>
    <w:lvl w:ilvl="1">
      <w:lvlJc w:val="left"/>
      <w:lvlText w:val="-"/>
      <w:numFmt w:val="bullet"/>
      <w:start w:val="1"/>
    </w:lvl>
  </w:abstractNum>
  <w:abstractNum w:abstractNumId="561">
    <w:nsid w:val="5CAB38C6"/>
    <w:multiLevelType w:val="hybridMultilevel"/>
    <w:lvl w:ilvl="0">
      <w:lvlJc w:val="left"/>
      <w:lvlText w:val="("/>
      <w:numFmt w:val="bullet"/>
      <w:start w:val="1"/>
    </w:lvl>
  </w:abstractNum>
  <w:abstractNum w:abstractNumId="562">
    <w:nsid w:val="3B7139DD"/>
    <w:multiLevelType w:val="hybridMultilevel"/>
    <w:lvl w:ilvl="0">
      <w:lvlJc w:val="left"/>
      <w:lvlText w:val="(%1)"/>
      <w:numFmt w:val="lowerLetter"/>
      <w:start w:val="6"/>
    </w:lvl>
  </w:abstractNum>
  <w:abstractNum w:abstractNumId="563">
    <w:nsid w:val="64E4C3CD"/>
    <w:multiLevelType w:val="hybridMultilevel"/>
    <w:lvl w:ilvl="0">
      <w:lvlJc w:val="left"/>
      <w:lvlText w:val="("/>
      <w:numFmt w:val="bullet"/>
      <w:start w:val="1"/>
    </w:lvl>
  </w:abstractNum>
  <w:abstractNum w:abstractNumId="564">
    <w:nsid w:val="169CAD8D"/>
    <w:multiLevelType w:val="hybridMultilevel"/>
    <w:lvl w:ilvl="0">
      <w:lvlJc w:val="left"/>
      <w:lvlText w:val="("/>
      <w:numFmt w:val="bullet"/>
      <w:start w:val="1"/>
    </w:lvl>
  </w:abstractNum>
  <w:abstractNum w:abstractNumId="565">
    <w:nsid w:val="299F6730"/>
    <w:multiLevelType w:val="hybridMultilevel"/>
    <w:lvl w:ilvl="0">
      <w:lvlJc w:val="left"/>
      <w:lvlText w:val="%1."/>
      <w:numFmt w:val="decimal"/>
      <w:start w:val="5"/>
    </w:lvl>
  </w:abstractNum>
  <w:abstractNum w:abstractNumId="566">
    <w:nsid w:val="2AC1076A"/>
    <w:multiLevelType w:val="hybridMultilevel"/>
    <w:lvl w:ilvl="0">
      <w:lvlJc w:val="left"/>
      <w:lvlText w:val="("/>
      <w:numFmt w:val="bullet"/>
      <w:start w:val="1"/>
    </w:lvl>
  </w:abstractNum>
  <w:abstractNum w:abstractNumId="567">
    <w:nsid w:val="51A6E915"/>
    <w:multiLevelType w:val="hybridMultilevel"/>
    <w:lvl w:ilvl="0">
      <w:lvlJc w:val="left"/>
      <w:lvlText w:val="("/>
      <w:numFmt w:val="bullet"/>
      <w:start w:val="1"/>
    </w:lvl>
    <w:lvl w:ilvl="1">
      <w:lvlJc w:val="left"/>
      <w:lvlText w:val="(%2)"/>
      <w:numFmt w:val="lowerRoman"/>
      <w:start w:val="1"/>
    </w:lvl>
    <w:lvl w:ilvl="2">
      <w:lvlJc w:val="left"/>
      <w:lvlText w:val="-"/>
      <w:numFmt w:val="bullet"/>
      <w:start w:val="1"/>
    </w:lvl>
  </w:abstractNum>
  <w:abstractNum w:abstractNumId="568">
    <w:nsid w:val="174BDE99"/>
    <w:multiLevelType w:val="hybridMultilevel"/>
    <w:lvl w:ilvl="0">
      <w:lvlJc w:val="left"/>
      <w:lvlText w:val="("/>
      <w:numFmt w:val="bullet"/>
      <w:start w:val="1"/>
    </w:lvl>
  </w:abstractNum>
  <w:abstractNum w:abstractNumId="569">
    <w:nsid w:val="1F2BEA4E"/>
    <w:multiLevelType w:val="hybridMultilevel"/>
    <w:lvl w:ilvl="0">
      <w:lvlJc w:val="left"/>
      <w:lvlText w:val="(%1)"/>
      <w:numFmt w:val="lowerLetter"/>
      <w:start w:val="4"/>
    </w:lvl>
    <w:lvl w:ilvl="1">
      <w:lvlJc w:val="left"/>
      <w:lvlText w:val="-"/>
      <w:numFmt w:val="bullet"/>
      <w:start w:val="1"/>
    </w:lvl>
  </w:abstractNum>
  <w:abstractNum w:abstractNumId="570">
    <w:nsid w:val="3254A32"/>
    <w:multiLevelType w:val="hybridMultilevel"/>
    <w:lvl w:ilvl="0">
      <w:lvlJc w:val="left"/>
      <w:lvlText w:val="%1."/>
      <w:numFmt w:val="decimal"/>
      <w:start w:val="5"/>
    </w:lvl>
    <w:lvl w:ilvl="1">
      <w:lvlJc w:val="left"/>
      <w:lvlText w:val="("/>
      <w:numFmt w:val="bullet"/>
      <w:start w:val="1"/>
    </w:lvl>
  </w:abstractNum>
  <w:abstractNum w:abstractNumId="571">
    <w:nsid w:val="11ADB5F4"/>
    <w:multiLevelType w:val="hybridMultilevel"/>
    <w:lvl w:ilvl="0">
      <w:lvlJc w:val="left"/>
      <w:lvlText w:val="("/>
      <w:numFmt w:val="bullet"/>
      <w:start w:val="1"/>
    </w:lvl>
    <w:lvl w:ilvl="1">
      <w:lvlJc w:val="left"/>
      <w:lvlText w:val="-"/>
      <w:numFmt w:val="bullet"/>
      <w:start w:val="1"/>
    </w:lvl>
  </w:abstractNum>
  <w:abstractNum w:abstractNumId="572">
    <w:nsid w:val="3575FED1"/>
    <w:multiLevelType w:val="hybridMultilevel"/>
    <w:lvl w:ilvl="0">
      <w:lvlJc w:val="left"/>
      <w:lvlText w:val="%1."/>
      <w:numFmt w:val="decimal"/>
      <w:start w:val="6"/>
    </w:lvl>
    <w:lvl w:ilvl="1">
      <w:lvlJc w:val="left"/>
      <w:lvlText w:val="("/>
      <w:numFmt w:val="bullet"/>
      <w:start w:val="1"/>
    </w:lvl>
  </w:abstractNum>
  <w:abstractNum w:abstractNumId="573">
    <w:nsid w:val="1B2B9E9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74">
    <w:nsid w:val="3150E85C"/>
    <w:multiLevelType w:val="hybridMultilevel"/>
    <w:lvl w:ilvl="0">
      <w:lvlJc w:val="left"/>
      <w:lvlText w:val="%1"/>
      <w:numFmt w:val="lowerRoman"/>
      <w:start w:val="1"/>
    </w:lvl>
    <w:lvl w:ilvl="1">
      <w:lvlJc w:val="left"/>
      <w:lvlText w:val="(%2)"/>
      <w:numFmt w:val="lowerRoman"/>
      <w:start w:val="2"/>
    </w:lvl>
  </w:abstractNum>
  <w:abstractNum w:abstractNumId="575">
    <w:nsid w:val="638FDBD1"/>
    <w:multiLevelType w:val="hybridMultilevel"/>
    <w:lvl w:ilvl="0">
      <w:lvlJc w:val="left"/>
      <w:lvlText w:val="(%1)"/>
      <w:numFmt w:val="lowerRoman"/>
      <w:start w:val="3"/>
    </w:lvl>
    <w:lvl w:ilvl="1">
      <w:lvlJc w:val="left"/>
      <w:lvlText w:val="%2"/>
      <w:numFmt w:val="lowerRoman"/>
      <w:start w:val="1"/>
    </w:lvl>
  </w:abstractNum>
  <w:abstractNum w:abstractNumId="576">
    <w:nsid w:val="1098CF6E"/>
    <w:multiLevelType w:val="hybridMultilevel"/>
    <w:lvl w:ilvl="0">
      <w:lvlJc w:val="left"/>
      <w:lvlText w:val="(%1)"/>
      <w:numFmt w:val="lowerLetter"/>
      <w:start w:val="4"/>
    </w:lvl>
  </w:abstractNum>
  <w:abstractNum w:abstractNumId="577">
    <w:nsid w:val="1AF465D"/>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578">
    <w:nsid w:val="128D98B7"/>
    <w:multiLevelType w:val="hybridMultilevel"/>
    <w:lvl w:ilvl="0">
      <w:lvlJc w:val="left"/>
      <w:lvlText w:val="(%1)"/>
      <w:numFmt w:val="lowerRoman"/>
      <w:start w:val="3"/>
    </w:lvl>
  </w:abstractNum>
  <w:abstractNum w:abstractNumId="579">
    <w:nsid w:val="5F613832"/>
    <w:multiLevelType w:val="hybridMultilevel"/>
    <w:lvl w:ilvl="0">
      <w:lvlJc w:val="left"/>
      <w:lvlText w:val="(%1)"/>
      <w:numFmt w:val="lowerLetter"/>
      <w:start w:val="12"/>
    </w:lvl>
    <w:lvl w:ilvl="1">
      <w:lvlJc w:val="left"/>
      <w:lvlText w:val="-"/>
      <w:numFmt w:val="bullet"/>
      <w:start w:val="1"/>
    </w:lvl>
  </w:abstractNum>
  <w:abstractNum w:abstractNumId="580">
    <w:nsid w:val="43E92260"/>
    <w:multiLevelType w:val="hybridMultilevel"/>
    <w:lvl w:ilvl="0">
      <w:lvlJc w:val="left"/>
      <w:lvlText w:val="8"/>
      <w:numFmt w:val="bullet"/>
      <w:start w:val="1"/>
    </w:lvl>
  </w:abstractNum>
  <w:abstractNum w:abstractNumId="581">
    <w:nsid w:val="430A1662"/>
    <w:multiLevelType w:val="hybridMultilevel"/>
    <w:lvl w:ilvl="0">
      <w:lvlJc w:val="left"/>
      <w:lvlText w:val="%1."/>
      <w:numFmt w:val="decimal"/>
      <w:start w:val="9"/>
    </w:lvl>
    <w:lvl w:ilvl="1">
      <w:lvlJc w:val="left"/>
      <w:lvlText w:val="(%2)"/>
      <w:numFmt w:val="lowerLetter"/>
      <w:start w:val="1"/>
    </w:lvl>
  </w:abstractNum>
  <w:abstractNum w:abstractNumId="582">
    <w:nsid w:val="1F9D5C1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
      <w:numFmt w:val="bullet"/>
      <w:start w:val="1"/>
    </w:lvl>
  </w:abstractNum>
  <w:abstractNum w:abstractNumId="583">
    <w:nsid w:val="1CC11C37"/>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584">
    <w:nsid w:val="4557D5D8"/>
    <w:multiLevelType w:val="hybridMultilevel"/>
    <w:lvl w:ilvl="0">
      <w:lvlJc w:val="left"/>
      <w:lvlText w:val="%1."/>
      <w:numFmt w:val="decimal"/>
      <w:start w:val="11"/>
    </w:lvl>
    <w:lvl w:ilvl="1">
      <w:lvlJc w:val="left"/>
      <w:lvlText w:val="(%2)"/>
      <w:numFmt w:val="lowerLetter"/>
      <w:start w:val="1"/>
    </w:lvl>
  </w:abstractNum>
  <w:abstractNum w:abstractNumId="585">
    <w:nsid w:val="72D2B579"/>
    <w:multiLevelType w:val="hybridMultilevel"/>
    <w:lvl w:ilvl="0">
      <w:lvlJc w:val="left"/>
      <w:lvlText w:val="("/>
      <w:numFmt w:val="bullet"/>
      <w:start w:val="1"/>
    </w:lvl>
  </w:abstractNum>
  <w:abstractNum w:abstractNumId="586">
    <w:nsid w:val="6C0BE536"/>
    <w:multiLevelType w:val="hybridMultilevel"/>
    <w:lvl w:ilvl="0">
      <w:lvlJc w:val="left"/>
      <w:lvlText w:val="(%1)"/>
      <w:numFmt w:val="lowerLetter"/>
      <w:start w:val="5"/>
    </w:lvl>
    <w:lvl w:ilvl="1">
      <w:lvlJc w:val="left"/>
      <w:lvlText w:val="-"/>
      <w:numFmt w:val="bullet"/>
      <w:start w:val="1"/>
    </w:lvl>
  </w:abstractNum>
  <w:abstractNum w:abstractNumId="587">
    <w:nsid w:val="1E22BCB2"/>
    <w:multiLevelType w:val="hybridMultilevel"/>
    <w:lvl w:ilvl="0">
      <w:lvlJc w:val="left"/>
      <w:lvlText w:val="(%1)"/>
      <w:numFmt w:val="lowerLetter"/>
      <w:start w:val="8"/>
    </w:lvl>
  </w:abstractNum>
  <w:abstractNum w:abstractNumId="588">
    <w:nsid w:val="3565F1C8"/>
    <w:multiLevelType w:val="hybridMultilevel"/>
    <w:lvl w:ilvl="0">
      <w:lvlJc w:val="left"/>
      <w:lvlText w:val="(%1)"/>
      <w:numFmt w:val="lowerLetter"/>
      <w:start w:val="1"/>
    </w:lvl>
  </w:abstractNum>
  <w:abstractNum w:abstractNumId="589">
    <w:nsid w:val="5EA6D896"/>
    <w:multiLevelType w:val="hybridMultilevel"/>
    <w:lvl w:ilvl="0">
      <w:lvlJc w:val="left"/>
      <w:lvlText w:val="(%1)"/>
      <w:numFmt w:val="lowerLetter"/>
      <w:start w:val="2"/>
    </w:lvl>
  </w:abstractNum>
  <w:abstractNum w:abstractNumId="590">
    <w:nsid w:val="3D096BBF"/>
    <w:multiLevelType w:val="hybridMultilevel"/>
    <w:lvl w:ilvl="0">
      <w:lvlJc w:val="left"/>
      <w:lvlText w:val="(%1)"/>
      <w:numFmt w:val="lowerLetter"/>
      <w:start w:val="1"/>
    </w:lvl>
  </w:abstractNum>
  <w:abstractNum w:abstractNumId="591">
    <w:nsid w:val="BD6D5B5"/>
    <w:multiLevelType w:val="hybridMultilevel"/>
    <w:lvl w:ilvl="0">
      <w:lvlJc w:val="left"/>
      <w:lvlText w:val="(%1)"/>
      <w:numFmt w:val="lowerLetter"/>
      <w:start w:val="1"/>
    </w:lvl>
  </w:abstractNum>
  <w:abstractNum w:abstractNumId="592">
    <w:nsid w:val="3B52115C"/>
    <w:multiLevelType w:val="hybridMultilevel"/>
    <w:lvl w:ilvl="0">
      <w:lvlJc w:val="left"/>
      <w:lvlText w:val="%1."/>
      <w:numFmt w:val="decimal"/>
      <w:start w:val="1"/>
    </w:lvl>
  </w:abstractNum>
  <w:abstractNum w:abstractNumId="593">
    <w:nsid w:val="787AA59C"/>
    <w:multiLevelType w:val="hybridMultilevel"/>
    <w:lvl w:ilvl="0">
      <w:lvlJc w:val="left"/>
      <w:lvlText w:val="%1"/>
      <w:numFmt w:val="decimal"/>
      <w:start w:val="1"/>
    </w:lvl>
    <w:lvl w:ilvl="1">
      <w:lvlJc w:val="left"/>
      <w:lvlText w:val="(%2)"/>
      <w:numFmt w:val="lowerLetter"/>
      <w:start w:val="1"/>
    </w:lvl>
  </w:abstractNum>
  <w:abstractNum w:abstractNumId="594">
    <w:nsid w:val="70BB9983"/>
    <w:multiLevelType w:val="hybridMultilevel"/>
    <w:lvl w:ilvl="0">
      <w:lvlJc w:val="left"/>
      <w:lvlText w:val="(%1)"/>
      <w:numFmt w:val="lowerLetter"/>
      <w:start w:val="1"/>
    </w:lvl>
    <w:lvl w:ilvl="1">
      <w:lvlJc w:val="left"/>
      <w:lvlText w:val="(%2)"/>
      <w:numFmt w:val="lowerRoman"/>
      <w:start w:val="1"/>
    </w:lvl>
  </w:abstractNum>
  <w:abstractNum w:abstractNumId="595">
    <w:nsid w:val="51EEBEEA"/>
    <w:multiLevelType w:val="hybridMultilevel"/>
    <w:lvl w:ilvl="0">
      <w:lvlJc w:val="left"/>
      <w:lvlText w:val="%1."/>
      <w:numFmt w:val="decimal"/>
      <w:start w:val="5"/>
    </w:lvl>
  </w:abstractNum>
  <w:abstractNum w:abstractNumId="596">
    <w:nsid w:val="221A0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35"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247"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251" Type="http://schemas.openxmlformats.org/officeDocument/2006/relationships/image" Target="media/image232.png"/><Relationship Id="rId252" Type="http://schemas.openxmlformats.org/officeDocument/2006/relationships/image" Target="media/image233.png"/><Relationship Id="rId253" Type="http://schemas.openxmlformats.org/officeDocument/2006/relationships/image" Target="media/image234.png"/><Relationship Id="rId254" Type="http://schemas.openxmlformats.org/officeDocument/2006/relationships/image" Target="media/image235.png"/><Relationship Id="rId255" Type="http://schemas.openxmlformats.org/officeDocument/2006/relationships/image" Target="media/image236.png"/><Relationship Id="rId256" Type="http://schemas.openxmlformats.org/officeDocument/2006/relationships/image" Target="media/image237.png"/><Relationship Id="rId257" Type="http://schemas.openxmlformats.org/officeDocument/2006/relationships/image" Target="media/image238.png"/><Relationship Id="rId258" Type="http://schemas.openxmlformats.org/officeDocument/2006/relationships/image" Target="media/image239.png"/><Relationship Id="rId259" Type="http://schemas.openxmlformats.org/officeDocument/2006/relationships/image" Target="media/image240.png"/><Relationship Id="rId260" Type="http://schemas.openxmlformats.org/officeDocument/2006/relationships/image" Target="media/image241.png"/><Relationship Id="rId261" Type="http://schemas.openxmlformats.org/officeDocument/2006/relationships/image" Target="media/image242.png"/><Relationship Id="rId262" Type="http://schemas.openxmlformats.org/officeDocument/2006/relationships/image" Target="media/image243.png"/><Relationship Id="rId263" Type="http://schemas.openxmlformats.org/officeDocument/2006/relationships/image" Target="media/image244.png"/><Relationship Id="rId264" Type="http://schemas.openxmlformats.org/officeDocument/2006/relationships/image" Target="media/image245.png"/><Relationship Id="rId265"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jpeg"/><Relationship Id="rId270" Type="http://schemas.openxmlformats.org/officeDocument/2006/relationships/image" Target="media/image251.jpeg"/><Relationship Id="rId271" Type="http://schemas.openxmlformats.org/officeDocument/2006/relationships/image" Target="media/image252.jpeg"/><Relationship Id="rId272" Type="http://schemas.openxmlformats.org/officeDocument/2006/relationships/image" Target="media/image253.jpe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279"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jpeg"/><Relationship Id="rId288" Type="http://schemas.openxmlformats.org/officeDocument/2006/relationships/image" Target="media/image269.png"/><Relationship Id="rId289" Type="http://schemas.openxmlformats.org/officeDocument/2006/relationships/image" Target="media/image270.jpeg"/><Relationship Id="rId290" Type="http://schemas.openxmlformats.org/officeDocument/2006/relationships/image" Target="media/image271.png"/><Relationship Id="rId291" Type="http://schemas.openxmlformats.org/officeDocument/2006/relationships/image" Target="media/image272.jpeg"/><Relationship Id="rId292" Type="http://schemas.openxmlformats.org/officeDocument/2006/relationships/image" Target="media/image273.png"/><Relationship Id="rId293" Type="http://schemas.openxmlformats.org/officeDocument/2006/relationships/image" Target="media/image274.pn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229" Type="http://schemas.openxmlformats.org/officeDocument/2006/relationships/hyperlink" Target="https://www.sec.gov/Archives/edgar/data/1639723/000162828025042130/exhibit31-sx1.htm" TargetMode="External"/><Relationship Id="rId230" Type="http://schemas.openxmlformats.org/officeDocument/2006/relationships/hyperlink" Target="https://www.sec.gov/Archives/edgar/data/1639723/000162828025042130/exhibit33-sx1.htm" TargetMode="External"/><Relationship Id="rId231" Type="http://schemas.openxmlformats.org/officeDocument/2006/relationships/hyperlink" Target="https://www.sec.gov/Archives/edgar/data/1639723/000162828025042130/exhibit42-sx1.htm" TargetMode="External"/><Relationship Id="rId232" Type="http://schemas.openxmlformats.org/officeDocument/2006/relationships/hyperlink" Target="https://www.sec.gov/Archives/edgar/data/1639723/000162828025042130/exhibit43-sx1.htm" TargetMode="External"/><Relationship Id="rId233" Type="http://schemas.openxmlformats.org/officeDocument/2006/relationships/hyperlink" Target="https://www.sec.gov/Archives/edgar/data/1639723/000162828025042130/exhibit101-sx1.htm" TargetMode="External"/><Relationship Id="rId234" Type="http://schemas.openxmlformats.org/officeDocument/2006/relationships/hyperlink" Target="https://www.sec.gov/Archives/edgar/data/1639723/000162828025042130/exhibit102-sx1.htm" TargetMode="External"/><Relationship Id="rId236" Type="http://schemas.openxmlformats.org/officeDocument/2006/relationships/hyperlink" Target="https://www.sec.gov/Archives/edgar/data/1639723/000162828025042130/exhibit109-sx1.htm" TargetMode="External"/><Relationship Id="rId237" Type="http://schemas.openxmlformats.org/officeDocument/2006/relationships/hyperlink" Target="https://www.sec.gov/Archives/edgar/data/1639723/000162828025042130/exhibit1010-sx1.htm" TargetMode="External"/><Relationship Id="rId238" Type="http://schemas.openxmlformats.org/officeDocument/2006/relationships/hyperlink" Target="https://www.sec.gov/Archives/edgar/data/1639723/000162828025042130/exhibit1011-sx1.htm" TargetMode="External"/><Relationship Id="rId239" Type="http://schemas.openxmlformats.org/officeDocument/2006/relationships/hyperlink" Target="https://www.sec.gov/Archives/edgar/data/1639723/000162828025042130/exhibit1012-sx1.htm" TargetMode="External"/><Relationship Id="rId240" Type="http://schemas.openxmlformats.org/officeDocument/2006/relationships/hyperlink" Target="https://www.sec.gov/Archives/edgar/data/1639723/000162828025042130/exhibit161-sx1.htm" TargetMode="External"/><Relationship Id="rId241" Type="http://schemas.openxmlformats.org/officeDocument/2006/relationships/hyperlink" Target="https://www.sec.gov/Archives/edgar/data/1639723/000162828025042130/exhibit233-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2025-10-10T15:52:41Z</dcterms:created>
  <dcterms:modified xsi:type="dcterms:W3CDTF">2025-10-10T15:52:41Z</dcterms:modified>
</cp:coreProperties>
</file>