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28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HOROWITZ BENJAMIN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8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Navan,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NAVN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6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NAVAN,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3045 PARK BOULEVARD</w:t>
            </w:r>
          </w:p>
        </w:tc>
        <w:tc>
          <w:tcPr>
            <w:tcW w:w="0" w:type="dxa"/>
            <w:vAlign w:val="bottom"/>
          </w:tcPr>
          <w:p>
            <w:pPr>
              <w:spacing w:after="0"/>
              <w:rPr>
                <w:sz w:val="1"/>
                <w:szCs w:val="1"/>
                <w:color w:val="auto"/>
              </w:rPr>
            </w:pPr>
          </w:p>
        </w:tc>
      </w:tr>
      <w:tr>
        <w:trPr>
          <w:trHeight w:val="177"/>
        </w:trPr>
        <w:tc>
          <w:tcPr>
            <w:tcW w:w="8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PALO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CA</w:t>
            </w:r>
          </w:p>
        </w:tc>
        <w:tc>
          <w:tcPr>
            <w:tcW w:w="12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94306</w:t>
            </w:r>
          </w:p>
        </w:tc>
        <w:tc>
          <w:tcPr>
            <w:tcW w:w="0" w:type="dxa"/>
            <w:vAlign w:val="bottom"/>
          </w:tcPr>
          <w:p>
            <w:pPr>
              <w:spacing w:after="0"/>
              <w:rPr>
                <w:sz w:val="1"/>
                <w:szCs w:val="1"/>
                <w:color w:val="auto"/>
              </w:rPr>
            </w:pPr>
          </w:p>
        </w:tc>
      </w:tr>
      <w:tr>
        <w:trPr>
          <w:trHeight w:val="13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w:t>
            </w:r>
          </w:p>
        </w:tc>
        <w:tc>
          <w:tcPr>
            <w:tcW w:w="10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70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120" w:type="dxa"/>
            <w:vAlign w:val="bottom"/>
          </w:tcPr>
          <w:p>
            <w:pPr>
              <w:ind w:left="180"/>
              <w:spacing w:after="0"/>
              <w:rPr>
                <w:sz w:val="20"/>
                <w:szCs w:val="20"/>
                <w:color w:val="auto"/>
              </w:rPr>
            </w:pPr>
            <w:r>
              <w:rPr>
                <w:rFonts w:ascii="Arial" w:cs="Arial" w:eastAsia="Arial" w:hAnsi="Arial"/>
                <w:sz w:val="15"/>
                <w:szCs w:val="15"/>
                <w:b w:val="1"/>
                <w:bCs w:val="1"/>
                <w:color w:val="auto"/>
              </w:rPr>
              <w:t>2. Amount of Securities</w:t>
            </w:r>
          </w:p>
        </w:tc>
        <w:tc>
          <w:tcPr>
            <w:tcW w:w="1320" w:type="dxa"/>
            <w:vAlign w:val="bottom"/>
            <w:gridSpan w:val="2"/>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1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12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4)</w:t>
            </w:r>
          </w:p>
        </w:tc>
        <w:tc>
          <w:tcPr>
            <w:tcW w:w="13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7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7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120" w:type="dxa"/>
            <w:vAlign w:val="bottom"/>
            <w:vMerge w:val="restart"/>
          </w:tcPr>
          <w:p>
            <w:pPr>
              <w:ind w:left="760"/>
              <w:spacing w:after="0"/>
              <w:rPr>
                <w:sz w:val="20"/>
                <w:szCs w:val="20"/>
                <w:color w:val="auto"/>
              </w:rPr>
            </w:pPr>
            <w:r>
              <w:rPr>
                <w:rFonts w:ascii="Times New Roman" w:cs="Times New Roman" w:eastAsia="Times New Roman" w:hAnsi="Times New Roman"/>
                <w:sz w:val="20"/>
                <w:szCs w:val="20"/>
                <w:color w:val="0000FF"/>
              </w:rPr>
              <w:t>1,268,645</w:t>
            </w:r>
          </w:p>
        </w:tc>
        <w:tc>
          <w:tcPr>
            <w:tcW w:w="62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Andreessen Horowitz LSV</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700" w:type="dxa"/>
            <w:vAlign w:val="bottom"/>
            <w:vMerge w:val="continue"/>
          </w:tcPr>
          <w:p>
            <w:pPr>
              <w:spacing w:after="0"/>
              <w:rPr>
                <w:sz w:val="11"/>
                <w:szCs w:val="11"/>
                <w:color w:val="auto"/>
              </w:rPr>
            </w:pPr>
          </w:p>
        </w:tc>
        <w:tc>
          <w:tcPr>
            <w:tcW w:w="21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4700" w:type="dxa"/>
            <w:vAlign w:val="bottom"/>
            <w:tcBorders>
              <w:bottom w:val="single" w:sz="8" w:color="2C2C2C"/>
            </w:tcBorders>
          </w:tcPr>
          <w:p>
            <w:pPr>
              <w:spacing w:after="0"/>
              <w:rPr>
                <w:sz w:val="20"/>
                <w:szCs w:val="20"/>
                <w:color w:val="auto"/>
              </w:rPr>
            </w:pPr>
          </w:p>
        </w:tc>
        <w:tc>
          <w:tcPr>
            <w:tcW w:w="21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gridSpan w:val="2"/>
            <w:vMerge w:val="continue"/>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8140" w:type="dxa"/>
            <w:vAlign w:val="bottom"/>
            <w:tcBorders>
              <w:top w:val="single" w:sz="8" w:color="2C2C2C"/>
            </w:tcBorders>
            <w:gridSpan w:val="4"/>
          </w:tcPr>
          <w:p>
            <w:pPr>
              <w:ind w:left="3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140" w:type="dxa"/>
            <w:vAlign w:val="bottom"/>
            <w:gridSpan w:val="4"/>
          </w:tcPr>
          <w:p>
            <w:pPr>
              <w:ind w:left="276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470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40" w:type="dxa"/>
            <w:vAlign w:val="bottom"/>
            <w:gridSpan w:val="2"/>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tcPr>
          <w:p>
            <w:pPr>
              <w:ind w:left="16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00" w:type="dxa"/>
            <w:vAlign w:val="bottom"/>
          </w:tcPr>
          <w:p>
            <w:pPr>
              <w:ind w:left="292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w w:val="99"/>
              </w:rPr>
              <w:t>Underlying Derivative Security (Instr.</w:t>
            </w:r>
          </w:p>
        </w:tc>
        <w:tc>
          <w:tcPr>
            <w:tcW w:w="108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700" w:type="dxa"/>
            <w:vAlign w:val="bottom"/>
          </w:tcPr>
          <w:p>
            <w:pPr>
              <w:ind w:left="2920"/>
              <w:spacing w:after="0"/>
              <w:rPr>
                <w:sz w:val="20"/>
                <w:szCs w:val="20"/>
                <w:color w:val="auto"/>
              </w:rPr>
            </w:pPr>
            <w:r>
              <w:rPr>
                <w:rFonts w:ascii="Arial" w:cs="Arial" w:eastAsia="Arial" w:hAnsi="Arial"/>
                <w:sz w:val="15"/>
                <w:szCs w:val="15"/>
                <w:b w:val="1"/>
                <w:bCs w:val="1"/>
                <w:color w:val="auto"/>
              </w:rPr>
              <w:t>(Month/Day/Year)</w:t>
            </w:r>
          </w:p>
        </w:tc>
        <w:tc>
          <w:tcPr>
            <w:tcW w:w="2120" w:type="dxa"/>
            <w:vAlign w:val="bottom"/>
          </w:tcPr>
          <w:p>
            <w:pPr>
              <w:ind w:left="100"/>
              <w:spacing w:after="0"/>
              <w:rPr>
                <w:sz w:val="20"/>
                <w:szCs w:val="20"/>
                <w:color w:val="auto"/>
              </w:rPr>
            </w:pPr>
            <w:r>
              <w:rPr>
                <w:rFonts w:ascii="Arial" w:cs="Arial" w:eastAsia="Arial" w:hAnsi="Arial"/>
                <w:sz w:val="15"/>
                <w:szCs w:val="15"/>
                <w:b w:val="1"/>
                <w:bCs w:val="1"/>
                <w:color w:val="auto"/>
              </w:rPr>
              <w:t>4)</w:t>
            </w:r>
          </w:p>
        </w:tc>
        <w:tc>
          <w:tcPr>
            <w:tcW w:w="62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0940"/>
          </w:cols>
          <w:pgMar w:left="480" w:top="230" w:right="479" w:bottom="0" w:gutter="0" w:footer="0" w:header="0"/>
          <w:type w:val="continuous"/>
        </w:sectPr>
      </w:pPr>
    </w:p>
    <w:p>
      <w:pPr>
        <w:spacing w:after="0" w:line="135" w:lineRule="exact"/>
        <w:rPr>
          <w:sz w:val="24"/>
          <w:szCs w:val="24"/>
          <w:color w:val="auto"/>
        </w:rPr>
      </w:pPr>
    </w:p>
    <w:p>
      <w:pPr>
        <w:ind w:left="6580"/>
        <w:spacing w:after="0"/>
        <w:rPr>
          <w:sz w:val="20"/>
          <w:szCs w:val="20"/>
          <w:color w:val="auto"/>
        </w:rPr>
      </w:pPr>
      <w:r>
        <w:rPr>
          <w:rFonts w:ascii="Arial" w:cs="Arial" w:eastAsia="Arial" w:hAnsi="Arial"/>
          <w:sz w:val="15"/>
          <w:szCs w:val="15"/>
          <w:b w:val="1"/>
          <w:bCs w:val="1"/>
          <w:color w:val="auto"/>
        </w:rPr>
        <w:t>Amount or</w:t>
      </w:r>
    </w:p>
    <w:p>
      <w:pPr>
        <w:ind w:left="2940"/>
        <w:spacing w:after="0"/>
        <w:tabs>
          <w:tab w:leader="none" w:pos="3920" w:val="left"/>
          <w:tab w:leader="none" w:pos="656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b w:val="1"/>
          <w:bCs w:val="1"/>
          <w:color w:val="auto"/>
        </w:rPr>
        <w:t>Expiration</w:t>
      </w:r>
      <w:r>
        <w:rPr>
          <w:sz w:val="20"/>
          <w:szCs w:val="20"/>
          <w:color w:val="auto"/>
        </w:rPr>
        <w:tab/>
      </w:r>
      <w:r>
        <w:rPr>
          <w:rFonts w:ascii="Arial" w:cs="Arial" w:eastAsia="Arial" w:hAnsi="Arial"/>
          <w:sz w:val="15"/>
          <w:szCs w:val="15"/>
          <w:b w:val="1"/>
          <w:bCs w:val="1"/>
          <w:color w:val="auto"/>
        </w:rPr>
        <w:t>Number of</w:t>
      </w:r>
    </w:p>
    <w:p>
      <w:pPr>
        <w:ind w:left="2940"/>
        <w:spacing w:after="0"/>
        <w:tabs>
          <w:tab w:leader="none" w:pos="3920" w:val="left"/>
          <w:tab w:leader="none" w:pos="4800" w:val="left"/>
          <w:tab w:leader="none" w:pos="6560" w:val="left"/>
        </w:tabs>
        <w:rPr>
          <w:sz w:val="20"/>
          <w:szCs w:val="20"/>
          <w:color w:val="auto"/>
        </w:rPr>
      </w:pPr>
      <w:r>
        <w:rPr>
          <w:rFonts w:ascii="Arial" w:cs="Arial" w:eastAsia="Arial" w:hAnsi="Arial"/>
          <w:sz w:val="15"/>
          <w:szCs w:val="15"/>
          <w:b w:val="1"/>
          <w:bCs w:val="1"/>
          <w:color w:val="auto"/>
        </w:rPr>
        <w:t>Exercisable</w:t>
        <w:tab/>
        <w:t>Date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4"/>
          <w:szCs w:val="14"/>
          <w:b w:val="1"/>
          <w:bCs w:val="1"/>
          <w:color w:val="auto"/>
        </w:rPr>
        <w:t>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line="151" w:lineRule="exact"/>
              <w:rPr>
                <w:sz w:val="20"/>
                <w:szCs w:val="20"/>
                <w:color w:val="auto"/>
              </w:rPr>
            </w:pPr>
            <w:r>
              <w:rPr>
                <w:rFonts w:ascii="Arial" w:cs="Arial" w:eastAsia="Arial" w:hAnsi="Arial"/>
                <w:sz w:val="15"/>
                <w:szCs w:val="15"/>
                <w:b w:val="1"/>
                <w:bCs w:val="1"/>
                <w:color w:val="auto"/>
              </w:rPr>
              <w:t>Price of</w:t>
            </w:r>
          </w:p>
        </w:tc>
        <w:tc>
          <w:tcPr>
            <w:tcW w:w="980" w:type="dxa"/>
            <w:vAlign w:val="bottom"/>
          </w:tcPr>
          <w:p>
            <w:pPr>
              <w:ind w:left="140"/>
              <w:spacing w:after="0" w:line="151" w:lineRule="exact"/>
              <w:rPr>
                <w:sz w:val="20"/>
                <w:szCs w:val="20"/>
                <w:color w:val="auto"/>
              </w:rPr>
            </w:pPr>
            <w:r>
              <w:rPr>
                <w:rFonts w:ascii="Arial" w:cs="Arial" w:eastAsia="Arial" w:hAnsi="Arial"/>
                <w:sz w:val="15"/>
                <w:szCs w:val="15"/>
                <w:b w:val="1"/>
                <w:bCs w:val="1"/>
                <w:color w:val="auto"/>
              </w:rPr>
              <w:t>Direct (D)</w:t>
            </w:r>
          </w:p>
        </w:tc>
        <w:tc>
          <w:tcPr>
            <w:tcW w:w="2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5)</w:t>
            </w:r>
          </w:p>
        </w:tc>
      </w:tr>
      <w:tr>
        <w:trPr>
          <w:trHeight w:val="165"/>
        </w:trPr>
        <w:tc>
          <w:tcPr>
            <w:tcW w:w="860" w:type="dxa"/>
            <w:vAlign w:val="bottom"/>
          </w:tcPr>
          <w:p>
            <w:pPr>
              <w:spacing w:after="0" w:line="165"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4"/>
                <w:szCs w:val="14"/>
                <w:color w:val="auto"/>
              </w:rPr>
            </w:pPr>
          </w:p>
        </w:tc>
      </w:tr>
      <w:tr>
        <w:trPr>
          <w:trHeight w:val="206"/>
        </w:trPr>
        <w:tc>
          <w:tcPr>
            <w:tcW w:w="860" w:type="dxa"/>
            <w:vAlign w:val="bottom"/>
          </w:tcPr>
          <w:p>
            <w:pPr>
              <w:spacing w:after="0"/>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7"/>
                <w:szCs w:val="17"/>
                <w:color w:val="auto"/>
              </w:rPr>
            </w:pPr>
          </w:p>
        </w:tc>
      </w:tr>
    </w:tbl>
    <w:p>
      <w:pPr>
        <w:spacing w:after="0" w:line="258" w:lineRule="exact"/>
        <w:rPr>
          <w:sz w:val="24"/>
          <w:szCs w:val="24"/>
          <w:color w:val="auto"/>
        </w:rPr>
      </w:pPr>
    </w:p>
    <w:p>
      <w:pPr>
        <w:sectPr>
          <w:pgSz w:w="11900" w:h="16838" w:orient="portrait"/>
          <w:cols w:equalWidth="0" w:num="2">
            <w:col w:w="7340" w:space="280"/>
            <w:col w:w="3320"/>
          </w:cols>
          <w:pgMar w:left="480" w:top="230" w:right="479" w:bottom="0" w:gutter="0" w:footer="0" w:header="0"/>
          <w:type w:val="continuous"/>
        </w:sectPr>
      </w:pPr>
    </w:p>
    <w:tbl>
      <w:tblPr>
        <w:tblLayout w:type="fixed"/>
        <w:tblInd w:w="20" w:type="dxa"/>
        <w:tblCellMar>
          <w:top w:w="0" w:type="dxa"/>
          <w:left w:w="0" w:type="dxa"/>
          <w:bottom w:w="0" w:type="dxa"/>
          <w:right w:w="0" w:type="dxa"/>
        </w:tblCellMar>
      </w:tblPr>
      <w:tr>
        <w:trPr>
          <w:trHeight w:val="240"/>
        </w:trPr>
        <w:tc>
          <w:tcPr>
            <w:tcW w:w="2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0"/>
                <w:szCs w:val="10"/>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5"/>
              </w:rPr>
              <w:t>255,244</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96"/>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7"/>
                <w:szCs w:val="17"/>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5"/>
              </w:rPr>
              <w:t>201,306</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tcPr>
          <w:p>
            <w:pPr>
              <w:ind w:left="240"/>
              <w:spacing w:after="0" w:line="196" w:lineRule="exact"/>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33"/>
        </w:trPr>
        <w:tc>
          <w:tcPr>
            <w:tcW w:w="2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620" w:type="dxa"/>
            <w:vAlign w:val="bottom"/>
            <w:vMerge w:val="restart"/>
          </w:tcPr>
          <w:p>
            <w:pPr>
              <w:ind w:left="240"/>
              <w:spacing w:after="0" w:line="280" w:lineRule="exact"/>
              <w:rPr>
                <w:sz w:val="20"/>
                <w:szCs w:val="20"/>
                <w:color w:val="auto"/>
              </w:rPr>
            </w:pPr>
            <w:r>
              <w:rPr>
                <w:rFonts w:ascii="Times New Roman" w:cs="Times New Roman" w:eastAsia="Times New Roman" w:hAnsi="Times New Roman"/>
                <w:sz w:val="20"/>
                <w:szCs w:val="20"/>
                <w:color w:val="0000FF"/>
              </w:rPr>
              <w:t>Fund III, L.P.</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147"/>
        </w:trPr>
        <w:tc>
          <w:tcPr>
            <w:tcW w:w="2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13"/>
                <w:szCs w:val="13"/>
                <w:color w:val="008000"/>
              </w:rPr>
              <w:t>(4)</w:t>
            </w:r>
          </w:p>
        </w:tc>
        <w:tc>
          <w:tcPr>
            <w:tcW w:w="0" w:type="dxa"/>
            <w:vAlign w:val="bottom"/>
          </w:tcPr>
          <w:p>
            <w:pPr>
              <w:spacing w:after="0"/>
              <w:rPr>
                <w:sz w:val="1"/>
                <w:szCs w:val="1"/>
                <w:color w:val="auto"/>
              </w:rPr>
            </w:pPr>
          </w:p>
        </w:tc>
      </w:tr>
      <w:tr>
        <w:trPr>
          <w:trHeight w:val="92"/>
        </w:trPr>
        <w:tc>
          <w:tcPr>
            <w:tcW w:w="2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0"/>
                <w:szCs w:val="10"/>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7"/>
              </w:rPr>
              <w:t>2,081,772</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Horowitz Fund</w:t>
            </w:r>
          </w:p>
        </w:tc>
        <w:tc>
          <w:tcPr>
            <w:tcW w:w="0" w:type="dxa"/>
            <w:vAlign w:val="bottom"/>
          </w:tcPr>
          <w:p>
            <w:pPr>
              <w:spacing w:after="0"/>
              <w:rPr>
                <w:sz w:val="1"/>
                <w:szCs w:val="1"/>
                <w:color w:val="auto"/>
              </w:rPr>
            </w:pPr>
          </w:p>
        </w:tc>
      </w:tr>
      <w:tr>
        <w:trPr>
          <w:trHeight w:val="120"/>
        </w:trPr>
        <w:tc>
          <w:tcPr>
            <w:tcW w:w="2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V, L.P.</w:t>
            </w:r>
            <w:r>
              <w:rPr>
                <w:rFonts w:ascii="Times New Roman" w:cs="Times New Roman" w:eastAsia="Times New Roman" w:hAnsi="Times New Roman"/>
                <w:sz w:val="25"/>
                <w:szCs w:val="25"/>
                <w:color w:val="008000"/>
                <w:vertAlign w:val="superscript"/>
              </w:rPr>
              <w:t>(5)</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5"/>
              </w:rPr>
              <w:t>10,408,860</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AH Parallel</w:t>
            </w:r>
          </w:p>
        </w:tc>
        <w:tc>
          <w:tcPr>
            <w:tcW w:w="0" w:type="dxa"/>
            <w:vAlign w:val="bottom"/>
          </w:tcPr>
          <w:p>
            <w:pPr>
              <w:spacing w:after="0"/>
              <w:rPr>
                <w:sz w:val="1"/>
                <w:szCs w:val="1"/>
                <w:color w:val="auto"/>
              </w:rPr>
            </w:pPr>
          </w:p>
        </w:tc>
      </w:tr>
      <w:tr>
        <w:trPr>
          <w:trHeight w:val="134"/>
        </w:trPr>
        <w:tc>
          <w:tcPr>
            <w:tcW w:w="2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w w:val="95"/>
              </w:rPr>
              <w:t>Fund V, L.P.</w:t>
            </w:r>
            <w:r>
              <w:rPr>
                <w:rFonts w:ascii="Times New Roman" w:cs="Times New Roman" w:eastAsia="Times New Roman" w:hAnsi="Times New Roman"/>
                <w:sz w:val="25"/>
                <w:szCs w:val="25"/>
                <w:color w:val="008000"/>
                <w:w w:val="95"/>
                <w:vertAlign w:val="superscript"/>
              </w:rPr>
              <w:t>(6)(7)</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vMerge w:val="continue"/>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8"/>
              </w:rPr>
              <w:t>13,878</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CLF</w:t>
            </w:r>
          </w:p>
        </w:tc>
        <w:tc>
          <w:tcPr>
            <w:tcW w:w="0" w:type="dxa"/>
            <w:vAlign w:val="bottom"/>
          </w:tcPr>
          <w:p>
            <w:pPr>
              <w:spacing w:after="0"/>
              <w:rPr>
                <w:sz w:val="1"/>
                <w:szCs w:val="1"/>
                <w:color w:val="auto"/>
              </w:rPr>
            </w:pPr>
          </w:p>
        </w:tc>
      </w:tr>
      <w:tr>
        <w:trPr>
          <w:trHeight w:val="134"/>
        </w:trPr>
        <w:tc>
          <w:tcPr>
            <w:tcW w:w="2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Partners, LP</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vMerge w:val="continue"/>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0"/>
                <w:szCs w:val="10"/>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7"/>
              </w:rPr>
              <w:t>6,757,090</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Fund I, L.P.</w:t>
            </w:r>
            <w:r>
              <w:rPr>
                <w:rFonts w:ascii="Times New Roman" w:cs="Times New Roman" w:eastAsia="Times New Roman" w:hAnsi="Times New Roman"/>
                <w:sz w:val="25"/>
                <w:szCs w:val="25"/>
                <w:color w:val="008000"/>
                <w:vertAlign w:val="superscript"/>
              </w:rPr>
              <w:t>(9)</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E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0"/>
                <w:szCs w:val="10"/>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7"/>
              </w:rPr>
              <w:t>3,272,830</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180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62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vMerge w:val="restart"/>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106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color w:val="008000"/>
              </w:rPr>
              <w:t>(2)</w:t>
            </w:r>
          </w:p>
        </w:tc>
        <w:tc>
          <w:tcPr>
            <w:tcW w:w="82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(2)</w:t>
            </w:r>
          </w:p>
        </w:tc>
        <w:tc>
          <w:tcPr>
            <w:tcW w:w="1800" w:type="dxa"/>
            <w:vAlign w:val="bottom"/>
            <w:vMerge w:val="continue"/>
          </w:tcPr>
          <w:p>
            <w:pPr>
              <w:spacing w:after="0"/>
              <w:rPr>
                <w:sz w:val="10"/>
                <w:szCs w:val="10"/>
                <w:color w:val="auto"/>
              </w:rPr>
            </w:pPr>
          </w:p>
        </w:tc>
        <w:tc>
          <w:tcPr>
            <w:tcW w:w="126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5"/>
              </w:rPr>
              <w:t>777,832</w:t>
            </w:r>
          </w:p>
        </w:tc>
        <w:tc>
          <w:tcPr>
            <w:tcW w:w="820" w:type="dxa"/>
            <w:vAlign w:val="bottom"/>
            <w:vMerge w:val="restart"/>
          </w:tcPr>
          <w:p>
            <w:pPr>
              <w:jc w:val="right"/>
              <w:ind w:right="357"/>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800" w:type="dxa"/>
            <w:vAlign w:val="bottom"/>
            <w:vMerge w:val="restart"/>
          </w:tcPr>
          <w:p>
            <w:pPr>
              <w:jc w:val="center"/>
              <w:ind w:left="22"/>
              <w:spacing w:after="0"/>
              <w:rPr>
                <w:sz w:val="20"/>
                <w:szCs w:val="20"/>
                <w:color w:val="auto"/>
              </w:rPr>
            </w:pPr>
            <w:r>
              <w:rPr>
                <w:rFonts w:ascii="Times New Roman" w:cs="Times New Roman" w:eastAsia="Times New Roman" w:hAnsi="Times New Roman"/>
                <w:sz w:val="20"/>
                <w:szCs w:val="20"/>
                <w:color w:val="0000FF"/>
                <w:w w:val="96"/>
              </w:rPr>
              <w:t>Stock</w:t>
            </w:r>
          </w:p>
        </w:tc>
        <w:tc>
          <w:tcPr>
            <w:tcW w:w="12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Fund II, L.P.</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82"/>
        </w:trPr>
        <w:tc>
          <w:tcPr>
            <w:tcW w:w="276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180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760" w:type="dxa"/>
            <w:vAlign w:val="bottom"/>
            <w:tcBorders>
              <w:bottom w:val="single" w:sz="8" w:color="808080"/>
            </w:tcBorders>
          </w:tcPr>
          <w:p>
            <w:pPr>
              <w:spacing w:after="0"/>
              <w:rPr>
                <w:sz w:val="15"/>
                <w:szCs w:val="15"/>
                <w:color w:val="auto"/>
              </w:rPr>
            </w:pPr>
          </w:p>
        </w:tc>
        <w:tc>
          <w:tcPr>
            <w:tcW w:w="1620" w:type="dxa"/>
            <w:vAlign w:val="bottom"/>
            <w:tcBorders>
              <w:bottom w:val="single" w:sz="8" w:color="808080"/>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2176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217614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2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8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8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vMerge w:val="restart"/>
          </w:tcPr>
          <w:p>
            <w:pPr>
              <w:jc w:val="right"/>
              <w:ind w:right="196"/>
              <w:spacing w:after="0"/>
              <w:rPr>
                <w:sz w:val="20"/>
                <w:szCs w:val="20"/>
                <w:color w:val="auto"/>
              </w:rPr>
            </w:pPr>
            <w:r>
              <w:rPr>
                <w:rFonts w:ascii="Times New Roman" w:cs="Times New Roman" w:eastAsia="Times New Roman" w:hAnsi="Times New Roman"/>
                <w:sz w:val="20"/>
                <w:szCs w:val="20"/>
                <w:color w:val="0000FF"/>
              </w:rPr>
              <w:t>3,123</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CLF</w:t>
            </w:r>
          </w:p>
        </w:tc>
        <w:tc>
          <w:tcPr>
            <w:tcW w:w="0" w:type="dxa"/>
            <w:vAlign w:val="bottom"/>
          </w:tcPr>
          <w:p>
            <w:pPr>
              <w:spacing w:after="0"/>
              <w:rPr>
                <w:sz w:val="1"/>
                <w:szCs w:val="1"/>
                <w:color w:val="auto"/>
              </w:rPr>
            </w:pPr>
          </w:p>
        </w:tc>
      </w:tr>
      <w:tr>
        <w:trPr>
          <w:trHeight w:val="134"/>
        </w:trPr>
        <w:tc>
          <w:tcPr>
            <w:tcW w:w="284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Partners, LP</w:t>
            </w:r>
            <w:r>
              <w:rPr>
                <w:rFonts w:ascii="Times New Roman" w:cs="Times New Roman" w:eastAsia="Times New Roman" w:hAnsi="Times New Roman"/>
                <w:sz w:val="25"/>
                <w:szCs w:val="25"/>
                <w:color w:val="008000"/>
                <w:vertAlign w:val="superscript"/>
              </w:rPr>
              <w:t>(8)</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720" w:type="dxa"/>
            <w:vAlign w:val="bottom"/>
            <w:tcBorders>
              <w:bottom w:val="single" w:sz="8" w:color="2C2C2C"/>
            </w:tcBorders>
            <w:vMerge w:val="continue"/>
          </w:tcPr>
          <w:p>
            <w:pPr>
              <w:spacing w:after="0"/>
              <w:rPr>
                <w:sz w:val="16"/>
                <w:szCs w:val="16"/>
                <w:color w:val="auto"/>
              </w:rPr>
            </w:pPr>
          </w:p>
        </w:tc>
        <w:tc>
          <w:tcPr>
            <w:tcW w:w="108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60" w:type="dxa"/>
            <w:vAlign w:val="bottom"/>
            <w:tcBorders>
              <w:bottom w:val="single" w:sz="8" w:color="2C2C2C"/>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By Andreessen</w:t>
            </w:r>
          </w:p>
        </w:tc>
        <w:tc>
          <w:tcPr>
            <w:tcW w:w="0" w:type="dxa"/>
            <w:vAlign w:val="bottom"/>
          </w:tcPr>
          <w:p>
            <w:pPr>
              <w:spacing w:after="0"/>
              <w:rPr>
                <w:sz w:val="1"/>
                <w:szCs w:val="1"/>
                <w:color w:val="auto"/>
              </w:rPr>
            </w:pPr>
          </w:p>
        </w:tc>
      </w:tr>
      <w:tr>
        <w:trPr>
          <w:trHeight w:val="120"/>
        </w:trPr>
        <w:tc>
          <w:tcPr>
            <w:tcW w:w="28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Series G-1 Preferred Stock</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vMerge w:val="continue"/>
          </w:tcPr>
          <w:p>
            <w:pPr>
              <w:spacing w:after="0"/>
              <w:rPr>
                <w:sz w:val="10"/>
                <w:szCs w:val="10"/>
                <w:color w:val="auto"/>
              </w:rPr>
            </w:pPr>
          </w:p>
        </w:tc>
        <w:tc>
          <w:tcPr>
            <w:tcW w:w="1080" w:type="dxa"/>
            <w:vAlign w:val="bottom"/>
            <w:vMerge w:val="restart"/>
          </w:tcPr>
          <w:p>
            <w:pPr>
              <w:jc w:val="right"/>
              <w:ind w:right="116"/>
              <w:spacing w:after="0"/>
              <w:rPr>
                <w:sz w:val="20"/>
                <w:szCs w:val="20"/>
                <w:color w:val="auto"/>
              </w:rPr>
            </w:pPr>
            <w:r>
              <w:rPr>
                <w:rFonts w:ascii="Times New Roman" w:cs="Times New Roman" w:eastAsia="Times New Roman" w:hAnsi="Times New Roman"/>
                <w:sz w:val="20"/>
                <w:szCs w:val="20"/>
                <w:color w:val="0000FF"/>
              </w:rPr>
              <w:t>405,855</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Horowitz LSV</w:t>
            </w:r>
          </w:p>
        </w:tc>
        <w:tc>
          <w:tcPr>
            <w:tcW w:w="0" w:type="dxa"/>
            <w:vAlign w:val="bottom"/>
          </w:tcPr>
          <w:p>
            <w:pPr>
              <w:spacing w:after="0"/>
              <w:rPr>
                <w:sz w:val="1"/>
                <w:szCs w:val="1"/>
                <w:color w:val="auto"/>
              </w:rPr>
            </w:pPr>
          </w:p>
        </w:tc>
      </w:tr>
      <w:tr>
        <w:trPr>
          <w:trHeight w:val="120"/>
        </w:trPr>
        <w:tc>
          <w:tcPr>
            <w:tcW w:w="28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10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Fund III, L.P.</w:t>
            </w:r>
            <w:r>
              <w:rPr>
                <w:rFonts w:ascii="Times New Roman" w:cs="Times New Roman" w:eastAsia="Times New Roman" w:hAnsi="Times New Roman"/>
                <w:sz w:val="25"/>
                <w:szCs w:val="25"/>
                <w:color w:val="008000"/>
                <w:vertAlign w:val="superscript"/>
              </w:rPr>
              <w:t>(3)</w:t>
            </w: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100" w:firstLine="5"/>
        <w:spacing w:after="0" w:line="236"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II, L.P. ("AH LSV Fund II"), for itself and as nominee for Andreessen Horowitz LSV Fund II-B, L.P. and Andreessen Horowitz LSV Fund II-Q, L.P. (collectively, the "AH LSV Fund II Entities"). AH Equity Partners LSV II, L.L.C. ("AH EP LSV II "), the general partner of AH LSV Fund II, may be deemed to have sole voting and dispositive power over the shares held by the AH LSV Fund II Entities. The Reporting Person and Marc Andreessen are the managing members of AH EP LSV II and may be deemed to have shared voting and dispositive power over the shares held by the AH LSV Fund II Entities. The Reporting Person disclaims the existence of a "group" and disclaims beneficial ownership of the securities held by the AH LSV Fund II Entities and this report shall not be deemed an admission that the Reporting Person is the beneficial owner of such securities, except to the extent of his pecuniary interest therein, if any.</w:t>
      </w:r>
    </w:p>
    <w:p>
      <w:pPr>
        <w:spacing w:after="0" w:line="32" w:lineRule="exact"/>
        <w:rPr>
          <w:rFonts w:ascii="Times New Roman" w:cs="Times New Roman" w:eastAsia="Times New Roman" w:hAnsi="Times New Roman"/>
          <w:sz w:val="15"/>
          <w:szCs w:val="15"/>
          <w:color w:val="008000"/>
        </w:rPr>
      </w:pPr>
    </w:p>
    <w:p>
      <w:pPr>
        <w:ind w:left="20" w:right="30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Seed, Series A, Series C, Series D, Series E, Series F and Series G-1 Preferred Stock are each convertible into Class A Common Stock on a ratio dependent on the public offering price of the Class A Common Stock in the Issuer's initial public offering, and have no expiration date. Upon the closing of the Issuer's initial public offering, all shares of Series Seed, Series A, Series C, Series D, Series E, Series F and Series G-1 Preferred Stock will be converted into shares of Class A Common Stock of the Issuer.</w:t>
      </w:r>
    </w:p>
    <w:p>
      <w:pPr>
        <w:spacing w:after="0" w:line="29" w:lineRule="exact"/>
        <w:rPr>
          <w:rFonts w:ascii="Times New Roman" w:cs="Times New Roman" w:eastAsia="Times New Roman" w:hAnsi="Times New Roman"/>
          <w:sz w:val="15"/>
          <w:szCs w:val="15"/>
          <w:color w:val="008000"/>
        </w:rPr>
      </w:pPr>
    </w:p>
    <w:p>
      <w:pPr>
        <w:jc w:val="both"/>
        <w:ind w:left="20" w:right="12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III, L.P. ("AH LSV Fund III"), for itself and as nominee for Andreessen Horowitz LSV Fund III-B, L.P., AH 2022 Annual Fund, L.P., AH 2022 Annual Fund-B, L.P., AH 2022 Annual Fund-QC, L.P. (collectively the "AH LSV Fund III Entities"). AH Equity Partners LSV III, L.L.C. ("AH EP LSV III"), the general partner of AH LSV Fund III, may be deemed to have sole voting and dispositive power over the shares held by the AH LSV Fund III Entities.</w:t>
      </w:r>
    </w:p>
    <w:p>
      <w:pPr>
        <w:spacing w:after="0" w:line="29" w:lineRule="exact"/>
        <w:rPr>
          <w:rFonts w:ascii="Times New Roman" w:cs="Times New Roman" w:eastAsia="Times New Roman" w:hAnsi="Times New Roman"/>
          <w:sz w:val="15"/>
          <w:szCs w:val="15"/>
          <w:color w:val="008000"/>
        </w:rPr>
      </w:pPr>
    </w:p>
    <w:p>
      <w:pPr>
        <w:ind w:left="20" w:right="14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3) The Reporting Person and Marc Andreessen are the managing members of AH EP LSV III and may be deemed to have shared voting and dispositive power over the shares held by the AH LSV Fund III Entities. The Reporting Person disclaims the existence of a "group" and disclaims beneficial ownership of the securities held by the AH LSV Fund III Entities and this report shall not be deemed an admission that the Reporting Person is the beneficial owner of such securities, except to the extent of his pecuniary interest therein, if any.</w:t>
      </w:r>
    </w:p>
    <w:p>
      <w:pPr>
        <w:spacing w:after="0" w:line="33" w:lineRule="exact"/>
        <w:rPr>
          <w:rFonts w:ascii="Times New Roman" w:cs="Times New Roman" w:eastAsia="Times New Roman" w:hAnsi="Times New Roman"/>
          <w:sz w:val="15"/>
          <w:szCs w:val="15"/>
          <w:color w:val="008000"/>
        </w:rPr>
      </w:pPr>
    </w:p>
    <w:p>
      <w:pPr>
        <w:ind w:left="20" w:right="120" w:firstLine="5"/>
        <w:spacing w:after="0" w:line="236"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Fund V, L.P. ("AH Fund V"), for itself and as nominee for Andreessen Horowitz Fund V-A, L.P., Andreessen Horowitz Fund V-B, L.P. and Andreessen Horowitz Fund V-Q, L.P. (collectively, the "AH Fund V Entities"). AH Equity Partners V, L.L.C. ("AH EP V"), the general partner of AH Fund V, may be deemed to have sole voting and dispositive power over the shares held by the AH Fund V Entities. The Reporting Person and Marc Andreessen are the managing members of AH EP V and may be deemed to have shared voting and dispositive power over the shares held by the AH Fund V Entities. The Reporting Person disclaims the existence of a "group" and disclaims beneficial ownership of the securities held by the AH Fund V Entities and this report shall not be deemed an admission that the Reporting Person is the beneficial owner of such securities, except to the extent of his pecuniary interest therein, if any.</w:t>
      </w:r>
    </w:p>
    <w:p>
      <w:pPr>
        <w:spacing w:after="0" w:line="32" w:lineRule="exact"/>
        <w:rPr>
          <w:rFonts w:ascii="Times New Roman" w:cs="Times New Roman" w:eastAsia="Times New Roman" w:hAnsi="Times New Roman"/>
          <w:sz w:val="15"/>
          <w:szCs w:val="15"/>
          <w:color w:val="008000"/>
        </w:rPr>
      </w:pPr>
    </w:p>
    <w:p>
      <w:pPr>
        <w:ind w:left="20" w:right="14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AH Parallel Fund V, L.P. ("AH Parallel V"), for itself and as nominee for AH Parallel Fund V-A, L.P., AH Parallel Fund V-B, L.P., and AH Parallel Fund V-Q, L.P. (collectively, the "AH Parallel Fund V Entities"). AH Equity Partners V (Parallel), L.L.C. ("AH EP V Parallel"), the general partner of AH Parallel V, may be deemed to have sole voting and dispositive power over the shares held by the AH Parallel Fund V Entities. The Reporting Person and Marc Andreessen are managing members of AH EP V Parallel and may be deemed to have shared voting and dispositive power over the shares held by the AH Parallel Fund V Entities.</w:t>
      </w:r>
    </w:p>
    <w:p>
      <w:pPr>
        <w:spacing w:after="0" w:line="33" w:lineRule="exact"/>
        <w:rPr>
          <w:rFonts w:ascii="Times New Roman" w:cs="Times New Roman" w:eastAsia="Times New Roman" w:hAnsi="Times New Roman"/>
          <w:sz w:val="15"/>
          <w:szCs w:val="15"/>
          <w:color w:val="008000"/>
        </w:rPr>
      </w:pPr>
    </w:p>
    <w:p>
      <w:pPr>
        <w:ind w:left="20" w:right="60" w:firstLine="5"/>
        <w:spacing w:after="0" w:line="244"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6) The Reporting Person disclaims the existence of a "group" and disclaims beneficial ownership of the securities held by the AH Parallel Fund V Entities and this report shall not be deemed an admission that the Reporting Person is the beneficial owner of such securities, except to the extent of his pecuniary interest therein, if any.</w:t>
      </w:r>
    </w:p>
    <w:p>
      <w:pPr>
        <w:spacing w:after="0" w:line="29"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CLF Partners, LP ("CLF"). AH EP V, the general partner of CLF, may be deemed to have sole voting and dispositive power over the shares</w:t>
      </w:r>
    </w:p>
    <w:p>
      <w:pPr>
        <w:spacing w:after="0" w:line="8" w:lineRule="exact"/>
        <w:rPr>
          <w:rFonts w:ascii="Times New Roman" w:cs="Times New Roman" w:eastAsia="Times New Roman" w:hAnsi="Times New Roman"/>
          <w:sz w:val="15"/>
          <w:szCs w:val="15"/>
          <w:color w:val="008000"/>
        </w:rPr>
      </w:pPr>
    </w:p>
    <w:p>
      <w:pPr>
        <w:ind w:left="20" w:right="100"/>
        <w:spacing w:after="0" w:line="235"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held by CLF. The Reporting Person and Marc Andreessen are the managing members of AH EP V and may be deemed to have shared voting and dispositive power over the shares held by CLF. The Reporting Person disclaims the existence of a "group" and disclaims beneficial ownership of the securities held by CLF and this report shall not be deemed an admission that the Reporting Person is the beneficial owner of such securities, except to the extent of his pecuniary interest therein, if any.</w:t>
      </w:r>
    </w:p>
    <w:p>
      <w:pPr>
        <w:spacing w:after="0" w:line="32" w:lineRule="exact"/>
        <w:rPr>
          <w:rFonts w:ascii="Times New Roman" w:cs="Times New Roman" w:eastAsia="Times New Roman" w:hAnsi="Times New Roman"/>
          <w:sz w:val="15"/>
          <w:szCs w:val="15"/>
          <w:color w:val="008000"/>
        </w:rPr>
      </w:pPr>
    </w:p>
    <w:p>
      <w:pPr>
        <w:ind w:left="20" w:right="120" w:firstLine="5"/>
        <w:spacing w:after="0" w:line="236"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of record by Andreessen Horowitz LSV Fund I, L.P. ("AH LSV Fund I"), for itself and as nominee for Andreessen Horowitz LSV Fund I-B, L.P. and Andreessen Horowitz LSV Fund I-Q, L.P. (collectively, the "AH LSV Fund I Entities"). AH Equity Partners LSV I, L.L.C. ("AH EP LSV I"), the general partner of AH LSV Fund I, may be deemed to have sole voting and dispositive power over the shares held by the AH LSV Fund I Entities. The Reporting Person and Marc Andreessen are the managing members of AH EP LSV I and may be deemed to have shared voting and dispositive power over the shares held by the AH LSV Fund I Entities. The Reporting Person disclaims the existence of a "group" and disclaims beneficial ownership of the securities held by the AH LSV Fund I Entities and this report shall not be deemed an admission that the Reporting Person is the beneficial owner of such securities, except to the extent of his pecuniary interest therein, if any.</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Phil Hathaway,</w:t>
            </w:r>
          </w:p>
        </w:tc>
        <w:tc>
          <w:tcPr>
            <w:tcW w:w="76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10/29/2025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Benjamin Horowitz</w:t>
            </w:r>
          </w:p>
        </w:tc>
        <w:tc>
          <w:tcPr>
            <w:tcW w:w="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8"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1"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2"/>
          <w:szCs w:val="22"/>
          <w:color w:val="auto"/>
        </w:rPr>
        <w:t>The undersigned individual (the "</w:t>
      </w:r>
      <w:r>
        <w:rPr>
          <w:rFonts w:ascii="Times New Roman" w:cs="Times New Roman" w:eastAsia="Times New Roman" w:hAnsi="Times New Roman"/>
          <w:sz w:val="22"/>
          <w:szCs w:val="22"/>
          <w:b w:val="1"/>
          <w:bCs w:val="1"/>
          <w:i w:val="1"/>
          <w:iCs w:val="1"/>
          <w:color w:val="auto"/>
        </w:rPr>
        <w:t>Reporting Person</w:t>
      </w:r>
      <w:r>
        <w:rPr>
          <w:rFonts w:ascii="Times New Roman" w:cs="Times New Roman" w:eastAsia="Times New Roman" w:hAnsi="Times New Roman"/>
          <w:sz w:val="22"/>
          <w:szCs w:val="22"/>
          <w:color w:val="auto"/>
        </w:rPr>
        <w:t>") hereby authorizes and designates each entity affiliated with AH Capital Management, L.L.C., or such other person or entity as is designated in writing by Benjamin Horowitz (the "</w:t>
      </w:r>
      <w:r>
        <w:rPr>
          <w:rFonts w:ascii="Times New Roman" w:cs="Times New Roman" w:eastAsia="Times New Roman" w:hAnsi="Times New Roman"/>
          <w:sz w:val="22"/>
          <w:szCs w:val="22"/>
          <w:b w:val="1"/>
          <w:bCs w:val="1"/>
          <w:i w:val="1"/>
          <w:iCs w:val="1"/>
          <w:color w:val="auto"/>
        </w:rPr>
        <w:t>Designated Filer</w:t>
      </w:r>
      <w:r>
        <w:rPr>
          <w:rFonts w:ascii="Times New Roman" w:cs="Times New Roman" w:eastAsia="Times New Roman" w:hAnsi="Times New Roman"/>
          <w:sz w:val="22"/>
          <w:szCs w:val="22"/>
          <w:color w:val="auto"/>
        </w:rPr>
        <w:t>") as the beneficial owner to prepare and file on behalf of the Reporting Person individually, or jointly together with other reporting persons, any and all reports, notices, communications and other documents (including, but not limited to, reports on Schedule 13D, Schedule 13G, Form 13-F, Form 3, Form 4 and Form 5) that the Reporting Person may be required to file with the United States Securities and Exchange Commission pursuant to the Securities Act of 1933, as amended (together with the implementing regulations thereto, the "</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color w:val="auto"/>
        </w:rPr>
        <w:t>") and the Securities Exchange Act of 1934, as amended (together with the implementing regulations thereto,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i w:val="1"/>
          <w:iCs w:val="1"/>
          <w:color w:val="auto"/>
        </w:rPr>
        <w:t>Reports</w:t>
      </w:r>
      <w:r>
        <w:rPr>
          <w:rFonts w:ascii="Times New Roman" w:cs="Times New Roman" w:eastAsia="Times New Roman" w:hAnsi="Times New Roman"/>
          <w:sz w:val="22"/>
          <w:szCs w:val="22"/>
          <w:color w:val="auto"/>
        </w:rPr>
        <w:t>") with respect to the Reporting Person's ownership of, or transactions in, securities of any entity whose securities are beneficially owned (directly or indirectly) by the Reporting Person (collectively, the "</w:t>
      </w:r>
      <w:r>
        <w:rPr>
          <w:rFonts w:ascii="Times New Roman" w:cs="Times New Roman" w:eastAsia="Times New Roman" w:hAnsi="Times New Roman"/>
          <w:sz w:val="22"/>
          <w:szCs w:val="22"/>
          <w:b w:val="1"/>
          <w:bCs w:val="1"/>
          <w:i w:val="1"/>
          <w:iCs w:val="1"/>
          <w:color w:val="auto"/>
        </w:rPr>
        <w:t>Companies</w:t>
      </w:r>
      <w:r>
        <w:rPr>
          <w:rFonts w:ascii="Times New Roman" w:cs="Times New Roman" w:eastAsia="Times New Roman" w:hAnsi="Times New Roman"/>
          <w:sz w:val="22"/>
          <w:szCs w:val="22"/>
          <w:color w:val="auto"/>
        </w:rPr>
        <w:t>").</w:t>
      </w:r>
    </w:p>
    <w:p>
      <w:pPr>
        <w:spacing w:after="0" w:line="228" w:lineRule="exact"/>
        <w:rPr>
          <w:sz w:val="20"/>
          <w:szCs w:val="20"/>
          <w:color w:val="auto"/>
        </w:rPr>
      </w:pPr>
    </w:p>
    <w:p>
      <w:pPr>
        <w:jc w:val="both"/>
        <w:ind w:firstLine="720"/>
        <w:spacing w:after="0" w:line="254" w:lineRule="auto"/>
        <w:rPr>
          <w:sz w:val="20"/>
          <w:szCs w:val="20"/>
          <w:color w:val="auto"/>
        </w:rPr>
      </w:pPr>
      <w:r>
        <w:rPr>
          <w:rFonts w:ascii="Times New Roman" w:cs="Times New Roman" w:eastAsia="Times New Roman" w:hAnsi="Times New Roman"/>
          <w:sz w:val="22"/>
          <w:szCs w:val="22"/>
          <w:color w:val="auto"/>
        </w:rPr>
        <w:t>The Reporting Person hereby further authorizes and designates Phil Hathaway (the "</w:t>
      </w:r>
      <w:r>
        <w:rPr>
          <w:rFonts w:ascii="Times New Roman" w:cs="Times New Roman" w:eastAsia="Times New Roman" w:hAnsi="Times New Roman"/>
          <w:sz w:val="22"/>
          <w:szCs w:val="22"/>
          <w:b w:val="1"/>
          <w:bCs w:val="1"/>
          <w:i w:val="1"/>
          <w:iCs w:val="1"/>
          <w:color w:val="auto"/>
        </w:rPr>
        <w:t>Authorized Signatory</w:t>
      </w:r>
      <w:r>
        <w:rPr>
          <w:rFonts w:ascii="Times New Roman" w:cs="Times New Roman" w:eastAsia="Times New Roman" w:hAnsi="Times New Roman"/>
          <w:sz w:val="22"/>
          <w:szCs w:val="22"/>
          <w:color w:val="auto"/>
        </w:rPr>
        <w:t>") to execute and file on behalf of the Reporting Person the Reports and to perform any and all other acts, which in the opinion of the Designated Filer or Authorized Signatory may be necessary or incidental to the performance of the foregoing powers herein granted.</w:t>
      </w:r>
    </w:p>
    <w:p>
      <w:pPr>
        <w:spacing w:after="0" w:line="226"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The authority of the Designated Filer and the Authorized Signatory under this Document with respect to the Reporting Person shall continue until the Reporting Person is no longer required to file any Reports with respect to the Reporting Person's ownership of, or transactions in, the securities of the Companies, unless earlier revoked in writing. The Reporting Person acknowledges that the Designated Filer and the Authorized Signatory are not assuming any of the Reporting Person's responsibilities to comply with the Act or the Exchange Act.</w:t>
      </w: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280"/>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June 22, 2023</w:t>
            </w:r>
          </w:p>
        </w:tc>
        <w:tc>
          <w:tcPr>
            <w:tcW w:w="2820" w:type="dxa"/>
            <w:vAlign w:val="bottom"/>
          </w:tcPr>
          <w:p>
            <w:pPr>
              <w:ind w:left="1980"/>
              <w:spacing w:after="0"/>
              <w:rPr>
                <w:sz w:val="20"/>
                <w:szCs w:val="20"/>
                <w:color w:val="auto"/>
              </w:rPr>
            </w:pPr>
            <w:r>
              <w:rPr>
                <w:rFonts w:ascii="Times New Roman" w:cs="Times New Roman" w:eastAsia="Times New Roman" w:hAnsi="Times New Roman"/>
                <w:sz w:val="22"/>
                <w:szCs w:val="22"/>
                <w:color w:val="auto"/>
              </w:rPr>
              <w:t>By:</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Benjamin Horowitz</w:t>
            </w:r>
          </w:p>
        </w:tc>
      </w:tr>
      <w:tr>
        <w:trPr>
          <w:trHeight w:val="281"/>
        </w:trPr>
        <w:tc>
          <w:tcPr>
            <w:tcW w:w="3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Benjamin Horowitz</w:t>
            </w: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0" Type="http://schemas.openxmlformats.org/officeDocument/2006/relationships/hyperlink" Target="http://www.sec.gov/cgi-bin/browse-edgar?action=getcompany&amp;CIK=0001166586" TargetMode="External"/><Relationship Id="rId11"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2025-10-29T20:54:23Z</dcterms:created>
  <dcterms:modified xsi:type="dcterms:W3CDTF">2025-10-29T20:54:23Z</dcterms:modified>
</cp:coreProperties>
</file>