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7958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795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Twig Ilan Ezra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NAVAN,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3045 PARK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Navan,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NAVN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1"/>
        <w:spacing w:after="0"/>
        <w:tabs>
          <w:tab w:leader="none" w:pos="173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1938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7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Technology Officer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restart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PALO ALTO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94306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5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8,939,081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Ilan Twig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8,939,081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Ilan Twig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Twig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127,846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Gift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10/31/2025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766,666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Leeor Eli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Twig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10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587,222</w:t>
            </w: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8,939,081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Ilan Twig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77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8,939,081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8,939,081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127,846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Twig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127,846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127,846</w:t>
            </w:r>
          </w:p>
        </w:tc>
        <w:tc>
          <w:tcPr>
            <w:tcW w:w="5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Gift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766,666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Leeor Eli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77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C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766,666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766,666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Twig GST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-2712085</wp:posOffset>
            </wp:positionV>
            <wp:extent cx="28575" cy="27171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71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Ilan Twig Living Trust, for which the Reporting Person is the trustee.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the completion of the Issuer's initial public offering of Class A Common Stock ("IPO"), each share of Class A Common Stock was exchanged at a 1:1 ratio for shares of Class B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Twig Irrevocable Gift Trust, for which the Reporting Person may be deemed to have voting and investment power.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Leeor Eli Twig GST Trust, for which the Reporting Person may be deemed to have voting and investment power.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2"/>
        <w:spacing w:after="0" w:line="243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of which represents a contingent right to receive one share of Issuer's Class A Common Stock upon vesting. Immediately following the completion of the IPO, at the election of the Reporting Person, each share of Class A Common Stock issued upon vesting and settlement of the RSU may be exchanged at a 1:1 ratio for a share of Class B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ind w:left="2" w:hanging="2"/>
        <w:spacing w:after="0" w:line="234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held by the Reporting Person will automatically convert into one share of Class A Common Stock upon the sale or transfer of such share of Class B Common Stock, subject to certain exceptions, and in certain other circumstances described in the Issuer's amended and restated certificate of incorporation. Each share of Class B Common Stock is convertible at any time at the option of the Reporting Person into one share of Class A Common Stock. The Class B Common Stock has no expiration date.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tbl>
      <w:tblPr>
        <w:tblLayout w:type="fixed"/>
        <w:tblInd w:w="656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Howard Baik, Attorney-in-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" w:right="3600" w:hanging="2"/>
        <w:spacing w:after="0" w:line="355" w:lineRule="auto"/>
        <w:tabs>
          <w:tab w:leader="none" w:pos="134" w:val="left"/>
        </w:tabs>
        <w:numPr>
          <w:ilvl w:val="0"/>
          <w:numId w:val="4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2"/>
      </w:cols>
      <w:pgMar w:left="498" w:top="127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85105" TargetMode="External"/><Relationship Id="rId14" Type="http://schemas.openxmlformats.org/officeDocument/2006/relationships/hyperlink" Target="http://www.sec.gov/cgi-bin/browse-edgar?action=getcompany&amp;CIK=000163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2025-10-31T20:01:21Z</dcterms:created>
  <dcterms:modified xsi:type="dcterms:W3CDTF">2025-10-31T20:01:21Z</dcterms:modified>
</cp:coreProperties>
</file>