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8836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8836025"/>
                    </a:xfrm>
                    <a:prstGeom prst="rect">
                      <a:avLst/>
                    </a:prstGeom>
                    <a:noFill/>
                  </pic:spPr>
                </pic:pic>
              </a:graphicData>
            </a:graphic>
          </wp:anchor>
        </w:drawing>
      </w:r>
    </w:p>
    <w:p>
      <w:pPr>
        <w:spacing w:after="0" w:line="1013" w:lineRule="exact"/>
        <w:rPr>
          <w:sz w:val="24"/>
          <w:szCs w:val="24"/>
          <w:color w:val="auto"/>
        </w:rPr>
      </w:pPr>
    </w:p>
    <w:p>
      <w:pPr>
        <w:sectPr>
          <w:pgSz w:w="11900" w:h="16838" w:orient="portrait"/>
          <w:cols w:equalWidth="0" w:num="2">
            <w:col w:w="2280" w:space="42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gridSpan w:val="4"/>
            <w:vMerge w:val="restart"/>
          </w:tcPr>
          <w:p>
            <w:pPr>
              <w:spacing w:after="0" w:line="227" w:lineRule="exact"/>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Andreessen Horowitz LSV Fund III, L.P.</w:t>
              </w:r>
            </w:hyperlink>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gridSpan w:val="5"/>
          </w:tcPr>
          <w:p>
            <w:pPr>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Navan,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6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0000EE"/>
            </w:tcBorders>
          </w:tcPr>
          <w:p>
            <w:pPr>
              <w:spacing w:after="0"/>
              <w:rPr>
                <w:sz w:val="5"/>
                <w:szCs w:val="5"/>
                <w:color w:val="auto"/>
              </w:rPr>
            </w:pPr>
          </w:p>
        </w:tc>
        <w:tc>
          <w:tcPr>
            <w:tcW w:w="560" w:type="dxa"/>
            <w:vAlign w:val="bottom"/>
            <w:tcBorders>
              <w:bottom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60" w:type="dxa"/>
            <w:vAlign w:val="bottom"/>
            <w:tcBorders>
              <w:bottom w:val="single" w:sz="8" w:color="0000EE"/>
            </w:tcBorders>
            <w:gridSpan w:val="4"/>
            <w:vMerge w:val="continue"/>
          </w:tcPr>
          <w:p>
            <w:pPr>
              <w:spacing w:after="0"/>
              <w:rPr>
                <w:sz w:val="5"/>
                <w:szCs w:val="5"/>
                <w:color w:val="auto"/>
              </w:rPr>
            </w:pPr>
          </w:p>
        </w:tc>
        <w:tc>
          <w:tcPr>
            <w:tcW w:w="180" w:type="dxa"/>
            <w:vAlign w:val="bottom"/>
            <w:gridSpan w:val="2"/>
            <w:vMerge w:val="restart"/>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780" w:type="dxa"/>
            <w:vAlign w:val="bottom"/>
          </w:tcPr>
          <w:p>
            <w:pPr>
              <w:spacing w:after="0"/>
              <w:rPr>
                <w:sz w:val="5"/>
                <w:szCs w:val="5"/>
                <w:color w:val="auto"/>
              </w:rPr>
            </w:pPr>
          </w:p>
        </w:tc>
        <w:tc>
          <w:tcPr>
            <w:tcW w:w="1480" w:type="dxa"/>
            <w:vAlign w:val="bottom"/>
            <w:gridSpan w:val="6"/>
            <w:vMerge w:val="restart"/>
          </w:tcPr>
          <w:p>
            <w:pPr>
              <w:ind w:left="2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60" w:type="dxa"/>
            <w:vAlign w:val="bottom"/>
            <w:gridSpan w:val="4"/>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1480" w:type="dxa"/>
            <w:vAlign w:val="bottom"/>
            <w:gridSpan w:val="6"/>
            <w:vMerge w:val="restart"/>
          </w:tcPr>
          <w:p>
            <w:pPr>
              <w:ind w:left="2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60" w:type="dxa"/>
            <w:vAlign w:val="bottom"/>
            <w:gridSpan w:val="2"/>
            <w:vMerge w:val="restart"/>
          </w:tcPr>
          <w:p>
            <w:pPr>
              <w:ind w:left="660"/>
              <w:spacing w:after="0"/>
              <w:rPr>
                <w:sz w:val="20"/>
                <w:szCs w:val="20"/>
                <w:color w:val="auto"/>
              </w:rPr>
            </w:pPr>
            <w:r>
              <w:rPr>
                <w:rFonts w:ascii="Arial" w:cs="Arial" w:eastAsia="Arial" w:hAnsi="Arial"/>
                <w:sz w:val="12"/>
                <w:szCs w:val="12"/>
                <w:color w:val="auto"/>
              </w:rPr>
              <w:t>(First)</w:t>
            </w:r>
          </w:p>
        </w:tc>
        <w:tc>
          <w:tcPr>
            <w:tcW w:w="1100" w:type="dxa"/>
            <w:vAlign w:val="bottom"/>
            <w:gridSpan w:val="3"/>
            <w:vMerge w:val="restart"/>
          </w:tcPr>
          <w:p>
            <w:pPr>
              <w:ind w:left="1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below)</w:t>
            </w:r>
          </w:p>
        </w:tc>
        <w:tc>
          <w:tcPr>
            <w:tcW w:w="780" w:type="dxa"/>
            <w:vAlign w:val="bottom"/>
          </w:tcPr>
          <w:p>
            <w:pPr>
              <w:spacing w:after="0"/>
              <w:rPr>
                <w:sz w:val="3"/>
                <w:szCs w:val="3"/>
                <w:color w:val="auto"/>
              </w:rPr>
            </w:pPr>
          </w:p>
        </w:tc>
        <w:tc>
          <w:tcPr>
            <w:tcW w:w="780" w:type="dxa"/>
            <w:vAlign w:val="bottom"/>
            <w:gridSpan w:val="2"/>
            <w:vMerge w:val="restart"/>
          </w:tcPr>
          <w:p>
            <w:pPr>
              <w:ind w:left="240"/>
              <w:spacing w:after="0"/>
              <w:rPr>
                <w:sz w:val="20"/>
                <w:szCs w:val="20"/>
                <w:color w:val="auto"/>
              </w:rPr>
            </w:pPr>
            <w:r>
              <w:rPr>
                <w:rFonts w:ascii="Arial" w:cs="Arial" w:eastAsia="Arial" w:hAnsi="Arial"/>
                <w:sz w:val="12"/>
                <w:szCs w:val="12"/>
                <w:color w:val="auto"/>
              </w:rPr>
              <w:t>below)</w:t>
            </w: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2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20" w:type="dxa"/>
            <w:vAlign w:val="bottom"/>
            <w:gridSpan w:val="6"/>
            <w:vMerge w:val="continue"/>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10/31/2025</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182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9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2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2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MENLO PARK   CA</w:t>
            </w: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8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gridSpan w:val="2"/>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176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100" w:type="dxa"/>
            <w:vAlign w:val="bottom"/>
            <w:gridSpan w:val="3"/>
          </w:tcPr>
          <w:p>
            <w:pPr>
              <w:ind w:left="1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8"/>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right"/>
              <w:ind w:right="358"/>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0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gridSpan w:val="3"/>
          </w:tcPr>
          <w:p>
            <w:pPr>
              <w:ind w:left="860"/>
              <w:spacing w:after="0" w:line="124" w:lineRule="exact"/>
              <w:rPr>
                <w:sz w:val="20"/>
                <w:szCs w:val="20"/>
                <w:color w:val="auto"/>
              </w:rPr>
            </w:pPr>
            <w:r>
              <w:rPr>
                <w:rFonts w:ascii="Arial" w:cs="Arial" w:eastAsia="Arial" w:hAnsi="Arial"/>
                <w:sz w:val="11"/>
                <w:szCs w:val="11"/>
                <w:b w:val="1"/>
                <w:bCs w:val="1"/>
                <w:color w:val="auto"/>
                <w:w w:val="92"/>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jc w:val="right"/>
              <w:ind w:right="118"/>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7"/>
          </w:tcPr>
          <w:p>
            <w:pPr>
              <w:jc w:val="center"/>
              <w:ind w:left="731"/>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gridSpan w:val="5"/>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4"/>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tcPr>
          <w:p>
            <w:pPr>
              <w:ind w:left="280"/>
              <w:spacing w:after="0" w:line="124"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jc w:val="right"/>
              <w:ind w:right="218"/>
              <w:spacing w:after="0"/>
              <w:rPr>
                <w:sz w:val="20"/>
                <w:szCs w:val="20"/>
                <w:color w:val="auto"/>
              </w:rPr>
            </w:pPr>
            <w:r>
              <w:rPr>
                <w:rFonts w:ascii="Arial" w:cs="Arial" w:eastAsia="Arial" w:hAnsi="Arial"/>
                <w:sz w:val="11"/>
                <w:szCs w:val="11"/>
                <w:b w:val="1"/>
                <w:bCs w:val="1"/>
                <w:color w:val="auto"/>
              </w:rPr>
              <w:t>Price</w:t>
            </w:r>
          </w:p>
        </w:tc>
        <w:tc>
          <w:tcPr>
            <w:tcW w:w="15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31"/>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6,757,090</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6,757,090</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LSV 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31"/>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4,305,906</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5,574,551</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LSV 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II,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31"/>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607,161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607,161</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LSV 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III, L.P.</w:t>
            </w:r>
            <w:r>
              <w:rPr>
                <w:rFonts w:ascii="Times New Roman" w:cs="Times New Roman" w:eastAsia="Times New Roman" w:hAnsi="Times New Roman"/>
                <w:sz w:val="20"/>
                <w:szCs w:val="20"/>
                <w:color w:val="008000"/>
                <w:vertAlign w:val="superscript"/>
              </w:rPr>
              <w:t>(4)(5)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31"/>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2,081,772</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2,081,772</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 V,</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(6)</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CLF</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tcPr>
          <w:p>
            <w:pPr>
              <w:jc w:val="center"/>
              <w:ind w:left="731"/>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70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99"/>
              </w:rPr>
              <w:t>17,001</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gridSpan w:val="2"/>
          </w:tcPr>
          <w:p>
            <w:pPr>
              <w:jc w:val="center"/>
              <w:ind w:left="275"/>
              <w:spacing w:after="0"/>
              <w:rPr>
                <w:sz w:val="20"/>
                <w:szCs w:val="20"/>
                <w:color w:val="auto"/>
              </w:rPr>
            </w:pPr>
            <w:r>
              <w:rPr>
                <w:rFonts w:ascii="Times New Roman" w:cs="Times New Roman" w:eastAsia="Times New Roman" w:hAnsi="Times New Roman"/>
                <w:sz w:val="16"/>
                <w:szCs w:val="16"/>
                <w:color w:val="0000FF"/>
                <w:w w:val="99"/>
              </w:rPr>
              <w:t>17,001</w:t>
            </w:r>
          </w:p>
        </w:tc>
        <w:tc>
          <w:tcPr>
            <w:tcW w:w="7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60"/>
              <w:spacing w:after="0" w:line="259"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(7)</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AH</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7"/>
            <w:vMerge w:val="restart"/>
          </w:tcPr>
          <w:p>
            <w:pPr>
              <w:jc w:val="center"/>
              <w:ind w:left="731"/>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6"/>
                <w:szCs w:val="16"/>
                <w:color w:val="0000FF"/>
                <w:w w:val="99"/>
              </w:rPr>
              <w:t>10,408,860</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vMerge w:val="restart"/>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vMerge w:val="restart"/>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10,408,860</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Parallel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820" w:type="dxa"/>
            <w:vAlign w:val="bottom"/>
            <w:gridSpan w:val="7"/>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Fund V,</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5"/>
          </w:tcPr>
          <w:p>
            <w:pPr>
              <w:ind w:left="60"/>
              <w:spacing w:after="0" w:line="259"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(8)(9)</w:t>
            </w: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8"/>
          </w:tcPr>
          <w:p>
            <w:pPr>
              <w:jc w:val="center"/>
              <w:ind w:right="121"/>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0" w:type="dxa"/>
            <w:vAlign w:val="bottom"/>
            <w:gridSpan w:val="16"/>
          </w:tcPr>
          <w:p>
            <w:pPr>
              <w:jc w:val="center"/>
              <w:ind w:left="53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5)</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54"/>
              <w:spacing w:after="0" w:line="124" w:lineRule="exact"/>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gridSpan w:val="2"/>
            <w:vMerge w:val="restart"/>
          </w:tcPr>
          <w:p>
            <w:pPr>
              <w:jc w:val="center"/>
              <w:ind w:right="20"/>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gridSpan w:val="4"/>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Seed</w:t>
            </w: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255,244</w:t>
            </w: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vMerge w:val="restart"/>
          </w:tcPr>
          <w:p>
            <w:pPr>
              <w:jc w:val="right"/>
              <w:ind w:right="163"/>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restart"/>
          </w:tcPr>
          <w:p>
            <w:pPr>
              <w:ind w:left="12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1000" w:type="dxa"/>
            <w:vAlign w:val="bottom"/>
            <w:gridSpan w:val="2"/>
            <w:vMerge w:val="restart"/>
          </w:tcPr>
          <w:p>
            <w:pPr>
              <w:ind w:left="440"/>
              <w:spacing w:after="0" w:line="136" w:lineRule="exact"/>
              <w:rPr>
                <w:sz w:val="20"/>
                <w:szCs w:val="20"/>
                <w:color w:val="auto"/>
              </w:rPr>
            </w:pPr>
            <w:r>
              <w:rPr>
                <w:rFonts w:ascii="Times New Roman" w:cs="Times New Roman" w:eastAsia="Times New Roman" w:hAnsi="Times New Roman"/>
                <w:sz w:val="12"/>
                <w:szCs w:val="12"/>
                <w:color w:val="0000FF"/>
              </w:rPr>
              <w:t>765,736</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gridSpan w:val="2"/>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6"/>
                <w:szCs w:val="6"/>
                <w:color w:val="auto"/>
              </w:rPr>
            </w:pPr>
          </w:p>
        </w:tc>
        <w:tc>
          <w:tcPr>
            <w:tcW w:w="7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500" w:type="dxa"/>
            <w:vAlign w:val="bottom"/>
            <w:vMerge w:val="restart"/>
          </w:tcPr>
          <w:p>
            <w:pPr>
              <w:ind w:left="40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6"/>
                <w:szCs w:val="6"/>
                <w:color w:val="auto"/>
              </w:rPr>
            </w:pPr>
          </w:p>
        </w:tc>
        <w:tc>
          <w:tcPr>
            <w:tcW w:w="700" w:type="dxa"/>
            <w:vAlign w:val="bottom"/>
            <w:gridSpan w:val="4"/>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vMerge w:val="restart"/>
          </w:tcPr>
          <w:p>
            <w:pPr>
              <w:jc w:val="center"/>
              <w:ind w:left="22"/>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gridSpan w:val="4"/>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gridSpan w:val="3"/>
            <w:vMerge w:val="restart"/>
          </w:tcPr>
          <w:p>
            <w:pPr>
              <w:ind w:left="40"/>
              <w:spacing w:after="0" w:line="222"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(3)</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38"/>
              <w:spacing w:after="0" w:line="174" w:lineRule="exact"/>
              <w:rPr>
                <w:sz w:val="20"/>
                <w:szCs w:val="20"/>
                <w:color w:val="auto"/>
              </w:rPr>
            </w:pPr>
            <w:r>
              <w:rPr>
                <w:rFonts w:ascii="Times New Roman" w:cs="Times New Roman" w:eastAsia="Times New Roman" w:hAnsi="Times New Roman"/>
                <w:sz w:val="16"/>
                <w:szCs w:val="16"/>
                <w:color w:val="0000FF"/>
              </w:rPr>
              <w:t>201,306</w:t>
            </w:r>
          </w:p>
        </w:tc>
        <w:tc>
          <w:tcPr>
            <w:tcW w:w="7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40" w:type="dxa"/>
            <w:vAlign w:val="bottom"/>
            <w:vMerge w:val="continue"/>
          </w:tcPr>
          <w:p>
            <w:pPr>
              <w:spacing w:after="0"/>
              <w:rPr>
                <w:sz w:val="6"/>
                <w:szCs w:val="6"/>
                <w:color w:val="auto"/>
              </w:rPr>
            </w:pPr>
          </w:p>
        </w:tc>
        <w:tc>
          <w:tcPr>
            <w:tcW w:w="1020" w:type="dxa"/>
            <w:vAlign w:val="bottom"/>
            <w:vMerge w:val="restart"/>
          </w:tcPr>
          <w:p>
            <w:pPr>
              <w:jc w:val="right"/>
              <w:ind w:right="163"/>
              <w:spacing w:after="0" w:line="100" w:lineRule="exact"/>
              <w:rPr>
                <w:sz w:val="20"/>
                <w:szCs w:val="20"/>
                <w:color w:val="auto"/>
              </w:rPr>
            </w:pPr>
            <w:r>
              <w:rPr>
                <w:rFonts w:ascii="Times New Roman" w:cs="Times New Roman" w:eastAsia="Times New Roman" w:hAnsi="Times New Roman"/>
                <w:sz w:val="11"/>
                <w:szCs w:val="11"/>
                <w:color w:val="0000FF"/>
              </w:rPr>
              <w:t>10/31/2025</w:t>
            </w: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restart"/>
          </w:tcPr>
          <w:p>
            <w:pPr>
              <w:ind w:left="12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1000" w:type="dxa"/>
            <w:vAlign w:val="bottom"/>
            <w:gridSpan w:val="2"/>
            <w:vMerge w:val="restart"/>
          </w:tcPr>
          <w:p>
            <w:pPr>
              <w:ind w:left="440"/>
              <w:spacing w:after="0" w:line="100" w:lineRule="exact"/>
              <w:rPr>
                <w:sz w:val="20"/>
                <w:szCs w:val="20"/>
                <w:color w:val="auto"/>
              </w:rPr>
            </w:pPr>
            <w:r>
              <w:rPr>
                <w:rFonts w:ascii="Times New Roman" w:cs="Times New Roman" w:eastAsia="Times New Roman" w:hAnsi="Times New Roman"/>
                <w:sz w:val="11"/>
                <w:szCs w:val="11"/>
                <w:color w:val="0000FF"/>
              </w:rPr>
              <w:t>603,920</w:t>
            </w: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gridSpan w:val="2"/>
            <w:vMerge w:val="restart"/>
          </w:tcPr>
          <w:p>
            <w:pP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40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4"/>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2"/>
                <w:szCs w:val="2"/>
                <w:color w:val="0000FF"/>
              </w:rPr>
              <w:t>LSV Fund</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vMerge w:val="restart"/>
          </w:tcPr>
          <w:p>
            <w:pPr>
              <w:ind w:left="40"/>
              <w:spacing w:after="0" w:line="227" w:lineRule="exact"/>
              <w:rPr>
                <w:sz w:val="20"/>
                <w:szCs w:val="20"/>
                <w:color w:val="auto"/>
              </w:rPr>
            </w:pPr>
            <w:r>
              <w:rPr>
                <w:rFonts w:ascii="Times New Roman" w:cs="Times New Roman" w:eastAsia="Times New Roman" w:hAnsi="Times New Roman"/>
                <w:sz w:val="12"/>
                <w:szCs w:val="12"/>
                <w:color w:val="0000FF"/>
              </w:rPr>
              <w:t>III, L.P.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-2409825</wp:posOffset>
            </wp:positionV>
            <wp:extent cx="28575" cy="2473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73325"/>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0523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9135" cy="10523855"/>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C</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2,081,772</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0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rPr>
              <w:t>6,245,316</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Fund V,</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AH</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10,408,860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Parallel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40" w:type="dxa"/>
            <w:vAlign w:val="bottom"/>
            <w:vMerge w:val="continue"/>
          </w:tcPr>
          <w:p>
            <w:pPr>
              <w:spacing w:after="0"/>
              <w:rPr>
                <w:sz w:val="6"/>
                <w:szCs w:val="6"/>
                <w:color w:val="auto"/>
              </w:rPr>
            </w:pPr>
          </w:p>
        </w:tc>
        <w:tc>
          <w:tcPr>
            <w:tcW w:w="1060" w:type="dxa"/>
            <w:vAlign w:val="bottom"/>
            <w:vMerge w:val="restart"/>
          </w:tcPr>
          <w:p>
            <w:pPr>
              <w:ind w:left="240"/>
              <w:spacing w:after="0" w:line="100" w:lineRule="exact"/>
              <w:rPr>
                <w:sz w:val="20"/>
                <w:szCs w:val="20"/>
                <w:color w:val="auto"/>
              </w:rPr>
            </w:pPr>
            <w:r>
              <w:rPr>
                <w:rFonts w:ascii="Times New Roman" w:cs="Times New Roman" w:eastAsia="Times New Roman" w:hAnsi="Times New Roman"/>
                <w:sz w:val="11"/>
                <w:szCs w:val="11"/>
                <w:color w:val="0000FF"/>
              </w:rPr>
              <w:t>10/31/2025</w:t>
            </w: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ind w:left="10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40" w:type="dxa"/>
            <w:vAlign w:val="bottom"/>
            <w:gridSpan w:val="3"/>
            <w:vMerge w:val="restart"/>
          </w:tcPr>
          <w:p>
            <w:pPr>
              <w:jc w:val="center"/>
              <w:ind w:left="182"/>
              <w:spacing w:after="0" w:line="100" w:lineRule="exact"/>
              <w:rPr>
                <w:sz w:val="20"/>
                <w:szCs w:val="20"/>
                <w:color w:val="auto"/>
              </w:rPr>
            </w:pPr>
            <w:r>
              <w:rPr>
                <w:rFonts w:ascii="Times New Roman" w:cs="Times New Roman" w:eastAsia="Times New Roman" w:hAnsi="Times New Roman"/>
                <w:sz w:val="11"/>
                <w:szCs w:val="11"/>
                <w:color w:val="0000FF"/>
              </w:rPr>
              <w:t>31,226,580</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ind w:left="42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0000FF"/>
              </w:rPr>
              <w:t>Fund V,</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(8)(9)</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13,878</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CLF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0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rPr>
              <w:t>41,635</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D</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6,757,090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0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w w:val="99"/>
              </w:rPr>
              <w:t>20,244,280</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I, L.P.</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E</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3,272,830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0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rPr>
              <w:t>9,763,156</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F</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777,832</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0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182"/>
              <w:spacing w:after="0" w:line="136" w:lineRule="exact"/>
              <w:rPr>
                <w:sz w:val="20"/>
                <w:szCs w:val="20"/>
                <w:color w:val="auto"/>
              </w:rPr>
            </w:pPr>
            <w:r>
              <w:rPr>
                <w:rFonts w:ascii="Times New Roman" w:cs="Times New Roman" w:eastAsia="Times New Roman" w:hAnsi="Times New Roman"/>
                <w:sz w:val="12"/>
                <w:szCs w:val="12"/>
                <w:color w:val="0000FF"/>
              </w:rPr>
              <w:t>2,309,297</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3,123</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CLF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0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gridSpan w:val="3"/>
          </w:tcPr>
          <w:p>
            <w:pPr>
              <w:jc w:val="center"/>
              <w:ind w:left="202"/>
              <w:spacing w:after="0" w:line="136" w:lineRule="exact"/>
              <w:rPr>
                <w:sz w:val="20"/>
                <w:szCs w:val="20"/>
                <w:color w:val="auto"/>
              </w:rPr>
            </w:pPr>
            <w:r>
              <w:rPr>
                <w:rFonts w:ascii="Times New Roman" w:cs="Times New Roman" w:eastAsia="Times New Roman" w:hAnsi="Times New Roman"/>
                <w:sz w:val="12"/>
                <w:szCs w:val="12"/>
                <w:color w:val="0000FF"/>
              </w:rPr>
              <w:t>9,274</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G-1</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405,855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40" w:type="dxa"/>
            <w:vAlign w:val="bottom"/>
            <w:vMerge w:val="continue"/>
          </w:tcPr>
          <w:p>
            <w:pPr>
              <w:spacing w:after="0"/>
              <w:rPr>
                <w:sz w:val="6"/>
                <w:szCs w:val="6"/>
                <w:color w:val="auto"/>
              </w:rPr>
            </w:pPr>
          </w:p>
        </w:tc>
        <w:tc>
          <w:tcPr>
            <w:tcW w:w="1060" w:type="dxa"/>
            <w:vAlign w:val="bottom"/>
            <w:vMerge w:val="restart"/>
          </w:tcPr>
          <w:p>
            <w:pPr>
              <w:ind w:left="240"/>
              <w:spacing w:after="0" w:line="100" w:lineRule="exact"/>
              <w:rPr>
                <w:sz w:val="20"/>
                <w:szCs w:val="20"/>
                <w:color w:val="auto"/>
              </w:rPr>
            </w:pPr>
            <w:r>
              <w:rPr>
                <w:rFonts w:ascii="Times New Roman" w:cs="Times New Roman" w:eastAsia="Times New Roman" w:hAnsi="Times New Roman"/>
                <w:sz w:val="11"/>
                <w:szCs w:val="11"/>
                <w:color w:val="0000FF"/>
              </w:rPr>
              <w:t>10/31/2025</w:t>
            </w: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ind w:left="10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40" w:type="dxa"/>
            <w:vAlign w:val="bottom"/>
            <w:gridSpan w:val="3"/>
            <w:vMerge w:val="restart"/>
          </w:tcPr>
          <w:p>
            <w:pPr>
              <w:jc w:val="center"/>
              <w:ind w:left="182"/>
              <w:spacing w:after="0" w:line="100" w:lineRule="exact"/>
              <w:rPr>
                <w:sz w:val="20"/>
                <w:szCs w:val="20"/>
                <w:color w:val="auto"/>
              </w:rPr>
            </w:pPr>
            <w:r>
              <w:rPr>
                <w:rFonts w:ascii="Times New Roman" w:cs="Times New Roman" w:eastAsia="Times New Roman" w:hAnsi="Times New Roman"/>
                <w:sz w:val="11"/>
                <w:szCs w:val="11"/>
                <w:color w:val="0000FF"/>
              </w:rPr>
              <w:t>1,201,643</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ind w:left="42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0000FF"/>
              </w:rPr>
              <w:t>LSV Fund</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vMerge w:val="restart"/>
          </w:tcPr>
          <w:p>
            <w:pPr>
              <w:ind w:left="60"/>
              <w:spacing w:after="0" w:line="227" w:lineRule="exact"/>
              <w:rPr>
                <w:sz w:val="20"/>
                <w:szCs w:val="20"/>
                <w:color w:val="auto"/>
              </w:rPr>
            </w:pPr>
            <w:r>
              <w:rPr>
                <w:rFonts w:ascii="Times New Roman" w:cs="Times New Roman" w:eastAsia="Times New Roman" w:hAnsi="Times New Roman"/>
                <w:sz w:val="12"/>
                <w:szCs w:val="12"/>
                <w:color w:val="0000FF"/>
              </w:rPr>
              <w:t>III, L.P.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380" w:type="dxa"/>
            <w:vAlign w:val="bottom"/>
            <w:tcBorders>
              <w:bottom w:val="single" w:sz="8" w:color="2C2C2C"/>
            </w:tcBorders>
            <w:gridSpan w:val="3"/>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4"/>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8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7"/>
          </w:tcPr>
          <w:p>
            <w:pPr>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Andreessen Horowitz LSV Fund III, L.P.</w:t>
              </w:r>
            </w:hyperlink>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1080" w:type="dxa"/>
            <w:vAlign w:val="bottom"/>
            <w:gridSpan w:val="4"/>
          </w:tcPr>
          <w:p>
            <w:pPr>
              <w:ind w:left="44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94025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1080" w:type="dxa"/>
            <w:vAlign w:val="bottom"/>
            <w:gridSpan w:val="4"/>
          </w:tcPr>
          <w:p>
            <w:pPr>
              <w:ind w:left="44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tcBorders>
              <w:bottom w:val="single" w:sz="8" w:color="0000EE"/>
            </w:tcBorders>
            <w:gridSpan w:val="7"/>
          </w:tcPr>
          <w:p>
            <w:pPr>
              <w:spacing w:after="0" w:line="210" w:lineRule="exact"/>
              <w:rPr>
                <w:rFonts w:ascii="Times New Roman" w:cs="Times New Roman" w:eastAsia="Times New Roman" w:hAnsi="Times New Roman"/>
                <w:sz w:val="20"/>
                <w:szCs w:val="20"/>
                <w:color w:val="0000EE"/>
                <w:w w:val="97"/>
              </w:rPr>
            </w:pPr>
            <w:hyperlink r:id="rId17">
              <w:r>
                <w:rPr>
                  <w:rFonts w:ascii="Times New Roman" w:cs="Times New Roman" w:eastAsia="Times New Roman" w:hAnsi="Times New Roman"/>
                  <w:sz w:val="20"/>
                  <w:szCs w:val="20"/>
                  <w:color w:val="0000EE"/>
                  <w:w w:val="97"/>
                </w:rPr>
                <w:t>Andreessen Horowitz LSV Fund III-B, L.P.</w:t>
              </w:r>
            </w:hyperlink>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1080" w:type="dxa"/>
            <w:vAlign w:val="bottom"/>
            <w:gridSpan w:val="4"/>
          </w:tcPr>
          <w:p>
            <w:pPr>
              <w:ind w:left="44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94025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1080" w:type="dxa"/>
            <w:vAlign w:val="bottom"/>
            <w:gridSpan w:val="4"/>
          </w:tcPr>
          <w:p>
            <w:pPr>
              <w:ind w:left="44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7"/>
          </w:tcPr>
          <w:p>
            <w:pPr>
              <w:spacing w:after="0" w:line="210"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AH Equity Partners LSV III, L.L.C.</w:t>
              </w:r>
            </w:hyperlink>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1080" w:type="dxa"/>
            <w:vAlign w:val="bottom"/>
            <w:gridSpan w:val="4"/>
          </w:tcPr>
          <w:p>
            <w:pPr>
              <w:ind w:left="44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94025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1080" w:type="dxa"/>
            <w:vAlign w:val="bottom"/>
            <w:gridSpan w:val="4"/>
          </w:tcPr>
          <w:p>
            <w:pPr>
              <w:ind w:left="44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188" w:right="359" w:bottom="0" w:gutter="0" w:footer="0" w:header="0"/>
        </w:sectPr>
      </w:pPr>
    </w:p>
    <w:p>
      <w:pPr>
        <w:ind w:left="100"/>
        <w:spacing w:after="0"/>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AH 2022 Annual Fund, L.P.</w:t>
        </w:r>
      </w:hyperlink>
    </w:p>
    <w:p>
      <w:pPr>
        <w:sectPr>
          <w:pgSz w:w="11900" w:h="16838" w:orient="portrait"/>
          <w:cols w:equalWidth="0" w:num="1">
            <w:col w:w="11080"/>
          </w:cols>
          <w:pgMar w:left="460" w:top="188"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600" w:type="dxa"/>
            <w:vAlign w:val="bottom"/>
          </w:tcPr>
          <w:p>
            <w:pPr>
              <w:ind w:left="200"/>
              <w:spacing w:after="0"/>
              <w:rPr>
                <w:sz w:val="20"/>
                <w:szCs w:val="20"/>
                <w:color w:val="auto"/>
              </w:rPr>
            </w:pPr>
            <w:r>
              <w:rPr>
                <w:rFonts w:ascii="Arial" w:cs="Arial" w:eastAsia="Arial" w:hAnsi="Arial"/>
                <w:sz w:val="12"/>
                <w:szCs w:val="12"/>
                <w:color w:val="auto"/>
              </w:rPr>
              <w:t>(First)</w:t>
            </w:r>
          </w:p>
        </w:tc>
        <w:tc>
          <w:tcPr>
            <w:tcW w:w="146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6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600" w:type="dxa"/>
            <w:vAlign w:val="bottom"/>
          </w:tcPr>
          <w:p>
            <w:pPr>
              <w:ind w:left="20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spacing w:after="0"/>
              <w:rPr>
                <w:sz w:val="20"/>
                <w:szCs w:val="20"/>
                <w:color w:val="auto"/>
              </w:rPr>
            </w:pPr>
            <w:r>
              <w:rPr>
                <w:rFonts w:ascii="Arial" w:cs="Arial" w:eastAsia="Arial" w:hAnsi="Arial"/>
                <w:sz w:val="12"/>
                <w:szCs w:val="12"/>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820" w:type="dxa"/>
            <w:vAlign w:val="bottom"/>
            <w:tcBorders>
              <w:bottom w:val="single" w:sz="8" w:color="2C2C2C"/>
            </w:tcBorders>
            <w:gridSpan w:val="2"/>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4"/>
        </w:trPr>
        <w:tc>
          <w:tcPr>
            <w:tcW w:w="290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820" w:type="dxa"/>
            <w:vAlign w:val="bottom"/>
            <w:tcBorders>
              <w:bottom w:val="single" w:sz="8" w:color="0000EE"/>
            </w:tcBorders>
            <w:gridSpan w:val="2"/>
          </w:tcPr>
          <w:p>
            <w:pPr>
              <w:spacing w:after="0" w:line="210" w:lineRule="exact"/>
              <w:rPr>
                <w:rFonts w:ascii="Times New Roman" w:cs="Times New Roman" w:eastAsia="Times New Roman" w:hAnsi="Times New Roman"/>
                <w:sz w:val="20"/>
                <w:szCs w:val="20"/>
                <w:color w:val="0000EE"/>
                <w:w w:val="97"/>
              </w:rPr>
            </w:pPr>
            <w:hyperlink r:id="rId20">
              <w:r>
                <w:rPr>
                  <w:rFonts w:ascii="Times New Roman" w:cs="Times New Roman" w:eastAsia="Times New Roman" w:hAnsi="Times New Roman"/>
                  <w:sz w:val="20"/>
                  <w:szCs w:val="20"/>
                  <w:color w:val="0000EE"/>
                  <w:w w:val="97"/>
                </w:rPr>
                <w:t>AH 2022 ANNUAL FUND-B, L.P.</w:t>
              </w:r>
            </w:hyperlink>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600" w:type="dxa"/>
            <w:vAlign w:val="bottom"/>
          </w:tcPr>
          <w:p>
            <w:pPr>
              <w:ind w:left="200"/>
              <w:spacing w:after="0"/>
              <w:rPr>
                <w:sz w:val="20"/>
                <w:szCs w:val="20"/>
                <w:color w:val="auto"/>
              </w:rPr>
            </w:pPr>
            <w:r>
              <w:rPr>
                <w:rFonts w:ascii="Arial" w:cs="Arial" w:eastAsia="Arial" w:hAnsi="Arial"/>
                <w:sz w:val="12"/>
                <w:szCs w:val="12"/>
                <w:color w:val="auto"/>
              </w:rPr>
              <w:t>(First)</w:t>
            </w:r>
          </w:p>
        </w:tc>
        <w:tc>
          <w:tcPr>
            <w:tcW w:w="146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6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600" w:type="dxa"/>
            <w:vAlign w:val="bottom"/>
          </w:tcPr>
          <w:p>
            <w:pPr>
              <w:ind w:left="20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14955" cy="7809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14955" cy="78092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2">
        <w:r>
          <w:rPr>
            <w:rFonts w:ascii="Times New Roman" w:cs="Times New Roman" w:eastAsia="Times New Roman" w:hAnsi="Times New Roman"/>
            <w:sz w:val="20"/>
            <w:szCs w:val="20"/>
            <w:u w:val="single" w:color="auto"/>
            <w:color w:val="0000EE"/>
          </w:rPr>
          <w:t>AH 2022 ANNUAL FUND-QC, L.P.</w:t>
        </w:r>
      </w:hyperlink>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tcPr>
          <w:p>
            <w:pPr>
              <w:ind w:left="200"/>
              <w:spacing w:after="0"/>
              <w:rPr>
                <w:sz w:val="20"/>
                <w:szCs w:val="20"/>
                <w:color w:val="auto"/>
              </w:rPr>
            </w:pPr>
            <w:r>
              <w:rPr>
                <w:rFonts w:ascii="Arial" w:cs="Arial" w:eastAsia="Arial" w:hAnsi="Arial"/>
                <w:sz w:val="12"/>
                <w:szCs w:val="12"/>
                <w:color w:val="auto"/>
              </w:rPr>
              <w:t>(First)</w:t>
            </w:r>
          </w:p>
        </w:tc>
        <w:tc>
          <w:tcPr>
            <w:tcW w:w="1520" w:type="dxa"/>
            <w:vAlign w:val="bottom"/>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520" w:type="dxa"/>
            <w:vAlign w:val="bottom"/>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52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8"/>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4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r>
      <w:tr>
        <w:trPr>
          <w:trHeight w:val="142"/>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tcPr>
          <w:p>
            <w:pPr>
              <w:ind w:left="200"/>
              <w:spacing w:after="0"/>
              <w:rPr>
                <w:sz w:val="20"/>
                <w:szCs w:val="20"/>
                <w:color w:val="auto"/>
              </w:rPr>
            </w:pPr>
            <w:r>
              <w:rPr>
                <w:rFonts w:ascii="Arial" w:cs="Arial" w:eastAsia="Arial" w:hAnsi="Arial"/>
                <w:sz w:val="12"/>
                <w:szCs w:val="12"/>
                <w:color w:val="auto"/>
              </w:rPr>
              <w:t>(State)</w:t>
            </w:r>
          </w:p>
        </w:tc>
        <w:tc>
          <w:tcPr>
            <w:tcW w:w="1520" w:type="dxa"/>
            <w:vAlign w:val="bottom"/>
          </w:tcPr>
          <w:p>
            <w:pPr>
              <w:ind w:left="14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3">
        <w:r>
          <w:rPr>
            <w:rFonts w:ascii="Times New Roman" w:cs="Times New Roman" w:eastAsia="Times New Roman" w:hAnsi="Times New Roman"/>
            <w:sz w:val="20"/>
            <w:szCs w:val="20"/>
            <w:u w:val="single" w:color="auto"/>
            <w:color w:val="0000EE"/>
          </w:rPr>
          <w:t>AH Equity Partners 2022 Annual Fund, L.L.C.</w:t>
        </w:r>
      </w:hyperlink>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4"/>
        </w:trPr>
        <w:tc>
          <w:tcPr>
            <w:tcW w:w="27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1400" w:type="dxa"/>
            <w:vAlign w:val="bottom"/>
            <w:tcBorders>
              <w:bottom w:val="single" w:sz="8" w:color="0000EE"/>
            </w:tcBorders>
          </w:tcPr>
          <w:p>
            <w:pPr>
              <w:spacing w:after="0" w:line="210" w:lineRule="exact"/>
              <w:rPr>
                <w:rFonts w:ascii="Times New Roman" w:cs="Times New Roman" w:eastAsia="Times New Roman" w:hAnsi="Times New Roman"/>
                <w:sz w:val="20"/>
                <w:szCs w:val="20"/>
                <w:color w:val="0000EE"/>
                <w:w w:val="98"/>
              </w:rPr>
            </w:pPr>
            <w:hyperlink r:id="rId24">
              <w:r>
                <w:rPr>
                  <w:rFonts w:ascii="Times New Roman" w:cs="Times New Roman" w:eastAsia="Times New Roman" w:hAnsi="Times New Roman"/>
                  <w:sz w:val="20"/>
                  <w:szCs w:val="20"/>
                  <w:color w:val="0000EE"/>
                  <w:w w:val="98"/>
                </w:rPr>
                <w:t>CLF Partners, LP</w:t>
              </w:r>
            </w:hyperlink>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ANDREESSEN HOROWITZ</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7"/>
        </w:trPr>
        <w:tc>
          <w:tcPr>
            <w:tcW w:w="8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2865 SAND HILL ROAD, SUITE 101</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8"/>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100" w:hanging="4"/>
        <w:spacing w:after="0" w:line="25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Seed, Series A, Series C, Series D, Series E, Series F and Series G-1 Preferred Stock automatically converted into shares of Class A Common Stock immediately prior to the closing of the Issuer's initial public offering ("IPO") for no additional consideration at a conversion ratio that was dependent upon the initial offering price per share of the Class A Common Stock to the public in the Issuer's IPO, and had no expiration date.</w:t>
      </w:r>
    </w:p>
    <w:p>
      <w:pPr>
        <w:spacing w:after="0" w:line="16" w:lineRule="exact"/>
        <w:rPr>
          <w:rFonts w:ascii="Times New Roman" w:cs="Times New Roman" w:eastAsia="Times New Roman" w:hAnsi="Times New Roman"/>
          <w:sz w:val="12"/>
          <w:szCs w:val="12"/>
          <w:color w:val="008000"/>
        </w:rPr>
      </w:pPr>
    </w:p>
    <w:p>
      <w:pPr>
        <w:ind w:left="20" w:hanging="4"/>
        <w:spacing w:after="0" w:line="24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23" w:lineRule="exact"/>
        <w:rPr>
          <w:rFonts w:ascii="Times New Roman" w:cs="Times New Roman" w:eastAsia="Times New Roman" w:hAnsi="Times New Roman"/>
          <w:sz w:val="12"/>
          <w:szCs w:val="12"/>
          <w:color w:val="008000"/>
        </w:rPr>
      </w:pPr>
    </w:p>
    <w:p>
      <w:pPr>
        <w:ind w:left="20" w:right="60" w:hanging="4"/>
        <w:spacing w:after="0" w:line="24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23" w:lineRule="exact"/>
        <w:rPr>
          <w:rFonts w:ascii="Times New Roman" w:cs="Times New Roman" w:eastAsia="Times New Roman" w:hAnsi="Times New Roman"/>
          <w:sz w:val="12"/>
          <w:szCs w:val="12"/>
          <w:color w:val="008000"/>
        </w:rPr>
      </w:pPr>
    </w:p>
    <w:p>
      <w:pPr>
        <w:ind w:left="20" w:right="40" w:hanging="4"/>
        <w:spacing w:after="0" w:line="25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16" w:lineRule="exact"/>
        <w:rPr>
          <w:rFonts w:ascii="Times New Roman" w:cs="Times New Roman" w:eastAsia="Times New Roman" w:hAnsi="Times New Roman"/>
          <w:sz w:val="12"/>
          <w:szCs w:val="12"/>
          <w:color w:val="008000"/>
        </w:rPr>
      </w:pPr>
    </w:p>
    <w:p>
      <w:pPr>
        <w:ind w:left="20" w:right="60" w:hanging="4"/>
        <w:spacing w:after="0" w:line="25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4)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16" w:lineRule="exact"/>
        <w:rPr>
          <w:rFonts w:ascii="Times New Roman" w:cs="Times New Roman" w:eastAsia="Times New Roman" w:hAnsi="Times New Roman"/>
          <w:sz w:val="12"/>
          <w:szCs w:val="12"/>
          <w:color w:val="008000"/>
        </w:rPr>
      </w:pPr>
    </w:p>
    <w:p>
      <w:pPr>
        <w:ind w:left="20" w:hanging="4"/>
        <w:spacing w:after="0" w:line="24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23" w:lineRule="exact"/>
        <w:rPr>
          <w:rFonts w:ascii="Times New Roman" w:cs="Times New Roman" w:eastAsia="Times New Roman" w:hAnsi="Times New Roman"/>
          <w:sz w:val="12"/>
          <w:szCs w:val="12"/>
          <w:color w:val="008000"/>
        </w:rPr>
      </w:pPr>
    </w:p>
    <w:p>
      <w:pPr>
        <w:ind w:left="20" w:right="340" w:hanging="4"/>
        <w:spacing w:after="0" w:line="274"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w:t>
      </w:r>
    </w:p>
    <w:p>
      <w:pPr>
        <w:sectPr>
          <w:pgSz w:w="11900" w:h="16838" w:orient="portrait"/>
          <w:cols w:equalWidth="0" w:num="1">
            <w:col w:w="10920"/>
          </w:cols>
          <w:pgMar w:left="480" w:top="164" w:right="499" w:bottom="0" w:gutter="0" w:footer="0" w:header="0"/>
        </w:sectPr>
      </w:pPr>
    </w:p>
    <w:bookmarkStart w:id="3" w:name="page4"/>
    <w:bookmarkEnd w:id="3"/>
    <w:p>
      <w:pPr>
        <w:ind w:left="4" w:right="40"/>
        <w:spacing w:after="0" w:line="274" w:lineRule="auto"/>
        <w:rPr>
          <w:sz w:val="20"/>
          <w:szCs w:val="20"/>
          <w:color w:val="auto"/>
        </w:rPr>
      </w:pPr>
      <w:r>
        <w:rPr>
          <w:rFonts w:ascii="Times New Roman" w:cs="Times New Roman" w:eastAsia="Times New Roman" w:hAnsi="Times New Roman"/>
          <w:sz w:val="12"/>
          <w:szCs w:val="12"/>
          <w:color w:val="008000"/>
        </w:rPr>
        <w:t>"group"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jc w:val="both"/>
        <w:ind w:left="4" w:right="40" w:hanging="4"/>
        <w:spacing w:after="0" w:line="248"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1" w:lineRule="exact"/>
        <w:rPr>
          <w:rFonts w:ascii="Times New Roman" w:cs="Times New Roman" w:eastAsia="Times New Roman" w:hAnsi="Times New Roman"/>
          <w:sz w:val="12"/>
          <w:szCs w:val="12"/>
          <w:color w:val="008000"/>
        </w:rPr>
      </w:pPr>
    </w:p>
    <w:p>
      <w:pPr>
        <w:ind w:left="4" w:hanging="4"/>
        <w:spacing w:after="0" w:line="27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8)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0"/>
          <w:szCs w:val="20"/>
          <w:color w:val="auto"/>
        </w:rPr>
      </w:pPr>
    </w:p>
    <w:p>
      <w:pPr>
        <w:ind w:left="4" w:right="60"/>
        <w:spacing w:after="0" w:line="242" w:lineRule="auto"/>
        <w:rPr>
          <w:sz w:val="20"/>
          <w:szCs w:val="20"/>
          <w:color w:val="auto"/>
        </w:rPr>
      </w:pPr>
      <w:r>
        <w:rPr>
          <w:rFonts w:ascii="Times New Roman" w:cs="Times New Roman" w:eastAsia="Times New Roman" w:hAnsi="Times New Roman"/>
          <w:sz w:val="12"/>
          <w:szCs w:val="12"/>
          <w:color w:val="008000"/>
        </w:rPr>
        <w:t>This Form 4 is the second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38" w:orient="portrait"/>
          <w:cols w:equalWidth="0" w:num="1">
            <w:col w:w="10824"/>
          </w:cols>
          <w:pgMar w:left="496" w:top="127" w:right="579" w:bottom="1440" w:gutter="0" w:footer="0" w:header="0"/>
        </w:sectPr>
      </w:pPr>
    </w:p>
    <w:p>
      <w:pPr>
        <w:spacing w:after="0" w:line="50"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Andreessen Horowitz LSV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379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III, 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3100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31000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LSV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398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1398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280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Andreessen Horowitz LSV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3794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III-B,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528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Partners LSV 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512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188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1887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163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1163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2921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29210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Equity Partners LSV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1741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7411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071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0713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2022 Annual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1572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Equity Partners 2022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35763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576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Fund,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2997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2997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2809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2022 Annual Fund-B,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27317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7317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AH Equity Partners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7665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766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Annual Fund,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3550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550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2809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2022 Annual Fund-QC,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4683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AH Equity Partners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766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1766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Annual Fund,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35509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550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2809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AH Equity Partners 2022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576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35763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Fund, L.L.C.,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1028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01028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1163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163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2921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292100"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CLF Partners,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34429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401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401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2809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97663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037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460375" cy="7620"/>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8704" w:space="60"/>
            <w:col w:w="2060"/>
          </w:cols>
          <w:pgMar w:left="496" w:top="127" w:right="579" w:bottom="1440" w:gutter="0" w:footer="0" w:header="0"/>
          <w:type w:val="continuous"/>
        </w:sectPr>
      </w:pPr>
    </w:p>
    <w:p>
      <w:pPr>
        <w:ind w:left="6564"/>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3700" w:hanging="4"/>
        <w:spacing w:after="0" w:line="32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4"/>
      </w:cols>
      <w:pgMar w:left="496" w:top="12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1"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3" Type="http://schemas.openxmlformats.org/officeDocument/2006/relationships/hyperlink" Target="http://www.sec.gov/cgi-bin/browse-edgar?action=getcompany&amp;CIK=0001889367" TargetMode="External"/><Relationship Id="rId14" Type="http://schemas.openxmlformats.org/officeDocument/2006/relationships/hyperlink" Target="http://www.sec.gov/cgi-bin/browse-edgar?action=getcompany&amp;CIK=0001639723" TargetMode="External"/><Relationship Id="rId17" Type="http://schemas.openxmlformats.org/officeDocument/2006/relationships/hyperlink" Target="http://www.sec.gov/cgi-bin/browse-edgar?action=getcompany&amp;CIK=0001894619" TargetMode="External"/><Relationship Id="rId18" Type="http://schemas.openxmlformats.org/officeDocument/2006/relationships/hyperlink" Target="http://www.sec.gov/cgi-bin/browse-edgar?action=getcompany&amp;CIK=0001889893" TargetMode="External"/><Relationship Id="rId19" Type="http://schemas.openxmlformats.org/officeDocument/2006/relationships/hyperlink" Target="http://www.sec.gov/cgi-bin/browse-edgar?action=getcompany&amp;CIK=0001894744" TargetMode="External"/><Relationship Id="rId20" Type="http://schemas.openxmlformats.org/officeDocument/2006/relationships/hyperlink" Target="http://www.sec.gov/cgi-bin/browse-edgar?action=getcompany&amp;CIK=0001935421" TargetMode="External"/><Relationship Id="rId22" Type="http://schemas.openxmlformats.org/officeDocument/2006/relationships/hyperlink" Target="http://www.sec.gov/cgi-bin/browse-edgar?action=getcompany&amp;CIK=0001924807" TargetMode="External"/><Relationship Id="rId23" Type="http://schemas.openxmlformats.org/officeDocument/2006/relationships/hyperlink" Target="http://www.sec.gov/cgi-bin/browse-edgar?action=getcompany&amp;CIK=0001894740" TargetMode="External"/><Relationship Id="rId24" Type="http://schemas.openxmlformats.org/officeDocument/2006/relationships/hyperlink" Target="http://www.sec.gov/cgi-bin/browse-edgar?action=getcompany&amp;CIK=00017325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2025-11-04T18:46:59Z</dcterms:created>
  <dcterms:modified xsi:type="dcterms:W3CDTF">2025-11-04T18:46:59Z</dcterms:modified>
</cp:coreProperties>
</file>