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-217170</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0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-598170</wp:posOffset>
            </wp:positionV>
            <wp:extent cx="5651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150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-598170</wp:posOffset>
            </wp:positionV>
            <wp:extent cx="56515" cy="611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150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634365</wp:posOffset>
            </wp:positionV>
            <wp:extent cx="6999605" cy="8839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8839835"/>
                    </a:xfrm>
                    <a:prstGeom prst="rect">
                      <a:avLst/>
                    </a:prstGeom>
                    <a:noFill/>
                  </pic:spPr>
                </pic:pic>
              </a:graphicData>
            </a:graphic>
          </wp:anchor>
        </w:drawing>
      </w:r>
    </w:p>
    <w:p>
      <w:pPr>
        <w:spacing w:after="0" w:line="1011" w:lineRule="exact"/>
        <w:rPr>
          <w:sz w:val="24"/>
          <w:szCs w:val="24"/>
          <w:color w:val="auto"/>
        </w:rPr>
      </w:pPr>
    </w:p>
    <w:p>
      <w:pPr>
        <w:sectPr>
          <w:pgSz w:w="11900" w:h="16838" w:orient="portrait"/>
          <w:cols w:equalWidth="0" w:num="2">
            <w:col w:w="2280" w:space="420"/>
            <w:col w:w="8380"/>
          </w:cols>
          <w:pgMar w:left="460" w:top="213" w:right="359" w:bottom="66"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00" w:type="dxa"/>
            <w:vAlign w:val="bottom"/>
            <w:gridSpan w:val="6"/>
          </w:tcPr>
          <w:p>
            <w:pPr>
              <w:ind w:left="80"/>
              <w:spacing w:after="0"/>
              <w:rPr>
                <w:sz w:val="20"/>
                <w:szCs w:val="20"/>
                <w:color w:val="auto"/>
              </w:rPr>
            </w:pPr>
            <w:r>
              <w:rPr>
                <w:rFonts w:ascii="Arial" w:cs="Arial" w:eastAsia="Arial" w:hAnsi="Arial"/>
                <w:sz w:val="12"/>
                <w:szCs w:val="12"/>
                <w:color w:val="auto"/>
              </w:rPr>
              <w:t>5. Relationship of Reporting Person(s) to Issuer</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4"/>
            <w:vMerge w:val="restart"/>
          </w:tcPr>
          <w:p>
            <w:pPr>
              <w:spacing w:after="0" w:line="227" w:lineRule="exact"/>
              <w:rPr>
                <w:rFonts w:ascii="Times New Roman" w:cs="Times New Roman" w:eastAsia="Times New Roman" w:hAnsi="Times New Roman"/>
                <w:sz w:val="20"/>
                <w:szCs w:val="20"/>
                <w:color w:val="0000EE"/>
                <w:w w:val="96"/>
              </w:rPr>
            </w:pPr>
            <w:hyperlink r:id="rId13">
              <w:r>
                <w:rPr>
                  <w:rFonts w:ascii="Times New Roman" w:cs="Times New Roman" w:eastAsia="Times New Roman" w:hAnsi="Times New Roman"/>
                  <w:sz w:val="20"/>
                  <w:szCs w:val="20"/>
                  <w:color w:val="0000EE"/>
                  <w:w w:val="96"/>
                </w:rPr>
                <w:t>Lightspeed Venture Partners X, L.P.</w:t>
              </w:r>
            </w:hyperlink>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gridSpan w:val="6"/>
          </w:tcPr>
          <w:p>
            <w:pPr>
              <w:ind w:left="60"/>
              <w:spacing w:after="0" w:line="99"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Navan,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NAVN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80" w:type="dxa"/>
            <w:vAlign w:val="bottom"/>
            <w:gridSpan w:val="4"/>
            <w:vMerge w:val="restart"/>
          </w:tcPr>
          <w:p>
            <w:pPr>
              <w:ind w:left="80"/>
              <w:spacing w:after="0"/>
              <w:rPr>
                <w:sz w:val="20"/>
                <w:szCs w:val="20"/>
                <w:color w:val="auto"/>
              </w:rPr>
            </w:pPr>
            <w:r>
              <w:rPr>
                <w:rFonts w:ascii="Arial" w:cs="Arial" w:eastAsia="Arial" w:hAnsi="Arial"/>
                <w:sz w:val="12"/>
                <w:szCs w:val="12"/>
                <w:color w:val="auto"/>
              </w:rPr>
              <w:t>(Check all applicable)</w:t>
            </w: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40" w:type="dxa"/>
            <w:vAlign w:val="bottom"/>
            <w:gridSpan w:val="4"/>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bottom w:val="single" w:sz="8" w:color="0000EE"/>
            </w:tcBorders>
          </w:tcPr>
          <w:p>
            <w:pPr>
              <w:spacing w:after="0"/>
              <w:rPr>
                <w:sz w:val="5"/>
                <w:szCs w:val="5"/>
                <w:color w:val="auto"/>
              </w:rPr>
            </w:pPr>
          </w:p>
        </w:tc>
        <w:tc>
          <w:tcPr>
            <w:tcW w:w="580" w:type="dxa"/>
            <w:vAlign w:val="bottom"/>
            <w:tcBorders>
              <w:bottom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8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40" w:type="dxa"/>
            <w:vAlign w:val="bottom"/>
            <w:tcBorders>
              <w:bottom w:val="single" w:sz="8" w:color="0000EE"/>
            </w:tcBorders>
            <w:gridSpan w:val="4"/>
            <w:vMerge w:val="continue"/>
          </w:tcPr>
          <w:p>
            <w:pPr>
              <w:spacing w:after="0"/>
              <w:rPr>
                <w:sz w:val="5"/>
                <w:szCs w:val="5"/>
                <w:color w:val="auto"/>
              </w:rPr>
            </w:pPr>
          </w:p>
        </w:tc>
        <w:tc>
          <w:tcPr>
            <w:tcW w:w="580" w:type="dxa"/>
            <w:vAlign w:val="bottom"/>
            <w:gridSpan w:val="2"/>
            <w:vMerge w:val="restart"/>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vMerge w:val="restart"/>
          </w:tcPr>
          <w:p>
            <w:pPr>
              <w:ind w:left="180"/>
              <w:spacing w:after="0"/>
              <w:rPr>
                <w:sz w:val="20"/>
                <w:szCs w:val="20"/>
                <w:color w:val="auto"/>
              </w:rPr>
            </w:pPr>
            <w:r>
              <w:rPr>
                <w:rFonts w:ascii="Arial" w:cs="Arial" w:eastAsia="Arial" w:hAnsi="Arial"/>
                <w:sz w:val="12"/>
                <w:szCs w:val="12"/>
                <w:color w:val="auto"/>
              </w:rPr>
              <w:t>Director</w:t>
            </w:r>
          </w:p>
        </w:tc>
        <w:tc>
          <w:tcPr>
            <w:tcW w:w="720" w:type="dxa"/>
            <w:vAlign w:val="bottom"/>
          </w:tcPr>
          <w:p>
            <w:pPr>
              <w:spacing w:after="0"/>
              <w:rPr>
                <w:sz w:val="5"/>
                <w:szCs w:val="5"/>
                <w:color w:val="auto"/>
              </w:rPr>
            </w:pPr>
          </w:p>
        </w:tc>
        <w:tc>
          <w:tcPr>
            <w:tcW w:w="1440" w:type="dxa"/>
            <w:vAlign w:val="bottom"/>
            <w:gridSpan w:val="4"/>
            <w:vMerge w:val="restart"/>
          </w:tcPr>
          <w:p>
            <w:pPr>
              <w:ind w:left="300"/>
              <w:spacing w:after="0"/>
              <w:rPr>
                <w:sz w:val="20"/>
                <w:szCs w:val="20"/>
                <w:color w:val="auto"/>
              </w:rPr>
            </w:pPr>
            <w:r>
              <w:rPr>
                <w:rFonts w:ascii="Arial" w:cs="Arial" w:eastAsia="Arial" w:hAnsi="Arial"/>
                <w:sz w:val="12"/>
                <w:szCs w:val="12"/>
                <w:color w:val="auto"/>
              </w:rPr>
              <w:t>10% Owner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40" w:type="dxa"/>
            <w:vAlign w:val="bottom"/>
            <w:gridSpan w:val="4"/>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2"/>
                <w:szCs w:val="12"/>
                <w:color w:val="auto"/>
              </w:rPr>
              <w:t>Officer (give title</w:t>
            </w:r>
          </w:p>
        </w:tc>
        <w:tc>
          <w:tcPr>
            <w:tcW w:w="1440" w:type="dxa"/>
            <w:vAlign w:val="bottom"/>
            <w:gridSpan w:val="4"/>
            <w:vMerge w:val="restart"/>
          </w:tcPr>
          <w:p>
            <w:pPr>
              <w:ind w:left="300"/>
              <w:spacing w:after="0"/>
              <w:rPr>
                <w:sz w:val="20"/>
                <w:szCs w:val="20"/>
                <w:color w:val="auto"/>
              </w:rPr>
            </w:pPr>
            <w:r>
              <w:rPr>
                <w:rFonts w:ascii="Arial" w:cs="Arial" w:eastAsia="Arial" w:hAnsi="Arial"/>
                <w:sz w:val="12"/>
                <w:szCs w:val="12"/>
                <w:color w:val="auto"/>
              </w:rPr>
              <w:t>Other (specify</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780" w:type="dxa"/>
            <w:vAlign w:val="bottom"/>
            <w:gridSpan w:val="2"/>
            <w:vMerge w:val="restart"/>
          </w:tcPr>
          <w:p>
            <w:pPr>
              <w:ind w:left="660"/>
              <w:spacing w:after="0"/>
              <w:rPr>
                <w:sz w:val="20"/>
                <w:szCs w:val="20"/>
                <w:color w:val="auto"/>
              </w:rPr>
            </w:pPr>
            <w:r>
              <w:rPr>
                <w:rFonts w:ascii="Arial" w:cs="Arial" w:eastAsia="Arial" w:hAnsi="Arial"/>
                <w:sz w:val="12"/>
                <w:szCs w:val="12"/>
                <w:color w:val="auto"/>
              </w:rPr>
              <w:t>(First)</w:t>
            </w:r>
          </w:p>
        </w:tc>
        <w:tc>
          <w:tcPr>
            <w:tcW w:w="1080" w:type="dxa"/>
            <w:vAlign w:val="bottom"/>
            <w:gridSpan w:val="3"/>
            <w:vMerge w:val="restart"/>
          </w:tcPr>
          <w:p>
            <w:pPr>
              <w:ind w:left="12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74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720" w:type="dxa"/>
            <w:vAlign w:val="bottom"/>
          </w:tcPr>
          <w:p>
            <w:pPr>
              <w:spacing w:after="0"/>
              <w:rPr>
                <w:sz w:val="3"/>
                <w:szCs w:val="3"/>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2"/>
                <w:szCs w:val="12"/>
                <w:color w:val="auto"/>
              </w:rPr>
              <w:t>below)</w:t>
            </w: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780" w:type="dxa"/>
            <w:vAlign w:val="bottom"/>
            <w:gridSpan w:val="2"/>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0" w:type="dxa"/>
            <w:vAlign w:val="bottom"/>
            <w:gridSpan w:val="7"/>
            <w:vMerge w:val="continue"/>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LIGHTSPEED VENTURE PARTNERS</w:t>
            </w:r>
          </w:p>
        </w:tc>
        <w:tc>
          <w:tcPr>
            <w:tcW w:w="130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0000FF"/>
              </w:rPr>
              <w:t>10/31/2025</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2200 SAND HILL ROAD</w:t>
            </w: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2000" w:type="dxa"/>
            <w:vAlign w:val="bottom"/>
            <w:tcBorders>
              <w:bottom w:val="single" w:sz="8" w:color="2C2C2C"/>
            </w:tcBorders>
            <w:gridSpan w:val="4"/>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2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440" w:type="dxa"/>
            <w:vAlign w:val="bottom"/>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80" w:type="dxa"/>
            <w:vAlign w:val="bottom"/>
          </w:tcPr>
          <w:p>
            <w:pPr>
              <w:spacing w:after="0"/>
              <w:rPr>
                <w:sz w:val="2"/>
                <w:szCs w:val="2"/>
                <w:color w:val="auto"/>
              </w:rPr>
            </w:pPr>
          </w:p>
        </w:tc>
        <w:tc>
          <w:tcPr>
            <w:tcW w:w="3320" w:type="dxa"/>
            <w:vAlign w:val="bottom"/>
            <w:gridSpan w:val="8"/>
            <w:vMerge w:val="restart"/>
          </w:tcPr>
          <w:p>
            <w:pPr>
              <w:ind w:left="80"/>
              <w:spacing w:after="0"/>
              <w:rPr>
                <w:sz w:val="20"/>
                <w:szCs w:val="20"/>
                <w:color w:val="auto"/>
              </w:rPr>
            </w:pPr>
            <w:r>
              <w:rPr>
                <w:rFonts w:ascii="Arial" w:cs="Arial" w:eastAsia="Arial" w:hAnsi="Arial"/>
                <w:sz w:val="12"/>
                <w:szCs w:val="12"/>
                <w:color w:val="auto"/>
              </w:rPr>
              <w:t>6. Individual or Joint/Group Filing (Check Applicable Line)</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40" w:type="dxa"/>
            <w:vAlign w:val="bottom"/>
            <w:gridSpan w:val="9"/>
            <w:vMerge w:val="continue"/>
          </w:tcPr>
          <w:p>
            <w:pPr>
              <w:spacing w:after="0"/>
              <w:rPr>
                <w:sz w:val="12"/>
                <w:szCs w:val="12"/>
                <w:color w:val="auto"/>
              </w:rPr>
            </w:pPr>
          </w:p>
        </w:tc>
        <w:tc>
          <w:tcPr>
            <w:tcW w:w="380" w:type="dxa"/>
            <w:vAlign w:val="bottom"/>
          </w:tcPr>
          <w:p>
            <w:pPr>
              <w:spacing w:after="0"/>
              <w:rPr>
                <w:sz w:val="12"/>
                <w:szCs w:val="12"/>
                <w:color w:val="auto"/>
              </w:rPr>
            </w:pPr>
          </w:p>
        </w:tc>
        <w:tc>
          <w:tcPr>
            <w:tcW w:w="332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80" w:type="dxa"/>
            <w:vAlign w:val="bottom"/>
            <w:gridSpan w:val="4"/>
            <w:vMerge w:val="restart"/>
          </w:tcPr>
          <w:p>
            <w:pPr>
              <w:ind w:left="180"/>
              <w:spacing w:after="0"/>
              <w:rPr>
                <w:sz w:val="20"/>
                <w:szCs w:val="20"/>
                <w:color w:val="auto"/>
              </w:rPr>
            </w:pPr>
            <w:r>
              <w:rPr>
                <w:rFonts w:ascii="Arial" w:cs="Arial" w:eastAsia="Arial" w:hAnsi="Arial"/>
                <w:sz w:val="12"/>
                <w:szCs w:val="12"/>
                <w:color w:val="auto"/>
              </w:rPr>
              <w:t>Form filed by One Reporting Person</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MENLO PARK   CA</w:t>
            </w: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gridSpan w:val="6"/>
            <w:vMerge w:val="restart"/>
          </w:tcPr>
          <w:p>
            <w:pPr>
              <w:ind w:left="180"/>
              <w:spacing w:after="0"/>
              <w:rPr>
                <w:sz w:val="20"/>
                <w:szCs w:val="20"/>
                <w:color w:val="auto"/>
              </w:rPr>
            </w:pPr>
            <w:r>
              <w:rPr>
                <w:rFonts w:ascii="Arial" w:cs="Arial" w:eastAsia="Arial" w:hAnsi="Arial"/>
                <w:sz w:val="12"/>
                <w:szCs w:val="12"/>
                <w:color w:val="auto"/>
              </w:rPr>
              <w:t>Form filed by More than One Reporting Person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90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780" w:type="dxa"/>
            <w:vAlign w:val="bottom"/>
            <w:tcBorders>
              <w:bottom w:val="single" w:sz="8" w:color="9A9A9A"/>
            </w:tcBorders>
            <w:gridSpan w:val="2"/>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178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080" w:type="dxa"/>
            <w:vAlign w:val="bottom"/>
            <w:gridSpan w:val="3"/>
          </w:tcPr>
          <w:p>
            <w:pPr>
              <w:ind w:left="12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2380" w:type="dxa"/>
            <w:vAlign w:val="bottom"/>
            <w:tcBorders>
              <w:bottom w:val="single" w:sz="8" w:color="2C2C2C"/>
            </w:tcBorders>
            <w:gridSpan w:val="5"/>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8"/>
          </w:tcPr>
          <w:p>
            <w:pPr>
              <w:jc w:val="center"/>
              <w:ind w:right="221"/>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4"/>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5"/>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500" w:type="dxa"/>
            <w:vAlign w:val="bottom"/>
          </w:tcPr>
          <w:p>
            <w:pPr>
              <w:spacing w:after="0"/>
              <w:rPr>
                <w:sz w:val="13"/>
                <w:szCs w:val="13"/>
                <w:color w:val="auto"/>
              </w:rPr>
            </w:pPr>
          </w:p>
        </w:tc>
        <w:tc>
          <w:tcPr>
            <w:tcW w:w="1300" w:type="dxa"/>
            <w:vAlign w:val="bottom"/>
            <w:gridSpan w:val="6"/>
          </w:tcPr>
          <w:p>
            <w:pPr>
              <w:ind w:left="3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1240" w:type="dxa"/>
            <w:vAlign w:val="bottom"/>
            <w:gridSpan w:val="2"/>
          </w:tcPr>
          <w:p>
            <w:pPr>
              <w:ind w:left="380"/>
              <w:spacing w:after="0"/>
              <w:rPr>
                <w:sz w:val="20"/>
                <w:szCs w:val="20"/>
                <w:color w:val="auto"/>
              </w:rPr>
            </w:pPr>
            <w:r>
              <w:rPr>
                <w:rFonts w:ascii="Arial" w:cs="Arial" w:eastAsia="Arial" w:hAnsi="Arial"/>
                <w:sz w:val="11"/>
                <w:szCs w:val="11"/>
                <w:b w:val="1"/>
                <w:bCs w:val="1"/>
                <w:color w:val="auto"/>
              </w:rPr>
              <w:t>6. Ownership</w:t>
            </w:r>
          </w:p>
        </w:tc>
        <w:tc>
          <w:tcPr>
            <w:tcW w:w="920" w:type="dxa"/>
            <w:vAlign w:val="bottom"/>
            <w:gridSpan w:val="3"/>
          </w:tcPr>
          <w:p>
            <w:pPr>
              <w:ind w:left="6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gridSpan w:val="2"/>
          </w:tcPr>
          <w:p>
            <w:pPr>
              <w:ind w:left="340"/>
              <w:spacing w:after="0" w:line="123" w:lineRule="exact"/>
              <w:rPr>
                <w:sz w:val="20"/>
                <w:szCs w:val="20"/>
                <w:color w:val="auto"/>
              </w:rPr>
            </w:pPr>
            <w:r>
              <w:rPr>
                <w:rFonts w:ascii="Arial" w:cs="Arial" w:eastAsia="Arial" w:hAnsi="Arial"/>
                <w:sz w:val="11"/>
                <w:szCs w:val="11"/>
                <w:b w:val="1"/>
                <w:bCs w:val="1"/>
                <w:color w:val="auto"/>
                <w:w w:val="92"/>
              </w:rPr>
              <w:t>Date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1240" w:type="dxa"/>
            <w:vAlign w:val="bottom"/>
            <w:gridSpan w:val="2"/>
          </w:tcPr>
          <w:p>
            <w:pPr>
              <w:ind w:left="380"/>
              <w:spacing w:after="0" w:line="123" w:lineRule="exact"/>
              <w:rPr>
                <w:sz w:val="20"/>
                <w:szCs w:val="20"/>
                <w:color w:val="auto"/>
              </w:rPr>
            </w:pPr>
            <w:r>
              <w:rPr>
                <w:rFonts w:ascii="Arial" w:cs="Arial" w:eastAsia="Arial" w:hAnsi="Arial"/>
                <w:sz w:val="11"/>
                <w:szCs w:val="11"/>
                <w:b w:val="1"/>
                <w:bCs w:val="1"/>
                <w:color w:val="auto"/>
              </w:rPr>
              <w:t>Form: Direct</w:t>
            </w:r>
          </w:p>
        </w:tc>
        <w:tc>
          <w:tcPr>
            <w:tcW w:w="9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00" w:type="dxa"/>
            <w:vAlign w:val="bottom"/>
            <w:gridSpan w:val="6"/>
          </w:tcPr>
          <w:p>
            <w:pPr>
              <w:jc w:val="center"/>
              <w:ind w:left="218"/>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1240" w:type="dxa"/>
            <w:vAlign w:val="bottom"/>
            <w:gridSpan w:val="2"/>
          </w:tcPr>
          <w:p>
            <w:pPr>
              <w:ind w:left="380"/>
              <w:spacing w:after="0" w:line="123" w:lineRule="exact"/>
              <w:rPr>
                <w:sz w:val="20"/>
                <w:szCs w:val="20"/>
                <w:color w:val="auto"/>
              </w:rPr>
            </w:pPr>
            <w:r>
              <w:rPr>
                <w:rFonts w:ascii="Arial" w:cs="Arial" w:eastAsia="Arial" w:hAnsi="Arial"/>
                <w:sz w:val="11"/>
                <w:szCs w:val="11"/>
                <w:b w:val="1"/>
                <w:bCs w:val="1"/>
                <w:color w:val="auto"/>
              </w:rPr>
              <w:t>(D) or Indirect</w:t>
            </w:r>
          </w:p>
        </w:tc>
        <w:tc>
          <w:tcPr>
            <w:tcW w:w="9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Owned Following    (I) (Instr. 4)</w:t>
            </w:r>
          </w:p>
        </w:tc>
        <w:tc>
          <w:tcPr>
            <w:tcW w:w="9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gridSpan w:val="3"/>
            <w:vMerge w:val="restart"/>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20" w:type="dxa"/>
            <w:vAlign w:val="bottom"/>
          </w:tcPr>
          <w:p>
            <w:pPr>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jc w:val="right"/>
              <w:ind w:right="198"/>
              <w:spacing w:after="0"/>
              <w:rPr>
                <w:sz w:val="20"/>
                <w:szCs w:val="20"/>
                <w:color w:val="auto"/>
              </w:rPr>
            </w:pPr>
            <w:r>
              <w:rPr>
                <w:rFonts w:ascii="Arial" w:cs="Arial" w:eastAsia="Arial" w:hAnsi="Arial"/>
                <w:sz w:val="11"/>
                <w:szCs w:val="11"/>
                <w:b w:val="1"/>
                <w:bCs w:val="1"/>
                <w:color w:val="auto"/>
              </w:rPr>
              <w:t>Price</w:t>
            </w:r>
          </w:p>
        </w:tc>
        <w:tc>
          <w:tcPr>
            <w:tcW w:w="15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w w:val="98"/>
              </w:rPr>
              <w:t>(Instr. 3 and 4)</w:t>
            </w: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Lightspeed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7"/>
          </w:tcPr>
          <w:p>
            <w:pPr>
              <w:jc w:val="center"/>
              <w:ind w:left="709"/>
              <w:spacing w:after="0"/>
              <w:rPr>
                <w:sz w:val="20"/>
                <w:szCs w:val="20"/>
                <w:color w:val="auto"/>
              </w:rPr>
            </w:pPr>
            <w:r>
              <w:rPr>
                <w:rFonts w:ascii="Times New Roman" w:cs="Times New Roman" w:eastAsia="Times New Roman" w:hAnsi="Times New Roman"/>
                <w:sz w:val="16"/>
                <w:szCs w:val="16"/>
                <w:color w:val="0000FF"/>
              </w:rPr>
              <w:t>10/31/2025</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23,365,502</w:t>
            </w:r>
          </w:p>
        </w:tc>
        <w:tc>
          <w:tcPr>
            <w:tcW w:w="3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tcPr>
          <w:p>
            <w:pPr>
              <w:jc w:val="right"/>
              <w:ind w:right="178"/>
              <w:spacing w:after="0"/>
              <w:rPr>
                <w:sz w:val="20"/>
                <w:szCs w:val="20"/>
                <w:color w:val="auto"/>
              </w:rPr>
            </w:pPr>
            <w:r>
              <w:rPr>
                <w:rFonts w:ascii="Times New Roman" w:cs="Times New Roman" w:eastAsia="Times New Roman" w:hAnsi="Times New Roman"/>
                <w:sz w:val="10"/>
                <w:szCs w:val="10"/>
                <w:color w:val="008000"/>
              </w:rPr>
              <w:t>(1)</w:t>
            </w:r>
          </w:p>
        </w:tc>
        <w:tc>
          <w:tcPr>
            <w:tcW w:w="1540" w:type="dxa"/>
            <w:vAlign w:val="bottom"/>
            <w:gridSpan w:val="3"/>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23,365,502</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Venture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Partners X,</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7"/>
            <w:vMerge w:val="restart"/>
          </w:tcPr>
          <w:p>
            <w:pPr>
              <w:jc w:val="center"/>
              <w:ind w:left="709"/>
              <w:spacing w:after="0"/>
              <w:rPr>
                <w:sz w:val="20"/>
                <w:szCs w:val="20"/>
                <w:color w:val="auto"/>
              </w:rPr>
            </w:pPr>
            <w:r>
              <w:rPr>
                <w:rFonts w:ascii="Times New Roman" w:cs="Times New Roman" w:eastAsia="Times New Roman" w:hAnsi="Times New Roman"/>
                <w:sz w:val="16"/>
                <w:szCs w:val="16"/>
                <w:color w:val="0000FF"/>
              </w:rPr>
              <w:t>10/31/2025</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192,885</w:t>
            </w: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0"/>
                <w:szCs w:val="10"/>
                <w:color w:val="008000"/>
              </w:rPr>
              <w:t>(1)</w:t>
            </w:r>
          </w:p>
        </w:tc>
        <w:tc>
          <w:tcPr>
            <w:tcW w:w="1540" w:type="dxa"/>
            <w:vAlign w:val="bottom"/>
            <w:gridSpan w:val="3"/>
            <w:vMerge w:val="restart"/>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192,885</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Lightspeed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Affiliates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X, L.P.</w:t>
            </w:r>
            <w:r>
              <w:rPr>
                <w:rFonts w:ascii="Times New Roman" w:cs="Times New Roman" w:eastAsia="Times New Roman" w:hAnsi="Times New Roman"/>
                <w:sz w:val="20"/>
                <w:szCs w:val="20"/>
                <w:color w:val="008000"/>
                <w:vertAlign w:val="superscript"/>
              </w:rPr>
              <w:t>(3)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7"/>
            <w:vMerge w:val="restart"/>
          </w:tcPr>
          <w:p>
            <w:pPr>
              <w:jc w:val="center"/>
              <w:ind w:left="709"/>
              <w:spacing w:after="0"/>
              <w:rPr>
                <w:sz w:val="20"/>
                <w:szCs w:val="20"/>
                <w:color w:val="auto"/>
              </w:rPr>
            </w:pPr>
            <w:r>
              <w:rPr>
                <w:rFonts w:ascii="Times New Roman" w:cs="Times New Roman" w:eastAsia="Times New Roman" w:hAnsi="Times New Roman"/>
                <w:sz w:val="16"/>
                <w:szCs w:val="16"/>
                <w:color w:val="0000FF"/>
              </w:rPr>
              <w:t>10/31/2025</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4,478,486</w:t>
            </w: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0"/>
                <w:szCs w:val="10"/>
                <w:color w:val="008000"/>
              </w:rPr>
              <w:t>(1)</w:t>
            </w:r>
          </w:p>
        </w:tc>
        <w:tc>
          <w:tcPr>
            <w:tcW w:w="1540" w:type="dxa"/>
            <w:vAlign w:val="bottom"/>
            <w:gridSpan w:val="3"/>
            <w:vMerge w:val="restart"/>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4,780,989</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Lightspeed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Opportunity</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Fund, L.P.</w:t>
            </w:r>
            <w:r>
              <w:rPr>
                <w:rFonts w:ascii="Times New Roman" w:cs="Times New Roman" w:eastAsia="Times New Roman" w:hAnsi="Times New Roman"/>
                <w:sz w:val="20"/>
                <w:szCs w:val="20"/>
                <w:color w:val="008000"/>
                <w:vertAlign w:val="superscript"/>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Lightspeed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7"/>
          </w:tcPr>
          <w:p>
            <w:pPr>
              <w:jc w:val="center"/>
              <w:ind w:left="709"/>
              <w:spacing w:after="0"/>
              <w:rPr>
                <w:sz w:val="20"/>
                <w:szCs w:val="20"/>
                <w:color w:val="auto"/>
              </w:rPr>
            </w:pPr>
            <w:r>
              <w:rPr>
                <w:rFonts w:ascii="Times New Roman" w:cs="Times New Roman" w:eastAsia="Times New Roman" w:hAnsi="Times New Roman"/>
                <w:sz w:val="16"/>
                <w:szCs w:val="16"/>
                <w:color w:val="0000FF"/>
              </w:rPr>
              <w:t>10/31/2025</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587,965</w:t>
            </w:r>
          </w:p>
        </w:tc>
        <w:tc>
          <w:tcPr>
            <w:tcW w:w="3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tcPr>
          <w:p>
            <w:pPr>
              <w:jc w:val="right"/>
              <w:ind w:right="178"/>
              <w:spacing w:after="0"/>
              <w:rPr>
                <w:sz w:val="20"/>
                <w:szCs w:val="20"/>
                <w:color w:val="auto"/>
              </w:rPr>
            </w:pPr>
            <w:r>
              <w:rPr>
                <w:rFonts w:ascii="Times New Roman" w:cs="Times New Roman" w:eastAsia="Times New Roman" w:hAnsi="Times New Roman"/>
                <w:sz w:val="10"/>
                <w:szCs w:val="10"/>
                <w:color w:val="008000"/>
              </w:rPr>
              <w:t>(1)</w:t>
            </w:r>
          </w:p>
        </w:tc>
        <w:tc>
          <w:tcPr>
            <w:tcW w:w="1540" w:type="dxa"/>
            <w:vAlign w:val="bottom"/>
            <w:gridSpan w:val="3"/>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587,965</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Strategic</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Partners I</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Lightspeed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7"/>
            <w:vMerge w:val="restart"/>
          </w:tcPr>
          <w:p>
            <w:pPr>
              <w:jc w:val="center"/>
              <w:ind w:left="709"/>
              <w:spacing w:after="0"/>
              <w:rPr>
                <w:sz w:val="20"/>
                <w:szCs w:val="20"/>
                <w:color w:val="auto"/>
              </w:rPr>
            </w:pPr>
            <w:r>
              <w:rPr>
                <w:rFonts w:ascii="Times New Roman" w:cs="Times New Roman" w:eastAsia="Times New Roman" w:hAnsi="Times New Roman"/>
                <w:sz w:val="16"/>
                <w:szCs w:val="16"/>
                <w:color w:val="0000FF"/>
              </w:rPr>
              <w:t>10/31/2025</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14,859,595</w:t>
            </w: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0"/>
                <w:szCs w:val="10"/>
                <w:color w:val="008000"/>
              </w:rPr>
              <w:t>(1)</w:t>
            </w:r>
          </w:p>
        </w:tc>
        <w:tc>
          <w:tcPr>
            <w:tcW w:w="1540" w:type="dxa"/>
            <w:vAlign w:val="bottom"/>
            <w:gridSpan w:val="3"/>
            <w:vMerge w:val="restart"/>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14,859,595</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Venture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Partners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Select II,</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Lightspeed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7"/>
            <w:vMerge w:val="restart"/>
          </w:tcPr>
          <w:p>
            <w:pPr>
              <w:jc w:val="center"/>
              <w:ind w:left="709"/>
              <w:spacing w:after="0"/>
              <w:rPr>
                <w:sz w:val="20"/>
                <w:szCs w:val="20"/>
                <w:color w:val="auto"/>
              </w:rPr>
            </w:pPr>
            <w:r>
              <w:rPr>
                <w:rFonts w:ascii="Times New Roman" w:cs="Times New Roman" w:eastAsia="Times New Roman" w:hAnsi="Times New Roman"/>
                <w:sz w:val="16"/>
                <w:szCs w:val="16"/>
                <w:color w:val="0000FF"/>
              </w:rPr>
              <w:t>10/31/2025</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color w:val="0000FF"/>
                <w:w w:val="99"/>
              </w:rPr>
              <w:t>C</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6,134,518</w:t>
            </w:r>
          </w:p>
        </w:tc>
        <w:tc>
          <w:tcPr>
            <w:tcW w:w="3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0"/>
                <w:szCs w:val="10"/>
                <w:color w:val="008000"/>
              </w:rPr>
              <w:t>(1)</w:t>
            </w:r>
          </w:p>
        </w:tc>
        <w:tc>
          <w:tcPr>
            <w:tcW w:w="1540" w:type="dxa"/>
            <w:vAlign w:val="bottom"/>
            <w:gridSpan w:val="3"/>
            <w:vMerge w:val="restart"/>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6,134,518</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Venture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Partners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Select III,</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380" w:type="dxa"/>
            <w:vAlign w:val="bottom"/>
            <w:tcBorders>
              <w:top w:val="single" w:sz="8" w:color="2C2C2C"/>
            </w:tcBorders>
            <w:gridSpan w:val="18"/>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60" w:type="dxa"/>
            <w:vAlign w:val="bottom"/>
            <w:gridSpan w:val="15"/>
          </w:tcPr>
          <w:p>
            <w:pPr>
              <w:jc w:val="right"/>
              <w:ind w:right="198"/>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2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11.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8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6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60"/>
              <w:spacing w:after="0" w:line="123"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6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60"/>
              <w:spacing w:after="0" w:line="123" w:lineRule="exact"/>
              <w:rPr>
                <w:sz w:val="20"/>
                <w:szCs w:val="20"/>
                <w:color w:val="auto"/>
              </w:rPr>
            </w:pPr>
            <w:r>
              <w:rPr>
                <w:rFonts w:ascii="Arial" w:cs="Arial" w:eastAsia="Arial" w:hAnsi="Arial"/>
                <w:sz w:val="11"/>
                <w:szCs w:val="11"/>
                <w:b w:val="1"/>
                <w:bCs w:val="1"/>
                <w:color w:val="auto"/>
              </w:rPr>
              <w:t>Direct (D)</w:t>
            </w:r>
          </w:p>
        </w:tc>
        <w:tc>
          <w:tcPr>
            <w:tcW w:w="6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w w:val="98"/>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60"/>
              <w:spacing w:after="0" w:line="123" w:lineRule="exact"/>
              <w:rPr>
                <w:sz w:val="20"/>
                <w:szCs w:val="20"/>
                <w:color w:val="auto"/>
              </w:rPr>
            </w:pPr>
            <w:r>
              <w:rPr>
                <w:rFonts w:ascii="Arial" w:cs="Arial" w:eastAsia="Arial" w:hAnsi="Arial"/>
                <w:sz w:val="11"/>
                <w:szCs w:val="11"/>
                <w:b w:val="1"/>
                <w:bCs w:val="1"/>
                <w:color w:val="auto"/>
              </w:rPr>
              <w:t>or Indirect</w:t>
            </w:r>
          </w:p>
        </w:tc>
        <w:tc>
          <w:tcPr>
            <w:tcW w:w="6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(Instr. 3, 4 and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60"/>
              <w:spacing w:after="0" w:line="123"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5)</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Pr>
          <w:p>
            <w:pPr>
              <w:spacing w:after="0"/>
              <w:rPr>
                <w:sz w:val="5"/>
                <w:szCs w:val="5"/>
                <w:color w:val="auto"/>
              </w:rPr>
            </w:pPr>
          </w:p>
        </w:tc>
        <w:tc>
          <w:tcPr>
            <w:tcW w:w="124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2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gridSpan w:val="2"/>
            <w:vMerge w:val="restart"/>
          </w:tcPr>
          <w:p>
            <w:pPr>
              <w:ind w:left="100"/>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gridSpan w:val="2"/>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Seed</w:t>
            </w: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3,914,906</w:t>
            </w: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vMerge w:val="restart"/>
          </w:tcPr>
          <w:p>
            <w:pPr>
              <w:jc w:val="right"/>
              <w:ind w:right="163"/>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4"/>
            <w:vMerge w:val="restart"/>
          </w:tcPr>
          <w:p>
            <w:pPr>
              <w:ind w:left="12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1000" w:type="dxa"/>
            <w:vAlign w:val="bottom"/>
            <w:gridSpan w:val="2"/>
            <w:vMerge w:val="restart"/>
          </w:tcPr>
          <w:p>
            <w:pPr>
              <w:ind w:left="360"/>
              <w:spacing w:after="0" w:line="136" w:lineRule="exact"/>
              <w:rPr>
                <w:sz w:val="20"/>
                <w:szCs w:val="20"/>
                <w:color w:val="auto"/>
              </w:rPr>
            </w:pPr>
            <w:r>
              <w:rPr>
                <w:rFonts w:ascii="Times New Roman" w:cs="Times New Roman" w:eastAsia="Times New Roman" w:hAnsi="Times New Roman"/>
                <w:sz w:val="12"/>
                <w:szCs w:val="12"/>
                <w:color w:val="0000FF"/>
              </w:rPr>
              <w:t>11,744,720</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vMerge w:val="restart"/>
          </w:tcPr>
          <w:p>
            <w:pPr>
              <w:ind w:left="8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continue"/>
          </w:tcPr>
          <w:p>
            <w:pPr>
              <w:spacing w:after="0"/>
              <w:rPr>
                <w:sz w:val="6"/>
                <w:szCs w:val="6"/>
                <w:color w:val="auto"/>
              </w:rPr>
            </w:pPr>
          </w:p>
        </w:tc>
        <w:tc>
          <w:tcPr>
            <w:tcW w:w="8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ind w:left="34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520" w:type="dxa"/>
            <w:vAlign w:val="bottom"/>
            <w:vMerge w:val="restart"/>
          </w:tcPr>
          <w:p>
            <w:pPr>
              <w:ind w:left="4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6"/>
                <w:szCs w:val="6"/>
                <w:color w:val="auto"/>
              </w:rPr>
            </w:pPr>
          </w:p>
        </w:tc>
        <w:tc>
          <w:tcPr>
            <w:tcW w:w="620" w:type="dxa"/>
            <w:vAlign w:val="bottom"/>
            <w:gridSpan w:val="2"/>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Venture</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gridSpan w:val="2"/>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gridSpan w:val="2"/>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Partners X,</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gridSpan w:val="2"/>
            <w:vMerge w:val="restart"/>
          </w:tcPr>
          <w:p>
            <w:pPr>
              <w:ind w:left="40"/>
              <w:spacing w:after="0" w:line="222"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(2)</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gridSpan w:val="2"/>
            <w:vMerge w:val="continue"/>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-1794510</wp:posOffset>
            </wp:positionV>
            <wp:extent cx="28575" cy="2115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15820"/>
                    </a:xfrm>
                    <a:prstGeom prst="rect">
                      <a:avLst/>
                    </a:prstGeom>
                    <a:noFill/>
                  </pic:spPr>
                </pic:pic>
              </a:graphicData>
            </a:graphic>
          </wp:anchor>
        </w:drawing>
      </w:r>
    </w:p>
    <w:p>
      <w:pPr>
        <w:sectPr>
          <w:pgSz w:w="11900" w:h="16838" w:orient="portrait"/>
          <w:cols w:equalWidth="0" w:num="1">
            <w:col w:w="11080"/>
          </w:cols>
          <w:pgMar w:left="460" w:top="213" w:right="359" w:bottom="66"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10523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9135" cy="10523855"/>
                    </a:xfrm>
                    <a:prstGeom prst="rect">
                      <a:avLst/>
                    </a:prstGeom>
                    <a:noFill/>
                  </pic:spPr>
                </pic:pic>
              </a:graphicData>
            </a:graphic>
          </wp:anchor>
        </w:drawing>
        <w:t>Table II - Derivative Securities Acquired, Disposed of, or Beneficially Owned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3, 4 and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73"/>
        </w:trPr>
        <w:tc>
          <w:tcPr>
            <w:tcW w:w="64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Seed</w:t>
            </w: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192,885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62"/>
        </w:trPr>
        <w:tc>
          <w:tcPr>
            <w:tcW w:w="6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5"/>
                <w:szCs w:val="5"/>
                <w:color w:val="auto"/>
              </w:rPr>
            </w:pPr>
          </w:p>
        </w:tc>
        <w:tc>
          <w:tcPr>
            <w:tcW w:w="760" w:type="dxa"/>
            <w:vAlign w:val="bottom"/>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vMerge w:val="restart"/>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rPr>
              <w:t>578,656</w:t>
            </w: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restart"/>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Affiliates</w:t>
            </w:r>
          </w:p>
        </w:tc>
        <w:tc>
          <w:tcPr>
            <w:tcW w:w="0" w:type="dxa"/>
            <w:vAlign w:val="bottom"/>
          </w:tcPr>
          <w:p>
            <w:pPr>
              <w:spacing w:after="0"/>
              <w:rPr>
                <w:sz w:val="1"/>
                <w:szCs w:val="1"/>
                <w:color w:val="auto"/>
              </w:rPr>
            </w:pPr>
          </w:p>
        </w:tc>
      </w:tr>
      <w:tr>
        <w:trPr>
          <w:trHeight w:val="62"/>
        </w:trPr>
        <w:tc>
          <w:tcPr>
            <w:tcW w:w="6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vMerge w:val="restart"/>
          </w:tcPr>
          <w:p>
            <w:pPr>
              <w:ind w:left="60"/>
              <w:spacing w:after="0" w:line="222" w:lineRule="exact"/>
              <w:rPr>
                <w:sz w:val="20"/>
                <w:szCs w:val="20"/>
                <w:color w:val="auto"/>
              </w:rPr>
            </w:pPr>
            <w:r>
              <w:rPr>
                <w:rFonts w:ascii="Times New Roman" w:cs="Times New Roman" w:eastAsia="Times New Roman" w:hAnsi="Times New Roman"/>
                <w:sz w:val="12"/>
                <w:szCs w:val="12"/>
                <w:color w:val="0000FF"/>
              </w:rPr>
              <w:t>X, 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28"/>
        </w:trPr>
        <w:tc>
          <w:tcPr>
            <w:tcW w:w="64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Series A</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4,026,218</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rPr>
              <w:t>12,078,656</w:t>
            </w: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Partners X,</w:t>
            </w:r>
          </w:p>
        </w:tc>
        <w:tc>
          <w:tcPr>
            <w:tcW w:w="0" w:type="dxa"/>
            <w:vAlign w:val="bottom"/>
          </w:tcPr>
          <w:p>
            <w:pPr>
              <w:spacing w:after="0"/>
              <w:rPr>
                <w:sz w:val="1"/>
                <w:szCs w:val="1"/>
                <w:color w:val="auto"/>
              </w:rPr>
            </w:pPr>
          </w:p>
        </w:tc>
      </w:tr>
      <w:tr>
        <w:trPr>
          <w:trHeight w:val="226"/>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Series A-1</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12,743,557</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rPr>
              <w:t>38,230,672</w:t>
            </w: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Partners X,</w:t>
            </w:r>
          </w:p>
        </w:tc>
        <w:tc>
          <w:tcPr>
            <w:tcW w:w="0" w:type="dxa"/>
            <w:vAlign w:val="bottom"/>
          </w:tcPr>
          <w:p>
            <w:pPr>
              <w:spacing w:after="0"/>
              <w:rPr>
                <w:sz w:val="1"/>
                <w:szCs w:val="1"/>
                <w:color w:val="auto"/>
              </w:rPr>
            </w:pPr>
          </w:p>
        </w:tc>
      </w:tr>
      <w:tr>
        <w:trPr>
          <w:trHeight w:val="226"/>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Series B</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2,680,821</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w w:val="99"/>
              </w:rPr>
              <w:t>8,042,464</w:t>
            </w: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Partners X,</w:t>
            </w:r>
          </w:p>
        </w:tc>
        <w:tc>
          <w:tcPr>
            <w:tcW w:w="0" w:type="dxa"/>
            <w:vAlign w:val="bottom"/>
          </w:tcPr>
          <w:p>
            <w:pPr>
              <w:spacing w:after="0"/>
              <w:rPr>
                <w:sz w:val="1"/>
                <w:szCs w:val="1"/>
                <w:color w:val="auto"/>
              </w:rPr>
            </w:pPr>
          </w:p>
        </w:tc>
      </w:tr>
      <w:tr>
        <w:trPr>
          <w:trHeight w:val="226"/>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74"/>
        </w:trPr>
        <w:tc>
          <w:tcPr>
            <w:tcW w:w="640" w:type="dxa"/>
            <w:vAlign w:val="bottom"/>
            <w:vMerge w:val="continue"/>
          </w:tcPr>
          <w:p>
            <w:pPr>
              <w:spacing w:after="0"/>
              <w:rPr>
                <w:sz w:val="6"/>
                <w:szCs w:val="6"/>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6"/>
                <w:szCs w:val="16"/>
                <w:color w:val="0000FF"/>
                <w:w w:val="99"/>
              </w:rPr>
              <w:t>13,404,106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74"/>
        </w:trPr>
        <w:tc>
          <w:tcPr>
            <w:tcW w:w="640" w:type="dxa"/>
            <w:vAlign w:val="bottom"/>
            <w:vMerge w:val="restart"/>
          </w:tcPr>
          <w:p>
            <w:pPr>
              <w:ind w:left="60"/>
              <w:spacing w:after="0" w:line="99"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6"/>
                <w:szCs w:val="6"/>
                <w:color w:val="auto"/>
              </w:rPr>
            </w:pPr>
          </w:p>
        </w:tc>
        <w:tc>
          <w:tcPr>
            <w:tcW w:w="102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10/31/2025</w:t>
            </w:r>
          </w:p>
        </w:tc>
        <w:tc>
          <w:tcPr>
            <w:tcW w:w="1040" w:type="dxa"/>
            <w:vAlign w:val="bottom"/>
          </w:tcPr>
          <w:p>
            <w:pPr>
              <w:spacing w:after="0"/>
              <w:rPr>
                <w:sz w:val="6"/>
                <w:szCs w:val="6"/>
                <w:color w:val="auto"/>
              </w:rPr>
            </w:pPr>
          </w:p>
        </w:tc>
        <w:tc>
          <w:tcPr>
            <w:tcW w:w="760" w:type="dxa"/>
            <w:vAlign w:val="bottom"/>
            <w:vMerge w:val="restart"/>
          </w:tcPr>
          <w:p>
            <w:pPr>
              <w:ind w:left="160"/>
              <w:spacing w:after="0" w:line="99"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241"/>
              <w:spacing w:after="0" w:line="99" w:lineRule="exact"/>
              <w:rPr>
                <w:sz w:val="20"/>
                <w:szCs w:val="20"/>
                <w:color w:val="auto"/>
              </w:rPr>
            </w:pPr>
            <w:r>
              <w:rPr>
                <w:rFonts w:ascii="Times New Roman" w:cs="Times New Roman" w:eastAsia="Times New Roman" w:hAnsi="Times New Roman"/>
                <w:sz w:val="11"/>
                <w:szCs w:val="11"/>
                <w:color w:val="0000FF"/>
              </w:rPr>
              <w:t>40,212,320</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right"/>
              <w:ind w:right="361"/>
              <w:spacing w:after="0" w:line="99"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20"/>
              <w:spacing w:after="0" w:line="99"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6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6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Select II,</w:t>
            </w:r>
          </w:p>
        </w:tc>
        <w:tc>
          <w:tcPr>
            <w:tcW w:w="0" w:type="dxa"/>
            <w:vAlign w:val="bottom"/>
          </w:tcPr>
          <w:p>
            <w:pPr>
              <w:spacing w:after="0"/>
              <w:rPr>
                <w:sz w:val="1"/>
                <w:szCs w:val="1"/>
                <w:color w:val="auto"/>
              </w:rPr>
            </w:pPr>
          </w:p>
        </w:tc>
      </w:tr>
      <w:tr>
        <w:trPr>
          <w:trHeight w:val="35"/>
        </w:trPr>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5"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74"/>
        </w:trPr>
        <w:tc>
          <w:tcPr>
            <w:tcW w:w="640" w:type="dxa"/>
            <w:vAlign w:val="bottom"/>
            <w:vMerge w:val="continue"/>
          </w:tcPr>
          <w:p>
            <w:pPr>
              <w:spacing w:after="0"/>
              <w:rPr>
                <w:sz w:val="6"/>
                <w:szCs w:val="6"/>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6"/>
                <w:szCs w:val="16"/>
                <w:color w:val="0000FF"/>
                <w:w w:val="99"/>
              </w:rPr>
              <w:t>4,490,223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74"/>
        </w:trPr>
        <w:tc>
          <w:tcPr>
            <w:tcW w:w="640" w:type="dxa"/>
            <w:vAlign w:val="bottom"/>
            <w:vMerge w:val="restart"/>
          </w:tcPr>
          <w:p>
            <w:pPr>
              <w:ind w:left="60"/>
              <w:spacing w:after="0" w:line="99"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6"/>
                <w:szCs w:val="6"/>
                <w:color w:val="auto"/>
              </w:rPr>
            </w:pPr>
          </w:p>
        </w:tc>
        <w:tc>
          <w:tcPr>
            <w:tcW w:w="102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10/31/2025</w:t>
            </w:r>
          </w:p>
        </w:tc>
        <w:tc>
          <w:tcPr>
            <w:tcW w:w="1040" w:type="dxa"/>
            <w:vAlign w:val="bottom"/>
          </w:tcPr>
          <w:p>
            <w:pPr>
              <w:spacing w:after="0"/>
              <w:rPr>
                <w:sz w:val="6"/>
                <w:szCs w:val="6"/>
                <w:color w:val="auto"/>
              </w:rPr>
            </w:pPr>
          </w:p>
        </w:tc>
        <w:tc>
          <w:tcPr>
            <w:tcW w:w="760" w:type="dxa"/>
            <w:vAlign w:val="bottom"/>
            <w:vMerge w:val="restart"/>
          </w:tcPr>
          <w:p>
            <w:pPr>
              <w:ind w:left="160"/>
              <w:spacing w:after="0" w:line="99"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241"/>
              <w:spacing w:after="0" w:line="99" w:lineRule="exact"/>
              <w:rPr>
                <w:sz w:val="20"/>
                <w:szCs w:val="20"/>
                <w:color w:val="auto"/>
              </w:rPr>
            </w:pPr>
            <w:r>
              <w:rPr>
                <w:rFonts w:ascii="Times New Roman" w:cs="Times New Roman" w:eastAsia="Times New Roman" w:hAnsi="Times New Roman"/>
                <w:sz w:val="11"/>
                <w:szCs w:val="11"/>
                <w:color w:val="0000FF"/>
              </w:rPr>
              <w:t>13,470,670</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right"/>
              <w:ind w:right="361"/>
              <w:spacing w:after="0" w:line="99"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20"/>
              <w:spacing w:after="0" w:line="99"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6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6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Select III,</w:t>
            </w:r>
          </w:p>
        </w:tc>
        <w:tc>
          <w:tcPr>
            <w:tcW w:w="0" w:type="dxa"/>
            <w:vAlign w:val="bottom"/>
          </w:tcPr>
          <w:p>
            <w:pPr>
              <w:spacing w:after="0"/>
              <w:rPr>
                <w:sz w:val="1"/>
                <w:szCs w:val="1"/>
                <w:color w:val="auto"/>
              </w:rPr>
            </w:pPr>
          </w:p>
        </w:tc>
      </w:tr>
      <w:tr>
        <w:trPr>
          <w:trHeight w:val="35"/>
        </w:trPr>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5"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C-1</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74"/>
        </w:trPr>
        <w:tc>
          <w:tcPr>
            <w:tcW w:w="640" w:type="dxa"/>
            <w:vAlign w:val="bottom"/>
            <w:vMerge w:val="continue"/>
          </w:tcPr>
          <w:p>
            <w:pPr>
              <w:spacing w:after="0"/>
              <w:rPr>
                <w:sz w:val="6"/>
                <w:szCs w:val="6"/>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6"/>
                <w:szCs w:val="16"/>
                <w:color w:val="0000FF"/>
                <w:w w:val="99"/>
              </w:rPr>
              <w:t>1,387,848</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74"/>
        </w:trPr>
        <w:tc>
          <w:tcPr>
            <w:tcW w:w="640" w:type="dxa"/>
            <w:vAlign w:val="bottom"/>
            <w:vMerge w:val="restart"/>
          </w:tcPr>
          <w:p>
            <w:pPr>
              <w:ind w:left="60"/>
              <w:spacing w:after="0" w:line="99"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6"/>
                <w:szCs w:val="6"/>
                <w:color w:val="auto"/>
              </w:rPr>
            </w:pPr>
          </w:p>
        </w:tc>
        <w:tc>
          <w:tcPr>
            <w:tcW w:w="102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10/31/2025</w:t>
            </w:r>
          </w:p>
        </w:tc>
        <w:tc>
          <w:tcPr>
            <w:tcW w:w="1040" w:type="dxa"/>
            <w:vAlign w:val="bottom"/>
          </w:tcPr>
          <w:p>
            <w:pPr>
              <w:spacing w:after="0"/>
              <w:rPr>
                <w:sz w:val="6"/>
                <w:szCs w:val="6"/>
                <w:color w:val="auto"/>
              </w:rPr>
            </w:pPr>
          </w:p>
        </w:tc>
        <w:tc>
          <w:tcPr>
            <w:tcW w:w="760" w:type="dxa"/>
            <w:vAlign w:val="bottom"/>
            <w:vMerge w:val="restart"/>
          </w:tcPr>
          <w:p>
            <w:pPr>
              <w:ind w:left="160"/>
              <w:spacing w:after="0" w:line="99"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241"/>
              <w:spacing w:after="0" w:line="99" w:lineRule="exact"/>
              <w:rPr>
                <w:sz w:val="20"/>
                <w:szCs w:val="20"/>
                <w:color w:val="auto"/>
              </w:rPr>
            </w:pPr>
            <w:r>
              <w:rPr>
                <w:rFonts w:ascii="Times New Roman" w:cs="Times New Roman" w:eastAsia="Times New Roman" w:hAnsi="Times New Roman"/>
                <w:sz w:val="11"/>
                <w:szCs w:val="11"/>
                <w:color w:val="0000FF"/>
              </w:rPr>
              <w:t>4,163,544</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right"/>
              <w:ind w:right="361"/>
              <w:spacing w:after="0" w:line="99"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20"/>
              <w:spacing w:after="0" w:line="99"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6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6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Select II,</w:t>
            </w:r>
          </w:p>
        </w:tc>
        <w:tc>
          <w:tcPr>
            <w:tcW w:w="0" w:type="dxa"/>
            <w:vAlign w:val="bottom"/>
          </w:tcPr>
          <w:p>
            <w:pPr>
              <w:spacing w:after="0"/>
              <w:rPr>
                <w:sz w:val="1"/>
                <w:szCs w:val="1"/>
                <w:color w:val="auto"/>
              </w:rPr>
            </w:pPr>
          </w:p>
        </w:tc>
      </w:tr>
      <w:tr>
        <w:trPr>
          <w:trHeight w:val="35"/>
        </w:trPr>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5"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Series D</w:t>
            </w: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2,432,552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vMerge w:val="continue"/>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w w:val="99"/>
              </w:rPr>
              <w:t>7,287,940</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Opportunity</w:t>
            </w:r>
          </w:p>
        </w:tc>
        <w:tc>
          <w:tcPr>
            <w:tcW w:w="0" w:type="dxa"/>
            <w:vAlign w:val="bottom"/>
          </w:tcPr>
          <w:p>
            <w:pPr>
              <w:spacing w:after="0"/>
              <w:rPr>
                <w:sz w:val="1"/>
                <w:szCs w:val="1"/>
                <w:color w:val="auto"/>
              </w:rPr>
            </w:pPr>
          </w:p>
        </w:tc>
      </w:tr>
      <w:tr>
        <w:trPr>
          <w:trHeight w:val="133"/>
        </w:trPr>
        <w:tc>
          <w:tcPr>
            <w:tcW w:w="64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Fund, L.P.</w:t>
            </w:r>
          </w:p>
        </w:tc>
        <w:tc>
          <w:tcPr>
            <w:tcW w:w="0" w:type="dxa"/>
            <w:vAlign w:val="bottom"/>
          </w:tcPr>
          <w:p>
            <w:pPr>
              <w:spacing w:after="0"/>
              <w:rPr>
                <w:sz w:val="1"/>
                <w:szCs w:val="1"/>
                <w:color w:val="auto"/>
              </w:rPr>
            </w:pPr>
          </w:p>
        </w:tc>
      </w:tr>
      <w:tr>
        <w:trPr>
          <w:trHeight w:val="131"/>
        </w:trPr>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3"/>
        </w:trPr>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74"/>
        </w:trPr>
        <w:tc>
          <w:tcPr>
            <w:tcW w:w="640" w:type="dxa"/>
            <w:vAlign w:val="bottom"/>
            <w:vMerge w:val="continue"/>
          </w:tcPr>
          <w:p>
            <w:pPr>
              <w:spacing w:after="0"/>
              <w:rPr>
                <w:sz w:val="6"/>
                <w:szCs w:val="6"/>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6"/>
                <w:szCs w:val="16"/>
                <w:color w:val="0000FF"/>
                <w:w w:val="99"/>
              </w:rPr>
              <w:t>1,576,654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74"/>
        </w:trPr>
        <w:tc>
          <w:tcPr>
            <w:tcW w:w="640" w:type="dxa"/>
            <w:vAlign w:val="bottom"/>
            <w:vMerge w:val="restart"/>
          </w:tcPr>
          <w:p>
            <w:pPr>
              <w:ind w:left="60"/>
              <w:spacing w:after="0" w:line="99"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6"/>
                <w:szCs w:val="6"/>
                <w:color w:val="auto"/>
              </w:rPr>
            </w:pPr>
          </w:p>
        </w:tc>
        <w:tc>
          <w:tcPr>
            <w:tcW w:w="102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10/31/2025</w:t>
            </w:r>
          </w:p>
        </w:tc>
        <w:tc>
          <w:tcPr>
            <w:tcW w:w="1040" w:type="dxa"/>
            <w:vAlign w:val="bottom"/>
          </w:tcPr>
          <w:p>
            <w:pPr>
              <w:spacing w:after="0"/>
              <w:rPr>
                <w:sz w:val="6"/>
                <w:szCs w:val="6"/>
                <w:color w:val="auto"/>
              </w:rPr>
            </w:pPr>
          </w:p>
        </w:tc>
        <w:tc>
          <w:tcPr>
            <w:tcW w:w="760" w:type="dxa"/>
            <w:vAlign w:val="bottom"/>
            <w:vMerge w:val="restart"/>
          </w:tcPr>
          <w:p>
            <w:pPr>
              <w:ind w:left="160"/>
              <w:spacing w:after="0" w:line="99"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241"/>
              <w:spacing w:after="0" w:line="99" w:lineRule="exact"/>
              <w:rPr>
                <w:sz w:val="20"/>
                <w:szCs w:val="20"/>
                <w:color w:val="auto"/>
              </w:rPr>
            </w:pPr>
            <w:r>
              <w:rPr>
                <w:rFonts w:ascii="Times New Roman" w:cs="Times New Roman" w:eastAsia="Times New Roman" w:hAnsi="Times New Roman"/>
                <w:sz w:val="11"/>
                <w:szCs w:val="11"/>
                <w:color w:val="0000FF"/>
              </w:rPr>
              <w:t>4,723,666</w:t>
            </w: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right"/>
              <w:ind w:right="361"/>
              <w:spacing w:after="0" w:line="99"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20"/>
              <w:spacing w:after="0" w:line="99"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6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6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Select III,</w:t>
            </w:r>
          </w:p>
        </w:tc>
        <w:tc>
          <w:tcPr>
            <w:tcW w:w="0" w:type="dxa"/>
            <w:vAlign w:val="bottom"/>
          </w:tcPr>
          <w:p>
            <w:pPr>
              <w:spacing w:after="0"/>
              <w:rPr>
                <w:sz w:val="1"/>
                <w:szCs w:val="1"/>
                <w:color w:val="auto"/>
              </w:rPr>
            </w:pPr>
          </w:p>
        </w:tc>
      </w:tr>
      <w:tr>
        <w:trPr>
          <w:trHeight w:val="35"/>
        </w:trPr>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5"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Series E</w:t>
            </w: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1,759,626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vMerge w:val="continue"/>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w w:val="99"/>
              </w:rPr>
              <w:t>5,249,132</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Opportunity</w:t>
            </w:r>
          </w:p>
        </w:tc>
        <w:tc>
          <w:tcPr>
            <w:tcW w:w="0" w:type="dxa"/>
            <w:vAlign w:val="bottom"/>
          </w:tcPr>
          <w:p>
            <w:pPr>
              <w:spacing w:after="0"/>
              <w:rPr>
                <w:sz w:val="1"/>
                <w:szCs w:val="1"/>
                <w:color w:val="auto"/>
              </w:rPr>
            </w:pPr>
          </w:p>
        </w:tc>
      </w:tr>
      <w:tr>
        <w:trPr>
          <w:trHeight w:val="133"/>
        </w:trPr>
        <w:tc>
          <w:tcPr>
            <w:tcW w:w="64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Fund, L.P.</w:t>
            </w:r>
          </w:p>
        </w:tc>
        <w:tc>
          <w:tcPr>
            <w:tcW w:w="0" w:type="dxa"/>
            <w:vAlign w:val="bottom"/>
          </w:tcPr>
          <w:p>
            <w:pPr>
              <w:spacing w:after="0"/>
              <w:rPr>
                <w:sz w:val="1"/>
                <w:szCs w:val="1"/>
                <w:color w:val="auto"/>
              </w:rPr>
            </w:pPr>
          </w:p>
        </w:tc>
      </w:tr>
      <w:tr>
        <w:trPr>
          <w:trHeight w:val="131"/>
        </w:trPr>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3"/>
        </w:trPr>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Series E</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385,038</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w w:val="99"/>
              </w:rPr>
              <w:t>1,148,606</w:t>
            </w: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Strategic</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Partners I</w:t>
            </w:r>
          </w:p>
        </w:tc>
        <w:tc>
          <w:tcPr>
            <w:tcW w:w="0" w:type="dxa"/>
            <w:vAlign w:val="bottom"/>
          </w:tcPr>
          <w:p>
            <w:pPr>
              <w:spacing w:after="0"/>
              <w:rPr>
                <w:sz w:val="1"/>
                <w:szCs w:val="1"/>
                <w:color w:val="auto"/>
              </w:rPr>
            </w:pPr>
          </w:p>
        </w:tc>
      </w:tr>
      <w:tr>
        <w:trPr>
          <w:trHeight w:val="226"/>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Series F</w:t>
            </w: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218,667</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vMerge w:val="continue"/>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rPr>
              <w:t>649,200</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Opportunity</w:t>
            </w:r>
          </w:p>
        </w:tc>
        <w:tc>
          <w:tcPr>
            <w:tcW w:w="0" w:type="dxa"/>
            <w:vAlign w:val="bottom"/>
          </w:tcPr>
          <w:p>
            <w:pPr>
              <w:spacing w:after="0"/>
              <w:rPr>
                <w:sz w:val="1"/>
                <w:szCs w:val="1"/>
                <w:color w:val="auto"/>
              </w:rPr>
            </w:pPr>
          </w:p>
        </w:tc>
      </w:tr>
      <w:tr>
        <w:trPr>
          <w:trHeight w:val="133"/>
        </w:trPr>
        <w:tc>
          <w:tcPr>
            <w:tcW w:w="64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Fund, L.P.</w:t>
            </w:r>
          </w:p>
        </w:tc>
        <w:tc>
          <w:tcPr>
            <w:tcW w:w="0" w:type="dxa"/>
            <w:vAlign w:val="bottom"/>
          </w:tcPr>
          <w:p>
            <w:pPr>
              <w:spacing w:after="0"/>
              <w:rPr>
                <w:sz w:val="1"/>
                <w:szCs w:val="1"/>
                <w:color w:val="auto"/>
              </w:rPr>
            </w:pPr>
          </w:p>
        </w:tc>
      </w:tr>
      <w:tr>
        <w:trPr>
          <w:trHeight w:val="131"/>
        </w:trPr>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3"/>
        </w:trPr>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Series G-1</w:t>
            </w: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67,641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vMerge w:val="continue"/>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rPr>
              <w:t>200,273</w:t>
            </w: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Opportunity</w:t>
            </w:r>
          </w:p>
        </w:tc>
        <w:tc>
          <w:tcPr>
            <w:tcW w:w="0" w:type="dxa"/>
            <w:vAlign w:val="bottom"/>
          </w:tcPr>
          <w:p>
            <w:pPr>
              <w:spacing w:after="0"/>
              <w:rPr>
                <w:sz w:val="1"/>
                <w:szCs w:val="1"/>
                <w:color w:val="auto"/>
              </w:rPr>
            </w:pPr>
          </w:p>
        </w:tc>
      </w:tr>
      <w:tr>
        <w:trPr>
          <w:trHeight w:val="133"/>
        </w:trPr>
        <w:tc>
          <w:tcPr>
            <w:tcW w:w="64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Fund, L.P.</w:t>
            </w:r>
          </w:p>
        </w:tc>
        <w:tc>
          <w:tcPr>
            <w:tcW w:w="0" w:type="dxa"/>
            <w:vAlign w:val="bottom"/>
          </w:tcPr>
          <w:p>
            <w:pPr>
              <w:spacing w:after="0"/>
              <w:rPr>
                <w:sz w:val="1"/>
                <w:szCs w:val="1"/>
                <w:color w:val="auto"/>
              </w:rPr>
            </w:pPr>
          </w:p>
        </w:tc>
      </w:tr>
      <w:tr>
        <w:trPr>
          <w:trHeight w:val="131"/>
        </w:trPr>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73"/>
        </w:trPr>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Series G-1</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202,927</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11"/>
                <w:szCs w:val="11"/>
                <w:color w:val="auto"/>
              </w:rPr>
            </w:pPr>
          </w:p>
        </w:tc>
        <w:tc>
          <w:tcPr>
            <w:tcW w:w="760" w:type="dxa"/>
            <w:vAlign w:val="bottom"/>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980" w:type="dxa"/>
            <w:vAlign w:val="bottom"/>
          </w:tcPr>
          <w:p>
            <w:pPr>
              <w:jc w:val="center"/>
              <w:ind w:left="241"/>
              <w:spacing w:after="0" w:line="136" w:lineRule="exact"/>
              <w:rPr>
                <w:sz w:val="20"/>
                <w:szCs w:val="20"/>
                <w:color w:val="auto"/>
              </w:rPr>
            </w:pPr>
            <w:r>
              <w:rPr>
                <w:rFonts w:ascii="Times New Roman" w:cs="Times New Roman" w:eastAsia="Times New Roman" w:hAnsi="Times New Roman"/>
                <w:sz w:val="12"/>
                <w:szCs w:val="12"/>
                <w:color w:val="0000FF"/>
              </w:rPr>
              <w:t>600,821</w:t>
            </w: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jc w:val="right"/>
              <w:ind w:right="361"/>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Strategic</w:t>
            </w:r>
          </w:p>
        </w:tc>
        <w:tc>
          <w:tcPr>
            <w:tcW w:w="0" w:type="dxa"/>
            <w:vAlign w:val="bottom"/>
          </w:tcPr>
          <w:p>
            <w:pPr>
              <w:spacing w:after="0"/>
              <w:rPr>
                <w:sz w:val="1"/>
                <w:szCs w:val="1"/>
                <w:color w:val="auto"/>
              </w:rPr>
            </w:pPr>
          </w:p>
        </w:tc>
      </w:tr>
      <w:tr>
        <w:trPr>
          <w:trHeight w:val="13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Partners I</w:t>
            </w:r>
          </w:p>
        </w:tc>
        <w:tc>
          <w:tcPr>
            <w:tcW w:w="0" w:type="dxa"/>
            <w:vAlign w:val="bottom"/>
          </w:tcPr>
          <w:p>
            <w:pPr>
              <w:spacing w:after="0"/>
              <w:rPr>
                <w:sz w:val="1"/>
                <w:szCs w:val="1"/>
                <w:color w:val="auto"/>
              </w:rPr>
            </w:pPr>
          </w:p>
        </w:tc>
      </w:tr>
      <w:tr>
        <w:trPr>
          <w:trHeight w:val="226"/>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G-1</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74"/>
        </w:trPr>
        <w:tc>
          <w:tcPr>
            <w:tcW w:w="640" w:type="dxa"/>
            <w:vAlign w:val="bottom"/>
            <w:vMerge w:val="continue"/>
          </w:tcPr>
          <w:p>
            <w:pPr>
              <w:spacing w:after="0"/>
              <w:rPr>
                <w:sz w:val="6"/>
                <w:szCs w:val="6"/>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67,641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62"/>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980" w:type="dxa"/>
            <w:vAlign w:val="bottom"/>
            <w:vMerge w:val="restart"/>
          </w:tcPr>
          <w:p>
            <w:pPr>
              <w:jc w:val="center"/>
              <w:ind w:left="241"/>
              <w:spacing w:after="0"/>
              <w:rPr>
                <w:sz w:val="20"/>
                <w:szCs w:val="20"/>
                <w:color w:val="auto"/>
              </w:rPr>
            </w:pPr>
            <w:r>
              <w:rPr>
                <w:rFonts w:ascii="Times New Roman" w:cs="Times New Roman" w:eastAsia="Times New Roman" w:hAnsi="Times New Roman"/>
                <w:sz w:val="12"/>
                <w:szCs w:val="12"/>
                <w:color w:val="0000FF"/>
              </w:rPr>
              <w:t>200,273</w:t>
            </w: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restart"/>
          </w:tcPr>
          <w:p>
            <w:pPr>
              <w:jc w:val="right"/>
              <w:ind w:right="361"/>
              <w:spacing w:after="0"/>
              <w:rPr>
                <w:sz w:val="20"/>
                <w:szCs w:val="20"/>
                <w:color w:val="auto"/>
              </w:rPr>
            </w:pPr>
            <w:r>
              <w:rPr>
                <w:rFonts w:ascii="Times New Roman" w:cs="Times New Roman" w:eastAsia="Times New Roman" w:hAnsi="Times New Roman"/>
                <w:sz w:val="12"/>
                <w:szCs w:val="12"/>
                <w:color w:val="0000FF"/>
              </w:rPr>
              <w:t>0</w:t>
            </w: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56"/>
        </w:trPr>
        <w:tc>
          <w:tcPr>
            <w:tcW w:w="6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Select II,</w:t>
            </w:r>
          </w:p>
        </w:tc>
        <w:tc>
          <w:tcPr>
            <w:tcW w:w="0" w:type="dxa"/>
            <w:vAlign w:val="bottom"/>
          </w:tcPr>
          <w:p>
            <w:pPr>
              <w:spacing w:after="0"/>
              <w:rPr>
                <w:sz w:val="1"/>
                <w:szCs w:val="1"/>
                <w:color w:val="auto"/>
              </w:rPr>
            </w:pPr>
          </w:p>
        </w:tc>
      </w:tr>
      <w:tr>
        <w:trPr>
          <w:trHeight w:val="229"/>
        </w:trPr>
        <w:tc>
          <w:tcPr>
            <w:tcW w:w="6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5"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5"/>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G-1</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74"/>
        </w:trPr>
        <w:tc>
          <w:tcPr>
            <w:tcW w:w="640" w:type="dxa"/>
            <w:vAlign w:val="bottom"/>
            <w:vMerge w:val="continue"/>
          </w:tcPr>
          <w:p>
            <w:pPr>
              <w:spacing w:after="0"/>
              <w:rPr>
                <w:sz w:val="6"/>
                <w:szCs w:val="6"/>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67,641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62"/>
        </w:trPr>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60" w:type="dxa"/>
            <w:vAlign w:val="bottom"/>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10/31/2025</w:t>
            </w:r>
          </w:p>
        </w:tc>
        <w:tc>
          <w:tcPr>
            <w:tcW w:w="104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980" w:type="dxa"/>
            <w:vAlign w:val="bottom"/>
            <w:vMerge w:val="restart"/>
          </w:tcPr>
          <w:p>
            <w:pPr>
              <w:jc w:val="center"/>
              <w:ind w:left="241"/>
              <w:spacing w:after="0"/>
              <w:rPr>
                <w:sz w:val="20"/>
                <w:szCs w:val="20"/>
                <w:color w:val="auto"/>
              </w:rPr>
            </w:pPr>
            <w:r>
              <w:rPr>
                <w:rFonts w:ascii="Times New Roman" w:cs="Times New Roman" w:eastAsia="Times New Roman" w:hAnsi="Times New Roman"/>
                <w:sz w:val="12"/>
                <w:szCs w:val="12"/>
                <w:color w:val="0000FF"/>
              </w:rPr>
              <w:t>200,273</w:t>
            </w: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restart"/>
          </w:tcPr>
          <w:p>
            <w:pPr>
              <w:jc w:val="right"/>
              <w:ind w:right="361"/>
              <w:spacing w:after="0"/>
              <w:rPr>
                <w:sz w:val="20"/>
                <w:szCs w:val="20"/>
                <w:color w:val="auto"/>
              </w:rPr>
            </w:pPr>
            <w:r>
              <w:rPr>
                <w:rFonts w:ascii="Times New Roman" w:cs="Times New Roman" w:eastAsia="Times New Roman" w:hAnsi="Times New Roman"/>
                <w:sz w:val="12"/>
                <w:szCs w:val="12"/>
                <w:color w:val="0000FF"/>
              </w:rPr>
              <w:t>0</w:t>
            </w: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56"/>
        </w:trPr>
        <w:tc>
          <w:tcPr>
            <w:tcW w:w="6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640" w:type="dxa"/>
            <w:vAlign w:val="bottom"/>
          </w:tcPr>
          <w:p>
            <w:pPr>
              <w:ind w:left="60"/>
              <w:spacing w:after="0"/>
              <w:rPr>
                <w:sz w:val="20"/>
                <w:szCs w:val="20"/>
                <w:color w:val="auto"/>
              </w:rPr>
            </w:pPr>
            <w:r>
              <w:rPr>
                <w:rFonts w:ascii="Times New Roman" w:cs="Times New Roman" w:eastAsia="Times New Roman" w:hAnsi="Times New Roman"/>
                <w:sz w:val="2"/>
                <w:szCs w:val="2"/>
                <w:color w:val="0000FF"/>
              </w:rPr>
              <w:t>Stock</w:t>
            </w: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2"/>
                <w:szCs w:val="2"/>
                <w:color w:val="0000FF"/>
              </w:rPr>
              <w:t>Stock</w:t>
            </w: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0380"/>
        <w:spacing w:after="0" w:line="224" w:lineRule="auto"/>
        <w:rPr>
          <w:sz w:val="20"/>
          <w:szCs w:val="20"/>
          <w:color w:val="auto"/>
        </w:rPr>
      </w:pPr>
      <w:r>
        <w:rPr>
          <w:rFonts w:ascii="Times New Roman" w:cs="Times New Roman" w:eastAsia="Times New Roman" w:hAnsi="Times New Roman"/>
          <w:sz w:val="12"/>
          <w:szCs w:val="12"/>
          <w:color w:val="0000FF"/>
        </w:rPr>
        <w:t>Select III,</w:t>
      </w:r>
    </w:p>
    <w:p>
      <w:pPr>
        <w:ind w:left="10380"/>
        <w:spacing w:after="0"/>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(7)</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40"/>
          </w:cols>
          <w:pgMar w:left="480" w:top="188" w:right="379" w:bottom="0" w:gutter="0" w:footer="0" w:header="0"/>
        </w:sectPr>
      </w:pPr>
    </w:p>
    <w:p>
      <w:pPr>
        <w:ind w:left="8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Lightspeed Venture Partners X, L.P.</w:t>
        </w:r>
      </w:hyperlink>
    </w:p>
    <w:p>
      <w:pPr>
        <w:sectPr>
          <w:pgSz w:w="11900" w:h="16838" w:orient="portrait"/>
          <w:cols w:equalWidth="0" w:num="1">
            <w:col w:w="11040"/>
          </w:cols>
          <w:pgMar w:left="480" w:top="188" w:right="37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580" w:type="dxa"/>
            <w:vAlign w:val="bottom"/>
            <w:gridSpan w:val="3"/>
          </w:tcPr>
          <w:p>
            <w:pPr>
              <w:ind w:left="200"/>
              <w:spacing w:after="0"/>
              <w:rPr>
                <w:sz w:val="20"/>
                <w:szCs w:val="20"/>
                <w:color w:val="auto"/>
              </w:rPr>
            </w:pPr>
            <w:r>
              <w:rPr>
                <w:rFonts w:ascii="Arial" w:cs="Arial" w:eastAsia="Arial" w:hAnsi="Arial"/>
                <w:sz w:val="12"/>
                <w:szCs w:val="12"/>
                <w:color w:val="auto"/>
              </w:rPr>
              <w:t>(First)</w:t>
            </w: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6"/>
        </w:trPr>
        <w:tc>
          <w:tcPr>
            <w:tcW w:w="80" w:type="dxa"/>
            <w:vAlign w:val="bottom"/>
          </w:tcPr>
          <w:p>
            <w:pPr>
              <w:spacing w:after="0"/>
              <w:rPr>
                <w:sz w:val="21"/>
                <w:szCs w:val="21"/>
                <w:color w:val="auto"/>
              </w:rPr>
            </w:pPr>
          </w:p>
        </w:tc>
        <w:tc>
          <w:tcPr>
            <w:tcW w:w="2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2200 SAND HILL ROAD</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1"/>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7"/>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580" w:type="dxa"/>
            <w:vAlign w:val="bottom"/>
            <w:gridSpan w:val="3"/>
          </w:tcPr>
          <w:p>
            <w:pPr>
              <w:ind w:left="200"/>
              <w:spacing w:after="0"/>
              <w:rPr>
                <w:sz w:val="20"/>
                <w:szCs w:val="20"/>
                <w:color w:val="auto"/>
              </w:rPr>
            </w:pPr>
            <w:r>
              <w:rPr>
                <w:rFonts w:ascii="Arial" w:cs="Arial" w:eastAsia="Arial" w:hAnsi="Arial"/>
                <w:sz w:val="12"/>
                <w:szCs w:val="12"/>
                <w:color w:val="auto"/>
              </w:rPr>
              <w:t>(State)</w:t>
            </w: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3"/>
        </w:trPr>
        <w:tc>
          <w:tcPr>
            <w:tcW w:w="28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2800" w:type="dxa"/>
            <w:vAlign w:val="bottom"/>
            <w:gridSpan w:val="4"/>
          </w:tcPr>
          <w:p>
            <w:pPr>
              <w:spacing w:after="0" w:line="209"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Lightspeed Affiliates X, L.P.</w:t>
              </w:r>
            </w:hyperlink>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580" w:type="dxa"/>
            <w:vAlign w:val="bottom"/>
            <w:gridSpan w:val="3"/>
          </w:tcPr>
          <w:p>
            <w:pPr>
              <w:ind w:left="200"/>
              <w:spacing w:after="0"/>
              <w:rPr>
                <w:sz w:val="20"/>
                <w:szCs w:val="20"/>
                <w:color w:val="auto"/>
              </w:rPr>
            </w:pPr>
            <w:r>
              <w:rPr>
                <w:rFonts w:ascii="Arial" w:cs="Arial" w:eastAsia="Arial" w:hAnsi="Arial"/>
                <w:sz w:val="12"/>
                <w:szCs w:val="12"/>
                <w:color w:val="auto"/>
              </w:rPr>
              <w:t>(First)</w:t>
            </w: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6"/>
        </w:trPr>
        <w:tc>
          <w:tcPr>
            <w:tcW w:w="80" w:type="dxa"/>
            <w:vAlign w:val="bottom"/>
          </w:tcPr>
          <w:p>
            <w:pPr>
              <w:spacing w:after="0"/>
              <w:rPr>
                <w:sz w:val="21"/>
                <w:szCs w:val="21"/>
                <w:color w:val="auto"/>
              </w:rPr>
            </w:pPr>
          </w:p>
        </w:tc>
        <w:tc>
          <w:tcPr>
            <w:tcW w:w="2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2200 SAND HILL ROAD</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1"/>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7"/>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580" w:type="dxa"/>
            <w:vAlign w:val="bottom"/>
            <w:gridSpan w:val="3"/>
          </w:tcPr>
          <w:p>
            <w:pPr>
              <w:ind w:left="200"/>
              <w:spacing w:after="0"/>
              <w:rPr>
                <w:sz w:val="20"/>
                <w:szCs w:val="20"/>
                <w:color w:val="auto"/>
              </w:rPr>
            </w:pPr>
            <w:r>
              <w:rPr>
                <w:rFonts w:ascii="Arial" w:cs="Arial" w:eastAsia="Arial" w:hAnsi="Arial"/>
                <w:sz w:val="12"/>
                <w:szCs w:val="12"/>
                <w:color w:val="auto"/>
              </w:rPr>
              <w:t>(State)</w:t>
            </w: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3"/>
        </w:trPr>
        <w:tc>
          <w:tcPr>
            <w:tcW w:w="28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2800" w:type="dxa"/>
            <w:vAlign w:val="bottom"/>
            <w:gridSpan w:val="4"/>
          </w:tcPr>
          <w:p>
            <w:pPr>
              <w:spacing w:after="0" w:line="209" w:lineRule="exact"/>
              <w:rPr>
                <w:rFonts w:ascii="Times New Roman" w:cs="Times New Roman" w:eastAsia="Times New Roman" w:hAnsi="Times New Roman"/>
                <w:sz w:val="20"/>
                <w:szCs w:val="20"/>
                <w:color w:val="0000EE"/>
                <w:w w:val="98"/>
              </w:rPr>
            </w:pPr>
            <w:hyperlink r:id="rId18">
              <w:r>
                <w:rPr>
                  <w:rFonts w:ascii="Times New Roman" w:cs="Times New Roman" w:eastAsia="Times New Roman" w:hAnsi="Times New Roman"/>
                  <w:sz w:val="20"/>
                  <w:szCs w:val="20"/>
                  <w:color w:val="0000EE"/>
                  <w:w w:val="98"/>
                </w:rPr>
                <w:t>Lightspeed General Partner X, L.P.</w:t>
              </w:r>
            </w:hyperlink>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580" w:type="dxa"/>
            <w:vAlign w:val="bottom"/>
            <w:gridSpan w:val="3"/>
          </w:tcPr>
          <w:p>
            <w:pPr>
              <w:ind w:left="200"/>
              <w:spacing w:after="0"/>
              <w:rPr>
                <w:sz w:val="20"/>
                <w:szCs w:val="20"/>
                <w:color w:val="auto"/>
              </w:rPr>
            </w:pPr>
            <w:r>
              <w:rPr>
                <w:rFonts w:ascii="Arial" w:cs="Arial" w:eastAsia="Arial" w:hAnsi="Arial"/>
                <w:sz w:val="12"/>
                <w:szCs w:val="12"/>
                <w:color w:val="auto"/>
              </w:rPr>
              <w:t>(First)</w:t>
            </w: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6"/>
        </w:trPr>
        <w:tc>
          <w:tcPr>
            <w:tcW w:w="80" w:type="dxa"/>
            <w:vAlign w:val="bottom"/>
          </w:tcPr>
          <w:p>
            <w:pPr>
              <w:spacing w:after="0"/>
              <w:rPr>
                <w:sz w:val="21"/>
                <w:szCs w:val="21"/>
                <w:color w:val="auto"/>
              </w:rPr>
            </w:pPr>
          </w:p>
        </w:tc>
        <w:tc>
          <w:tcPr>
            <w:tcW w:w="2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2200 SAND HILL ROAD</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1"/>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7"/>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580" w:type="dxa"/>
            <w:vAlign w:val="bottom"/>
            <w:gridSpan w:val="3"/>
          </w:tcPr>
          <w:p>
            <w:pPr>
              <w:ind w:left="200"/>
              <w:spacing w:after="0"/>
              <w:rPr>
                <w:sz w:val="20"/>
                <w:szCs w:val="20"/>
                <w:color w:val="auto"/>
              </w:rPr>
            </w:pPr>
            <w:r>
              <w:rPr>
                <w:rFonts w:ascii="Arial" w:cs="Arial" w:eastAsia="Arial" w:hAnsi="Arial"/>
                <w:sz w:val="12"/>
                <w:szCs w:val="12"/>
                <w:color w:val="auto"/>
              </w:rPr>
              <w:t>(State)</w:t>
            </w: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-4394200</wp:posOffset>
            </wp:positionV>
            <wp:extent cx="2808605" cy="105238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8605" cy="10523855"/>
                    </a:xfrm>
                    <a:prstGeom prst="rect">
                      <a:avLst/>
                    </a:prstGeom>
                    <a:noFill/>
                  </pic:spPr>
                </pic:pic>
              </a:graphicData>
            </a:graphic>
          </wp:anchor>
        </w:drawing>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Lightspeed Ultimate General Partner X, Ltd.</w:t>
        </w:r>
      </w:hyperlink>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540" w:type="dxa"/>
            <w:vAlign w:val="bottom"/>
          </w:tcPr>
          <w:p>
            <w:pPr>
              <w:ind w:left="200"/>
              <w:spacing w:after="0"/>
              <w:rPr>
                <w:sz w:val="20"/>
                <w:szCs w:val="20"/>
                <w:color w:val="auto"/>
              </w:rPr>
            </w:pPr>
            <w:r>
              <w:rPr>
                <w:rFonts w:ascii="Arial" w:cs="Arial" w:eastAsia="Arial" w:hAnsi="Arial"/>
                <w:sz w:val="12"/>
                <w:szCs w:val="12"/>
                <w:color w:val="auto"/>
              </w:rPr>
              <w:t>(First)</w:t>
            </w:r>
          </w:p>
        </w:tc>
        <w:tc>
          <w:tcPr>
            <w:tcW w:w="1500" w:type="dxa"/>
            <w:vAlign w:val="bottom"/>
            <w:gridSpan w:val="2"/>
          </w:tcPr>
          <w:p>
            <w:pPr>
              <w:ind w:left="6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6"/>
        </w:trPr>
        <w:tc>
          <w:tcPr>
            <w:tcW w:w="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2200 SAND HILL ROAD</w:t>
            </w: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1"/>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7"/>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5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54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540" w:type="dxa"/>
            <w:vAlign w:val="bottom"/>
          </w:tcPr>
          <w:p>
            <w:pPr>
              <w:ind w:left="200"/>
              <w:spacing w:after="0"/>
              <w:rPr>
                <w:sz w:val="20"/>
                <w:szCs w:val="20"/>
                <w:color w:val="auto"/>
              </w:rPr>
            </w:pPr>
            <w:r>
              <w:rPr>
                <w:rFonts w:ascii="Arial" w:cs="Arial" w:eastAsia="Arial" w:hAnsi="Arial"/>
                <w:sz w:val="12"/>
                <w:szCs w:val="12"/>
                <w:color w:val="auto"/>
              </w:rPr>
              <w:t>(State)</w:t>
            </w:r>
          </w:p>
        </w:tc>
        <w:tc>
          <w:tcPr>
            <w:tcW w:w="1500" w:type="dxa"/>
            <w:vAlign w:val="bottom"/>
            <w:gridSpan w:val="2"/>
          </w:tcPr>
          <w:p>
            <w:pPr>
              <w:ind w:left="6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2"/>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3"/>
        </w:trPr>
        <w:tc>
          <w:tcPr>
            <w:tcW w:w="284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2760" w:type="dxa"/>
            <w:vAlign w:val="bottom"/>
            <w:tcBorders>
              <w:bottom w:val="single" w:sz="8" w:color="0000EE"/>
            </w:tcBorders>
            <w:gridSpan w:val="2"/>
          </w:tcPr>
          <w:p>
            <w:pPr>
              <w:spacing w:after="0" w:line="209" w:lineRule="exact"/>
              <w:rPr>
                <w:rFonts w:ascii="Times New Roman" w:cs="Times New Roman" w:eastAsia="Times New Roman" w:hAnsi="Times New Roman"/>
                <w:sz w:val="20"/>
                <w:szCs w:val="20"/>
                <w:color w:val="0000EE"/>
                <w:w w:val="97"/>
              </w:rPr>
            </w:pPr>
            <w:hyperlink r:id="rId21">
              <w:r>
                <w:rPr>
                  <w:rFonts w:ascii="Times New Roman" w:cs="Times New Roman" w:eastAsia="Times New Roman" w:hAnsi="Times New Roman"/>
                  <w:sz w:val="20"/>
                  <w:szCs w:val="20"/>
                  <w:color w:val="0000EE"/>
                  <w:w w:val="97"/>
                </w:rPr>
                <w:t>Lightspeed Opportunity Fund, L.P.</w:t>
              </w:r>
            </w:hyperlink>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540" w:type="dxa"/>
            <w:vAlign w:val="bottom"/>
          </w:tcPr>
          <w:p>
            <w:pPr>
              <w:ind w:left="200"/>
              <w:spacing w:after="0"/>
              <w:rPr>
                <w:sz w:val="20"/>
                <w:szCs w:val="20"/>
                <w:color w:val="auto"/>
              </w:rPr>
            </w:pPr>
            <w:r>
              <w:rPr>
                <w:rFonts w:ascii="Arial" w:cs="Arial" w:eastAsia="Arial" w:hAnsi="Arial"/>
                <w:sz w:val="12"/>
                <w:szCs w:val="12"/>
                <w:color w:val="auto"/>
              </w:rPr>
              <w:t>(First)</w:t>
            </w:r>
          </w:p>
        </w:tc>
        <w:tc>
          <w:tcPr>
            <w:tcW w:w="1500" w:type="dxa"/>
            <w:vAlign w:val="bottom"/>
            <w:gridSpan w:val="2"/>
          </w:tcPr>
          <w:p>
            <w:pPr>
              <w:ind w:left="6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6"/>
        </w:trPr>
        <w:tc>
          <w:tcPr>
            <w:tcW w:w="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2200 SAND HILL ROAD</w:t>
            </w: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1"/>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7"/>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5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54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540" w:type="dxa"/>
            <w:vAlign w:val="bottom"/>
          </w:tcPr>
          <w:p>
            <w:pPr>
              <w:ind w:left="200"/>
              <w:spacing w:after="0"/>
              <w:rPr>
                <w:sz w:val="20"/>
                <w:szCs w:val="20"/>
                <w:color w:val="auto"/>
              </w:rPr>
            </w:pPr>
            <w:r>
              <w:rPr>
                <w:rFonts w:ascii="Arial" w:cs="Arial" w:eastAsia="Arial" w:hAnsi="Arial"/>
                <w:sz w:val="12"/>
                <w:szCs w:val="12"/>
                <w:color w:val="auto"/>
              </w:rPr>
              <w:t>(State)</w:t>
            </w:r>
          </w:p>
        </w:tc>
        <w:tc>
          <w:tcPr>
            <w:tcW w:w="1500" w:type="dxa"/>
            <w:vAlign w:val="bottom"/>
            <w:gridSpan w:val="2"/>
          </w:tcPr>
          <w:p>
            <w:pPr>
              <w:ind w:left="6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Times New Roman" w:cs="Times New Roman" w:eastAsia="Times New Roman" w:hAnsi="Times New Roman"/>
          <w:sz w:val="20"/>
          <w:szCs w:val="20"/>
          <w:u w:val="single" w:color="auto"/>
          <w:color w:val="0000EE"/>
        </w:rPr>
      </w:pPr>
      <w:hyperlink r:id="rId22">
        <w:r>
          <w:rPr>
            <w:rFonts w:ascii="Times New Roman" w:cs="Times New Roman" w:eastAsia="Times New Roman" w:hAnsi="Times New Roman"/>
            <w:sz w:val="20"/>
            <w:szCs w:val="20"/>
            <w:u w:val="single" w:color="auto"/>
            <w:color w:val="0000EE"/>
          </w:rPr>
          <w:t>Lightspeed General Partner Opportunity Fund, L.P.</w:t>
        </w:r>
      </w:hyperlink>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080" w:type="dxa"/>
            <w:vAlign w:val="bottom"/>
          </w:tcPr>
          <w:p>
            <w:pPr>
              <w:ind w:left="200"/>
              <w:spacing w:after="0"/>
              <w:rPr>
                <w:sz w:val="20"/>
                <w:szCs w:val="20"/>
                <w:color w:val="auto"/>
              </w:rPr>
            </w:pPr>
            <w:r>
              <w:rPr>
                <w:rFonts w:ascii="Arial" w:cs="Arial" w:eastAsia="Arial" w:hAnsi="Arial"/>
                <w:sz w:val="12"/>
                <w:szCs w:val="12"/>
                <w:color w:val="auto"/>
              </w:rPr>
              <w:t>(First)</w:t>
            </w:r>
          </w:p>
        </w:tc>
        <w:tc>
          <w:tcPr>
            <w:tcW w:w="188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6"/>
        </w:trPr>
        <w:tc>
          <w:tcPr>
            <w:tcW w:w="20" w:type="dxa"/>
            <w:vAlign w:val="bottom"/>
          </w:tcPr>
          <w:p>
            <w:pPr>
              <w:spacing w:after="0"/>
              <w:rPr>
                <w:sz w:val="21"/>
                <w:szCs w:val="21"/>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2200 SAND HILL ROAD</w:t>
            </w:r>
          </w:p>
        </w:tc>
        <w:tc>
          <w:tcPr>
            <w:tcW w:w="188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47"/>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94025</w:t>
            </w:r>
          </w:p>
        </w:tc>
      </w:tr>
      <w:tr>
        <w:trPr>
          <w:trHeight w:val="141"/>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080" w:type="dxa"/>
            <w:vAlign w:val="bottom"/>
          </w:tcPr>
          <w:p>
            <w:pPr>
              <w:ind w:left="20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line="231" w:lineRule="auto"/>
        <w:rPr>
          <w:rFonts w:ascii="Times New Roman" w:cs="Times New Roman" w:eastAsia="Times New Roman" w:hAnsi="Times New Roman"/>
          <w:sz w:val="20"/>
          <w:szCs w:val="20"/>
          <w:u w:val="single" w:color="auto"/>
          <w:color w:val="0000EE"/>
        </w:rPr>
      </w:pPr>
      <w:hyperlink r:id="rId23">
        <w:r>
          <w:rPr>
            <w:rFonts w:ascii="Times New Roman" w:cs="Times New Roman" w:eastAsia="Times New Roman" w:hAnsi="Times New Roman"/>
            <w:sz w:val="20"/>
            <w:szCs w:val="20"/>
            <w:u w:val="single" w:color="auto"/>
            <w:color w:val="0000EE"/>
          </w:rPr>
          <w:t>Lightspeed Ultimate General Partner Opportunity</w:t>
        </w:r>
      </w:hyperlink>
    </w:p>
    <w:p>
      <w:pPr>
        <w:ind w:left="80"/>
        <w:spacing w:after="0"/>
        <w:rPr>
          <w:rFonts w:ascii="Times New Roman" w:cs="Times New Roman" w:eastAsia="Times New Roman" w:hAnsi="Times New Roman"/>
          <w:sz w:val="20"/>
          <w:szCs w:val="20"/>
          <w:u w:val="single" w:color="auto"/>
          <w:color w:val="0000EE"/>
        </w:rPr>
      </w:pPr>
      <w:hyperlink r:id="rId23">
        <w:r>
          <w:rPr>
            <w:rFonts w:ascii="Times New Roman" w:cs="Times New Roman" w:eastAsia="Times New Roman" w:hAnsi="Times New Roman"/>
            <w:sz w:val="20"/>
            <w:szCs w:val="20"/>
            <w:u w:val="single" w:color="auto"/>
            <w:color w:val="0000EE"/>
          </w:rPr>
          <w:t>Fund, Ltd.</w:t>
        </w:r>
      </w:hyperlink>
    </w:p>
    <w:p>
      <w:pPr>
        <w:spacing w:after="0" w:line="278" w:lineRule="exact"/>
        <w:rPr>
          <w:sz w:val="20"/>
          <w:szCs w:val="20"/>
          <w:color w:val="auto"/>
        </w:rPr>
      </w:pPr>
    </w:p>
    <w:p>
      <w:pPr>
        <w:ind w:left="80"/>
        <w:spacing w:after="0"/>
        <w:tabs>
          <w:tab w:leader="none" w:pos="1480" w:val="left"/>
          <w:tab w:leader="none" w:pos="28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C/O LIGHTSPEED VENTURE PARTNERS</w:t>
      </w:r>
    </w:p>
    <w:p>
      <w:pPr>
        <w:spacing w:after="0" w:line="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2200 SAND HILL ROAD</w:t>
      </w:r>
    </w:p>
    <w:p>
      <w:pPr>
        <w:sectPr>
          <w:pgSz w:w="11900" w:h="16838" w:orient="portrait"/>
          <w:cols w:equalWidth="0" w:num="1">
            <w:col w:w="9979"/>
          </w:cols>
          <w:pgMar w:left="480" w:top="128"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580" w:type="dxa"/>
            <w:vAlign w:val="bottom"/>
          </w:tcPr>
          <w:p>
            <w:pPr>
              <w:ind w:left="200"/>
              <w:spacing w:after="0"/>
              <w:rPr>
                <w:sz w:val="20"/>
                <w:szCs w:val="20"/>
                <w:color w:val="auto"/>
              </w:rPr>
            </w:pPr>
            <w:r>
              <w:rPr>
                <w:rFonts w:ascii="Arial" w:cs="Arial" w:eastAsia="Arial" w:hAnsi="Arial"/>
                <w:sz w:val="12"/>
                <w:szCs w:val="12"/>
                <w:color w:val="auto"/>
              </w:rPr>
              <w:t>(State)</w:t>
            </w: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gridSpan w:val="2"/>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3"/>
        </w:trPr>
        <w:tc>
          <w:tcPr>
            <w:tcW w:w="288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2800" w:type="dxa"/>
            <w:vAlign w:val="bottom"/>
            <w:tcBorders>
              <w:bottom w:val="single" w:sz="8" w:color="0000EE"/>
            </w:tcBorders>
            <w:gridSpan w:val="2"/>
          </w:tcPr>
          <w:p>
            <w:pPr>
              <w:spacing w:after="0" w:line="209" w:lineRule="exact"/>
              <w:rPr>
                <w:rFonts w:ascii="Times New Roman" w:cs="Times New Roman" w:eastAsia="Times New Roman" w:hAnsi="Times New Roman"/>
                <w:sz w:val="20"/>
                <w:szCs w:val="20"/>
                <w:color w:val="0000EE"/>
                <w:w w:val="97"/>
              </w:rPr>
            </w:pPr>
            <w:hyperlink r:id="rId24">
              <w:r>
                <w:rPr>
                  <w:rFonts w:ascii="Times New Roman" w:cs="Times New Roman" w:eastAsia="Times New Roman" w:hAnsi="Times New Roman"/>
                  <w:sz w:val="20"/>
                  <w:szCs w:val="20"/>
                  <w:color w:val="0000EE"/>
                  <w:w w:val="97"/>
                </w:rPr>
                <w:t>Lightspeed Strategic Partners I L.P.</w:t>
              </w:r>
            </w:hyperlink>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580" w:type="dxa"/>
            <w:vAlign w:val="bottom"/>
          </w:tcPr>
          <w:p>
            <w:pPr>
              <w:ind w:left="200"/>
              <w:spacing w:after="0"/>
              <w:rPr>
                <w:sz w:val="20"/>
                <w:szCs w:val="20"/>
                <w:color w:val="auto"/>
              </w:rPr>
            </w:pPr>
            <w:r>
              <w:rPr>
                <w:rFonts w:ascii="Arial" w:cs="Arial" w:eastAsia="Arial" w:hAnsi="Arial"/>
                <w:sz w:val="12"/>
                <w:szCs w:val="12"/>
                <w:color w:val="auto"/>
              </w:rPr>
              <w:t>(First)</w:t>
            </w: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6"/>
        </w:trPr>
        <w:tc>
          <w:tcPr>
            <w:tcW w:w="80" w:type="dxa"/>
            <w:vAlign w:val="bottom"/>
          </w:tcPr>
          <w:p>
            <w:pPr>
              <w:spacing w:after="0"/>
              <w:rPr>
                <w:sz w:val="21"/>
                <w:szCs w:val="21"/>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2200 SAND HILL ROAD</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1"/>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7"/>
        </w:trPr>
        <w:tc>
          <w:tcPr>
            <w:tcW w:w="130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580" w:type="dxa"/>
            <w:vAlign w:val="bottom"/>
          </w:tcPr>
          <w:p>
            <w:pPr>
              <w:ind w:left="200"/>
              <w:spacing w:after="0"/>
              <w:rPr>
                <w:sz w:val="20"/>
                <w:szCs w:val="20"/>
                <w:color w:val="auto"/>
              </w:rPr>
            </w:pPr>
            <w:r>
              <w:rPr>
                <w:rFonts w:ascii="Arial" w:cs="Arial" w:eastAsia="Arial" w:hAnsi="Arial"/>
                <w:sz w:val="12"/>
                <w:szCs w:val="12"/>
                <w:color w:val="auto"/>
              </w:rPr>
              <w:t>(State)</w:t>
            </w:r>
          </w:p>
        </w:tc>
        <w:tc>
          <w:tcPr>
            <w:tcW w:w="1460" w:type="dxa"/>
            <w:vAlign w:val="bottom"/>
            <w:gridSpan w:val="2"/>
          </w:tcPr>
          <w:p>
            <w:pPr>
              <w:ind w:left="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08605" cy="5759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2808605" cy="5759450"/>
                    </a:xfrm>
                    <a:prstGeom prst="rect">
                      <a:avLst/>
                    </a:prstGeom>
                    <a:noFill/>
                  </pic:spPr>
                </pic:pic>
              </a:graphicData>
            </a:graphic>
          </wp:anchor>
        </w:drawing>
      </w: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Times New Roman" w:cs="Times New Roman" w:eastAsia="Times New Roman" w:hAnsi="Times New Roman"/>
          <w:sz w:val="20"/>
          <w:szCs w:val="20"/>
          <w:u w:val="single" w:color="auto"/>
          <w:color w:val="0000EE"/>
        </w:rPr>
      </w:pPr>
      <w:hyperlink r:id="rId26">
        <w:r>
          <w:rPr>
            <w:rFonts w:ascii="Times New Roman" w:cs="Times New Roman" w:eastAsia="Times New Roman" w:hAnsi="Times New Roman"/>
            <w:sz w:val="20"/>
            <w:szCs w:val="20"/>
            <w:u w:val="single" w:color="auto"/>
            <w:color w:val="0000EE"/>
          </w:rPr>
          <w:t>Lightspeed Strategic Partners General Partner I L.P.</w:t>
        </w:r>
      </w:hyperlink>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080" w:type="dxa"/>
            <w:vAlign w:val="bottom"/>
          </w:tcPr>
          <w:p>
            <w:pPr>
              <w:ind w:left="200"/>
              <w:spacing w:after="0"/>
              <w:rPr>
                <w:sz w:val="20"/>
                <w:szCs w:val="20"/>
                <w:color w:val="auto"/>
              </w:rPr>
            </w:pPr>
            <w:r>
              <w:rPr>
                <w:rFonts w:ascii="Arial" w:cs="Arial" w:eastAsia="Arial" w:hAnsi="Arial"/>
                <w:sz w:val="12"/>
                <w:szCs w:val="12"/>
                <w:color w:val="auto"/>
              </w:rPr>
              <w:t>(First)</w:t>
            </w:r>
          </w:p>
        </w:tc>
        <w:tc>
          <w:tcPr>
            <w:tcW w:w="188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6"/>
        </w:trPr>
        <w:tc>
          <w:tcPr>
            <w:tcW w:w="20" w:type="dxa"/>
            <w:vAlign w:val="bottom"/>
          </w:tcPr>
          <w:p>
            <w:pPr>
              <w:spacing w:after="0"/>
              <w:rPr>
                <w:sz w:val="21"/>
                <w:szCs w:val="21"/>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2200 SAND HILL ROAD</w:t>
            </w:r>
          </w:p>
        </w:tc>
        <w:tc>
          <w:tcPr>
            <w:tcW w:w="188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47"/>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94025</w:t>
            </w:r>
          </w:p>
        </w:tc>
      </w:tr>
      <w:tr>
        <w:trPr>
          <w:trHeight w:val="141"/>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080" w:type="dxa"/>
            <w:vAlign w:val="bottom"/>
          </w:tcPr>
          <w:p>
            <w:pPr>
              <w:ind w:left="20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line="231" w:lineRule="auto"/>
        <w:rPr>
          <w:rFonts w:ascii="Times New Roman" w:cs="Times New Roman" w:eastAsia="Times New Roman" w:hAnsi="Times New Roman"/>
          <w:sz w:val="20"/>
          <w:szCs w:val="20"/>
          <w:u w:val="single" w:color="auto"/>
          <w:color w:val="0000EE"/>
        </w:rPr>
      </w:pPr>
      <w:hyperlink r:id="rId27">
        <w:r>
          <w:rPr>
            <w:rFonts w:ascii="Times New Roman" w:cs="Times New Roman" w:eastAsia="Times New Roman" w:hAnsi="Times New Roman"/>
            <w:sz w:val="20"/>
            <w:szCs w:val="20"/>
            <w:u w:val="single" w:color="auto"/>
            <w:color w:val="0000EE"/>
          </w:rPr>
          <w:t>Lightspeed Strategic Partners Ultimate General</w:t>
        </w:r>
      </w:hyperlink>
    </w:p>
    <w:p>
      <w:pPr>
        <w:ind w:left="80"/>
        <w:spacing w:after="0"/>
        <w:rPr>
          <w:rFonts w:ascii="Times New Roman" w:cs="Times New Roman" w:eastAsia="Times New Roman" w:hAnsi="Times New Roman"/>
          <w:sz w:val="20"/>
          <w:szCs w:val="20"/>
          <w:u w:val="single" w:color="auto"/>
          <w:color w:val="0000EE"/>
        </w:rPr>
      </w:pPr>
      <w:hyperlink r:id="rId27">
        <w:r>
          <w:rPr>
            <w:rFonts w:ascii="Times New Roman" w:cs="Times New Roman" w:eastAsia="Times New Roman" w:hAnsi="Times New Roman"/>
            <w:sz w:val="20"/>
            <w:szCs w:val="20"/>
            <w:u w:val="single" w:color="auto"/>
            <w:color w:val="0000EE"/>
          </w:rPr>
          <w:t>Partner I L.L.C.</w:t>
        </w:r>
      </w:hyperlink>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080" w:type="dxa"/>
            <w:vAlign w:val="bottom"/>
          </w:tcPr>
          <w:p>
            <w:pPr>
              <w:ind w:left="200"/>
              <w:spacing w:after="0"/>
              <w:rPr>
                <w:sz w:val="20"/>
                <w:szCs w:val="20"/>
                <w:color w:val="auto"/>
              </w:rPr>
            </w:pPr>
            <w:r>
              <w:rPr>
                <w:rFonts w:ascii="Arial" w:cs="Arial" w:eastAsia="Arial" w:hAnsi="Arial"/>
                <w:sz w:val="12"/>
                <w:szCs w:val="12"/>
                <w:color w:val="auto"/>
              </w:rPr>
              <w:t>(First)</w:t>
            </w:r>
          </w:p>
        </w:tc>
        <w:tc>
          <w:tcPr>
            <w:tcW w:w="188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6"/>
        </w:trPr>
        <w:tc>
          <w:tcPr>
            <w:tcW w:w="20" w:type="dxa"/>
            <w:vAlign w:val="bottom"/>
          </w:tcPr>
          <w:p>
            <w:pPr>
              <w:spacing w:after="0"/>
              <w:rPr>
                <w:sz w:val="21"/>
                <w:szCs w:val="21"/>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2200 SAND HILL ROAD</w:t>
            </w:r>
          </w:p>
        </w:tc>
        <w:tc>
          <w:tcPr>
            <w:tcW w:w="188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47"/>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94025</w:t>
            </w:r>
          </w:p>
        </w:tc>
      </w:tr>
      <w:tr>
        <w:trPr>
          <w:trHeight w:val="141"/>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080" w:type="dxa"/>
            <w:vAlign w:val="bottom"/>
          </w:tcPr>
          <w:p>
            <w:pPr>
              <w:ind w:left="20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0"/>
          <w:szCs w:val="20"/>
          <w:color w:val="auto"/>
        </w:rPr>
      </w:pPr>
    </w:p>
    <w:p>
      <w:pPr>
        <w:ind w:left="20" w:right="160" w:hanging="5"/>
        <w:spacing w:after="0" w:line="273"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Seed, Series A, Series A-1, Series B, Series C, Series C-1, Series D, Series E, Series F and Series G-1 Preferred Stock automatically converted into shares of Class A Common Stock immediately prior to the closing of the Issuer's initial public offering ("IPO") for no additional consideration at a conversion ratio that was dependent upon the initial price per share to the public in the Issuer's IPO.</w:t>
      </w:r>
    </w:p>
    <w:p>
      <w:pPr>
        <w:spacing w:after="0" w:line="6" w:lineRule="exact"/>
        <w:rPr>
          <w:rFonts w:ascii="Times New Roman" w:cs="Times New Roman" w:eastAsia="Times New Roman" w:hAnsi="Times New Roman"/>
          <w:sz w:val="12"/>
          <w:szCs w:val="12"/>
          <w:color w:val="008000"/>
        </w:rPr>
      </w:pPr>
    </w:p>
    <w:p>
      <w:pPr>
        <w:ind w:left="20" w:right="40" w:hanging="5"/>
        <w:spacing w:after="0" w:line="273"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Venture Partners X, L.P. ("Lightspeed X"). Lightspeed General Partner X, L.P. ("LGP X") is the general partner of Lightspeed X. Lightspeed Ultimate General Partner X, Ltd. ("LUGP X") is the general partner of LGP X. Each of LGP X and LUGP X disclaims beneficial ownership of these shares except to the extent of its respective pecuniary interest therein.</w:t>
      </w:r>
    </w:p>
    <w:p>
      <w:pPr>
        <w:spacing w:after="0" w:line="6" w:lineRule="exact"/>
        <w:rPr>
          <w:rFonts w:ascii="Times New Roman" w:cs="Times New Roman" w:eastAsia="Times New Roman" w:hAnsi="Times New Roman"/>
          <w:sz w:val="12"/>
          <w:szCs w:val="12"/>
          <w:color w:val="008000"/>
        </w:rPr>
      </w:pPr>
    </w:p>
    <w:p>
      <w:pPr>
        <w:ind w:left="20" w:right="120" w:hanging="5"/>
        <w:spacing w:after="0" w:line="273"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Affiliates X, L.P. ("Affiliates X"). LGP X is the general partner of Affiliates X. LUGP X is the general partner of LGP X. Each of LGP X and LUGP X disclaims beneficial ownership of these shares except to the extent of its respective pecuniary interest therein.</w:t>
      </w:r>
    </w:p>
    <w:p>
      <w:pPr>
        <w:spacing w:after="0" w:line="6" w:lineRule="exact"/>
        <w:rPr>
          <w:rFonts w:ascii="Times New Roman" w:cs="Times New Roman" w:eastAsia="Times New Roman" w:hAnsi="Times New Roman"/>
          <w:sz w:val="12"/>
          <w:szCs w:val="12"/>
          <w:color w:val="008000"/>
        </w:rPr>
      </w:pPr>
    </w:p>
    <w:p>
      <w:pPr>
        <w:ind w:left="20" w:hanging="5"/>
        <w:spacing w:after="0" w:line="254"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Opportunity Fund, L.P. ("Opportunity"). Lightspeed General Partner Opportunity Fund, L.P. ("LGP Opportunity") is the general partner of Opportunity. Lightspeed Ultimate General Partner Opportunity Fund, Ltd. ("LUGP Opportunity") is the general partner of LGP Opportunity. Each of LGP Opportunity and LUGP Opportunity disclaims beneficial ownership of these shares except to the extent of its respective pecuniary interest therein.</w:t>
      </w:r>
    </w:p>
    <w:p>
      <w:pPr>
        <w:spacing w:after="0" w:line="17" w:lineRule="exact"/>
        <w:rPr>
          <w:rFonts w:ascii="Times New Roman" w:cs="Times New Roman" w:eastAsia="Times New Roman" w:hAnsi="Times New Roman"/>
          <w:sz w:val="12"/>
          <w:szCs w:val="12"/>
          <w:color w:val="008000"/>
        </w:rPr>
      </w:pPr>
    </w:p>
    <w:p>
      <w:pPr>
        <w:ind w:left="20" w:right="280" w:hanging="5"/>
        <w:spacing w:after="0" w:line="254"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Strategic Partners I L.P. ("Strategic"). Lightspeed Strategic Partners General Partner I L.P. ("LGP Strategic") is the general partner of Strategic. Lightspeed Strategic Partners Ultimate General Partner I L.L.C. ("LUGP Strategic") is the general partner of LGP Strategic. Each of LGP Strategic and LUGP Strategic disclaims beneficial ownership of these shares except to the extent of its respective pecuniary interest therein.</w:t>
      </w:r>
    </w:p>
    <w:p>
      <w:pPr>
        <w:spacing w:after="0" w:line="17" w:lineRule="exact"/>
        <w:rPr>
          <w:rFonts w:ascii="Times New Roman" w:cs="Times New Roman" w:eastAsia="Times New Roman" w:hAnsi="Times New Roman"/>
          <w:sz w:val="12"/>
          <w:szCs w:val="12"/>
          <w:color w:val="008000"/>
        </w:rPr>
      </w:pPr>
    </w:p>
    <w:p>
      <w:pPr>
        <w:jc w:val="both"/>
        <w:ind w:left="20" w:right="260" w:hanging="5"/>
        <w:spacing w:after="0" w:line="254"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Venture Partners Select II, L.P. ("Lightspeed Select II"). Lightspeed General Partner Select II, L.P. ("LGP Select II") is the general partner of Lightspeed Select II. Lightspeed Ultimate General Partner Select II, Ltd. ("LUGP Select II") is the general partner of LGP Select II. Each of LGP Select II and LUGP Select II disclaims beneficial ownership of these shares except to the extent of its respective pecuniary interest therein.</w:t>
      </w:r>
    </w:p>
    <w:p>
      <w:pPr>
        <w:spacing w:after="0" w:line="17" w:lineRule="exact"/>
        <w:rPr>
          <w:rFonts w:ascii="Times New Roman" w:cs="Times New Roman" w:eastAsia="Times New Roman" w:hAnsi="Times New Roman"/>
          <w:sz w:val="12"/>
          <w:szCs w:val="12"/>
          <w:color w:val="008000"/>
        </w:rPr>
      </w:pPr>
    </w:p>
    <w:p>
      <w:pPr>
        <w:jc w:val="both"/>
        <w:ind w:left="20" w:right="40" w:hanging="5"/>
        <w:spacing w:after="0" w:line="254"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Venture Partners Select III, L.P. ("Lightspeed Select III"). Lightspeed General Partner Select III, L.P. ("LGP Select III") is the general partner of Lightspeed Select III. Lightspeed Ultimate General Partner Select III, Ltd. ("LUGP Select III") is the general partner of LGP Select III. Each of LGP Select III and LUGP Select III disclaims beneficial ownership of these shares except to the extent of its respective pecuniary interest therein.</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0" w:lineRule="exact"/>
        <w:rPr>
          <w:sz w:val="20"/>
          <w:szCs w:val="20"/>
          <w:color w:val="auto"/>
        </w:rPr>
      </w:pPr>
    </w:p>
    <w:p>
      <w:pPr>
        <w:ind w:left="20"/>
        <w:spacing w:after="0" w:line="243" w:lineRule="auto"/>
        <w:rPr>
          <w:sz w:val="20"/>
          <w:szCs w:val="20"/>
          <w:color w:val="auto"/>
        </w:rPr>
      </w:pPr>
      <w:r>
        <w:rPr>
          <w:rFonts w:ascii="Times New Roman" w:cs="Times New Roman" w:eastAsia="Times New Roman" w:hAnsi="Times New Roman"/>
          <w:sz w:val="12"/>
          <w:szCs w:val="12"/>
          <w:color w:val="008000"/>
        </w:rPr>
        <w:t>This Form 4 is the first of two Forms 4 filed relating to the same events. Combined, the two Form 4s report the holdings for the following Reporting Persons: Lightspeed Venture Partners X, L.P., Lightspeed Affiliates X, L.P., Lightspeed General Partner X, L.P., Lightspeed Ultimate General Partner X, Ltd., Lightspeed Opportunity Fund, L.P., Lightspeed General Partner Opportunity Fund, L.P., Lightspeed Ultimate General Partner Opportunity Fund, Ltd., Lightspeed Strategic Partners I L.P., Lightspeed Strategic Partners General Partner I L.P., Lightspeed Strategic Partners Ultimate General Partner I L.L.C., Lightspeed Venture Partners Select II, L.P., Lightspeed General Partner Select II, L.P., Lightspeed Ultimate General Partner Select II, Ltd., Lightspeed Venture Partners Select III, L.P., Lightspeed General Partner Select III, L.P. and Lightspeed Ultimate General Partner Select III, Ltd. This Form 4 has been split into two filings because there are more than 10 reporting persons in total, and the SEC's EDGAR filing system limits a single Form 4 to a maximum of 10 reporting persons.</w:t>
      </w:r>
    </w:p>
    <w:p>
      <w:pPr>
        <w:sectPr>
          <w:pgSz w:w="11900" w:h="16838" w:orient="portrait"/>
          <w:cols w:equalWidth="0" w:num="1">
            <w:col w:w="10920"/>
          </w:cols>
          <w:pgMar w:left="480" w:top="250" w:right="499" w:bottom="0" w:gutter="0" w:footer="0" w:header="0"/>
        </w:sectPr>
      </w:pPr>
    </w:p>
    <w:p>
      <w:pPr>
        <w:spacing w:after="0" w:line="18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Lightspeed Venture Partners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-6350</wp:posOffset>
            </wp:positionV>
            <wp:extent cx="12757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7571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L.P., By: Lightspeed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17983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17983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Partner X,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0953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9537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Partner, By: 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34493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34493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General Partner X,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10363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10363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14490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4490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6826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682625" cy="7620"/>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Lightspeed Affiliates X,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0</wp:posOffset>
            </wp:positionV>
            <wp:extent cx="136461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364615" cy="762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Lightspeed General Partner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2420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4206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1645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645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17983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17983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Partner X, Ltd.,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10363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0363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Partner, 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14173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14173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33845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338455" cy="7620"/>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Lightspeed General Partner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-6350</wp:posOffset>
            </wp:positionV>
            <wp:extent cx="12420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42060"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L.P., By: 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21412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2141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5910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5910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5910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ectPr>
          <w:pgSz w:w="11900" w:h="16838" w:orient="portrait"/>
          <w:cols w:equalWidth="0" w:num="2">
            <w:col w:w="8720" w:space="60"/>
            <w:col w:w="2140"/>
          </w:cols>
          <w:pgMar w:left="480" w:top="250" w:right="499" w:bottom="0" w:gutter="0" w:footer="0" w:header="0"/>
          <w:type w:val="continuous"/>
        </w:sectPr>
      </w:pPr>
    </w:p>
    <w:bookmarkStart w:id="4" w:name="page5"/>
    <w:bookmarkEnd w:id="4"/>
    <w:p>
      <w:pPr>
        <w:ind w:left="6565"/>
        <w:spacing w:after="0"/>
        <w:rPr>
          <w:sz w:val="20"/>
          <w:szCs w:val="20"/>
          <w:color w:val="auto"/>
        </w:rPr>
      </w:pPr>
      <w:r>
        <w:rPr>
          <w:rFonts w:ascii="Times New Roman" w:cs="Times New Roman" w:eastAsia="Times New Roman" w:hAnsi="Times New Roman"/>
          <w:sz w:val="16"/>
          <w:szCs w:val="16"/>
          <w:color w:val="0000FF"/>
        </w:rPr>
        <w:t>General Partner X,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10363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0363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4490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14490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68262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682625" cy="7620"/>
                    </a:xfrm>
                    <a:prstGeom prst="rect">
                      <a:avLst/>
                    </a:prstGeom>
                    <a:noFill/>
                  </pic:spPr>
                </pic:pic>
              </a:graphicData>
            </a:graphic>
          </wp:anchor>
        </w:drawing>
      </w:r>
    </w:p>
    <w:p>
      <w:pPr>
        <w:spacing w:after="0" w:line="31"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17983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17983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Partner X, Ltd.,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1823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68262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682625" cy="7620"/>
                    </a:xfrm>
                    <a:prstGeom prst="rect">
                      <a:avLst/>
                    </a:prstGeom>
                    <a:noFill/>
                  </pic:spPr>
                </pic:pic>
              </a:graphicData>
            </a:graphic>
          </wp:anchor>
        </w:drawing>
      </w:r>
    </w:p>
    <w:p>
      <w:pPr>
        <w:spacing w:after="0" w:line="31"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Lightspeed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338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23380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L.P., By: Lightspeed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798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17983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Partner Opportunity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8460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8460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95567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95567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7983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17983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Partner Opportunity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928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29286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its 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6619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6619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68262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682625" cy="7620"/>
                    </a:xfrm>
                    <a:prstGeom prst="rect">
                      <a:avLst/>
                    </a:prstGeom>
                    <a:noFill/>
                  </pic:spPr>
                </pic:pic>
              </a:graphicData>
            </a:graphic>
          </wp:anchor>
        </w:drawing>
      </w:r>
    </w:p>
    <w:p>
      <w:pPr>
        <w:spacing w:after="0" w:line="31"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Lightspeed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1176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11760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Opportunity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3792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13792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7983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17983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Partner Opportunity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928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9286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its 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6619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6619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68262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682625" cy="7620"/>
                    </a:xfrm>
                    <a:prstGeom prst="rect">
                      <a:avLst/>
                    </a:prstGeom>
                    <a:noFill/>
                  </pic:spPr>
                </pic:pic>
              </a:graphicData>
            </a:graphic>
          </wp:anchor>
        </w:drawing>
      </w:r>
    </w:p>
    <w:p>
      <w:pPr>
        <w:spacing w:after="0" w:line="31"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17983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7983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Partner Opportunity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9286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9286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By /s/ 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6586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165860" cy="7620"/>
                    </a:xfrm>
                    <a:prstGeom prst="rect">
                      <a:avLst/>
                    </a:prstGeom>
                    <a:noFill/>
                  </pic:spPr>
                </pic:pic>
              </a:graphicData>
            </a:graphic>
          </wp:anchor>
        </w:drawing>
      </w:r>
    </w:p>
    <w:p>
      <w:pPr>
        <w:spacing w:after="0" w:line="31"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Lightspeed Strategic Partners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25603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5603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L.P., By: Lightspeed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192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1920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Partners General Partner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26746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6746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95567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95567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Lightspeed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9697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9697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Ultimate General Partner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8077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08077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5"/>
          <w:szCs w:val="15"/>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6779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36779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Ravi Mhatre,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92265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922655" cy="7620"/>
                    </a:xfrm>
                    <a:prstGeom prst="rect">
                      <a:avLst/>
                    </a:prstGeom>
                    <a:noFill/>
                  </pic:spPr>
                </pic:pic>
              </a:graphicData>
            </a:graphic>
          </wp:anchor>
        </w:drawing>
      </w:r>
    </w:p>
    <w:p>
      <w:pPr>
        <w:spacing w:after="0" w:line="31"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Lightspeed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19697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19697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General Partner 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8077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08077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Lightspeed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9697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19697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Ultimate General Partner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8077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08077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5"/>
          <w:szCs w:val="15"/>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6779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367790"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Ravi Mhatre,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92265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922655" cy="7620"/>
                    </a:xfrm>
                    <a:prstGeom prst="rect">
                      <a:avLst/>
                    </a:prstGeom>
                    <a:noFill/>
                  </pic:spPr>
                </pic:pic>
              </a:graphicData>
            </a:graphic>
          </wp:anchor>
        </w:drawing>
      </w:r>
    </w:p>
    <w:p>
      <w:pPr>
        <w:spacing w:after="0" w:line="31"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Lightspeed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19697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196975" cy="7620"/>
                    </a:xfrm>
                    <a:prstGeom prst="rect">
                      <a:avLst/>
                    </a:prstGeom>
                    <a:noFill/>
                  </pic:spPr>
                </pic:pic>
              </a:graphicData>
            </a:graphic>
          </wp:anchor>
        </w:drawing>
      </w:r>
    </w:p>
    <w:p>
      <w:pPr>
        <w:spacing w:after="0" w:line="5"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Ultimate General Partner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08077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08077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L.L.C., 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112077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12077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-13970</wp:posOffset>
            </wp:positionV>
            <wp:extent cx="36131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36131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5910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5910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5910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5910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5910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5910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5910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369" w:lineRule="exact"/>
        <w:rPr>
          <w:sz w:val="20"/>
          <w:szCs w:val="20"/>
          <w:color w:val="auto"/>
        </w:rPr>
      </w:pPr>
    </w:p>
    <w:p>
      <w:pPr>
        <w:sectPr>
          <w:pgSz w:w="11900" w:h="16838" w:orient="portrait"/>
          <w:cols w:equalWidth="0" w:num="2">
            <w:col w:w="8725" w:space="40"/>
            <w:col w:w="1199"/>
          </w:cols>
          <w:pgMar w:left="495" w:top="127" w:right="1440" w:bottom="1440" w:gutter="0" w:footer="0" w:header="0"/>
        </w:sectPr>
      </w:pPr>
    </w:p>
    <w:p>
      <w:pPr>
        <w:ind w:left="6565"/>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5" w:right="2859" w:hanging="5"/>
        <w:spacing w:after="0" w:line="321"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4"/>
      </w:cols>
      <w:pgMar w:left="495"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9" Type="http://schemas.openxmlformats.org/officeDocument/2006/relationships/image" Target="media/image8.png"/><Relationship Id="rId25"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13" Type="http://schemas.openxmlformats.org/officeDocument/2006/relationships/hyperlink" Target="http://www.sec.gov/cgi-bin/browse-edgar?action=getcompany&amp;CIK=0001602573" TargetMode="External"/><Relationship Id="rId14" Type="http://schemas.openxmlformats.org/officeDocument/2006/relationships/hyperlink" Target="http://www.sec.gov/cgi-bin/browse-edgar?action=getcompany&amp;CIK=0001639723" TargetMode="External"/><Relationship Id="rId17" Type="http://schemas.openxmlformats.org/officeDocument/2006/relationships/hyperlink" Target="http://www.sec.gov/cgi-bin/browse-edgar?action=getcompany&amp;CIK=0001617751" TargetMode="External"/><Relationship Id="rId18" Type="http://schemas.openxmlformats.org/officeDocument/2006/relationships/hyperlink" Target="http://www.sec.gov/cgi-bin/browse-edgar?action=getcompany&amp;CIK=0001700550" TargetMode="External"/><Relationship Id="rId20" Type="http://schemas.openxmlformats.org/officeDocument/2006/relationships/hyperlink" Target="http://www.sec.gov/cgi-bin/browse-edgar?action=getcompany&amp;CIK=0001700549" TargetMode="External"/><Relationship Id="rId21" Type="http://schemas.openxmlformats.org/officeDocument/2006/relationships/hyperlink" Target="http://www.sec.gov/cgi-bin/browse-edgar?action=getcompany&amp;CIK=0001780948" TargetMode="External"/><Relationship Id="rId22" Type="http://schemas.openxmlformats.org/officeDocument/2006/relationships/hyperlink" Target="http://www.sec.gov/cgi-bin/browse-edgar?action=getcompany&amp;CIK=0001980478" TargetMode="External"/><Relationship Id="rId23" Type="http://schemas.openxmlformats.org/officeDocument/2006/relationships/hyperlink" Target="http://www.sec.gov/cgi-bin/browse-edgar?action=getcompany&amp;CIK=0001980477" TargetMode="External"/><Relationship Id="rId24" Type="http://schemas.openxmlformats.org/officeDocument/2006/relationships/hyperlink" Target="http://www.sec.gov/cgi-bin/browse-edgar?action=getcompany&amp;CIK=0001830973" TargetMode="External"/><Relationship Id="rId26" Type="http://schemas.openxmlformats.org/officeDocument/2006/relationships/hyperlink" Target="http://www.sec.gov/cgi-bin/browse-edgar?action=getcompany&amp;CIK=0001978187" TargetMode="External"/><Relationship Id="rId27" Type="http://schemas.openxmlformats.org/officeDocument/2006/relationships/hyperlink" Target="http://www.sec.gov/cgi-bin/browse-edgar?action=getcompany&amp;CIK=00019788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2025-11-04T16:27:52Z</dcterms:created>
  <dcterms:modified xsi:type="dcterms:W3CDTF">2025-11-04T16:27:52Z</dcterms:modified>
</cp:coreProperties>
</file>