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392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392160"/>
                    </a:xfrm>
                    <a:prstGeom prst="rect">
                      <a:avLst/>
                    </a:prstGeom>
                    <a:noFill/>
                  </pic:spPr>
                </pic:pic>
              </a:graphicData>
            </a:graphic>
          </wp:anchor>
        </w:drawing>
      </w:r>
    </w:p>
    <w:p>
      <w:pPr>
        <w:sectPr>
          <w:pgSz w:w="11900" w:h="1692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Cohen Ariel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924"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Chairperson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924"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69"/>
              <w:spacing w:after="0"/>
              <w:rPr>
                <w:sz w:val="20"/>
                <w:szCs w:val="20"/>
                <w:color w:val="auto"/>
              </w:rPr>
            </w:pPr>
            <w:r>
              <w:rPr>
                <w:rFonts w:ascii="Times New Roman" w:cs="Times New Roman" w:eastAsia="Times New Roman" w:hAnsi="Times New Roman"/>
                <w:sz w:val="20"/>
                <w:szCs w:val="20"/>
                <w:color w:val="0000FF"/>
                <w:w w:val="92"/>
              </w:rPr>
              <w:t>1,154,925</w:t>
            </w:r>
            <w:r>
              <w:rPr>
                <w:rFonts w:ascii="Times New Roman" w:cs="Times New Roman" w:eastAsia="Times New Roman" w:hAnsi="Times New Roman"/>
                <w:sz w:val="25"/>
                <w:szCs w:val="25"/>
                <w:color w:val="008000"/>
                <w:w w:val="92"/>
                <w:vertAlign w:val="superscript"/>
              </w:rPr>
              <w:t>(2)</w:t>
            </w:r>
          </w:p>
        </w:tc>
        <w:tc>
          <w:tcPr>
            <w:tcW w:w="96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20"/>
                <w:szCs w:val="20"/>
                <w:color w:val="0000FF"/>
                <w:w w:val="96"/>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89"/>
              <w:spacing w:after="0"/>
              <w:rPr>
                <w:sz w:val="20"/>
                <w:szCs w:val="20"/>
                <w:color w:val="auto"/>
              </w:rPr>
            </w:pPr>
            <w:r>
              <w:rPr>
                <w:rFonts w:ascii="Times New Roman" w:cs="Times New Roman" w:eastAsia="Times New Roman" w:hAnsi="Times New Roman"/>
                <w:sz w:val="20"/>
                <w:szCs w:val="20"/>
                <w:color w:val="0000FF"/>
                <w:w w:val="97"/>
              </w:rPr>
              <w:t>3,999,089</w:t>
            </w:r>
          </w:p>
        </w:tc>
        <w:tc>
          <w:tcPr>
            <w:tcW w:w="96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Ariel Mordechai Cohen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Living Trust</w:t>
            </w:r>
            <w:r>
              <w:rPr>
                <w:rFonts w:ascii="Times New Roman" w:cs="Times New Roman" w:eastAsia="Times New Roman" w:hAnsi="Times New Roman"/>
                <w:sz w:val="25"/>
                <w:szCs w:val="25"/>
                <w:color w:val="008000"/>
                <w:vertAlign w:val="superscript"/>
              </w:rPr>
              <w:t>(4)</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vMerge w:val="continue"/>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69"/>
              <w:spacing w:after="0"/>
              <w:rPr>
                <w:sz w:val="20"/>
                <w:szCs w:val="20"/>
                <w:color w:val="auto"/>
              </w:rPr>
            </w:pPr>
            <w:r>
              <w:rPr>
                <w:rFonts w:ascii="Times New Roman" w:cs="Times New Roman" w:eastAsia="Times New Roman" w:hAnsi="Times New Roman"/>
                <w:sz w:val="20"/>
                <w:szCs w:val="20"/>
                <w:color w:val="0000FF"/>
                <w:w w:val="98"/>
              </w:rPr>
              <w:t>793,986</w:t>
            </w:r>
          </w:p>
        </w:tc>
        <w:tc>
          <w:tcPr>
            <w:tcW w:w="96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the Lihi Cohen GST Trust</w:t>
            </w:r>
            <w:r>
              <w:rPr>
                <w:rFonts w:ascii="Times New Roman" w:cs="Times New Roman" w:eastAsia="Times New Roman" w:hAnsi="Times New Roman"/>
                <w:sz w:val="25"/>
                <w:szCs w:val="25"/>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0"/>
                <w:szCs w:val="20"/>
                <w:color w:val="0000FF"/>
                <w:w w:val="97"/>
              </w:rPr>
              <w:t>4,796</w:t>
            </w:r>
          </w:p>
        </w:tc>
        <w:tc>
          <w:tcPr>
            <w:tcW w:w="96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Lihi Cohen Non-Exempt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(6)</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vMerge w:val="continue"/>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69"/>
              <w:spacing w:after="0"/>
              <w:rPr>
                <w:sz w:val="20"/>
                <w:szCs w:val="20"/>
                <w:color w:val="auto"/>
              </w:rPr>
            </w:pPr>
            <w:r>
              <w:rPr>
                <w:rFonts w:ascii="Times New Roman" w:cs="Times New Roman" w:eastAsia="Times New Roman" w:hAnsi="Times New Roman"/>
                <w:sz w:val="20"/>
                <w:szCs w:val="20"/>
                <w:color w:val="0000FF"/>
                <w:w w:val="98"/>
              </w:rPr>
              <w:t>793,986</w:t>
            </w:r>
          </w:p>
        </w:tc>
        <w:tc>
          <w:tcPr>
            <w:tcW w:w="96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the Shai Cohen GST Trust</w:t>
            </w:r>
            <w:r>
              <w:rPr>
                <w:rFonts w:ascii="Times New Roman" w:cs="Times New Roman" w:eastAsia="Times New Roman" w:hAnsi="Times New Roman"/>
                <w:sz w:val="25"/>
                <w:szCs w:val="25"/>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0"/>
                <w:szCs w:val="20"/>
                <w:color w:val="0000FF"/>
                <w:w w:val="97"/>
              </w:rPr>
              <w:t>4,796</w:t>
            </w:r>
          </w:p>
        </w:tc>
        <w:tc>
          <w:tcPr>
            <w:tcW w:w="96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Shai Cohen Non-Exempt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(8)</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vMerge w:val="continue"/>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169"/>
              <w:spacing w:after="0"/>
              <w:rPr>
                <w:sz w:val="20"/>
                <w:szCs w:val="20"/>
                <w:color w:val="auto"/>
              </w:rPr>
            </w:pPr>
            <w:r>
              <w:rPr>
                <w:rFonts w:ascii="Times New Roman" w:cs="Times New Roman" w:eastAsia="Times New Roman" w:hAnsi="Times New Roman"/>
                <w:sz w:val="20"/>
                <w:szCs w:val="20"/>
                <w:color w:val="0000FF"/>
                <w:w w:val="98"/>
              </w:rPr>
              <w:t>793,986</w:t>
            </w:r>
          </w:p>
        </w:tc>
        <w:tc>
          <w:tcPr>
            <w:tcW w:w="96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the Sivan Cohen GST Trust</w:t>
            </w:r>
            <w:r>
              <w:rPr>
                <w:rFonts w:ascii="Times New Roman" w:cs="Times New Roman" w:eastAsia="Times New Roman" w:hAnsi="Times New Roman"/>
                <w:sz w:val="25"/>
                <w:szCs w:val="25"/>
                <w:color w:val="008000"/>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r>
              <w:rPr>
                <w:rFonts w:ascii="Times New Roman" w:cs="Times New Roman" w:eastAsia="Times New Roman" w:hAnsi="Times New Roman"/>
                <w:sz w:val="25"/>
                <w:szCs w:val="25"/>
                <w:color w:val="008000"/>
                <w:vertAlign w:val="superscript"/>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0"/>
                <w:szCs w:val="20"/>
                <w:color w:val="0000FF"/>
                <w:w w:val="97"/>
              </w:rPr>
              <w:t>4,796</w:t>
            </w:r>
          </w:p>
        </w:tc>
        <w:tc>
          <w:tcPr>
            <w:tcW w:w="96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20"/>
                <w:szCs w:val="20"/>
                <w:color w:val="0000FF"/>
                <w:w w:val="89"/>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Sivan Cohen Non-Exempt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(10)</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gridSpan w:val="2"/>
            <w:vMerge w:val="continue"/>
          </w:tcPr>
          <w:p>
            <w:pPr>
              <w:spacing w:after="0"/>
              <w:rPr>
                <w:sz w:val="14"/>
                <w:szCs w:val="14"/>
                <w:color w:val="auto"/>
              </w:rPr>
            </w:pPr>
          </w:p>
        </w:tc>
        <w:tc>
          <w:tcPr>
            <w:tcW w:w="1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03/17/2031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1,594,753</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10.05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(12)</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3"/>
                <w:szCs w:val="13"/>
                <w:color w:val="008000"/>
              </w:rPr>
              <w:t>(13)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04/13/2032</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1,663,664</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16.26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(12)</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3"/>
                <w:szCs w:val="13"/>
                <w:color w:val="008000"/>
              </w:rPr>
              <w:t>(13)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04/12/2033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527,140</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16.26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(12)</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3"/>
                <w:szCs w:val="13"/>
                <w:color w:val="008000"/>
              </w:rPr>
              <w:t>(14)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04/23/2035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1,250,445</w:t>
            </w:r>
          </w:p>
        </w:tc>
        <w:tc>
          <w:tcPr>
            <w:tcW w:w="4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22.62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Stock</w:t>
            </w:r>
            <w:r>
              <w:rPr>
                <w:rFonts w:ascii="Times New Roman" w:cs="Times New Roman" w:eastAsia="Times New Roman" w:hAnsi="Times New Roman"/>
                <w:sz w:val="25"/>
                <w:szCs w:val="25"/>
                <w:color w:val="008000"/>
                <w:w w:val="89"/>
                <w:vertAlign w:val="superscript"/>
              </w:rPr>
              <w:t>(12)</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Immediately following the completion of the Issuer's initial public offering of Class A Common Stock ("IPO"), at the election of the Reporting Person, each share of Class A Common Stock issued upon vesting and settlement of RSUs may be exchanged at a 1:1 ratio for a share of Class B Common Stock.</w:t>
      </w:r>
    </w:p>
    <w:p>
      <w:pPr>
        <w:sectPr>
          <w:pgSz w:w="11900" w:h="16924" w:orient="portrait"/>
          <w:cols w:equalWidth="0" w:num="1">
            <w:col w:w="10940"/>
          </w:cols>
          <w:pgMar w:left="480" w:top="230" w:right="479" w:bottom="0" w:gutter="0" w:footer="0" w:header="0"/>
          <w:type w:val="continuous"/>
        </w:sectPr>
      </w:pPr>
    </w:p>
    <w:bookmarkStart w:id="1" w:name="page2"/>
    <w:bookmarkEnd w:id="1"/>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RSUs that are subject to a time-based service condition and a performance-based condition, both of which must be satisfied to vest. The time-based service condition will be satisfied with respect to 25% of the total number of such RSUs on the first anniversary of the vesting commencement date, and an additional 1/16th of the total number of such RSUs vest every quarter thereafter, subject to Reporting Peron's continued service through each applicable vesting date. The performance-based condition was satisfied upon a liquidity event which occurred upon the effectiveness of Issuer's registration statement on Form S-1 in connection with the IPO.</w:t>
      </w:r>
    </w:p>
    <w:p>
      <w:pPr>
        <w:spacing w:after="0" w:line="33"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Upon the completion of the IPO, each share of Class A Common Stock shall be exchanged at a 1:1 ratio for shares of Class B Common Stock.</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Ariel Mordechai Cohen Living Trust, dated 8/22/2024, for which the Reporting Person is the trustee.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Lihi Cohen GST Trust dated February 15, 2020,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Lihi Cohen Non-Exempt Trust dated May 14, 2022,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Shai Cohen GST Trust dated February 15, 2020,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Shai Cohen Non-Exempt Trust dated May 14, 2022,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Sivan Cohen GST Trust dated February 15, 2020,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Sivan Cohen Non-Exempt Trust dated May 14, 2022, for which Reporting Person may be deemed to have voting and investment power.</w:t>
      </w:r>
    </w:p>
    <w:p>
      <w:pPr>
        <w:spacing w:after="0" w:line="52" w:lineRule="exact"/>
        <w:rPr>
          <w:rFonts w:ascii="Times New Roman" w:cs="Times New Roman" w:eastAsia="Times New Roman" w:hAnsi="Times New Roman"/>
          <w:sz w:val="15"/>
          <w:szCs w:val="15"/>
          <w:color w:val="008000"/>
        </w:rPr>
      </w:pPr>
    </w:p>
    <w:p>
      <w:pPr>
        <w:ind w:left="220" w:hanging="215"/>
        <w:spacing w:after="0"/>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are fully vested.</w:t>
      </w:r>
    </w:p>
    <w:p>
      <w:pPr>
        <w:spacing w:after="0" w:line="52" w:lineRule="exact"/>
        <w:rPr>
          <w:rFonts w:ascii="Times New Roman" w:cs="Times New Roman" w:eastAsia="Times New Roman" w:hAnsi="Times New Roman"/>
          <w:sz w:val="15"/>
          <w:szCs w:val="15"/>
          <w:color w:val="008000"/>
        </w:rPr>
      </w:pPr>
    </w:p>
    <w:p>
      <w:pPr>
        <w:ind w:right="10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following the completion of the IPO, at the election of the Reporting Person, each share of Class A Common Stock issued upon the exercise of the option may be exchanged at a 1:1 ratio for a share of Class B Common Stock.</w:t>
      </w:r>
    </w:p>
    <w:p>
      <w:pPr>
        <w:spacing w:after="0" w:line="17" w:lineRule="exact"/>
        <w:rPr>
          <w:rFonts w:ascii="Times New Roman" w:cs="Times New Roman" w:eastAsia="Times New Roman" w:hAnsi="Times New Roman"/>
          <w:sz w:val="15"/>
          <w:szCs w:val="15"/>
          <w:color w:val="008000"/>
        </w:rPr>
      </w:pPr>
    </w:p>
    <w:p>
      <w:pPr>
        <w:ind w:right="10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in 48 equal monthly installments beginning on the one-month anniversary of the vesting commencement date, subject to Reporting Person's continued service through each applicable vesting date.</w:t>
      </w:r>
    </w:p>
    <w:p>
      <w:pPr>
        <w:spacing w:after="0" w:line="17" w:lineRule="exact"/>
        <w:rPr>
          <w:rFonts w:ascii="Times New Roman" w:cs="Times New Roman" w:eastAsia="Times New Roman" w:hAnsi="Times New Roman"/>
          <w:sz w:val="15"/>
          <w:szCs w:val="15"/>
          <w:color w:val="008000"/>
        </w:rPr>
      </w:pPr>
    </w:p>
    <w:p>
      <w:pPr>
        <w:ind w:right="120" w:firstLine="5"/>
        <w:spacing w:after="0" w:line="244"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with respect to 25% of the shares subject to the stock option on the first anniversary of the vesting commencement date, and the remaining 75% of the shares subject to the stock option vest in equal monthly installments over the following three years, subject to Reporting Person's continued service through each applicable vesting date.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Ariel Cohen</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Ariel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853730"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2025-10-29T20:32:39Z</dcterms:created>
  <dcterms:modified xsi:type="dcterms:W3CDTF">2025-10-29T20:32:39Z</dcterms:modified>
</cp:coreProperties>
</file>