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Giviskos Anne Mary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120,032</w:t>
            </w:r>
            <w:r>
              <w:rPr>
                <w:rFonts w:ascii="Times New Roman" w:cs="Times New Roman" w:eastAsia="Times New Roman" w:hAnsi="Times New Roman"/>
                <w:sz w:val="25"/>
                <w:szCs w:val="25"/>
                <w:color w:val="008000"/>
                <w:w w:val="92"/>
                <w:vertAlign w:val="superscript"/>
              </w:rPr>
              <w:t>(1)</w:t>
            </w:r>
          </w:p>
        </w:tc>
        <w:tc>
          <w:tcPr>
            <w:tcW w:w="84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07/06/2035</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53,078</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23.31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The RSUs are subject to a time-based service condition and a performance-based condition, both of which must be satisfied to vest. The time-based service condition will be satisfied with respect to 25% of the total number of such RSUs on the first anniversary of the vesting commencement date, and an additional 1/16th of the total number of such RSUs every quarter thereafter, subject to Reporting Person's continued service through each applicable vesting date. The performance-based condition was satisfied upon a liquidity event which occurred upon the effectiveness of Issuer's registration statement on Form S-1 in connection with Issuer's initial public offering of Class A Common Stock.</w:t>
      </w:r>
    </w:p>
    <w:p>
      <w:pPr>
        <w:spacing w:after="0" w:line="33"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stock option vests with respect to 25% of the shares subject to the stock option on the first anniversary of the vesting commencement date, and the remaining 75% of the shares subject to the stock option vests in equal monthly installments over the following three years, subject to Reporting Person's continued service through each applicable vesting date.</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Anne Giviskos</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Anne Giviskos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4424"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2025-10-29T20:40:51Z</dcterms:created>
  <dcterms:modified xsi:type="dcterms:W3CDTF">2025-10-29T20:40:51Z</dcterms:modified>
</cp:coreProperties>
</file>